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D3E722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C5578">
              <w:rPr>
                <w:rFonts w:ascii="Times New Roman" w:hAnsi="Times New Roman" w:cs="Times New Roman"/>
                <w:b/>
                <w:color w:val="auto"/>
                <w:sz w:val="48"/>
              </w:rPr>
              <w:t>Roy David Oldfield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E6BCEF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84CC0">
              <w:rPr>
                <w:rFonts w:ascii="Times New Roman" w:hAnsi="Times New Roman" w:cs="Times New Roman"/>
                <w:b/>
                <w:color w:val="auto"/>
                <w:sz w:val="48"/>
              </w:rPr>
              <w:t xml:space="preserve"> </w:t>
            </w:r>
          </w:p>
          <w:p w14:paraId="796A681B" w14:textId="27B8B27E" w:rsidR="00284CC0" w:rsidRDefault="00284CC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Work: </w:t>
            </w:r>
            <w:hyperlink r:id="rId11" w:history="1">
              <w:r w:rsidRPr="00F13919">
                <w:rPr>
                  <w:rStyle w:val="Hyperlink"/>
                  <w:rFonts w:ascii="Times New Roman" w:hAnsi="Times New Roman" w:cs="Times New Roman"/>
                  <w:b/>
                  <w:sz w:val="48"/>
                </w:rPr>
                <w:t>roy.david.oldfield@flintshire.gov.uk</w:t>
              </w:r>
            </w:hyperlink>
          </w:p>
          <w:p w14:paraId="48EC1448" w14:textId="104F350E" w:rsidR="00284CC0" w:rsidRDefault="00284CC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Personal: </w:t>
            </w:r>
            <w:hyperlink r:id="rId12" w:history="1">
              <w:r w:rsidRPr="00F13919">
                <w:rPr>
                  <w:rStyle w:val="Hyperlink"/>
                  <w:rFonts w:ascii="Times New Roman" w:hAnsi="Times New Roman" w:cs="Times New Roman"/>
                  <w:b/>
                  <w:sz w:val="48"/>
                </w:rPr>
                <w:t>roldfield@sky.com</w:t>
              </w:r>
            </w:hyperlink>
          </w:p>
          <w:p w14:paraId="249EA921" w14:textId="77777777" w:rsidR="00284CC0" w:rsidRDefault="00284CC0"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AC0F574" w14:textId="46A40617" w:rsidR="00284CC0" w:rsidRDefault="00284CC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2317884</w:t>
            </w:r>
          </w:p>
          <w:p w14:paraId="007B9988" w14:textId="77777777" w:rsidR="00284CC0" w:rsidRPr="005D3F07" w:rsidRDefault="00284CC0"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A670606" w14:textId="7BFEA808" w:rsidR="00F546D1" w:rsidRPr="000A70A7" w:rsidRDefault="007374EF" w:rsidP="000A70A7">
      <w:pPr>
        <w:ind w:left="3600" w:firstLine="720"/>
        <w:rPr>
          <w:b/>
          <w:sz w:val="24"/>
          <w:szCs w:val="24"/>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7BEB4C45" w14:textId="77777777" w:rsidR="00614372" w:rsidRDefault="00614372">
            <w:pPr>
              <w:jc w:val="both"/>
              <w:rPr>
                <w:sz w:val="24"/>
                <w:szCs w:val="24"/>
              </w:rPr>
            </w:pPr>
          </w:p>
          <w:p w14:paraId="79E27C76" w14:textId="77777777" w:rsidR="00614372" w:rsidRPr="00614372" w:rsidRDefault="00614372" w:rsidP="0061437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614372">
              <w:rPr>
                <w:rFonts w:asciiTheme="minorHAnsi" w:eastAsiaTheme="minorHAnsi" w:hAnsiTheme="minorHAnsi" w:cstheme="minorBidi"/>
                <w:color w:val="auto"/>
                <w:kern w:val="2"/>
                <w:sz w:val="22"/>
                <w:szCs w:val="22"/>
                <w:lang w:eastAsia="en-US"/>
                <w14:ligatures w14:val="standardContextual"/>
              </w:rPr>
              <w:t xml:space="preserve">To ensure anonymity, I have omitted any details that can specifically identify any individual, local authority, statutory or third-sector organisations within this case study. </w:t>
            </w:r>
          </w:p>
          <w:p w14:paraId="00CDA857" w14:textId="77777777" w:rsidR="00614372" w:rsidRPr="00614372" w:rsidRDefault="00614372" w:rsidP="0061437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614372">
              <w:rPr>
                <w:rFonts w:asciiTheme="minorHAnsi" w:eastAsiaTheme="minorHAnsi" w:hAnsiTheme="minorHAnsi" w:cstheme="minorBidi"/>
                <w:color w:val="auto"/>
                <w:kern w:val="2"/>
                <w:sz w:val="22"/>
                <w:szCs w:val="22"/>
                <w:lang w:eastAsia="en-US"/>
                <w14:ligatures w14:val="standardContextual"/>
              </w:rPr>
              <w:t xml:space="preserve">In this case study I will describe a safeguarding intervention and the subsequent assessments that I undertook in my capacity as a social worker in my Wales-based Adult Physical Disability Team. I will define the reasons and purpose of my involvement in the case and how it was informed by legislative frameworks, policies, strategies and procedures for safeguarding ‘adults at risk’. This will include my consideration and understanding of social services provision for safeguarding within Wales, the broader UK and oversees. I will utilise Gibb’s ‘Reflective Cycle’ to critically analyse and demonstrate how my practice was informed by social work theoretical approaches, values and how person-centred methodology informed my assessments and why I made the ‘defensible decisions’, especially concerning risk and professional judgements in this case that I did (Gibbs, 1998), (Walker and Beckett, 2005). I will demonstrate how integrating critical analysis of the individual’s circumstances was led by my desire for his voice, rights, views, feelings and wishes to be paramount, in line with Part 2 6.(2) of the ‘Social Services and Well-Being (Wales) Act 2014’ (SSWBA(W)A, 2014). I will explain how collaborative working within a multi-disciplinary team was both enlightening in terms of a valuable range of alternative perspectives being gathered and problematic when social work values such as the promotion of voice and control, choice and co-production was challenged by other professionals with differing priorities such as health practitioners. I will discuss the importance of the specific dimensions of working in Wales which includes its language, legislation, geographical considerations in accessing resources and the relevance of cultural identity. </w:t>
            </w:r>
          </w:p>
          <w:p w14:paraId="6CBFD39D" w14:textId="77777777" w:rsidR="00614372" w:rsidRPr="00614372" w:rsidRDefault="00614372" w:rsidP="0061437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614372">
              <w:rPr>
                <w:rFonts w:asciiTheme="minorHAnsi" w:eastAsiaTheme="minorHAnsi" w:hAnsiTheme="minorHAnsi" w:cstheme="minorBidi"/>
                <w:color w:val="auto"/>
                <w:kern w:val="2"/>
                <w:sz w:val="22"/>
                <w:szCs w:val="22"/>
                <w:lang w:eastAsia="en-US"/>
                <w14:ligatures w14:val="standardContextual"/>
              </w:rPr>
              <w:t xml:space="preserve">Positioned within the context of a safeguarding intervention, the individual concerned will be referred to as ‘2’ for the purposes of clarity and anonymity. 2 is a gentleman in ‘late adulthood’ who had lived with his mother at his family home all his life until she passed away 4 years ago. Shortly after this he received a </w:t>
            </w:r>
            <w:r w:rsidRPr="00614372">
              <w:rPr>
                <w:rFonts w:asciiTheme="minorHAnsi" w:eastAsiaTheme="minorHAnsi" w:hAnsiTheme="minorHAnsi" w:cstheme="minorBidi"/>
                <w:color w:val="auto"/>
                <w:kern w:val="2"/>
                <w:sz w:val="22"/>
                <w:szCs w:val="22"/>
                <w:lang w:eastAsia="en-US"/>
                <w14:ligatures w14:val="standardContextual"/>
              </w:rPr>
              <w:lastRenderedPageBreak/>
              <w:t xml:space="preserve">diagnosis of Mitchell’s disease, a rare vascular peripheral pain disorder that affected his legs and feet. After his mother’s passing, although with restricted mobility, 2 continued to live independently at home where he was self-sufficient with his activities of daily living until his condition deteriorated, further restricting his functioning within the home. His GP had at this point referred him to OT services and relevant assessments were made regarding his physical and environmental needs using the ‘Model of Human Occupation’ (MOHO) to elicit his individualised strengths, abilities and where there needed to be adaptations and equipment in the home to create a more enabling environment for him (Kielhofner, 2008). This indicated areas of concern including an unhygienic living space and, on reflection, what was described subjectively as a ‘cluttered’ environment and small adaptations were issued to the property to support him to mobilise. 2 continued to live independently until his condition deteriorated further and he was hospitalised, whereupon he received an above-knee amputation to his right leg. A severe ulceration on his left foot related to the same blood condition meant he could not weight bear and he became wheelchair dependent. 2 was then discharged to a temporary ‘step-down’ in a local residential care home. This was operationalised in collaboration with 2 by a hospital social work team after a relevant social care assessment, care and support plan and authorisation from the local authority for funded residential care was in place. With hindsight, after I became involved with 2, I judged these assessments to be outcome-focussed and person-centred in that they appeared to have a clear ‘action’ plan and 2’s wishes and ‘voice’ were evident (Smith, 2004).  </w:t>
            </w:r>
          </w:p>
          <w:p w14:paraId="16262F37" w14:textId="77777777" w:rsidR="00614372" w:rsidRPr="00614372" w:rsidRDefault="00614372" w:rsidP="0061437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614372">
              <w:rPr>
                <w:rFonts w:asciiTheme="minorHAnsi" w:eastAsiaTheme="minorHAnsi" w:hAnsiTheme="minorHAnsi" w:cstheme="minorBidi"/>
                <w:color w:val="auto"/>
                <w:kern w:val="2"/>
                <w:sz w:val="22"/>
                <w:szCs w:val="22"/>
                <w:lang w:eastAsia="en-US"/>
                <w14:ligatures w14:val="standardContextual"/>
              </w:rPr>
              <w:t>2 came to my attention when a ‘What Matters’ referral was made to our social work team from OT services which raised concerns around his wish to move back home, despite the risks and challenges he would face using his wheelchair and living within the restrictive home environment. I gathered all previous relevant information to inform my approach to my own assessments. In addition to the Local Authorities’ duty to assess under s.19, SSWB(W)A, an individual has a right under this legislation to refuse an assessment of need under s.20 but this was not the case and my initial meeting with 2 saw me working in-partnership with him to co-produce a social care assessment and care and support plan that reflected his current circumstances and desired outcomes using an assessment methodology that would elicit the most gainful information, in this case the ‘exchange’ model (Smale et al, 1993). My approach was to establish trust through unconditional positive regard, empathetic understanding and congruence. By assuring 2 of my resolve in upholding his rights, beliefs, views and wishes whilst protecting him from harm, I was struck by his unwavering resolve in his desired outcome to move home and live independently without any ‘managed’ care (Codes of Professional Practice for Social Care, 2017), (CoPP). My concern was elevated about how this would leave him at risk of ‘self-neglect’ with his lack of basic self-care abilities within the property balanced against what felt to be his unrealistic expectations about how he would manage. I used a ‘systems theory’ approach to understand any supportive networks and protective factors that already exist in his life and if these had been put under any strain given his change in circumstances (Bronfenbrenner, 1994). Whilst exploring his social construction, he informed me he was estranged from his family and only had one friend. I had considered a ‘direct payment’ to promote personalisation and self-directed support with social work intervention to build supportive local networks and explore community resources that could support him, but this was also declined by 2 (SSIE, 2010).</w:t>
            </w:r>
          </w:p>
          <w:p w14:paraId="51EE15B0" w14:textId="77777777" w:rsidR="00614372" w:rsidRPr="00614372" w:rsidRDefault="00614372" w:rsidP="0061437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614372">
              <w:rPr>
                <w:rFonts w:asciiTheme="minorHAnsi" w:eastAsiaTheme="minorHAnsi" w:hAnsiTheme="minorHAnsi" w:cstheme="minorBidi"/>
                <w:color w:val="auto"/>
                <w:kern w:val="2"/>
                <w:sz w:val="22"/>
                <w:szCs w:val="22"/>
                <w:lang w:eastAsia="en-US"/>
                <w14:ligatures w14:val="standardContextual"/>
              </w:rPr>
              <w:t xml:space="preserve">To get a clearer illustration of how 2 would live and so that I had an experiential basis to make professional judgements and not reply solely on reports, written or verbal, I felt it prudent to visit his property. 2 consented for the OT and I to visit his house so that an environmental, ‘holistic assessment’ by both practitioners could be made based on his environmental needs. It also helped with a ‘narrative’ approach I was building to help define how 2 sees his life, attachments to the house and area and a ‘biographical’ </w:t>
            </w:r>
            <w:r w:rsidRPr="00614372">
              <w:rPr>
                <w:rFonts w:asciiTheme="minorHAnsi" w:eastAsiaTheme="minorHAnsi" w:hAnsiTheme="minorHAnsi" w:cstheme="minorBidi"/>
                <w:color w:val="auto"/>
                <w:kern w:val="2"/>
                <w:sz w:val="22"/>
                <w:szCs w:val="22"/>
                <w:lang w:eastAsia="en-US"/>
                <w14:ligatures w14:val="standardContextual"/>
              </w:rPr>
              <w:lastRenderedPageBreak/>
              <w:t>approach to ascertain how he may view himself as an individual and how this relates to his self-identity and self-worth (Giddens, 1991). The environmental visit yielded an insight into the physical restrictions he would face living and functioning in the property with narrow doors, minimal room for a wheelchair and very restrictive access to the kitchen and bathroom which would reduce his independence. There was also further evidence of something that had come to light during a discussion with the care home manager relating to 2’s psychological condition and she had observed him having several ‘delusional’ beliefs during conversations. The plaster had been taken off the walls in the property and ‘motion’ sensors had been fitted to all the vertical surfaces in the house. A conversation with 2 revealed that he believed the neighbour was ‘spying’ on him and attempting to place cameras inside his property. Using Erikson’s theory of psychosocial development, I considered that 2 may be confronting a psychological crisis in which, given his age, allowed some insight into how he reflected on his past and current circumstances and the biographical details I was able to deduce from our conversations and assessments about his life, he was feeling ‘despair’ rather than ‘integrity’ when viewed in the 8</w:t>
            </w:r>
            <w:r w:rsidRPr="00614372">
              <w:rPr>
                <w:rFonts w:asciiTheme="minorHAnsi" w:eastAsiaTheme="minorHAnsi" w:hAnsiTheme="minorHAnsi" w:cstheme="minorBidi"/>
                <w:color w:val="auto"/>
                <w:kern w:val="2"/>
                <w:sz w:val="22"/>
                <w:szCs w:val="22"/>
                <w:vertAlign w:val="superscript"/>
                <w:lang w:eastAsia="en-US"/>
                <w14:ligatures w14:val="standardContextual"/>
              </w:rPr>
              <w:t>th</w:t>
            </w:r>
            <w:r w:rsidRPr="00614372">
              <w:rPr>
                <w:rFonts w:asciiTheme="minorHAnsi" w:eastAsiaTheme="minorHAnsi" w:hAnsiTheme="minorHAnsi" w:cstheme="minorBidi"/>
                <w:color w:val="auto"/>
                <w:kern w:val="2"/>
                <w:sz w:val="22"/>
                <w:szCs w:val="22"/>
                <w:lang w:eastAsia="en-US"/>
                <w14:ligatures w14:val="standardContextual"/>
              </w:rPr>
              <w:t xml:space="preserve"> stage of this theory (Erikson, 1950). 2 had been through many significant environmental, physical and psychological transitions over the last several years including elements of ‘disorganisation and despair’ in his thinking and medical history characterised by Bowlby in his theory of ‘grief and loss’ (Bowlby, 1980). </w:t>
            </w:r>
          </w:p>
          <w:p w14:paraId="35C2F06F" w14:textId="77777777" w:rsidR="00614372" w:rsidRPr="00614372" w:rsidRDefault="00614372" w:rsidP="0061437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614372">
              <w:rPr>
                <w:rFonts w:asciiTheme="minorHAnsi" w:eastAsiaTheme="minorHAnsi" w:hAnsiTheme="minorHAnsi" w:cstheme="minorBidi"/>
                <w:color w:val="auto"/>
                <w:kern w:val="2"/>
                <w:sz w:val="22"/>
                <w:szCs w:val="22"/>
                <w:lang w:eastAsia="en-US"/>
                <w14:ligatures w14:val="standardContextual"/>
              </w:rPr>
              <w:t xml:space="preserve">2 exhibited no outward presentation of mental distress but I made an urgent referral through to the Community Mental Health Team (CMHT) who completed an assessment which, perhaps disappointingly, assessed him as ‘presenting well with no indication of any clear, definable mental health diagnosis’. I was also advised that ‘self-neglect’ would not be considered a ‘mental health issue’. Simultaneously, the care home manager enacted her duty to send a referral to the local authority safeguarding team around his behaviour with another resident in the care home, who, under section 126 of SSWB(W)A was described as ‘at risk’ and although no actual abuse could be evidenced categorically, ‘early interventions’ were considered sensitively to protect the resident under statutory legislation (s.24, SSWB(W)A). It is important in safeguarding as whether to intervene or not and under what power, duty and statutes are applicable and how a variety of interpretations from different subjective professional perceptions, understanding of recognised definitions within the legislation and how and why they can be used. The definition of an ‘adult at risk’ is explained in Section 126 (1) of the SSWB(W)A as being an adult who: (a) is experiencing or is at risk of abuse or neglect, (b) has needs for care and support (whether the authority is meeting any of those needs), (c) as a result of those needs is unable to protect himself or herself against abuse or neglect or risk of it. If these conditions are met, the authority has a “duty to make, or cause to be made, such enquiries as it considers necessary to decide whether a person is an adult at risk; and to decide what actions, if any, should be taken” (SSWB(W)A). </w:t>
            </w:r>
          </w:p>
          <w:p w14:paraId="128E9098" w14:textId="77777777" w:rsidR="00614372" w:rsidRPr="00614372" w:rsidRDefault="00614372" w:rsidP="0061437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614372">
              <w:rPr>
                <w:rFonts w:asciiTheme="minorHAnsi" w:eastAsiaTheme="minorHAnsi" w:hAnsiTheme="minorHAnsi" w:cstheme="minorBidi"/>
                <w:color w:val="auto"/>
                <w:kern w:val="2"/>
                <w:sz w:val="22"/>
                <w:szCs w:val="22"/>
                <w:lang w:eastAsia="en-US"/>
                <w14:ligatures w14:val="standardContextual"/>
              </w:rPr>
              <w:t xml:space="preserve">The responsibilities to safeguard the wellbeing of 'adults at risk’ are issues that are devolved to the Welsh government. A distinctive Welsh legislative framework is fixed in place that recognises Wales’ individual historical, cultural and geographical perspectives. Section 7 of the SSWB(W)A replaces the definition of ‘vulnerable adult’ with the concept of an ‘adult at risk’ and this is included within the ‘In Safe Hands’ policy which promotes independence whilst balancing safeguarding people across the 22 unitary local authorities throughout Wales (National Assembly for Wales, 2000). This shift in terminology represents increased sensitivity to the issues of protection and safeguarding and transgresses perceptions of abuse being a creation of pathologies associated with perceived vulnerabilities and places the problem within relationships and their social construction, rather than the individuals themselves (Johnson et al., 2010). Understanding and summarising the 6 main principles of safeguarding in Wales are: (1) the person’s outcomes are known and communicable, (2) the needs of the individual are put first, (3) professionals who come into contact with individuals are trained and alert to the person’s needs, (4) information sharing is appropriate, proportionate </w:t>
            </w:r>
            <w:r w:rsidRPr="00614372">
              <w:rPr>
                <w:rFonts w:asciiTheme="minorHAnsi" w:eastAsiaTheme="minorHAnsi" w:hAnsiTheme="minorHAnsi" w:cstheme="minorBidi"/>
                <w:color w:val="auto"/>
                <w:kern w:val="2"/>
                <w:sz w:val="22"/>
                <w:szCs w:val="22"/>
                <w:lang w:eastAsia="en-US"/>
                <w14:ligatures w14:val="standardContextual"/>
              </w:rPr>
              <w:lastRenderedPageBreak/>
              <w:t xml:space="preserve">and confidential, (5) professionals are able to use their expert judgement to put the individual’s needs and outcomes and the centre of the system, (6) all professionals work in a multi-agency and co-operative way to safeguard an adult at risk’s well-being (Welsh Government, 2023). Effective safeguarding practice requires each practitioner and organisation to play their part and contribute to safeguarding policies, procedures and promoting the well-being of the ‘adult at risk’.      </w:t>
            </w:r>
          </w:p>
          <w:p w14:paraId="024DC887" w14:textId="77777777" w:rsidR="00614372" w:rsidRPr="00614372" w:rsidRDefault="00614372" w:rsidP="0061437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614372">
              <w:rPr>
                <w:rFonts w:asciiTheme="minorHAnsi" w:eastAsiaTheme="minorHAnsi" w:hAnsiTheme="minorHAnsi" w:cstheme="minorBidi"/>
                <w:color w:val="auto"/>
                <w:kern w:val="2"/>
                <w:sz w:val="22"/>
                <w:szCs w:val="22"/>
                <w:lang w:eastAsia="en-US"/>
                <w14:ligatures w14:val="standardContextual"/>
              </w:rPr>
              <w:t>I felt an increasing frustration with the balance of respecting 2’s wishes with a probable outcome of injury, self-neglect, social isolation or a combination of the three and the first part of the safeguarding process was to assess his capacity to understand the consequences and implications of the specific decision to move home. Mantell and Scragg suggest safeguarding should not be merely a procedure but a process that is person-centred and is driven by having the person at the centre of practice (Mantell and Scragg, 2010). This is also reinforced in statute through the Mental Capacity Act, 2005) (MCA, 2005). The duties and powers to intervene in 2’s decision are determinate on legislative context as statutory interventions and his mental capacity needed to be explored to fully appreciate if he could ‘weigh-up, retain and understand’ information relating to the consequences and risks of moving back home (MCA, 2005). The first principle of the MCA is the presumption of capacity; that every adult has a right to make their own decisions and must be presumed to have capacity until proved otherwise. This enshrines a legacy of anti-discriminatory principles in the MCA by making it a statutory requirement that capacity cannot be established by appearance, age or behaviour which may lead to unjustifiable assumptions of capacity (s.3 (3) MCA, 2005). I also considered that 2 has an absolute, unqualified right to do what he is legally entitled to do and the third mental capacity principle that he should not be deemed to be lacking in capacity because his decision is ‘unwise’ (MCA, 2005). I conducted the formal capacity assessment using the ‘Code of Practice’ under sections 42-43 of the MCA. During assessment and working with the codes, 2 was able to demonstrate the measures and conditions that deemed him to have capacity over his decision and was clear and absolute in his conviction that he wanted to return home. As 2 had capacity, unlike in the USA (Bray et al., 2014), he did not meet the threshold for intervention from the safeguarding policies and procedures of the Local Authority’s ‘Safeguarding Adults Board’ (SAB), (s.143 SSWB(W)A).</w:t>
            </w:r>
          </w:p>
          <w:p w14:paraId="7D128415" w14:textId="77777777" w:rsidR="00614372" w:rsidRPr="00614372" w:rsidRDefault="00614372" w:rsidP="0061437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614372">
              <w:rPr>
                <w:rFonts w:asciiTheme="minorHAnsi" w:eastAsiaTheme="minorHAnsi" w:hAnsiTheme="minorHAnsi" w:cstheme="minorBidi"/>
                <w:color w:val="auto"/>
                <w:kern w:val="2"/>
                <w:sz w:val="22"/>
                <w:szCs w:val="22"/>
                <w:lang w:eastAsia="en-US"/>
                <w14:ligatures w14:val="standardContextual"/>
              </w:rPr>
              <w:t xml:space="preserve">The European Convention on Human Rights (ECHR) Article 8 also puts into law that 2 has a ‘right to respect for private and family life’. The ‘Welfare Principle’ that exists in Children’s safeguarding legislation, in England for example (Children Act, 1998) does not apply to adults and means it is necessary to respect his decision, even if this could jeopardise his health and well-being. I wrestled with the dilemma of how these principles of self-determination and autonomy could be respected but needed to be balanced with National Occupational Standards and Section 4 of the ‘Codes of Professional Practice for Social Care (Welsh Government, 2017), (CoPP) which indicates that I have a duty to “ensure that their behaviour does not harm themselves”. I reflected on this position and that I needed to implement as much protection from harm as was in my gift and this led me to a ‘holistic risk assessment’ which combines the ‘actuarial’ and ‘clinical’ approaches to risk and focusses on probability predictions about the nature and severity of the risk posed to 2 (Monahan and Steadman, 1994). I sought to introduce ‘control measures’ by highlighting required equipment and the practical reframing of space and furniture but I still felt risks of harm and self-neglect were significant (CoPP, 2017). An example of where the assessment was beneficial was in highlighting risks for the necessity of 2 weight-bearing on his left leg to complete daily activities which could cause additional strain on his ulcerated foot. This assessment was then passed onto OT and nursing colleagues and made me reflect on the importance of accurate, timely record keeping and how this informs other professionals. It was important to involve 2 in all aspects of assessment, so it remained person-centred and as the case was complex, I </w:t>
            </w:r>
            <w:r w:rsidRPr="00614372">
              <w:rPr>
                <w:rFonts w:asciiTheme="minorHAnsi" w:eastAsiaTheme="minorHAnsi" w:hAnsiTheme="minorHAnsi" w:cstheme="minorBidi"/>
                <w:color w:val="auto"/>
                <w:kern w:val="2"/>
                <w:sz w:val="22"/>
                <w:szCs w:val="22"/>
                <w:lang w:eastAsia="en-US"/>
                <w14:ligatures w14:val="standardContextual"/>
              </w:rPr>
              <w:lastRenderedPageBreak/>
              <w:t xml:space="preserve">coordinated more professionals to meet and analyse the circumstances to gain a multifarious compendium of professional expert views and opinions.  </w:t>
            </w:r>
          </w:p>
          <w:p w14:paraId="4A621DCE" w14:textId="77777777" w:rsidR="00614372" w:rsidRPr="00614372" w:rsidRDefault="00614372" w:rsidP="0061437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614372">
              <w:rPr>
                <w:rFonts w:asciiTheme="minorHAnsi" w:eastAsiaTheme="minorHAnsi" w:hAnsiTheme="minorHAnsi" w:cstheme="minorBidi"/>
                <w:color w:val="auto"/>
                <w:kern w:val="2"/>
                <w:sz w:val="22"/>
                <w:szCs w:val="22"/>
                <w:lang w:eastAsia="en-US"/>
                <w14:ligatures w14:val="standardContextual"/>
              </w:rPr>
              <w:t xml:space="preserve">Unlike English equivalent legislation and its connected statutory guidelines (Care Act, 2014), the SSWB(W)A and associated guidance does not list ‘self-neglect’ as a category of abuse unlike other defined forms of abuse such as physical, domestic, sexual, psychological and financial (s. 197, SSWB(W)A, 2014). ‘Wales Safeguarding Procedures’ exclude its application in situations of ‘self-neglect’ unless “the situation involves a significant act of commission or omission by someone with the responsibility for the person’s care” which made me consider if I was that person (SSWB(W)A). Also, within this guidance, it is stated that the “capacity of the person to make decisions about his/her care will be an important consideration” and I felt reassured that this had been explored. It is postulated that although ‘self-neglect’ is an important problem, it is excluded from definitions of abuse, as is the case in Wales, because it has a different set of explanations to the problem of abuse by a variety of other people and therefore require different interventions (McCreadie, 1996). Frustratingly, just as I was coordinating all professionals, the OT closed 2 to their team after discussing the risks and challenges he would face with him and cited that they “could not recommend he move home safely, and he will not take advice or give consent on suggested short-term solution-focussed approaches”. I then made what I felt was the defensible decision, and with the possibility of losing ‘good will’ with the OT team, sent an urgent referral straight back to their team citing that they had not made a full assessment with 2 inside the property and this needs to contribute to the complex mix of physical, social and environmental factors that contribute to a robust evaluation of possible risks involved with him going home. </w:t>
            </w:r>
          </w:p>
          <w:p w14:paraId="311E4247" w14:textId="77777777" w:rsidR="00614372" w:rsidRPr="00614372" w:rsidRDefault="00614372" w:rsidP="0061437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614372">
              <w:rPr>
                <w:rFonts w:asciiTheme="minorHAnsi" w:eastAsiaTheme="minorHAnsi" w:hAnsiTheme="minorHAnsi" w:cstheme="minorBidi"/>
                <w:color w:val="auto"/>
                <w:kern w:val="2"/>
                <w:sz w:val="22"/>
                <w:szCs w:val="22"/>
                <w:lang w:eastAsia="en-US"/>
                <w14:ligatures w14:val="standardContextual"/>
              </w:rPr>
              <w:t xml:space="preserve">I had, during my intervention with 2, explored alternative accommodation and investigated the possibility of a level access bungalow or ‘extra care’ residence which offered independent living with support where required but this would have taken him out of the authority’s area and into England as the local authority’s housing demand was at an ‘all time high’ with very few ‘voids’ available. 2 had explained his emotional attachment to the geo-social locality of his house during assessment and his Welsh identity which embraced his biography, cultural identity and ‘interpretive self’ which helped to explain how he ‘saw himself’ in the context of influences he felt shaped his self-identity (Giddens, 1991). This was discussed at the initial assessment stage whilst proposing the importance of the ‘Active Offer’ for a service in the Welsh language without him having to request it and that the language should not be treated less favourably than any other (Welsh Language (Wales) Measure, 2011). 2 alluded to also wanting to move back for financial reasons as he was aware that his property was worth a considerable amount of money given the area it was located. Recent research from the Welsh Index of Multiple Deprivation (WIMD) showed that his house was in the top 10% for housing, community safety and access to services in Wales (Welsh Government, 2019). Despite this and with the reality of how 2 would live, I postulated Maslow’s 1964 ‘Hierarchy of need’ model and how it proposes that if a person’s environment does not meet their lower order physiological needs, it will contribute to reduced autonomy whereas an impediment in the higher order of self-esteem and self-actualisation destabilises emotional well-being and mental health (Maslow, 1964). As 2’s house was in a prosperous area, this did not detract from its interior condition and how his habituation and volition would be compromised within it. The link between general living conditions and poor physical and mental health is well documented (Friedman, 2010).   </w:t>
            </w:r>
          </w:p>
          <w:p w14:paraId="70E15A7B" w14:textId="77777777" w:rsidR="00614372" w:rsidRPr="00614372" w:rsidRDefault="00614372" w:rsidP="0061437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614372">
              <w:rPr>
                <w:rFonts w:asciiTheme="minorHAnsi" w:eastAsiaTheme="minorHAnsi" w:hAnsiTheme="minorHAnsi" w:cstheme="minorBidi"/>
                <w:color w:val="auto"/>
                <w:kern w:val="2"/>
                <w:sz w:val="22"/>
                <w:szCs w:val="22"/>
                <w:lang w:eastAsia="en-US"/>
                <w14:ligatures w14:val="standardContextual"/>
              </w:rPr>
              <w:t xml:space="preserve">Given my justifiable feelings, descriptions, evaluation and analysis of his projected needs and risk of injury and self-neglect at home, the OT team had reopened 2’s case and I used my negotiation skills to coordinate several strategy meetings with them and involved nursing staff, the care home manager and the safeguarding </w:t>
            </w:r>
            <w:r w:rsidRPr="00614372">
              <w:rPr>
                <w:rFonts w:asciiTheme="minorHAnsi" w:eastAsiaTheme="minorHAnsi" w:hAnsiTheme="minorHAnsi" w:cstheme="minorBidi"/>
                <w:color w:val="auto"/>
                <w:kern w:val="2"/>
                <w:sz w:val="22"/>
                <w:szCs w:val="22"/>
                <w:lang w:eastAsia="en-US"/>
                <w14:ligatures w14:val="standardContextual"/>
              </w:rPr>
              <w:lastRenderedPageBreak/>
              <w:t xml:space="preserve">team coordinator (Gibbs, 1998). A key principle of safeguarding policy is having a management plan for ‘keeping the person safe’ and I justified safeguarding involvement, despite 2 having capacity, under review of ‘any action being taken’ through ‘early intervention’ and co-production being in his ‘best interests’ (Welsh Government, 2010). The safeguarding team agreed to their participation to offer advice and experience around safeguarding policy and procedure. Another principle of safeguarding practice is making a joint decision around any action to be taken and that all actions are recorded and agreed. Although not relevant in this case, safeguarding reports to social services sometimes require ‘immediate protection and urgent action’ and agencies with relevant protection powers such as social services, the police or those with service responsibility such as health or emergency services need to act quickly to secure the ‘individual’s and others’ immediate safety’ (Welsh Government, 2010). Professional collaboration can be seen as an actively dynamic form of working together where collective expertise, knowledge and values are amalgamated and effective joint-working around a shared resolution can result in more successful outcomes and resources (Payne, 2012). During the strategy meetings, I shared all the information I had gathered from my assessments and applied principles in the SSWB(W)A such as the necessity for appropriate information sharing, including data protection regulations (GDPR), and how I had been open and honest with the individual about seeking advice from other practitioners. It was ‘necessary, proportionate, relevant, timely and accurate’ (Data Protection Act, 2018). Part 2 6.(2) SSWB(W)A states the rights of the individual should be paramount to the approach of safeguarding and have their ‘best interests’ at the centre of practice (SSWB(W)A, 2014). Reflecting on the intervention, I believe this was being achieved, despite some of my own professional doubts about the right course of action and when it should be taken at times. </w:t>
            </w:r>
          </w:p>
          <w:p w14:paraId="105925D6" w14:textId="77777777" w:rsidR="00614372" w:rsidRPr="00614372" w:rsidRDefault="00614372" w:rsidP="0061437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614372">
              <w:rPr>
                <w:rFonts w:asciiTheme="minorHAnsi" w:eastAsiaTheme="minorHAnsi" w:hAnsiTheme="minorHAnsi" w:cstheme="minorBidi"/>
                <w:color w:val="auto"/>
                <w:kern w:val="2"/>
                <w:sz w:val="22"/>
                <w:szCs w:val="22"/>
                <w:lang w:eastAsia="en-US"/>
                <w14:ligatures w14:val="standardContextual"/>
              </w:rPr>
              <w:t xml:space="preserve">Whilst working collaboratively with other professionals, I used Gibb’s ‘reflective cycle’ to analyse my approach and was conscious to use my ‘concrete experience’, ‘observations and reflection’ and the ‘formation of concepts’ about 2’s circumstances to contribute helpfully during strategy meetings (Gibbs, 1998). I expressed my ethical approach in trying to decide what the right course of action would be given the dichotomy between autonomy and protection and actively welcomed other views whilst holding onto personal and social work values which are inextricably bound up with inherent moral values (Walmsley, 2012). There were a range of perspectives and priorities during strategy meetings that added value to planning how to continue with my intervention. It was interesting to also note the various perspectives, such as that from the safeguarding coordinator which appeared to suggest that a legal approach through the High Court could be considered such as ‘inherent jurisdiction’ which could make declarations, injunctions and orders where there is no statutory power to intervene. Nursing involvement, understandably, centred around 2’s skin integrity and addressing the ulceration on his left foot. The care home manager seemingly had her own agenda about existing concerns within the care home and it not being ‘the most suitable’ environment for him given his interactions with other residents, a lot of which were experiencing dementia and had their own vulnerabilities. I felt all perspectives were valuable, albeit somewhat nebulous and lacking uniformity and a clear, agreed direction. I was then left to make the final decision as how to proceed. Ultimately, with 2’s consent, I decided to accompany him to the property with guidance and expertise from the OT to explore how he would function rooted in the reality of being there. This practical step proved to be a turning point for 2 as he was making an informed choice based on experience. After nearly falling, making a transfer to the toilet, he later discussed that it had ‘unnerved’ him, and he would stay in the care home whilst I continued to support him to explore safer methods of his return home.               </w:t>
            </w:r>
          </w:p>
          <w:p w14:paraId="470D2DAD" w14:textId="77777777" w:rsidR="00614372" w:rsidRPr="00614372" w:rsidRDefault="00614372" w:rsidP="0061437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614372">
              <w:rPr>
                <w:rFonts w:asciiTheme="minorHAnsi" w:eastAsiaTheme="minorHAnsi" w:hAnsiTheme="minorHAnsi" w:cstheme="minorBidi"/>
                <w:color w:val="auto"/>
                <w:kern w:val="2"/>
                <w:sz w:val="22"/>
                <w:szCs w:val="22"/>
                <w:lang w:eastAsia="en-US"/>
                <w14:ligatures w14:val="standardContextual"/>
              </w:rPr>
              <w:t xml:space="preserve">In conclusion, I have critically reflected on a safeguarding intervention and explained the key aspects of safeguarding an ‘adult at risk’ and the complexities of balancing seemingly ‘unwise’ decisions with an earnest </w:t>
            </w:r>
            <w:r w:rsidRPr="00614372">
              <w:rPr>
                <w:rFonts w:asciiTheme="minorHAnsi" w:eastAsiaTheme="minorHAnsi" w:hAnsiTheme="minorHAnsi" w:cstheme="minorBidi"/>
                <w:color w:val="auto"/>
                <w:kern w:val="2"/>
                <w:sz w:val="22"/>
                <w:szCs w:val="22"/>
                <w:lang w:eastAsia="en-US"/>
                <w14:ligatures w14:val="standardContextual"/>
              </w:rPr>
              <w:lastRenderedPageBreak/>
              <w:t xml:space="preserve">regard to safeguard an individual from harm and self-neglect. I have explained the processes in requesting a safeguarding intervention from the local authority’s safeguarding team and the impediments of safeguarding legislation regarding self-neglect and mental capacity. As Braye highlights, ‘self-neglect polices and practice are as complex as self-neglect itself’ (Braye et al., 2014). I have demonstrated the skills required in traversing the interface between different forms of legislation regarding self-neglect and shown differences between Welsh policy and legislation and that of other nations. I have explored the complexity of this case and how the individual’s defined outcomes are not always congruent with the views of others who wish to safeguard him from harm. I have shown the challenges this presents to collaboration and multi-agency working. I have drawn on a recognised model of reflection to explore the influence of various perspectives including practicing in Wales and its unique culture, heritage and language and used recognised social work theoretical approaches to inform my intervention.      </w:t>
            </w:r>
          </w:p>
          <w:p w14:paraId="5F9E22C2" w14:textId="77777777" w:rsidR="00614372" w:rsidRPr="00614372" w:rsidRDefault="00614372" w:rsidP="0061437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614372">
              <w:rPr>
                <w:rFonts w:asciiTheme="minorHAnsi" w:eastAsiaTheme="minorHAnsi" w:hAnsiTheme="minorHAnsi" w:cstheme="minorBidi"/>
                <w:color w:val="auto"/>
                <w:kern w:val="2"/>
                <w:sz w:val="22"/>
                <w:szCs w:val="22"/>
                <w:lang w:eastAsia="en-US"/>
                <w14:ligatures w14:val="standardContextual"/>
              </w:rPr>
              <w:t>Word count 4028</w:t>
            </w:r>
          </w:p>
          <w:p w14:paraId="396AD720" w14:textId="77777777" w:rsidR="00614372" w:rsidRDefault="00614372" w:rsidP="00FF7EBB">
            <w:pPr>
              <w:jc w:val="both"/>
              <w:rPr>
                <w:rFonts w:asciiTheme="minorHAnsi" w:eastAsiaTheme="minorHAnsi" w:hAnsiTheme="minorHAnsi" w:cstheme="minorBidi"/>
                <w:color w:val="auto"/>
                <w:kern w:val="2"/>
                <w:sz w:val="22"/>
                <w:szCs w:val="22"/>
                <w:lang w:eastAsia="en-US"/>
                <w14:ligatures w14:val="standardContextual"/>
              </w:rPr>
            </w:pPr>
          </w:p>
          <w:p w14:paraId="51AF4546" w14:textId="2BAD7B95"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70A7"/>
    <w:rsid w:val="000C378F"/>
    <w:rsid w:val="000C5578"/>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4CC0"/>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372"/>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284C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oldfield@sky.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oy.david.oldfield@flintshire.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4240</Words>
  <Characters>23155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Roy Oldfield</cp:lastModifiedBy>
  <cp:revision>8</cp:revision>
  <cp:lastPrinted>2020-02-11T19:20:00Z</cp:lastPrinted>
  <dcterms:created xsi:type="dcterms:W3CDTF">2022-09-29T11:34:00Z</dcterms:created>
  <dcterms:modified xsi:type="dcterms:W3CDTF">2024-10-05T21:15:00Z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