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69BEF6" w14:textId="77777777" w:rsidR="005C7CDC" w:rsidRDefault="00000000">
      <w:pPr>
        <w:spacing w:line="360" w:lineRule="auto"/>
        <w:jc w:val="both"/>
        <w:rPr>
          <w:rFonts w:ascii="Arial" w:eastAsia="Arial" w:hAnsi="Arial" w:cs="Arial"/>
          <w:b/>
          <w:sz w:val="44"/>
          <w:szCs w:val="44"/>
        </w:rPr>
      </w:pPr>
      <w:r>
        <w:rPr>
          <w:rFonts w:ascii="Arial" w:eastAsia="Arial" w:hAnsi="Arial" w:cs="Arial"/>
          <w:b/>
          <w:sz w:val="44"/>
          <w:szCs w:val="44"/>
        </w:rPr>
        <w:t>Financial Management for the Hotel Industry</w:t>
      </w:r>
    </w:p>
    <w:p w14:paraId="78CFC8BE" w14:textId="77777777" w:rsidR="005C7CDC" w:rsidRDefault="00000000">
      <w:pPr>
        <w:spacing w:line="360" w:lineRule="auto"/>
        <w:jc w:val="both"/>
        <w:rPr>
          <w:rFonts w:ascii="Arial" w:eastAsia="Arial" w:hAnsi="Arial" w:cs="Arial"/>
          <w:b/>
          <w:sz w:val="44"/>
          <w:szCs w:val="44"/>
        </w:rPr>
      </w:pPr>
      <w:r>
        <w:rPr>
          <w:rFonts w:ascii="Arial" w:eastAsia="Arial" w:hAnsi="Arial" w:cs="Arial"/>
          <w:b/>
          <w:sz w:val="44"/>
          <w:szCs w:val="44"/>
        </w:rPr>
        <w:t>BMIH5007</w:t>
      </w:r>
    </w:p>
    <w:p w14:paraId="56551802" w14:textId="77777777" w:rsidR="005C7CDC" w:rsidRDefault="005C7CDC">
      <w:pPr>
        <w:spacing w:line="360" w:lineRule="auto"/>
        <w:jc w:val="both"/>
        <w:rPr>
          <w:rFonts w:ascii="Arial" w:eastAsia="Arial" w:hAnsi="Arial" w:cs="Arial"/>
          <w:b/>
          <w:sz w:val="24"/>
          <w:szCs w:val="24"/>
        </w:rPr>
      </w:pPr>
    </w:p>
    <w:p w14:paraId="1986EFA7"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Lecturer  Tristan Hawkins</w:t>
      </w:r>
    </w:p>
    <w:p w14:paraId="68A494DC" w14:textId="77777777" w:rsidR="005C7CDC" w:rsidRDefault="00000000">
      <w:pPr>
        <w:spacing w:line="360" w:lineRule="auto"/>
        <w:jc w:val="both"/>
        <w:rPr>
          <w:rFonts w:ascii="Arial" w:eastAsia="Arial" w:hAnsi="Arial" w:cs="Arial"/>
          <w:b/>
          <w:sz w:val="36"/>
          <w:szCs w:val="36"/>
        </w:rPr>
      </w:pPr>
      <w:r>
        <w:rPr>
          <w:rFonts w:ascii="Arial" w:eastAsia="Arial" w:hAnsi="Arial" w:cs="Arial"/>
          <w:b/>
          <w:sz w:val="36"/>
          <w:szCs w:val="36"/>
        </w:rPr>
        <w:t>Report Case Study Urban Heights Hotel</w:t>
      </w:r>
    </w:p>
    <w:p w14:paraId="0CEFA8CC" w14:textId="77777777" w:rsidR="005C7CDC" w:rsidRDefault="005C7CDC">
      <w:pPr>
        <w:spacing w:line="360" w:lineRule="auto"/>
        <w:jc w:val="both"/>
        <w:rPr>
          <w:rFonts w:ascii="Arial" w:eastAsia="Arial" w:hAnsi="Arial" w:cs="Arial"/>
          <w:b/>
          <w:sz w:val="36"/>
          <w:szCs w:val="36"/>
        </w:rPr>
      </w:pPr>
    </w:p>
    <w:p w14:paraId="612B4AA9" w14:textId="77777777" w:rsidR="005C7CDC" w:rsidRDefault="005C7CDC">
      <w:pPr>
        <w:spacing w:line="360" w:lineRule="auto"/>
        <w:jc w:val="both"/>
        <w:rPr>
          <w:rFonts w:ascii="Arial" w:eastAsia="Arial" w:hAnsi="Arial" w:cs="Arial"/>
          <w:b/>
          <w:sz w:val="36"/>
          <w:szCs w:val="36"/>
        </w:rPr>
      </w:pPr>
    </w:p>
    <w:p w14:paraId="54DC2A35" w14:textId="77777777" w:rsidR="005C7CDC" w:rsidRDefault="00000000">
      <w:pPr>
        <w:spacing w:line="360" w:lineRule="auto"/>
        <w:jc w:val="both"/>
        <w:rPr>
          <w:rFonts w:ascii="Arial" w:eastAsia="Arial" w:hAnsi="Arial" w:cs="Arial"/>
          <w:b/>
          <w:sz w:val="36"/>
          <w:szCs w:val="36"/>
        </w:rPr>
      </w:pPr>
      <w:r>
        <w:rPr>
          <w:rFonts w:ascii="Arial" w:eastAsia="Arial" w:hAnsi="Arial" w:cs="Arial"/>
          <w:b/>
          <w:sz w:val="36"/>
          <w:szCs w:val="36"/>
        </w:rPr>
        <w:t>Mihaela Bumb 2232072</w:t>
      </w:r>
    </w:p>
    <w:p w14:paraId="1D4C13EA" w14:textId="77777777" w:rsidR="005C7CDC" w:rsidRDefault="00000000">
      <w:pPr>
        <w:spacing w:line="360" w:lineRule="auto"/>
        <w:jc w:val="both"/>
        <w:rPr>
          <w:rFonts w:ascii="Arial" w:eastAsia="Arial" w:hAnsi="Arial" w:cs="Arial"/>
          <w:b/>
          <w:sz w:val="24"/>
          <w:szCs w:val="24"/>
        </w:rPr>
      </w:pPr>
      <w:r>
        <w:br w:type="page"/>
      </w:r>
    </w:p>
    <w:p w14:paraId="0AA4B7A0" w14:textId="77777777" w:rsidR="005C7CDC" w:rsidRDefault="005C7CDC">
      <w:pPr>
        <w:spacing w:line="360" w:lineRule="auto"/>
        <w:jc w:val="both"/>
        <w:rPr>
          <w:rFonts w:ascii="Arial" w:eastAsia="Arial" w:hAnsi="Arial" w:cs="Arial"/>
          <w:b/>
          <w:sz w:val="24"/>
          <w:szCs w:val="24"/>
        </w:rPr>
      </w:pPr>
    </w:p>
    <w:p w14:paraId="6C2530C4" w14:textId="77777777" w:rsidR="005C7CDC" w:rsidRDefault="005C7CDC">
      <w:pPr>
        <w:spacing w:line="360" w:lineRule="auto"/>
        <w:jc w:val="both"/>
        <w:rPr>
          <w:rFonts w:ascii="Arial" w:eastAsia="Arial" w:hAnsi="Arial" w:cs="Arial"/>
          <w:b/>
          <w:sz w:val="24"/>
          <w:szCs w:val="24"/>
        </w:rPr>
      </w:pPr>
    </w:p>
    <w:p w14:paraId="69CCBF85"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Executive Summary</w:t>
      </w:r>
    </w:p>
    <w:p w14:paraId="6EDC35F1"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Urban Heights Hotel has faced significant financial difficulties over the past three years, characterized by a decrease in revenue from £2,500,000 in 2021 to £1,800,000 in 2023 and an increase in operating expenses from £1,800,000 to £2,300,000. These trends are influenced by broader patterns in the hospitality sector, such as heightened competition from alternative accommodation platforms like Airbnb and reduced consumer expenditure due to economic uncertainty. The hotel has struggled with maintaining high occupancy rates and customer satisfaction due to ineffective marketing strategies, inconsistent service quality, and high staff turnover. External factors, including Brexit, inflation, and changing aviation regulations, have further exacerbated these issues. This report proposes a comprehensive turnaround strategy focusing on optimizing the use of the hotel's bar and event areas, improving service quality, and reducing operational costs through energy-efficient technologies and enhanced procurement processes. Implementing these measures is projected to improve operational efficiency, increase revenue by £247,000, reduce costs by £50,000, and achieve a net income of £197,000 in 2024.</w:t>
      </w:r>
    </w:p>
    <w:p w14:paraId="110E5C95" w14:textId="77777777" w:rsidR="005C7CDC" w:rsidRDefault="005C7CDC">
      <w:pPr>
        <w:spacing w:line="360" w:lineRule="auto"/>
        <w:jc w:val="both"/>
        <w:rPr>
          <w:rFonts w:ascii="Arial" w:eastAsia="Arial" w:hAnsi="Arial" w:cs="Arial"/>
          <w:sz w:val="24"/>
          <w:szCs w:val="24"/>
        </w:rPr>
      </w:pPr>
    </w:p>
    <w:p w14:paraId="6F0287AF" w14:textId="77777777" w:rsidR="005C7CDC" w:rsidRDefault="005C7CDC">
      <w:pPr>
        <w:spacing w:line="360" w:lineRule="auto"/>
        <w:jc w:val="both"/>
        <w:rPr>
          <w:rFonts w:ascii="Arial" w:eastAsia="Arial" w:hAnsi="Arial" w:cs="Arial"/>
          <w:sz w:val="24"/>
          <w:szCs w:val="24"/>
        </w:rPr>
      </w:pPr>
    </w:p>
    <w:p w14:paraId="4F1C3052" w14:textId="77777777" w:rsidR="005C7CDC" w:rsidRDefault="005C7CDC">
      <w:pPr>
        <w:spacing w:line="360" w:lineRule="auto"/>
        <w:jc w:val="both"/>
        <w:rPr>
          <w:rFonts w:ascii="Arial" w:eastAsia="Arial" w:hAnsi="Arial" w:cs="Arial"/>
          <w:sz w:val="24"/>
          <w:szCs w:val="24"/>
        </w:rPr>
      </w:pPr>
    </w:p>
    <w:p w14:paraId="07769B6D" w14:textId="77777777" w:rsidR="005C7CDC" w:rsidRDefault="005C7CDC">
      <w:pPr>
        <w:spacing w:line="360" w:lineRule="auto"/>
        <w:jc w:val="both"/>
        <w:rPr>
          <w:rFonts w:ascii="Arial" w:eastAsia="Arial" w:hAnsi="Arial" w:cs="Arial"/>
          <w:sz w:val="24"/>
          <w:szCs w:val="24"/>
        </w:rPr>
      </w:pPr>
    </w:p>
    <w:p w14:paraId="6C354BB5" w14:textId="77777777" w:rsidR="005C7CDC" w:rsidRDefault="005C7CDC">
      <w:pPr>
        <w:spacing w:line="360" w:lineRule="auto"/>
        <w:jc w:val="both"/>
        <w:rPr>
          <w:rFonts w:ascii="Arial" w:eastAsia="Arial" w:hAnsi="Arial" w:cs="Arial"/>
          <w:sz w:val="24"/>
          <w:szCs w:val="24"/>
        </w:rPr>
      </w:pPr>
    </w:p>
    <w:p w14:paraId="53A657E9" w14:textId="77777777" w:rsidR="005C7CDC" w:rsidRDefault="005C7CDC">
      <w:pPr>
        <w:spacing w:line="360" w:lineRule="auto"/>
        <w:jc w:val="both"/>
        <w:rPr>
          <w:rFonts w:ascii="Arial" w:eastAsia="Arial" w:hAnsi="Arial" w:cs="Arial"/>
          <w:sz w:val="24"/>
          <w:szCs w:val="24"/>
        </w:rPr>
      </w:pPr>
    </w:p>
    <w:p w14:paraId="2F877AE9" w14:textId="77777777" w:rsidR="005C7CDC" w:rsidRDefault="005C7CDC">
      <w:pPr>
        <w:spacing w:line="360" w:lineRule="auto"/>
        <w:jc w:val="both"/>
        <w:rPr>
          <w:rFonts w:ascii="Arial" w:eastAsia="Arial" w:hAnsi="Arial" w:cs="Arial"/>
          <w:sz w:val="24"/>
          <w:szCs w:val="24"/>
        </w:rPr>
      </w:pPr>
    </w:p>
    <w:p w14:paraId="7B82FA62" w14:textId="77777777" w:rsidR="005C7CDC" w:rsidRDefault="005C7CDC">
      <w:pPr>
        <w:spacing w:line="360" w:lineRule="auto"/>
        <w:jc w:val="both"/>
        <w:rPr>
          <w:rFonts w:ascii="Arial" w:eastAsia="Arial" w:hAnsi="Arial" w:cs="Arial"/>
          <w:sz w:val="24"/>
          <w:szCs w:val="24"/>
        </w:rPr>
      </w:pPr>
    </w:p>
    <w:p w14:paraId="6ACC7537" w14:textId="77777777" w:rsidR="005C7CDC" w:rsidRDefault="005C7CDC">
      <w:pPr>
        <w:spacing w:line="360" w:lineRule="auto"/>
        <w:jc w:val="both"/>
        <w:rPr>
          <w:rFonts w:ascii="Arial" w:eastAsia="Arial" w:hAnsi="Arial" w:cs="Arial"/>
          <w:sz w:val="24"/>
          <w:szCs w:val="24"/>
        </w:rPr>
      </w:pPr>
    </w:p>
    <w:p w14:paraId="40B9A34F" w14:textId="77777777" w:rsidR="005C7CDC" w:rsidRDefault="005C7CDC">
      <w:pPr>
        <w:spacing w:line="360" w:lineRule="auto"/>
        <w:jc w:val="both"/>
        <w:rPr>
          <w:rFonts w:ascii="Arial" w:eastAsia="Arial" w:hAnsi="Arial" w:cs="Arial"/>
          <w:b/>
          <w:sz w:val="24"/>
          <w:szCs w:val="24"/>
        </w:rPr>
      </w:pPr>
    </w:p>
    <w:p w14:paraId="2CBAEFEF" w14:textId="77777777" w:rsidR="005C7CDC" w:rsidRDefault="005C7CDC">
      <w:pPr>
        <w:spacing w:line="360" w:lineRule="auto"/>
        <w:jc w:val="both"/>
        <w:rPr>
          <w:rFonts w:ascii="Arial" w:eastAsia="Arial" w:hAnsi="Arial" w:cs="Arial"/>
          <w:b/>
          <w:sz w:val="24"/>
          <w:szCs w:val="24"/>
        </w:rPr>
      </w:pPr>
    </w:p>
    <w:p w14:paraId="1A935C53"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Table of Contents</w:t>
      </w:r>
    </w:p>
    <w:p w14:paraId="22498DFB" w14:textId="77777777" w:rsidR="005C7CDC" w:rsidRDefault="00000000">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sz w:val="24"/>
          <w:szCs w:val="24"/>
        </w:rPr>
        <w:t>1.</w:t>
      </w:r>
      <w:r>
        <w:rPr>
          <w:rFonts w:ascii="Arial" w:eastAsia="Arial" w:hAnsi="Arial" w:cs="Arial"/>
          <w:color w:val="000000"/>
          <w:sz w:val="24"/>
          <w:szCs w:val="24"/>
        </w:rPr>
        <w:t>Executive Summary</w:t>
      </w:r>
    </w:p>
    <w:p w14:paraId="7AD8A801" w14:textId="77777777" w:rsidR="005C7CDC" w:rsidRDefault="00000000">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sz w:val="24"/>
          <w:szCs w:val="24"/>
        </w:rPr>
        <w:t>2.</w:t>
      </w:r>
      <w:r>
        <w:rPr>
          <w:rFonts w:ascii="Arial" w:eastAsia="Arial" w:hAnsi="Arial" w:cs="Arial"/>
          <w:color w:val="000000"/>
          <w:sz w:val="24"/>
          <w:szCs w:val="24"/>
        </w:rPr>
        <w:t>Introduction</w:t>
      </w:r>
    </w:p>
    <w:p w14:paraId="64B215B0" w14:textId="77777777" w:rsidR="005C7CDC" w:rsidRDefault="00000000">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sz w:val="24"/>
          <w:szCs w:val="24"/>
        </w:rPr>
        <w:t>3.</w:t>
      </w:r>
      <w:r>
        <w:rPr>
          <w:rFonts w:ascii="Arial" w:eastAsia="Arial" w:hAnsi="Arial" w:cs="Arial"/>
          <w:color w:val="000000"/>
          <w:sz w:val="24"/>
          <w:szCs w:val="24"/>
        </w:rPr>
        <w:t>Financial Performance Analysis</w:t>
      </w:r>
    </w:p>
    <w:p w14:paraId="1EF6ED5C" w14:textId="77777777" w:rsidR="005C7CDC" w:rsidRDefault="00000000">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sz w:val="24"/>
          <w:szCs w:val="24"/>
        </w:rPr>
        <w:t>4.</w:t>
      </w:r>
      <w:r>
        <w:rPr>
          <w:rFonts w:ascii="Arial" w:eastAsia="Arial" w:hAnsi="Arial" w:cs="Arial"/>
          <w:color w:val="000000"/>
          <w:sz w:val="24"/>
          <w:szCs w:val="24"/>
        </w:rPr>
        <w:t>Identifying the Causes of Decline</w:t>
      </w:r>
    </w:p>
    <w:p w14:paraId="01FCB5E5" w14:textId="77777777" w:rsidR="005C7CDC" w:rsidRDefault="00000000">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sz w:val="24"/>
          <w:szCs w:val="24"/>
        </w:rPr>
        <w:t>5.</w:t>
      </w:r>
      <w:r>
        <w:rPr>
          <w:rFonts w:ascii="Arial" w:eastAsia="Arial" w:hAnsi="Arial" w:cs="Arial"/>
          <w:color w:val="000000"/>
          <w:sz w:val="24"/>
          <w:szCs w:val="24"/>
        </w:rPr>
        <w:t>Turnaround Strategy Development</w:t>
      </w:r>
    </w:p>
    <w:p w14:paraId="56DAD301" w14:textId="77777777" w:rsidR="005C7CDC" w:rsidRDefault="00000000">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sz w:val="24"/>
          <w:szCs w:val="24"/>
        </w:rPr>
        <w:t>6.</w:t>
      </w:r>
      <w:r>
        <w:rPr>
          <w:rFonts w:ascii="Arial" w:eastAsia="Arial" w:hAnsi="Arial" w:cs="Arial"/>
          <w:color w:val="000000"/>
          <w:sz w:val="24"/>
          <w:szCs w:val="24"/>
        </w:rPr>
        <w:t>Conclusion</w:t>
      </w:r>
    </w:p>
    <w:p w14:paraId="23DDABC7" w14:textId="77777777" w:rsidR="005C7CDC" w:rsidRDefault="00000000">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sz w:val="24"/>
          <w:szCs w:val="24"/>
        </w:rPr>
        <w:t>7.</w:t>
      </w:r>
      <w:r>
        <w:rPr>
          <w:rFonts w:ascii="Arial" w:eastAsia="Arial" w:hAnsi="Arial" w:cs="Arial"/>
          <w:color w:val="000000"/>
          <w:sz w:val="24"/>
          <w:szCs w:val="24"/>
        </w:rPr>
        <w:t>References</w:t>
      </w:r>
    </w:p>
    <w:p w14:paraId="0A13B6AE" w14:textId="77777777" w:rsidR="005C7CDC" w:rsidRDefault="005C7CDC">
      <w:pPr>
        <w:spacing w:line="360" w:lineRule="auto"/>
        <w:jc w:val="both"/>
        <w:rPr>
          <w:rFonts w:ascii="Arial" w:eastAsia="Arial" w:hAnsi="Arial" w:cs="Arial"/>
          <w:sz w:val="24"/>
          <w:szCs w:val="24"/>
        </w:rPr>
      </w:pPr>
    </w:p>
    <w:p w14:paraId="3153EC55" w14:textId="77777777" w:rsidR="005C7CDC" w:rsidRDefault="005C7CDC">
      <w:pPr>
        <w:spacing w:line="360" w:lineRule="auto"/>
        <w:jc w:val="both"/>
        <w:rPr>
          <w:rFonts w:ascii="Arial" w:eastAsia="Arial" w:hAnsi="Arial" w:cs="Arial"/>
          <w:sz w:val="24"/>
          <w:szCs w:val="24"/>
        </w:rPr>
      </w:pPr>
    </w:p>
    <w:p w14:paraId="7B9E386A" w14:textId="77777777" w:rsidR="005C7CDC" w:rsidRDefault="005C7CDC">
      <w:pPr>
        <w:spacing w:line="360" w:lineRule="auto"/>
        <w:jc w:val="both"/>
        <w:rPr>
          <w:rFonts w:ascii="Arial" w:eastAsia="Arial" w:hAnsi="Arial" w:cs="Arial"/>
          <w:sz w:val="24"/>
          <w:szCs w:val="24"/>
        </w:rPr>
      </w:pPr>
    </w:p>
    <w:p w14:paraId="7FE73BE8" w14:textId="77777777" w:rsidR="005C7CDC" w:rsidRDefault="005C7CDC">
      <w:pPr>
        <w:spacing w:line="360" w:lineRule="auto"/>
        <w:jc w:val="both"/>
        <w:rPr>
          <w:rFonts w:ascii="Arial" w:eastAsia="Arial" w:hAnsi="Arial" w:cs="Arial"/>
          <w:sz w:val="24"/>
          <w:szCs w:val="24"/>
        </w:rPr>
      </w:pPr>
    </w:p>
    <w:p w14:paraId="64F227CB" w14:textId="77777777" w:rsidR="005C7CDC" w:rsidRDefault="005C7CDC">
      <w:pPr>
        <w:spacing w:line="360" w:lineRule="auto"/>
        <w:jc w:val="both"/>
        <w:rPr>
          <w:rFonts w:ascii="Arial" w:eastAsia="Arial" w:hAnsi="Arial" w:cs="Arial"/>
          <w:sz w:val="24"/>
          <w:szCs w:val="24"/>
        </w:rPr>
      </w:pPr>
    </w:p>
    <w:p w14:paraId="38ED81F8" w14:textId="77777777" w:rsidR="005C7CDC" w:rsidRDefault="005C7CDC">
      <w:pPr>
        <w:spacing w:line="360" w:lineRule="auto"/>
        <w:jc w:val="both"/>
        <w:rPr>
          <w:rFonts w:ascii="Arial" w:eastAsia="Arial" w:hAnsi="Arial" w:cs="Arial"/>
          <w:sz w:val="24"/>
          <w:szCs w:val="24"/>
        </w:rPr>
      </w:pPr>
    </w:p>
    <w:p w14:paraId="0A9FDE2A" w14:textId="77777777" w:rsidR="005C7CDC" w:rsidRDefault="005C7CDC">
      <w:pPr>
        <w:spacing w:line="360" w:lineRule="auto"/>
        <w:jc w:val="both"/>
        <w:rPr>
          <w:rFonts w:ascii="Arial" w:eastAsia="Arial" w:hAnsi="Arial" w:cs="Arial"/>
          <w:sz w:val="24"/>
          <w:szCs w:val="24"/>
        </w:rPr>
      </w:pPr>
    </w:p>
    <w:p w14:paraId="321AA748" w14:textId="77777777" w:rsidR="005C7CDC" w:rsidRDefault="005C7CDC">
      <w:pPr>
        <w:spacing w:line="360" w:lineRule="auto"/>
        <w:jc w:val="both"/>
        <w:rPr>
          <w:rFonts w:ascii="Arial" w:eastAsia="Arial" w:hAnsi="Arial" w:cs="Arial"/>
          <w:sz w:val="24"/>
          <w:szCs w:val="24"/>
        </w:rPr>
      </w:pPr>
    </w:p>
    <w:p w14:paraId="43904D92" w14:textId="77777777" w:rsidR="005C7CDC" w:rsidRDefault="005C7CDC">
      <w:pPr>
        <w:spacing w:line="360" w:lineRule="auto"/>
        <w:jc w:val="both"/>
        <w:rPr>
          <w:rFonts w:ascii="Arial" w:eastAsia="Arial" w:hAnsi="Arial" w:cs="Arial"/>
          <w:sz w:val="24"/>
          <w:szCs w:val="24"/>
        </w:rPr>
      </w:pPr>
    </w:p>
    <w:p w14:paraId="11FCC0C5" w14:textId="77777777" w:rsidR="005C7CDC" w:rsidRDefault="005C7CDC">
      <w:pPr>
        <w:spacing w:line="360" w:lineRule="auto"/>
        <w:jc w:val="both"/>
        <w:rPr>
          <w:rFonts w:ascii="Arial" w:eastAsia="Arial" w:hAnsi="Arial" w:cs="Arial"/>
          <w:sz w:val="24"/>
          <w:szCs w:val="24"/>
        </w:rPr>
      </w:pPr>
    </w:p>
    <w:p w14:paraId="287BFA2B" w14:textId="77777777" w:rsidR="005C7CDC" w:rsidRDefault="005C7CDC">
      <w:pPr>
        <w:spacing w:line="360" w:lineRule="auto"/>
        <w:jc w:val="both"/>
        <w:rPr>
          <w:rFonts w:ascii="Arial" w:eastAsia="Arial" w:hAnsi="Arial" w:cs="Arial"/>
          <w:sz w:val="24"/>
          <w:szCs w:val="24"/>
        </w:rPr>
      </w:pPr>
    </w:p>
    <w:p w14:paraId="37390ABB" w14:textId="77777777" w:rsidR="005C7CDC" w:rsidRDefault="005C7CDC">
      <w:pPr>
        <w:spacing w:line="360" w:lineRule="auto"/>
        <w:jc w:val="both"/>
        <w:rPr>
          <w:rFonts w:ascii="Arial" w:eastAsia="Arial" w:hAnsi="Arial" w:cs="Arial"/>
          <w:sz w:val="24"/>
          <w:szCs w:val="24"/>
        </w:rPr>
      </w:pPr>
    </w:p>
    <w:p w14:paraId="225D69DF" w14:textId="77777777" w:rsidR="005C7CDC" w:rsidRDefault="005C7CDC">
      <w:pPr>
        <w:spacing w:line="360" w:lineRule="auto"/>
        <w:jc w:val="both"/>
        <w:rPr>
          <w:rFonts w:ascii="Arial" w:eastAsia="Arial" w:hAnsi="Arial" w:cs="Arial"/>
          <w:sz w:val="24"/>
          <w:szCs w:val="24"/>
        </w:rPr>
      </w:pPr>
    </w:p>
    <w:p w14:paraId="74B363DB" w14:textId="77777777" w:rsidR="005C7CDC" w:rsidRDefault="005C7CDC">
      <w:pPr>
        <w:spacing w:line="360" w:lineRule="auto"/>
        <w:jc w:val="both"/>
        <w:rPr>
          <w:rFonts w:ascii="Arial" w:eastAsia="Arial" w:hAnsi="Arial" w:cs="Arial"/>
          <w:sz w:val="24"/>
          <w:szCs w:val="24"/>
        </w:rPr>
      </w:pPr>
    </w:p>
    <w:p w14:paraId="210AAC37" w14:textId="77777777" w:rsidR="005C7CDC" w:rsidRDefault="005C7CDC">
      <w:pPr>
        <w:spacing w:line="360" w:lineRule="auto"/>
        <w:jc w:val="both"/>
        <w:rPr>
          <w:rFonts w:ascii="Arial" w:eastAsia="Arial" w:hAnsi="Arial" w:cs="Arial"/>
          <w:sz w:val="24"/>
          <w:szCs w:val="24"/>
        </w:rPr>
      </w:pPr>
    </w:p>
    <w:p w14:paraId="317D83F0" w14:textId="77777777" w:rsidR="005C7CDC" w:rsidRDefault="005C7CDC">
      <w:pPr>
        <w:spacing w:line="360" w:lineRule="auto"/>
        <w:jc w:val="both"/>
        <w:rPr>
          <w:rFonts w:ascii="Arial" w:eastAsia="Arial" w:hAnsi="Arial" w:cs="Arial"/>
          <w:sz w:val="24"/>
          <w:szCs w:val="24"/>
        </w:rPr>
      </w:pPr>
    </w:p>
    <w:p w14:paraId="373B4C61"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Introduction</w:t>
      </w:r>
    </w:p>
    <w:p w14:paraId="78EDF5EF"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The purpose of this report is to analyse the financial difficulties faced by Urban Heights Hotel over the past three years and propose a comprehensive recovery plan. The hotel's profitability has been negatively impacted by declining income, rising operational costs, and greater competition from alternative accommodation platforms. This analysis examines the hotel's financial standing, identifies the main internal and external causes of its decline, and suggests strategies for recovery. By focusing on improved facility usage, cost-cutting measures, and innovative marketing activities, Urban Heights Hotel can enhance operational efficiency, increase revenue, and regain its competitive edge in the market.</w:t>
      </w:r>
    </w:p>
    <w:p w14:paraId="5C00C3B7" w14:textId="77777777" w:rsidR="005C7CDC" w:rsidRDefault="005C7CDC">
      <w:pPr>
        <w:spacing w:line="360" w:lineRule="auto"/>
        <w:jc w:val="both"/>
        <w:rPr>
          <w:rFonts w:ascii="Arial" w:eastAsia="Arial" w:hAnsi="Arial" w:cs="Arial"/>
          <w:b/>
          <w:sz w:val="24"/>
          <w:szCs w:val="24"/>
        </w:rPr>
      </w:pPr>
    </w:p>
    <w:p w14:paraId="246120EB"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Financial Performance Analysis</w:t>
      </w:r>
    </w:p>
    <w:p w14:paraId="3D389E41"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Income Statement Analysis</w:t>
      </w:r>
      <w:r>
        <w:rPr>
          <w:noProof/>
        </w:rPr>
        <w:drawing>
          <wp:anchor distT="0" distB="0" distL="114300" distR="114300" simplePos="0" relativeHeight="251658240" behindDoc="0" locked="0" layoutInCell="1" hidden="0" allowOverlap="1" wp14:anchorId="0160A3DA" wp14:editId="737AA268">
            <wp:simplePos x="0" y="0"/>
            <wp:positionH relativeFrom="column">
              <wp:posOffset>1</wp:posOffset>
            </wp:positionH>
            <wp:positionV relativeFrom="paragraph">
              <wp:posOffset>363220</wp:posOffset>
            </wp:positionV>
            <wp:extent cx="4067801" cy="1841145"/>
            <wp:effectExtent l="0" t="0" r="0" b="0"/>
            <wp:wrapSquare wrapText="bothSides" distT="0" distB="0" distL="114300" distR="114300"/>
            <wp:docPr id="97685486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067801" cy="1841145"/>
                    </a:xfrm>
                    <a:prstGeom prst="rect">
                      <a:avLst/>
                    </a:prstGeom>
                    <a:ln/>
                  </pic:spPr>
                </pic:pic>
              </a:graphicData>
            </a:graphic>
          </wp:anchor>
        </w:drawing>
      </w:r>
    </w:p>
    <w:p w14:paraId="401BF702"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Over the last three years, Urban Heights Hotel has experienced a significant decline in financial performance, reflecting broader trends in the hospitality sector. Revenue has decreased from £2,500,000 in 2021 to £1,800,000 in 2023, primarily due to reduced consumer spending and lower occupancy rates. This trend is exacerbated by growing competition from alternative accommodation platforms like Airbnb (Guttentag, 2015). Operating expenses have risen from £1,800,000 to £2,300,000 over the same period, largely due to increased salaries and utility costs (Chen, 2010). As a result, net income has significantly decreased, highlighting the combined impact of declining revenue and rising expense. This aligns with the concerns Chathoth (2007) raised about the hotel industry's financial crisis.</w:t>
      </w:r>
    </w:p>
    <w:p w14:paraId="0BDFE7F0"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Profitability Ratios:</w:t>
      </w:r>
      <w:r>
        <w:rPr>
          <w:rFonts w:ascii="Arial" w:eastAsia="Arial" w:hAnsi="Arial" w:cs="Arial"/>
          <w:sz w:val="24"/>
          <w:szCs w:val="24"/>
        </w:rPr>
        <w:t xml:space="preserve"> The sharp decline in the net profit margin indicates inefficiency and inadequate cost control. Studies by Yenidogan et al. (2021) emphasize the importance of effective cost control in maintaining profitability amidst declining revenues. Additionally, the decreasing profitability reflects broader market conditions, including economic downturns and rising operating expenses (Pizam, 2009).</w:t>
      </w:r>
      <w:r>
        <w:rPr>
          <w:noProof/>
        </w:rPr>
        <w:drawing>
          <wp:anchor distT="0" distB="0" distL="114300" distR="114300" simplePos="0" relativeHeight="251659264" behindDoc="0" locked="0" layoutInCell="1" hidden="0" allowOverlap="1" wp14:anchorId="42B5632C" wp14:editId="43AA69DF">
            <wp:simplePos x="0" y="0"/>
            <wp:positionH relativeFrom="column">
              <wp:posOffset>1</wp:posOffset>
            </wp:positionH>
            <wp:positionV relativeFrom="paragraph">
              <wp:posOffset>0</wp:posOffset>
            </wp:positionV>
            <wp:extent cx="4399612" cy="2107754"/>
            <wp:effectExtent l="0" t="0" r="0" b="0"/>
            <wp:wrapSquare wrapText="bothSides" distT="0" distB="0" distL="114300" distR="114300"/>
            <wp:docPr id="976854862" name="image3.png" descr="A graph with red and purple lin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graph with red and purple lines&#10;&#10;Description automatically generated"/>
                    <pic:cNvPicPr preferRelativeResize="0"/>
                  </pic:nvPicPr>
                  <pic:blipFill>
                    <a:blip r:embed="rId9"/>
                    <a:srcRect/>
                    <a:stretch>
                      <a:fillRect/>
                    </a:stretch>
                  </pic:blipFill>
                  <pic:spPr>
                    <a:xfrm>
                      <a:off x="0" y="0"/>
                      <a:ext cx="4399612" cy="2107754"/>
                    </a:xfrm>
                    <a:prstGeom prst="rect">
                      <a:avLst/>
                    </a:prstGeom>
                    <a:ln/>
                  </pic:spPr>
                </pic:pic>
              </a:graphicData>
            </a:graphic>
          </wp:anchor>
        </w:drawing>
      </w:r>
    </w:p>
    <w:p w14:paraId="27D19E5B"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Balance Sheet Analysis</w:t>
      </w:r>
    </w:p>
    <w:p w14:paraId="2FB4DD6E"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According to the balance sheet, the total assets of the Urban Heights Hotel decreased from £5,450,000 in 2021 to £4,680,000 in 2023. According to Baum (2002), the primary cause of this decline is the depreciation of property and equipment, which is a typical issue in the hotel industry. What makes the hotel's financial problems worse is the minor increase in total liabilities from £3,250,000 to £3,300,000. The present scenario aligns with the research conducted by Guiding (2002), which revealed that a hotel's financial stability might be compromised by rising debt levels, particularly in the absence of asset expansion.</w:t>
      </w:r>
    </w:p>
    <w:p w14:paraId="489F8CAB"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Liquidity Ratios:</w:t>
      </w:r>
      <w:r>
        <w:rPr>
          <w:rFonts w:ascii="Arial" w:eastAsia="Arial" w:hAnsi="Arial" w:cs="Arial"/>
          <w:sz w:val="24"/>
          <w:szCs w:val="24"/>
        </w:rPr>
        <w:t xml:space="preserve"> The decline in the current ratio suggests that short-term assets are not being used to meet short-term commitments. The decrease in liquidity is significant because it indicates possible problems with cash flow, which often precede financial difficulties in the hospitality sector (Mullins, 2014). This is consistent with the research done by Diamond and Kashyap (2016), which highlighted how crucial it is to keep adequate liquidity levels to guarantee operational stability.</w:t>
      </w:r>
    </w:p>
    <w:p w14:paraId="2BE44F71"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Solvency Ratios:</w:t>
      </w:r>
      <w:r>
        <w:rPr>
          <w:rFonts w:ascii="Arial" w:eastAsia="Arial" w:hAnsi="Arial" w:cs="Arial"/>
          <w:sz w:val="24"/>
          <w:szCs w:val="24"/>
        </w:rPr>
        <w:t xml:space="preserve"> The increase in the debt-to-equity ratio indicates heightened financial risk and leverage. The hotel's growing reliance on debt to fund operations can be problematic, particularly in a declining market, as indicated by the rising debt-to-equity ratio (Altman, 1968). López-Gracia and Sogorb-Mira's (2008) studies support this conclusion, highlighting the risks associated with high financial leverage under unstable economic conditions.</w:t>
      </w:r>
    </w:p>
    <w:p w14:paraId="70C87B4A" w14:textId="77777777" w:rsidR="005C7CDC" w:rsidRDefault="005C7CDC">
      <w:pPr>
        <w:spacing w:line="360" w:lineRule="auto"/>
        <w:jc w:val="both"/>
        <w:rPr>
          <w:rFonts w:ascii="Arial" w:eastAsia="Arial" w:hAnsi="Arial" w:cs="Arial"/>
          <w:sz w:val="24"/>
          <w:szCs w:val="24"/>
        </w:rPr>
      </w:pPr>
    </w:p>
    <w:p w14:paraId="562EAC89"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Identifying the Causes of Decline</w:t>
      </w:r>
    </w:p>
    <w:p w14:paraId="579DD7EA"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Internal Factors</w:t>
      </w:r>
    </w:p>
    <w:p w14:paraId="5D71052C"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Occupancy Rates:</w:t>
      </w:r>
      <w:r>
        <w:rPr>
          <w:rFonts w:ascii="Arial" w:eastAsia="Arial" w:hAnsi="Arial" w:cs="Arial"/>
          <w:sz w:val="24"/>
          <w:szCs w:val="24"/>
        </w:rPr>
        <w:t xml:space="preserve"> The occupancy rates of the Urban Heights Hotel have decreased, a serious problem hurting the hotel's overall financial performance. There are several reasons why occupancy rates are declining, including ineffective marketing plans, heightened competition, and subpar customer support. Chen (2010) asserts that maintaining competitive pricing and implementing efficient marketing strategies are essential to preserving high occupancy rates. However, the Urban Heights Hotel has had trouble in these regions, which has caused a drop in reservations. Furthermore, the emergence of substitute lodging platforms such as Airbnb has escalated competition, consequently diminishing the hotel's market share (Guttentag, 2015).</w:t>
      </w:r>
    </w:p>
    <w:p w14:paraId="53E048AB"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Customer Satisfaction:</w:t>
      </w:r>
      <w:r>
        <w:rPr>
          <w:rFonts w:ascii="Arial" w:eastAsia="Arial" w:hAnsi="Arial" w:cs="Arial"/>
          <w:sz w:val="24"/>
          <w:szCs w:val="24"/>
        </w:rPr>
        <w:t xml:space="preserve"> Customer satisfaction is a crucial factor influencing new customer acquisition and repeat business (Abdullaeva, 2020). Decreased client satisfaction has significantly contributed to the decline in occupancy rates. Cavaliere et al. (2021) emphasize the impact of employee behavior, service quality, and overall customer experience on customer satisfaction in the hospitality sector. Poor service quality and inadequate staff training have hindered the hotel's ability to maintain high levels of client satisfaction. Rane et al. (2023) suggest that well-trained staff providing excellent customer service can significantly enhance client retention and satisfaction. The hotel's high staff turnover rate and insufficient training programs have negatively impacted service delivery, affecting guest experiences. Additionally, the hotel's services and facilities may not meet modern visitor expectations, further contributing to customer dissatisfaction.</w:t>
      </w:r>
    </w:p>
    <w:p w14:paraId="5E50A03C" w14:textId="77777777" w:rsidR="005C7CDC" w:rsidRDefault="005C7CDC">
      <w:pPr>
        <w:spacing w:line="360" w:lineRule="auto"/>
        <w:jc w:val="both"/>
        <w:rPr>
          <w:rFonts w:ascii="Arial" w:eastAsia="Arial" w:hAnsi="Arial" w:cs="Arial"/>
          <w:sz w:val="24"/>
          <w:szCs w:val="24"/>
        </w:rPr>
      </w:pPr>
    </w:p>
    <w:p w14:paraId="56200F03"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External Factors (PESTLE Analysis)</w:t>
      </w:r>
    </w:p>
    <w:p w14:paraId="26ECD18A"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Political Factors</w:t>
      </w:r>
    </w:p>
    <w:p w14:paraId="662F60BD"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Brexit:</w:t>
      </w:r>
      <w:r>
        <w:rPr>
          <w:rFonts w:ascii="Arial" w:eastAsia="Arial" w:hAnsi="Arial" w:cs="Arial"/>
          <w:sz w:val="24"/>
          <w:szCs w:val="24"/>
        </w:rPr>
        <w:t xml:space="preserve"> The UK hotel industry, which includes the Urban Heights Hotel, has been greatly hit by Brexit. Due to increasing visa requirements and travel restrictions, foreign visitors—especially those from the European Union—have experienced a decline in tourism due to the unpredictability surrounding Brexit (Coles, 2021). These new restrictions have lessened the UK's appeal as a travel destination, which has led to a drop in foreign travellers—who historically make up a sizable percentage of hotel patrons. According to studies, visa restrictions and people's perceptions of difficulty travelling can discourage travellers, lowering hotel occupancy rates (Gössling, Scott, &amp; Hall, 2020).</w:t>
      </w:r>
    </w:p>
    <w:p w14:paraId="429F290C"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Economic Factors</w:t>
      </w:r>
    </w:p>
    <w:p w14:paraId="6EF68AE5"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Inflation:</w:t>
      </w:r>
      <w:r>
        <w:rPr>
          <w:rFonts w:ascii="Arial" w:eastAsia="Arial" w:hAnsi="Arial" w:cs="Arial"/>
          <w:sz w:val="24"/>
          <w:szCs w:val="24"/>
        </w:rPr>
        <w:t xml:space="preserve"> Wages, supplies, utilities, and other products and services cost more when there is inflation. Inflation-driven increases in operational costs for the Urban Heights Hotel may put pressure on profit margins and force an increase in room prices to stay profitable, which may turn away budget-conscious visitors. Additionally, inflationary pressures decrease consumers' disposable income, which limits their capacity to spend on upscale experiences and travel (López-Gracia &amp; Sogorb-Mira, 2019).</w:t>
      </w:r>
    </w:p>
    <w:p w14:paraId="033B75B8"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Social Factors</w:t>
      </w:r>
    </w:p>
    <w:p w14:paraId="1B1FD782"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Demographic Changes:</w:t>
      </w:r>
      <w:r>
        <w:rPr>
          <w:rFonts w:ascii="Arial" w:eastAsia="Arial" w:hAnsi="Arial" w:cs="Arial"/>
          <w:sz w:val="24"/>
          <w:szCs w:val="24"/>
        </w:rPr>
        <w:t xml:space="preserve"> Changes in demographics, including an ageing population and an increase in millennial tourists, impact customer expectations and market demand. While millennials are drawn to adventure, experiences worthy of social media, and sustainability, older travellers can place more value on comfort and accessibility (Glover &amp; Prideaux, 2009). Urban Heights Hotel must comprehend these demographic patterns to appropriately customise its offerings and marketing plans.</w:t>
      </w:r>
    </w:p>
    <w:p w14:paraId="2F9B4A88"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Technological Factors</w:t>
      </w:r>
    </w:p>
    <w:p w14:paraId="738705A4"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Rise of Digital Platforms:</w:t>
      </w:r>
      <w:r>
        <w:rPr>
          <w:rFonts w:ascii="Arial" w:eastAsia="Arial" w:hAnsi="Arial" w:cs="Arial"/>
          <w:sz w:val="24"/>
          <w:szCs w:val="24"/>
        </w:rPr>
        <w:t xml:space="preserve"> Pricing power and consumer acquisition techniques have changed due to the dominance of online travel agencies (OTAs), review sites, and booking platforms. Negative comments discourage prospective visitors, whereas positive evaluations and prominent placement on these platforms can greatly increase bookings (Kim et al., 2015). The Urban Heights Hotel needs to take charge of its web presence and use these channels to attract new clients.</w:t>
      </w:r>
    </w:p>
    <w:p w14:paraId="1DF0544C"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Legal Factors</w:t>
      </w:r>
    </w:p>
    <w:p w14:paraId="27DEBADB"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Aviation Regulations:</w:t>
      </w:r>
      <w:r>
        <w:rPr>
          <w:rFonts w:ascii="Arial" w:eastAsia="Arial" w:hAnsi="Arial" w:cs="Arial"/>
          <w:sz w:val="24"/>
          <w:szCs w:val="24"/>
        </w:rPr>
        <w:t xml:space="preserve"> Changes in aviation policy, such as new airline regulations and flying limits, impact domestic and foreign tourist arrivals. If travel demand declines, hotel occupancy rates may be affected by these restrictions (Coles, 2021). To offset probable visitor number drops, Urban Heights Hotel must consider these things when developing its strategic plan.</w:t>
      </w:r>
    </w:p>
    <w:p w14:paraId="26B335D5" w14:textId="77777777" w:rsidR="005C7CDC" w:rsidRDefault="005C7CDC">
      <w:pPr>
        <w:spacing w:line="360" w:lineRule="auto"/>
        <w:jc w:val="both"/>
        <w:rPr>
          <w:rFonts w:ascii="Arial" w:eastAsia="Arial" w:hAnsi="Arial" w:cs="Arial"/>
          <w:b/>
          <w:sz w:val="24"/>
          <w:szCs w:val="24"/>
        </w:rPr>
      </w:pPr>
    </w:p>
    <w:p w14:paraId="4424F0CA"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Environmental Factors</w:t>
      </w:r>
    </w:p>
    <w:p w14:paraId="58364900"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Sustainability Practices:</w:t>
      </w:r>
      <w:r>
        <w:rPr>
          <w:rFonts w:ascii="Arial" w:eastAsia="Arial" w:hAnsi="Arial" w:cs="Arial"/>
          <w:sz w:val="24"/>
          <w:szCs w:val="24"/>
        </w:rPr>
        <w:t xml:space="preserve"> The hospitality industry is seeing a rise in demand for environmentally friendly and sustainable practices like reducing waste, using less energy, and sourcing local goods. According to Han et al. (2018), guests are more likely to select hotels that are dedicated to environmental sustainability. The Urban Heights Hotel should include sustainable practices to draw in eco-aware tourists.</w:t>
      </w:r>
    </w:p>
    <w:p w14:paraId="359B7A1D"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Environmental Policies:</w:t>
      </w:r>
      <w:r>
        <w:rPr>
          <w:rFonts w:ascii="Arial" w:eastAsia="Arial" w:hAnsi="Arial" w:cs="Arial"/>
          <w:sz w:val="24"/>
          <w:szCs w:val="24"/>
        </w:rPr>
        <w:t xml:space="preserve"> The hospitality industry must confront the effects of climate change and adhere to environmental standards. Extreme weather events and shifting climatic patterns can impact operational stability and tourism flows (Scott, Hall, &amp; Gössling, 2019). The Urban Heights Hotel needs to devise plans to lessen these dangers and ensure it can withstand environmental difficulties.</w:t>
      </w:r>
    </w:p>
    <w:p w14:paraId="28A880B4" w14:textId="77777777" w:rsidR="005C7CDC" w:rsidRDefault="005C7CDC">
      <w:pPr>
        <w:spacing w:line="360" w:lineRule="auto"/>
        <w:jc w:val="both"/>
        <w:rPr>
          <w:rFonts w:ascii="Arial" w:eastAsia="Arial" w:hAnsi="Arial" w:cs="Arial"/>
          <w:sz w:val="24"/>
          <w:szCs w:val="24"/>
        </w:rPr>
      </w:pPr>
    </w:p>
    <w:p w14:paraId="635E4EE2"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Conclusion</w:t>
      </w:r>
    </w:p>
    <w:p w14:paraId="3405179B"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A fall in client satisfaction, a decline in occupancy rates, and greater competition from platforms such as Airbnb are the reasons behind the financial downturn of the Urban Heights Hotel. Addressing internal problems through enhanced service quality, staff training, and better marketing methods is imperative. Furthermore, strategic changes are needed to mitigate external concerns, including the effects of Brexit, inflation, and demographic trends. The hotel's financial situation can be further stabilised using digital platforms and energy-efficient procedures. The Urban Heights Hotel can boost income, improve operational efficiency, and restore its competitive edge in the hospitality sector by implementing these all-inclusive turnaround tactics.</w:t>
      </w:r>
    </w:p>
    <w:p w14:paraId="4267778A" w14:textId="77777777" w:rsidR="005C7CDC" w:rsidRDefault="005C7CDC">
      <w:pPr>
        <w:spacing w:line="360" w:lineRule="auto"/>
        <w:jc w:val="both"/>
        <w:rPr>
          <w:rFonts w:ascii="Arial" w:eastAsia="Arial" w:hAnsi="Arial" w:cs="Arial"/>
          <w:b/>
          <w:sz w:val="24"/>
          <w:szCs w:val="24"/>
        </w:rPr>
      </w:pPr>
    </w:p>
    <w:p w14:paraId="1661C7FF"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Turnaround Strategy Development</w:t>
      </w:r>
    </w:p>
    <w:p w14:paraId="40423377"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Urban Heights Hotel needs a focus on operational improvements and financial stability to revive. This strategy emphasises optimising facility use and lowering operational expenses, supported by realistic financial projections.</w:t>
      </w:r>
    </w:p>
    <w:p w14:paraId="46BD2E0D"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Enhanced Utilization of Facilities</w:t>
      </w:r>
    </w:p>
    <w:p w14:paraId="629C900C"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Utilisation of the Bar and Restaurant:</w:t>
      </w:r>
      <w:r>
        <w:rPr>
          <w:rFonts w:ascii="Arial" w:eastAsia="Arial" w:hAnsi="Arial" w:cs="Arial"/>
          <w:sz w:val="24"/>
          <w:szCs w:val="24"/>
        </w:rPr>
        <w:t xml:space="preserve"> Maximizing the potential of the hotel's bar and restaurant can result in significant revenue.</w:t>
      </w:r>
    </w:p>
    <w:p w14:paraId="2B4F08B5" w14:textId="77777777" w:rsidR="005C7CDC" w:rsidRDefault="00000000">
      <w:pPr>
        <w:numPr>
          <w:ilvl w:val="0"/>
          <w:numId w:val="3"/>
        </w:numPr>
        <w:spacing w:line="360" w:lineRule="auto"/>
        <w:jc w:val="both"/>
        <w:rPr>
          <w:rFonts w:ascii="Arial" w:eastAsia="Arial" w:hAnsi="Arial" w:cs="Arial"/>
          <w:sz w:val="24"/>
          <w:szCs w:val="24"/>
        </w:rPr>
      </w:pPr>
      <w:r>
        <w:rPr>
          <w:rFonts w:ascii="Arial" w:eastAsia="Arial" w:hAnsi="Arial" w:cs="Arial"/>
          <w:b/>
          <w:sz w:val="24"/>
          <w:szCs w:val="24"/>
        </w:rPr>
        <w:t>Themed Nights and Special Events:</w:t>
      </w:r>
    </w:p>
    <w:p w14:paraId="120DD442" w14:textId="77777777" w:rsidR="005C7CDC" w:rsidRDefault="00000000">
      <w:pPr>
        <w:numPr>
          <w:ilvl w:val="1"/>
          <w:numId w:val="3"/>
        </w:numPr>
        <w:spacing w:line="360" w:lineRule="auto"/>
        <w:jc w:val="both"/>
        <w:rPr>
          <w:rFonts w:ascii="Arial" w:eastAsia="Arial" w:hAnsi="Arial" w:cs="Arial"/>
          <w:sz w:val="24"/>
          <w:szCs w:val="24"/>
        </w:rPr>
      </w:pPr>
      <w:r>
        <w:rPr>
          <w:rFonts w:ascii="Arial" w:eastAsia="Arial" w:hAnsi="Arial" w:cs="Arial"/>
          <w:b/>
          <w:sz w:val="24"/>
          <w:szCs w:val="24"/>
        </w:rPr>
        <w:t>Implementation:</w:t>
      </w:r>
      <w:r>
        <w:rPr>
          <w:rFonts w:ascii="Arial" w:eastAsia="Arial" w:hAnsi="Arial" w:cs="Arial"/>
          <w:sz w:val="24"/>
          <w:szCs w:val="24"/>
        </w:rPr>
        <w:t xml:space="preserve"> To attract a diverse range of customers, host themed nights such as live music, quiz contests, and wine tastings.</w:t>
      </w:r>
    </w:p>
    <w:p w14:paraId="3794ACE9" w14:textId="77777777" w:rsidR="005C7CDC" w:rsidRDefault="00000000">
      <w:pPr>
        <w:numPr>
          <w:ilvl w:val="1"/>
          <w:numId w:val="3"/>
        </w:numPr>
        <w:spacing w:line="360" w:lineRule="auto"/>
        <w:jc w:val="both"/>
        <w:rPr>
          <w:rFonts w:ascii="Arial" w:eastAsia="Arial" w:hAnsi="Arial" w:cs="Arial"/>
          <w:sz w:val="24"/>
          <w:szCs w:val="24"/>
        </w:rPr>
      </w:pPr>
      <w:r>
        <w:rPr>
          <w:rFonts w:ascii="Arial" w:eastAsia="Arial" w:hAnsi="Arial" w:cs="Arial"/>
          <w:sz w:val="24"/>
          <w:szCs w:val="24"/>
        </w:rPr>
        <w:t>Collaboration with local musicians and beverage suppliers can result in one-of-a-kind experiences. For example, every Friday, a "Jazz and Cocktails" event that includes live jazz and speciality cocktails is held.</w:t>
      </w:r>
    </w:p>
    <w:p w14:paraId="5DBA44AE" w14:textId="77777777" w:rsidR="005C7CDC" w:rsidRDefault="00000000">
      <w:pPr>
        <w:numPr>
          <w:ilvl w:val="1"/>
          <w:numId w:val="3"/>
        </w:numPr>
        <w:spacing w:line="360" w:lineRule="auto"/>
        <w:jc w:val="both"/>
        <w:rPr>
          <w:rFonts w:ascii="Arial" w:eastAsia="Arial" w:hAnsi="Arial" w:cs="Arial"/>
          <w:sz w:val="24"/>
          <w:szCs w:val="24"/>
        </w:rPr>
      </w:pPr>
      <w:r>
        <w:rPr>
          <w:rFonts w:ascii="Arial" w:eastAsia="Arial" w:hAnsi="Arial" w:cs="Arial"/>
          <w:b/>
          <w:sz w:val="24"/>
          <w:szCs w:val="24"/>
        </w:rPr>
        <w:t>Financial Projection:</w:t>
      </w:r>
      <w:r>
        <w:rPr>
          <w:rFonts w:ascii="Arial" w:eastAsia="Arial" w:hAnsi="Arial" w:cs="Arial"/>
          <w:sz w:val="24"/>
          <w:szCs w:val="24"/>
        </w:rPr>
        <w:t xml:space="preserve"> Assuming an average increase of 50 customers, each event spending £20 apiece and 52 events per year, the additional annual revenue may be: 50 patrons×£20 each×52 events=£52,000 annually50 patrons×£20 each×52 events=£52,000 annually</w:t>
      </w:r>
    </w:p>
    <w:p w14:paraId="4DE99F7A"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This strategy addresses declining occupancy rates and poor customer satisfaction by attracting a diverse range of customers through unique experiences and effective marketing, as Kim et al. (2015) argue that engaging events marketed via social media can significantly improve hotel performance.</w:t>
      </w:r>
    </w:p>
    <w:p w14:paraId="1697E41D" w14:textId="77777777" w:rsidR="005C7CDC" w:rsidRDefault="00000000">
      <w:pPr>
        <w:numPr>
          <w:ilvl w:val="0"/>
          <w:numId w:val="3"/>
        </w:numPr>
        <w:spacing w:line="360" w:lineRule="auto"/>
        <w:jc w:val="both"/>
        <w:rPr>
          <w:rFonts w:ascii="Arial" w:eastAsia="Arial" w:hAnsi="Arial" w:cs="Arial"/>
          <w:sz w:val="24"/>
          <w:szCs w:val="24"/>
        </w:rPr>
      </w:pPr>
      <w:r>
        <w:rPr>
          <w:rFonts w:ascii="Arial" w:eastAsia="Arial" w:hAnsi="Arial" w:cs="Arial"/>
          <w:b/>
          <w:sz w:val="24"/>
          <w:szCs w:val="24"/>
        </w:rPr>
        <w:t>Happy Hour and Seasonal Promotions:</w:t>
      </w:r>
    </w:p>
    <w:p w14:paraId="5C16E960" w14:textId="77777777" w:rsidR="005C7CDC" w:rsidRDefault="00000000">
      <w:pPr>
        <w:numPr>
          <w:ilvl w:val="1"/>
          <w:numId w:val="3"/>
        </w:numPr>
        <w:spacing w:line="360" w:lineRule="auto"/>
        <w:jc w:val="both"/>
        <w:rPr>
          <w:rFonts w:ascii="Arial" w:eastAsia="Arial" w:hAnsi="Arial" w:cs="Arial"/>
          <w:sz w:val="24"/>
          <w:szCs w:val="24"/>
        </w:rPr>
      </w:pPr>
      <w:r>
        <w:rPr>
          <w:rFonts w:ascii="Arial" w:eastAsia="Arial" w:hAnsi="Arial" w:cs="Arial"/>
          <w:b/>
          <w:sz w:val="24"/>
          <w:szCs w:val="24"/>
        </w:rPr>
        <w:t>Implementation:</w:t>
      </w:r>
      <w:r>
        <w:rPr>
          <w:rFonts w:ascii="Arial" w:eastAsia="Arial" w:hAnsi="Arial" w:cs="Arial"/>
          <w:sz w:val="24"/>
          <w:szCs w:val="24"/>
        </w:rPr>
        <w:t xml:space="preserve"> Use happy hour discounts and seasonal promotions to boost foot traffic during off-peak hours.</w:t>
      </w:r>
    </w:p>
    <w:p w14:paraId="7603F498" w14:textId="77777777" w:rsidR="005C7CDC" w:rsidRDefault="00000000">
      <w:pPr>
        <w:numPr>
          <w:ilvl w:val="1"/>
          <w:numId w:val="3"/>
        </w:numPr>
        <w:spacing w:line="360" w:lineRule="auto"/>
        <w:jc w:val="both"/>
        <w:rPr>
          <w:rFonts w:ascii="Arial" w:eastAsia="Arial" w:hAnsi="Arial" w:cs="Arial"/>
          <w:sz w:val="24"/>
          <w:szCs w:val="24"/>
        </w:rPr>
      </w:pPr>
      <w:r>
        <w:rPr>
          <w:rFonts w:ascii="Arial" w:eastAsia="Arial" w:hAnsi="Arial" w:cs="Arial"/>
          <w:sz w:val="24"/>
          <w:szCs w:val="24"/>
        </w:rPr>
        <w:t>Between 4 and 7 p.m., offer discounted drink and appetizer rates, as well as seasonal menu items. For example, consider the "Summer Sizzle" offer, which includes summer-themed beverages and light nibbles.</w:t>
      </w:r>
    </w:p>
    <w:p w14:paraId="10CB5A91" w14:textId="77777777" w:rsidR="005C7CDC" w:rsidRDefault="00000000">
      <w:pPr>
        <w:numPr>
          <w:ilvl w:val="1"/>
          <w:numId w:val="3"/>
        </w:numPr>
        <w:spacing w:line="360" w:lineRule="auto"/>
        <w:jc w:val="both"/>
        <w:rPr>
          <w:rFonts w:ascii="Arial" w:eastAsia="Arial" w:hAnsi="Arial" w:cs="Arial"/>
          <w:sz w:val="24"/>
          <w:szCs w:val="24"/>
        </w:rPr>
      </w:pPr>
      <w:r>
        <w:rPr>
          <w:rFonts w:ascii="Arial" w:eastAsia="Arial" w:hAnsi="Arial" w:cs="Arial"/>
          <w:b/>
          <w:sz w:val="24"/>
          <w:szCs w:val="24"/>
        </w:rPr>
        <w:t>Financial Projection:</w:t>
      </w:r>
      <w:r>
        <w:rPr>
          <w:rFonts w:ascii="Arial" w:eastAsia="Arial" w:hAnsi="Arial" w:cs="Arial"/>
          <w:sz w:val="24"/>
          <w:szCs w:val="24"/>
        </w:rPr>
        <w:t xml:space="preserve"> Assuming an increase of 30 patrons per day spending £10 each over 250 operational days, the additional annual revenue may be: 30 patrons×£10 each×250 days=£75,000 annually30 patrons×£10 each×250 days=£75,000 annually</w:t>
      </w:r>
    </w:p>
    <w:p w14:paraId="645E1D27"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These promotions aim to increase foot traffic during off-peak hours and improve revenue, aligning with Pizam's (2009) assertion that targeted promotions and seasonal products can enhance revenue and the guest experience.</w:t>
      </w:r>
    </w:p>
    <w:p w14:paraId="09914F04"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Maximising Event Space Utilization:</w:t>
      </w:r>
    </w:p>
    <w:p w14:paraId="26910ADF" w14:textId="77777777" w:rsidR="005C7CDC" w:rsidRDefault="00000000">
      <w:pPr>
        <w:numPr>
          <w:ilvl w:val="0"/>
          <w:numId w:val="4"/>
        </w:numPr>
        <w:spacing w:line="360" w:lineRule="auto"/>
        <w:jc w:val="both"/>
        <w:rPr>
          <w:rFonts w:ascii="Arial" w:eastAsia="Arial" w:hAnsi="Arial" w:cs="Arial"/>
          <w:sz w:val="24"/>
          <w:szCs w:val="24"/>
        </w:rPr>
      </w:pPr>
      <w:r>
        <w:rPr>
          <w:rFonts w:ascii="Arial" w:eastAsia="Arial" w:hAnsi="Arial" w:cs="Arial"/>
          <w:b/>
          <w:sz w:val="24"/>
          <w:szCs w:val="24"/>
        </w:rPr>
        <w:t>Corporate and Community Events:</w:t>
      </w:r>
    </w:p>
    <w:p w14:paraId="255ACC41" w14:textId="77777777" w:rsidR="005C7CDC" w:rsidRDefault="00000000">
      <w:pPr>
        <w:numPr>
          <w:ilvl w:val="1"/>
          <w:numId w:val="4"/>
        </w:numPr>
        <w:spacing w:line="360" w:lineRule="auto"/>
        <w:jc w:val="both"/>
        <w:rPr>
          <w:rFonts w:ascii="Arial" w:eastAsia="Arial" w:hAnsi="Arial" w:cs="Arial"/>
          <w:sz w:val="24"/>
          <w:szCs w:val="24"/>
        </w:rPr>
      </w:pPr>
      <w:r>
        <w:rPr>
          <w:rFonts w:ascii="Arial" w:eastAsia="Arial" w:hAnsi="Arial" w:cs="Arial"/>
          <w:b/>
          <w:sz w:val="24"/>
          <w:szCs w:val="24"/>
        </w:rPr>
        <w:t>Implementation:</w:t>
      </w:r>
      <w:r>
        <w:rPr>
          <w:rFonts w:ascii="Arial" w:eastAsia="Arial" w:hAnsi="Arial" w:cs="Arial"/>
          <w:sz w:val="24"/>
          <w:szCs w:val="24"/>
        </w:rPr>
        <w:t xml:space="preserve"> Promote the event space for meetings, seminars, and social events.</w:t>
      </w:r>
    </w:p>
    <w:p w14:paraId="275A98C8" w14:textId="77777777" w:rsidR="005C7CDC" w:rsidRDefault="00000000">
      <w:pPr>
        <w:numPr>
          <w:ilvl w:val="1"/>
          <w:numId w:val="4"/>
        </w:numPr>
        <w:spacing w:line="360" w:lineRule="auto"/>
        <w:jc w:val="both"/>
        <w:rPr>
          <w:rFonts w:ascii="Arial" w:eastAsia="Arial" w:hAnsi="Arial" w:cs="Arial"/>
          <w:sz w:val="24"/>
          <w:szCs w:val="24"/>
        </w:rPr>
      </w:pPr>
      <w:r>
        <w:rPr>
          <w:rFonts w:ascii="Arial" w:eastAsia="Arial" w:hAnsi="Arial" w:cs="Arial"/>
          <w:sz w:val="24"/>
          <w:szCs w:val="24"/>
        </w:rPr>
        <w:t>Provide competitive package options that include cuisine, audiovisual equipment, and event planning services. For example, you may hold monthly networking events and business conferences.</w:t>
      </w:r>
    </w:p>
    <w:p w14:paraId="59A3E8DA" w14:textId="77777777" w:rsidR="005C7CDC" w:rsidRDefault="00000000">
      <w:pPr>
        <w:numPr>
          <w:ilvl w:val="1"/>
          <w:numId w:val="4"/>
        </w:numPr>
        <w:spacing w:line="360" w:lineRule="auto"/>
        <w:jc w:val="both"/>
        <w:rPr>
          <w:rFonts w:ascii="Arial" w:eastAsia="Arial" w:hAnsi="Arial" w:cs="Arial"/>
          <w:sz w:val="24"/>
          <w:szCs w:val="24"/>
        </w:rPr>
      </w:pPr>
      <w:r>
        <w:rPr>
          <w:rFonts w:ascii="Arial" w:eastAsia="Arial" w:hAnsi="Arial" w:cs="Arial"/>
          <w:b/>
          <w:sz w:val="24"/>
          <w:szCs w:val="24"/>
        </w:rPr>
        <w:t>Financial Projection:</w:t>
      </w:r>
      <w:r>
        <w:rPr>
          <w:rFonts w:ascii="Arial" w:eastAsia="Arial" w:hAnsi="Arial" w:cs="Arial"/>
          <w:sz w:val="24"/>
          <w:szCs w:val="24"/>
        </w:rPr>
        <w:t xml:space="preserve"> Assuming 24 events per year and an average income of £2,500 per event, the extra annual revenue may be:</w:t>
      </w:r>
    </w:p>
    <w:p w14:paraId="0028D5E1"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24 events×£2,500 per event=£60,000 annually24 events×£2,500 per event=£60,000 annually</w:t>
      </w:r>
    </w:p>
    <w:p w14:paraId="39A1D4AE"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Promoting event spaces for meetings and seminars directly targets the underutilization of facilities, improving revenue and financial stability, as Jiang and Ritchie (2017) highlight the effectiveness of using unused assets to increase a hotel's revenue.</w:t>
      </w:r>
    </w:p>
    <w:p w14:paraId="1068FD0B" w14:textId="77777777" w:rsidR="005C7CDC" w:rsidRDefault="00000000">
      <w:pPr>
        <w:numPr>
          <w:ilvl w:val="0"/>
          <w:numId w:val="4"/>
        </w:numPr>
        <w:spacing w:line="360" w:lineRule="auto"/>
        <w:jc w:val="both"/>
        <w:rPr>
          <w:rFonts w:ascii="Arial" w:eastAsia="Arial" w:hAnsi="Arial" w:cs="Arial"/>
          <w:sz w:val="24"/>
          <w:szCs w:val="24"/>
        </w:rPr>
      </w:pPr>
      <w:r>
        <w:rPr>
          <w:rFonts w:ascii="Arial" w:eastAsia="Arial" w:hAnsi="Arial" w:cs="Arial"/>
          <w:b/>
          <w:sz w:val="24"/>
          <w:szCs w:val="24"/>
        </w:rPr>
        <w:t>Weddings and Private Parties:</w:t>
      </w:r>
    </w:p>
    <w:p w14:paraId="26C04B17" w14:textId="77777777" w:rsidR="005C7CDC" w:rsidRDefault="00000000">
      <w:pPr>
        <w:numPr>
          <w:ilvl w:val="1"/>
          <w:numId w:val="4"/>
        </w:numPr>
        <w:spacing w:line="360" w:lineRule="auto"/>
        <w:jc w:val="both"/>
        <w:rPr>
          <w:rFonts w:ascii="Arial" w:eastAsia="Arial" w:hAnsi="Arial" w:cs="Arial"/>
          <w:sz w:val="24"/>
          <w:szCs w:val="24"/>
        </w:rPr>
      </w:pPr>
      <w:r>
        <w:rPr>
          <w:rFonts w:ascii="Arial" w:eastAsia="Arial" w:hAnsi="Arial" w:cs="Arial"/>
          <w:b/>
          <w:sz w:val="24"/>
          <w:szCs w:val="24"/>
        </w:rPr>
        <w:t>Implementation:</w:t>
      </w:r>
      <w:r>
        <w:rPr>
          <w:rFonts w:ascii="Arial" w:eastAsia="Arial" w:hAnsi="Arial" w:cs="Arial"/>
          <w:sz w:val="24"/>
          <w:szCs w:val="24"/>
        </w:rPr>
        <w:t xml:space="preserve"> Promote the hotel as an ideal location for weddings and private parties.</w:t>
      </w:r>
    </w:p>
    <w:p w14:paraId="3A0D7EC2" w14:textId="77777777" w:rsidR="005C7CDC" w:rsidRDefault="00000000">
      <w:pPr>
        <w:numPr>
          <w:ilvl w:val="1"/>
          <w:numId w:val="4"/>
        </w:numPr>
        <w:spacing w:line="360" w:lineRule="auto"/>
        <w:jc w:val="both"/>
        <w:rPr>
          <w:rFonts w:ascii="Arial" w:eastAsia="Arial" w:hAnsi="Arial" w:cs="Arial"/>
          <w:sz w:val="24"/>
          <w:szCs w:val="24"/>
        </w:rPr>
      </w:pPr>
      <w:r>
        <w:rPr>
          <w:rFonts w:ascii="Arial" w:eastAsia="Arial" w:hAnsi="Arial" w:cs="Arial"/>
          <w:sz w:val="24"/>
          <w:szCs w:val="24"/>
        </w:rPr>
        <w:t>Create all-inclusive wedding packages. Promote them through wedding fairs and collaborations with local planners.</w:t>
      </w:r>
    </w:p>
    <w:p w14:paraId="32C4A44E" w14:textId="77777777" w:rsidR="005C7CDC" w:rsidRDefault="00000000">
      <w:pPr>
        <w:numPr>
          <w:ilvl w:val="1"/>
          <w:numId w:val="4"/>
        </w:numPr>
        <w:spacing w:line="360" w:lineRule="auto"/>
        <w:jc w:val="both"/>
        <w:rPr>
          <w:rFonts w:ascii="Arial" w:eastAsia="Arial" w:hAnsi="Arial" w:cs="Arial"/>
          <w:sz w:val="24"/>
          <w:szCs w:val="24"/>
        </w:rPr>
      </w:pPr>
      <w:r>
        <w:rPr>
          <w:rFonts w:ascii="Arial" w:eastAsia="Arial" w:hAnsi="Arial" w:cs="Arial"/>
          <w:b/>
          <w:sz w:val="24"/>
          <w:szCs w:val="24"/>
        </w:rPr>
        <w:t>Financial Projection:</w:t>
      </w:r>
      <w:r>
        <w:rPr>
          <w:rFonts w:ascii="Arial" w:eastAsia="Arial" w:hAnsi="Arial" w:cs="Arial"/>
          <w:sz w:val="24"/>
          <w:szCs w:val="24"/>
        </w:rPr>
        <w:t xml:space="preserve"> Assuming 12 weddings or private parties each year with an average revenue of £5,000 per event, the annual revenue increase may be: 12 events×£5,000 per event=£60,000 annually12 events×£5,000 per event=£60,000 annually</w:t>
      </w:r>
    </w:p>
    <w:p w14:paraId="3CE01748"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Offering competitive packages for weddings and private events can significantly boost revenue by leveraging existing assets more effectively, as Mody, Suess, and Lehto (2017) argue that comprehensive event packages can greatly increase revenue.</w:t>
      </w:r>
    </w:p>
    <w:p w14:paraId="7BEA01EA"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Cost Reduction Measures</w:t>
      </w:r>
    </w:p>
    <w:p w14:paraId="5B586943"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Energy Efficiency Improvements:</w:t>
      </w:r>
    </w:p>
    <w:p w14:paraId="69CB27E6" w14:textId="77777777" w:rsidR="005C7CDC" w:rsidRDefault="00000000">
      <w:pPr>
        <w:numPr>
          <w:ilvl w:val="0"/>
          <w:numId w:val="5"/>
        </w:numPr>
        <w:spacing w:line="360" w:lineRule="auto"/>
        <w:jc w:val="both"/>
        <w:rPr>
          <w:rFonts w:ascii="Arial" w:eastAsia="Arial" w:hAnsi="Arial" w:cs="Arial"/>
          <w:sz w:val="24"/>
          <w:szCs w:val="24"/>
        </w:rPr>
      </w:pPr>
      <w:r>
        <w:rPr>
          <w:rFonts w:ascii="Arial" w:eastAsia="Arial" w:hAnsi="Arial" w:cs="Arial"/>
          <w:b/>
          <w:sz w:val="24"/>
          <w:szCs w:val="24"/>
        </w:rPr>
        <w:t>Energy-Saving Technologies:</w:t>
      </w:r>
    </w:p>
    <w:p w14:paraId="31C6865C" w14:textId="77777777" w:rsidR="005C7CDC" w:rsidRDefault="00000000">
      <w:pPr>
        <w:numPr>
          <w:ilvl w:val="1"/>
          <w:numId w:val="5"/>
        </w:numPr>
        <w:spacing w:line="360" w:lineRule="auto"/>
        <w:jc w:val="both"/>
        <w:rPr>
          <w:rFonts w:ascii="Arial" w:eastAsia="Arial" w:hAnsi="Arial" w:cs="Arial"/>
          <w:sz w:val="24"/>
          <w:szCs w:val="24"/>
        </w:rPr>
      </w:pPr>
      <w:r>
        <w:rPr>
          <w:rFonts w:ascii="Arial" w:eastAsia="Arial" w:hAnsi="Arial" w:cs="Arial"/>
          <w:b/>
          <w:sz w:val="24"/>
          <w:szCs w:val="24"/>
        </w:rPr>
        <w:t>Implementation:</w:t>
      </w:r>
      <w:r>
        <w:rPr>
          <w:rFonts w:ascii="Arial" w:eastAsia="Arial" w:hAnsi="Arial" w:cs="Arial"/>
          <w:sz w:val="24"/>
          <w:szCs w:val="24"/>
        </w:rPr>
        <w:t xml:space="preserve"> Invest in energy-efficient devices to lower utility bills.</w:t>
      </w:r>
    </w:p>
    <w:p w14:paraId="281D4F2A" w14:textId="77777777" w:rsidR="005C7CDC" w:rsidRDefault="00000000">
      <w:pPr>
        <w:numPr>
          <w:ilvl w:val="1"/>
          <w:numId w:val="5"/>
        </w:numPr>
        <w:spacing w:line="360" w:lineRule="auto"/>
        <w:jc w:val="both"/>
        <w:rPr>
          <w:rFonts w:ascii="Arial" w:eastAsia="Arial" w:hAnsi="Arial" w:cs="Arial"/>
          <w:sz w:val="24"/>
          <w:szCs w:val="24"/>
        </w:rPr>
      </w:pPr>
      <w:r>
        <w:rPr>
          <w:rFonts w:ascii="Arial" w:eastAsia="Arial" w:hAnsi="Arial" w:cs="Arial"/>
          <w:sz w:val="24"/>
          <w:szCs w:val="24"/>
        </w:rPr>
        <w:t>Replace incandescent bulbs with LED lights, install smart thermostats, and switch to energy-efficient HVAC systems. Implement motion sensors to save electricity while regions are empty.</w:t>
      </w:r>
    </w:p>
    <w:p w14:paraId="0772CCA3" w14:textId="77777777" w:rsidR="005C7CDC" w:rsidRDefault="00000000">
      <w:pPr>
        <w:numPr>
          <w:ilvl w:val="1"/>
          <w:numId w:val="5"/>
        </w:numPr>
        <w:spacing w:line="360" w:lineRule="auto"/>
        <w:jc w:val="both"/>
        <w:rPr>
          <w:rFonts w:ascii="Arial" w:eastAsia="Arial" w:hAnsi="Arial" w:cs="Arial"/>
          <w:sz w:val="24"/>
          <w:szCs w:val="24"/>
        </w:rPr>
      </w:pPr>
      <w:r>
        <w:rPr>
          <w:rFonts w:ascii="Arial" w:eastAsia="Arial" w:hAnsi="Arial" w:cs="Arial"/>
          <w:b/>
          <w:sz w:val="24"/>
          <w:szCs w:val="24"/>
        </w:rPr>
        <w:t>Financial Projection:</w:t>
      </w:r>
      <w:r>
        <w:rPr>
          <w:rFonts w:ascii="Arial" w:eastAsia="Arial" w:hAnsi="Arial" w:cs="Arial"/>
          <w:sz w:val="24"/>
          <w:szCs w:val="24"/>
        </w:rPr>
        <w:t xml:space="preserve"> Assuming a 20% decrease in annual energy costs, and with current energy expenses of £100,000, the savings would be: £100,000×0.20=£20,000 annually£100,000×0.20=£20,000 annually</w:t>
      </w:r>
    </w:p>
    <w:p w14:paraId="5A213C8A"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According to Chathoth (2007), energy efficiency techniques can dramatically cut usage and result in significant cost savings. Investing in energy-efficient devices helps address rising operational costs by reducing utility expenses, directly targeting financial performance issues and enhancing cost control measures.</w:t>
      </w:r>
    </w:p>
    <w:p w14:paraId="481C643B" w14:textId="77777777" w:rsidR="005C7CDC" w:rsidRDefault="00000000">
      <w:pPr>
        <w:spacing w:line="360" w:lineRule="auto"/>
        <w:jc w:val="both"/>
        <w:rPr>
          <w:rFonts w:ascii="Arial" w:eastAsia="Arial" w:hAnsi="Arial" w:cs="Arial"/>
          <w:sz w:val="24"/>
          <w:szCs w:val="24"/>
        </w:rPr>
      </w:pPr>
      <w:r>
        <w:rPr>
          <w:rFonts w:ascii="Arial" w:eastAsia="Arial" w:hAnsi="Arial" w:cs="Arial"/>
          <w:b/>
          <w:sz w:val="24"/>
          <w:szCs w:val="24"/>
        </w:rPr>
        <w:t>Optimising Procurement and Inventory Management:</w:t>
      </w:r>
    </w:p>
    <w:p w14:paraId="043E0D12" w14:textId="77777777" w:rsidR="005C7CDC" w:rsidRDefault="00000000">
      <w:pPr>
        <w:numPr>
          <w:ilvl w:val="0"/>
          <w:numId w:val="1"/>
        </w:numPr>
        <w:spacing w:line="360" w:lineRule="auto"/>
        <w:jc w:val="both"/>
        <w:rPr>
          <w:rFonts w:ascii="Arial" w:eastAsia="Arial" w:hAnsi="Arial" w:cs="Arial"/>
          <w:sz w:val="24"/>
          <w:szCs w:val="24"/>
        </w:rPr>
      </w:pPr>
      <w:r>
        <w:rPr>
          <w:rFonts w:ascii="Arial" w:eastAsia="Arial" w:hAnsi="Arial" w:cs="Arial"/>
          <w:b/>
          <w:sz w:val="24"/>
          <w:szCs w:val="24"/>
        </w:rPr>
        <w:t>Supplier Negotiations and Bulk Purchasing:</w:t>
      </w:r>
    </w:p>
    <w:p w14:paraId="5B8812A6" w14:textId="77777777" w:rsidR="005C7CDC" w:rsidRDefault="00000000">
      <w:pPr>
        <w:numPr>
          <w:ilvl w:val="1"/>
          <w:numId w:val="1"/>
        </w:numPr>
        <w:spacing w:line="360" w:lineRule="auto"/>
        <w:jc w:val="both"/>
        <w:rPr>
          <w:rFonts w:ascii="Arial" w:eastAsia="Arial" w:hAnsi="Arial" w:cs="Arial"/>
          <w:sz w:val="24"/>
          <w:szCs w:val="24"/>
        </w:rPr>
      </w:pPr>
      <w:r>
        <w:rPr>
          <w:rFonts w:ascii="Arial" w:eastAsia="Arial" w:hAnsi="Arial" w:cs="Arial"/>
          <w:b/>
          <w:sz w:val="24"/>
          <w:szCs w:val="24"/>
        </w:rPr>
        <w:t>Implementation:</w:t>
      </w:r>
      <w:r>
        <w:rPr>
          <w:rFonts w:ascii="Arial" w:eastAsia="Arial" w:hAnsi="Arial" w:cs="Arial"/>
          <w:sz w:val="24"/>
          <w:szCs w:val="24"/>
        </w:rPr>
        <w:t xml:space="preserve"> Negotiate better arrangements with suppliers and benefit from bulk purchasing discounts.</w:t>
      </w:r>
    </w:p>
    <w:p w14:paraId="0E406378" w14:textId="77777777" w:rsidR="005C7CDC" w:rsidRDefault="00000000">
      <w:pPr>
        <w:numPr>
          <w:ilvl w:val="1"/>
          <w:numId w:val="1"/>
        </w:numPr>
        <w:spacing w:line="360" w:lineRule="auto"/>
        <w:jc w:val="both"/>
        <w:rPr>
          <w:rFonts w:ascii="Arial" w:eastAsia="Arial" w:hAnsi="Arial" w:cs="Arial"/>
          <w:sz w:val="24"/>
          <w:szCs w:val="24"/>
        </w:rPr>
      </w:pPr>
      <w:r>
        <w:rPr>
          <w:rFonts w:ascii="Arial" w:eastAsia="Arial" w:hAnsi="Arial" w:cs="Arial"/>
          <w:sz w:val="24"/>
          <w:szCs w:val="24"/>
        </w:rPr>
        <w:t>Review supplier contracts and sign bulk purchase agreements for regularly used commodities. Implement a just-in-time inventory system to reduce waste.</w:t>
      </w:r>
    </w:p>
    <w:p w14:paraId="57349B0E" w14:textId="77777777" w:rsidR="005C7CDC" w:rsidRDefault="00000000">
      <w:pPr>
        <w:numPr>
          <w:ilvl w:val="1"/>
          <w:numId w:val="1"/>
        </w:numPr>
        <w:spacing w:line="360" w:lineRule="auto"/>
        <w:jc w:val="both"/>
        <w:rPr>
          <w:rFonts w:ascii="Arial" w:eastAsia="Arial" w:hAnsi="Arial" w:cs="Arial"/>
          <w:sz w:val="24"/>
          <w:szCs w:val="24"/>
        </w:rPr>
      </w:pPr>
      <w:r>
        <w:rPr>
          <w:rFonts w:ascii="Arial" w:eastAsia="Arial" w:hAnsi="Arial" w:cs="Arial"/>
          <w:b/>
          <w:sz w:val="24"/>
          <w:szCs w:val="24"/>
        </w:rPr>
        <w:t>Financial Projection:</w:t>
      </w:r>
      <w:r>
        <w:rPr>
          <w:rFonts w:ascii="Arial" w:eastAsia="Arial" w:hAnsi="Arial" w:cs="Arial"/>
          <w:sz w:val="24"/>
          <w:szCs w:val="24"/>
        </w:rPr>
        <w:t xml:space="preserve"> Assuming a 10% decrease in procurement costs and current annual procurement expenses of £300,000, the savings would be:</w:t>
      </w:r>
    </w:p>
    <w:p w14:paraId="182D4539" w14:textId="77777777" w:rsidR="005C7CDC" w:rsidRDefault="00000000">
      <w:pPr>
        <w:spacing w:line="360" w:lineRule="auto"/>
        <w:ind w:left="1440"/>
        <w:jc w:val="both"/>
        <w:rPr>
          <w:rFonts w:ascii="Arial" w:eastAsia="Arial" w:hAnsi="Arial" w:cs="Arial"/>
          <w:sz w:val="24"/>
          <w:szCs w:val="24"/>
        </w:rPr>
      </w:pPr>
      <w:r>
        <w:rPr>
          <w:rFonts w:ascii="Arial" w:eastAsia="Arial" w:hAnsi="Arial" w:cs="Arial"/>
          <w:sz w:val="24"/>
          <w:szCs w:val="24"/>
        </w:rPr>
        <w:t>£300,000×0.10=£30,000 annually£300,000×0.10=£30,000 annually</w:t>
      </w:r>
    </w:p>
    <w:p w14:paraId="1BC56D15"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Negotiating better deals with suppliers and benefiting from bulk purchasing discounts directly addresses high operating expenses, improving cost efficiency and financial stability. Mullins (2014) asserts that effective procurement and inventory management can result in significant cost savings and increased operational efficiency.</w:t>
      </w:r>
    </w:p>
    <w:p w14:paraId="7FF67C24" w14:textId="77777777" w:rsidR="005C7CDC" w:rsidRDefault="00000000">
      <w:pPr>
        <w:spacing w:line="360" w:lineRule="auto"/>
        <w:jc w:val="both"/>
        <w:rPr>
          <w:rFonts w:ascii="Arial" w:eastAsia="Arial" w:hAnsi="Arial" w:cs="Arial"/>
          <w:sz w:val="24"/>
          <w:szCs w:val="24"/>
        </w:rPr>
      </w:pPr>
      <w:r>
        <w:rPr>
          <w:rFonts w:ascii="Arial" w:eastAsia="Arial" w:hAnsi="Arial" w:cs="Arial"/>
          <w:sz w:val="24"/>
          <w:szCs w:val="24"/>
        </w:rPr>
        <w:t>These thorough and specific solutions can help Urban Heights Hotel decrease costs and increase revenue by better employing its amenities. These changes will boost financial stability and make the business more appealing and efficient.</w:t>
      </w:r>
    </w:p>
    <w:p w14:paraId="2E057627" w14:textId="77777777" w:rsidR="005C7CDC" w:rsidRDefault="00000000">
      <w:pPr>
        <w:spacing w:line="360" w:lineRule="auto"/>
        <w:jc w:val="both"/>
        <w:rPr>
          <w:rFonts w:ascii="Arial" w:eastAsia="Arial" w:hAnsi="Arial" w:cs="Arial"/>
          <w:b/>
          <w:sz w:val="24"/>
          <w:szCs w:val="24"/>
        </w:rPr>
      </w:pPr>
      <w:r>
        <w:rPr>
          <w:rFonts w:ascii="Arial" w:eastAsia="Arial" w:hAnsi="Arial" w:cs="Arial"/>
          <w:b/>
          <w:sz w:val="24"/>
          <w:szCs w:val="24"/>
        </w:rPr>
        <w:t>Urban Heights Hotel Turnover expectation</w:t>
      </w:r>
    </w:p>
    <w:p w14:paraId="2292806D" w14:textId="77777777" w:rsidR="005C7CDC" w:rsidRDefault="00000000">
      <w:pPr>
        <w:spacing w:line="360" w:lineRule="auto"/>
        <w:jc w:val="both"/>
      </w:pPr>
      <w:r>
        <w:rPr>
          <w:rFonts w:ascii="Arial" w:eastAsia="Arial" w:hAnsi="Arial" w:cs="Arial"/>
          <w:sz w:val="24"/>
          <w:szCs w:val="24"/>
        </w:rPr>
        <w:t>Urban Heights Hotel's revival boosts 2024 finances. Increased bar, restaurant, and event room use is predicted to improve revenue by £247,000 to £2,047,000 from £1,800,000 in 2023. Better procurement and energy efficiency save £50,000, cutting operational costs to £2,250,000 from £2,300,000. Thus, net income rises to £197,000 from the £500,000 loss in 2023. Such adjustments indicate a successful shift to profitability</w:t>
      </w:r>
      <w:r>
        <w:rPr>
          <w:noProof/>
        </w:rPr>
        <w:drawing>
          <wp:anchor distT="0" distB="0" distL="114300" distR="114300" simplePos="0" relativeHeight="251660288" behindDoc="0" locked="0" layoutInCell="1" hidden="0" allowOverlap="1" wp14:anchorId="7BAC7683" wp14:editId="224B6C03">
            <wp:simplePos x="0" y="0"/>
            <wp:positionH relativeFrom="column">
              <wp:posOffset>-76199</wp:posOffset>
            </wp:positionH>
            <wp:positionV relativeFrom="paragraph">
              <wp:posOffset>127000</wp:posOffset>
            </wp:positionV>
            <wp:extent cx="3419475" cy="2388235"/>
            <wp:effectExtent l="0" t="0" r="0" b="0"/>
            <wp:wrapSquare wrapText="bothSides" distT="0" distB="0" distL="114300" distR="114300"/>
            <wp:docPr id="97685486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419475" cy="2388235"/>
                    </a:xfrm>
                    <a:prstGeom prst="rect">
                      <a:avLst/>
                    </a:prstGeom>
                    <a:ln/>
                  </pic:spPr>
                </pic:pic>
              </a:graphicData>
            </a:graphic>
          </wp:anchor>
        </w:drawing>
      </w:r>
    </w:p>
    <w:p w14:paraId="6955894C" w14:textId="77777777" w:rsidR="005C7CDC" w:rsidRDefault="005C7CDC">
      <w:pPr>
        <w:rPr>
          <w:rFonts w:ascii="Arial" w:eastAsia="Arial" w:hAnsi="Arial" w:cs="Arial"/>
          <w:b/>
          <w:sz w:val="24"/>
          <w:szCs w:val="24"/>
        </w:rPr>
      </w:pPr>
    </w:p>
    <w:p w14:paraId="11810F30" w14:textId="77777777" w:rsidR="005C7CDC" w:rsidRDefault="005C7CDC">
      <w:pPr>
        <w:rPr>
          <w:rFonts w:ascii="Arial" w:eastAsia="Arial" w:hAnsi="Arial" w:cs="Arial"/>
          <w:b/>
          <w:sz w:val="24"/>
          <w:szCs w:val="24"/>
        </w:rPr>
      </w:pPr>
    </w:p>
    <w:p w14:paraId="1F307177" w14:textId="77777777" w:rsidR="005C7CDC" w:rsidRDefault="005C7CDC">
      <w:pPr>
        <w:rPr>
          <w:rFonts w:ascii="Arial" w:eastAsia="Arial" w:hAnsi="Arial" w:cs="Arial"/>
          <w:b/>
          <w:sz w:val="24"/>
          <w:szCs w:val="24"/>
        </w:rPr>
      </w:pPr>
    </w:p>
    <w:p w14:paraId="207DB195" w14:textId="77777777" w:rsidR="005C7CDC" w:rsidRDefault="005C7CDC">
      <w:pPr>
        <w:rPr>
          <w:rFonts w:ascii="Arial" w:eastAsia="Arial" w:hAnsi="Arial" w:cs="Arial"/>
          <w:b/>
          <w:sz w:val="24"/>
          <w:szCs w:val="24"/>
        </w:rPr>
      </w:pPr>
    </w:p>
    <w:p w14:paraId="11126252" w14:textId="77777777" w:rsidR="005C7CDC" w:rsidRDefault="005C7CDC">
      <w:pPr>
        <w:rPr>
          <w:rFonts w:ascii="Arial" w:eastAsia="Arial" w:hAnsi="Arial" w:cs="Arial"/>
          <w:b/>
          <w:sz w:val="24"/>
          <w:szCs w:val="24"/>
        </w:rPr>
      </w:pPr>
    </w:p>
    <w:p w14:paraId="09529851" w14:textId="77777777" w:rsidR="005C7CDC" w:rsidRDefault="005C7CDC">
      <w:pPr>
        <w:rPr>
          <w:rFonts w:ascii="Arial" w:eastAsia="Arial" w:hAnsi="Arial" w:cs="Arial"/>
          <w:b/>
          <w:sz w:val="24"/>
          <w:szCs w:val="24"/>
        </w:rPr>
      </w:pPr>
    </w:p>
    <w:p w14:paraId="40AA1B91" w14:textId="77777777" w:rsidR="005C7CDC" w:rsidRDefault="005C7CDC">
      <w:pPr>
        <w:rPr>
          <w:rFonts w:ascii="Arial" w:eastAsia="Arial" w:hAnsi="Arial" w:cs="Arial"/>
          <w:b/>
          <w:sz w:val="24"/>
          <w:szCs w:val="24"/>
        </w:rPr>
      </w:pPr>
    </w:p>
    <w:p w14:paraId="58F04FBC" w14:textId="77777777" w:rsidR="005C7CDC" w:rsidRDefault="005C7CDC">
      <w:pPr>
        <w:rPr>
          <w:rFonts w:ascii="Arial" w:eastAsia="Arial" w:hAnsi="Arial" w:cs="Arial"/>
          <w:b/>
          <w:sz w:val="24"/>
          <w:szCs w:val="24"/>
        </w:rPr>
      </w:pPr>
    </w:p>
    <w:p w14:paraId="162FB2C5" w14:textId="77777777" w:rsidR="005C7CDC" w:rsidRDefault="005C7CDC">
      <w:pPr>
        <w:rPr>
          <w:rFonts w:ascii="Arial" w:eastAsia="Arial" w:hAnsi="Arial" w:cs="Arial"/>
          <w:b/>
          <w:sz w:val="24"/>
          <w:szCs w:val="24"/>
        </w:rPr>
      </w:pPr>
    </w:p>
    <w:p w14:paraId="3EE9F061" w14:textId="77777777" w:rsidR="005C7CDC" w:rsidRDefault="005C7CDC">
      <w:pPr>
        <w:rPr>
          <w:rFonts w:ascii="Arial" w:eastAsia="Arial" w:hAnsi="Arial" w:cs="Arial"/>
          <w:b/>
          <w:sz w:val="24"/>
          <w:szCs w:val="24"/>
        </w:rPr>
      </w:pPr>
    </w:p>
    <w:p w14:paraId="2FB797A6" w14:textId="77777777" w:rsidR="005C7CDC" w:rsidRDefault="005C7CDC">
      <w:pPr>
        <w:rPr>
          <w:rFonts w:ascii="Arial" w:eastAsia="Arial" w:hAnsi="Arial" w:cs="Arial"/>
          <w:b/>
          <w:sz w:val="24"/>
          <w:szCs w:val="24"/>
        </w:rPr>
      </w:pPr>
    </w:p>
    <w:p w14:paraId="3141900D" w14:textId="77777777" w:rsidR="005C7CDC" w:rsidRDefault="005C7CDC">
      <w:pPr>
        <w:rPr>
          <w:rFonts w:ascii="Arial" w:eastAsia="Arial" w:hAnsi="Arial" w:cs="Arial"/>
          <w:b/>
          <w:sz w:val="24"/>
          <w:szCs w:val="24"/>
        </w:rPr>
      </w:pPr>
    </w:p>
    <w:p w14:paraId="3B4006E8" w14:textId="77777777" w:rsidR="005C7CDC" w:rsidRDefault="005C7CDC">
      <w:pPr>
        <w:rPr>
          <w:rFonts w:ascii="Arial" w:eastAsia="Arial" w:hAnsi="Arial" w:cs="Arial"/>
          <w:b/>
          <w:sz w:val="24"/>
          <w:szCs w:val="24"/>
        </w:rPr>
      </w:pPr>
    </w:p>
    <w:p w14:paraId="2255D75D" w14:textId="77777777" w:rsidR="005C7CDC" w:rsidRDefault="005C7CDC">
      <w:pPr>
        <w:rPr>
          <w:rFonts w:ascii="Arial" w:eastAsia="Arial" w:hAnsi="Arial" w:cs="Arial"/>
          <w:b/>
          <w:sz w:val="24"/>
          <w:szCs w:val="24"/>
        </w:rPr>
      </w:pPr>
    </w:p>
    <w:p w14:paraId="5233BF89" w14:textId="77777777" w:rsidR="005C7CDC" w:rsidRDefault="005C7CDC">
      <w:pPr>
        <w:rPr>
          <w:rFonts w:ascii="Arial" w:eastAsia="Arial" w:hAnsi="Arial" w:cs="Arial"/>
          <w:b/>
          <w:sz w:val="24"/>
          <w:szCs w:val="24"/>
        </w:rPr>
      </w:pPr>
    </w:p>
    <w:p w14:paraId="2647BFD1" w14:textId="77777777" w:rsidR="005C7CDC" w:rsidRDefault="005C7CDC">
      <w:pPr>
        <w:rPr>
          <w:rFonts w:ascii="Arial" w:eastAsia="Arial" w:hAnsi="Arial" w:cs="Arial"/>
          <w:b/>
          <w:sz w:val="24"/>
          <w:szCs w:val="24"/>
        </w:rPr>
      </w:pPr>
    </w:p>
    <w:p w14:paraId="29966E9F" w14:textId="77777777" w:rsidR="005C7CDC" w:rsidRDefault="005C7CDC">
      <w:pPr>
        <w:rPr>
          <w:rFonts w:ascii="Arial" w:eastAsia="Arial" w:hAnsi="Arial" w:cs="Arial"/>
          <w:b/>
          <w:sz w:val="24"/>
          <w:szCs w:val="24"/>
        </w:rPr>
      </w:pPr>
    </w:p>
    <w:p w14:paraId="0B1E9E5C" w14:textId="77777777" w:rsidR="005C7CDC" w:rsidRDefault="005C7CDC">
      <w:pPr>
        <w:rPr>
          <w:rFonts w:ascii="Arial" w:eastAsia="Arial" w:hAnsi="Arial" w:cs="Arial"/>
          <w:b/>
          <w:sz w:val="24"/>
          <w:szCs w:val="24"/>
        </w:rPr>
      </w:pPr>
    </w:p>
    <w:p w14:paraId="30ADE5AC" w14:textId="77777777" w:rsidR="005C7CDC" w:rsidRDefault="005C7CDC">
      <w:pPr>
        <w:rPr>
          <w:rFonts w:ascii="Arial" w:eastAsia="Arial" w:hAnsi="Arial" w:cs="Arial"/>
          <w:b/>
          <w:sz w:val="24"/>
          <w:szCs w:val="24"/>
        </w:rPr>
      </w:pPr>
    </w:p>
    <w:p w14:paraId="1A50BE72" w14:textId="77777777" w:rsidR="005C7CDC" w:rsidRDefault="005C7CDC">
      <w:pPr>
        <w:rPr>
          <w:rFonts w:ascii="Arial" w:eastAsia="Arial" w:hAnsi="Arial" w:cs="Arial"/>
          <w:b/>
          <w:sz w:val="24"/>
          <w:szCs w:val="24"/>
        </w:rPr>
      </w:pPr>
    </w:p>
    <w:p w14:paraId="26A6CF6B" w14:textId="77777777" w:rsidR="005C7CDC" w:rsidRDefault="005C7CDC">
      <w:pPr>
        <w:rPr>
          <w:rFonts w:ascii="Arial" w:eastAsia="Arial" w:hAnsi="Arial" w:cs="Arial"/>
          <w:b/>
          <w:sz w:val="24"/>
          <w:szCs w:val="24"/>
        </w:rPr>
      </w:pPr>
    </w:p>
    <w:p w14:paraId="686FF198" w14:textId="77777777" w:rsidR="005C7CDC" w:rsidRDefault="005C7CDC">
      <w:pPr>
        <w:rPr>
          <w:rFonts w:ascii="Arial" w:eastAsia="Arial" w:hAnsi="Arial" w:cs="Arial"/>
          <w:b/>
          <w:sz w:val="24"/>
          <w:szCs w:val="24"/>
        </w:rPr>
      </w:pPr>
    </w:p>
    <w:p w14:paraId="29943720" w14:textId="77777777" w:rsidR="005C7CDC" w:rsidRDefault="005C7CDC">
      <w:pPr>
        <w:rPr>
          <w:rFonts w:ascii="Arial" w:eastAsia="Arial" w:hAnsi="Arial" w:cs="Arial"/>
          <w:b/>
          <w:sz w:val="24"/>
          <w:szCs w:val="24"/>
        </w:rPr>
      </w:pPr>
    </w:p>
    <w:p w14:paraId="36139779" w14:textId="77777777" w:rsidR="005C7CDC" w:rsidRDefault="005C7CDC">
      <w:pPr>
        <w:rPr>
          <w:rFonts w:ascii="Arial" w:eastAsia="Arial" w:hAnsi="Arial" w:cs="Arial"/>
          <w:b/>
          <w:sz w:val="24"/>
          <w:szCs w:val="24"/>
        </w:rPr>
      </w:pPr>
    </w:p>
    <w:p w14:paraId="28A6D66C" w14:textId="77777777" w:rsidR="005C7CDC" w:rsidRDefault="005C7CDC">
      <w:pPr>
        <w:rPr>
          <w:rFonts w:ascii="Arial" w:eastAsia="Arial" w:hAnsi="Arial" w:cs="Arial"/>
          <w:b/>
          <w:sz w:val="24"/>
          <w:szCs w:val="24"/>
        </w:rPr>
      </w:pPr>
    </w:p>
    <w:p w14:paraId="237CC26E" w14:textId="77777777" w:rsidR="005C7CDC" w:rsidRDefault="005C7CDC">
      <w:pPr>
        <w:rPr>
          <w:rFonts w:ascii="Arial" w:eastAsia="Arial" w:hAnsi="Arial" w:cs="Arial"/>
          <w:b/>
          <w:sz w:val="24"/>
          <w:szCs w:val="24"/>
        </w:rPr>
      </w:pPr>
    </w:p>
    <w:p w14:paraId="043BBD99" w14:textId="77777777" w:rsidR="005C7CDC" w:rsidRDefault="00000000">
      <w:pPr>
        <w:rPr>
          <w:rFonts w:ascii="Arial" w:eastAsia="Arial" w:hAnsi="Arial" w:cs="Arial"/>
          <w:b/>
          <w:sz w:val="24"/>
          <w:szCs w:val="24"/>
        </w:rPr>
      </w:pPr>
      <w:r>
        <w:rPr>
          <w:rFonts w:ascii="Arial" w:eastAsia="Arial" w:hAnsi="Arial" w:cs="Arial"/>
          <w:b/>
          <w:sz w:val="24"/>
          <w:szCs w:val="24"/>
        </w:rPr>
        <w:t>References</w:t>
      </w:r>
    </w:p>
    <w:p w14:paraId="02E53C93"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Abdullaeva, M., 2020. IMPACT OF CUSTOMER SATISFACTION ON CUSTOMER LOYALTY IN UPSCALE ETHNIC RESTAURANTS. Theoretical &amp; Applied Science, (6), pp.372-375. </w:t>
      </w:r>
      <w:hyperlink r:id="rId11">
        <w:r>
          <w:rPr>
            <w:rFonts w:ascii="Arial" w:eastAsia="Arial" w:hAnsi="Arial" w:cs="Arial"/>
            <w:color w:val="0563C1"/>
            <w:sz w:val="24"/>
            <w:szCs w:val="24"/>
            <w:u w:val="single"/>
          </w:rPr>
          <w:t>https://www.researchgate.net</w:t>
        </w:r>
      </w:hyperlink>
      <w:r>
        <w:rPr>
          <w:rFonts w:ascii="Arial" w:eastAsia="Arial" w:hAnsi="Arial" w:cs="Arial"/>
          <w:color w:val="000000"/>
          <w:sz w:val="24"/>
          <w:szCs w:val="24"/>
        </w:rPr>
        <w:t xml:space="preserve"> </w:t>
      </w:r>
    </w:p>
    <w:p w14:paraId="2F518A67"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Altman, E. I., 1968. ‘Financial Ratios, Discriminant Analysis and the Prediction of Corporate Bankruptcy’, The Journal of Finance, 23(4), pp. 589-609. Available at: https://doi.org/10.2307/2978933.  </w:t>
      </w:r>
    </w:p>
    <w:p w14:paraId="66375155"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Baum, T., 2002. ‘Skills and training for the hospitality sector: A review of issues’, Journal of Vocational Education and Training, 54(3), pp. 343-364. Available at: https://doi.org/10.1080/13636820200200204.   </w:t>
      </w:r>
    </w:p>
    <w:p w14:paraId="73381865"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Chathoth, P.K., 2007. The impact of information technology on hotel operations, service management and transaction costs: A conceptual framework for full-service hotel firms. International Journal of Hospitality Management, 26(2), pp.395-408. https://doi.org/10.1016/j.ijhm.2006.03.004 </w:t>
      </w:r>
    </w:p>
    <w:p w14:paraId="4A0CD7D2"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Chen, M.H., 2010. The economy, tourism growth and corporate performance in the Taiwanese hotel industry. Tourism Management, 31(5), pp.665-675. https://doi.org/10.1016/j.tourman.2009.07.011 </w:t>
      </w:r>
    </w:p>
    <w:p w14:paraId="69C07A50"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Coles, T., 2021. Tourism, Brexit and the climate crisis: intersecting crises and their effects. Journal of Sustainable Tourism, 29(9), pp.1529-1546. https://doi.org/10.1080/09669582.2020.1858304 </w:t>
      </w:r>
    </w:p>
    <w:p w14:paraId="182145E7"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Diamond, D.W. and Kashyap, A.K., 2016. Liquidity requirements, liquidity choice, and financial stability. In Handbook of macroeconomics (Vol. 2, pp. 2263-2303). Elsevier. https://doi.org/10.1016/bs.hesmac.2016.03.011 </w:t>
      </w:r>
    </w:p>
    <w:p w14:paraId="4F83658A"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Glover, P. and Prideaux, B., 2009. Implications of population ageing for the development of tourism products and destinations. Journal of Vacation Marketing, 15(1), pp.25-37. https://doi.org/10.1177/1356766708098169 </w:t>
      </w:r>
    </w:p>
    <w:p w14:paraId="7EDB48EE"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Gössling, S., Scott, D., &amp; Hall, C. M., 2020. ‘Pandemics, tourism and global change: a rapid assessment of COVID-19’, Journal of Sustainable Tourism, 29(1), pp. 1-20. Available at: https://doi.org/10.1080/09669582.2020.1758708.</w:t>
      </w:r>
    </w:p>
    <w:p w14:paraId="3D89BE95"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Guilding, C., 2007. Financial management for hospitality decision makers. Routledge. https://doi.org/10.4324/9780080506456  </w:t>
      </w:r>
    </w:p>
    <w:p w14:paraId="68613829"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Guttentag, D., 2015. ‘Airbnb: disruptive innovation and the rise of an informal tourism accommodation sector’, Current Issues in Tourism, 18(12), pp. 1192-1217. Available at: https://doi.org/10.1080/13683500.2013.827159.</w:t>
      </w:r>
    </w:p>
    <w:p w14:paraId="74B47B85"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Han, H., Hsu, L. T., &amp; Sheu, C., 2018. ‘Application of the theory of planned behavior to green hotel choice: Testing the effect of environmental friendly activities’, Tourism Management, 31(3), pp. 325-334. Available at: https://doi.org/10.1016/j.tourman.2009.03.013. </w:t>
      </w:r>
    </w:p>
    <w:p w14:paraId="4AF39C78"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Jiang, Y., &amp; Ritchie, B. W., 2017. ‘Disaster collaboration in tourism: Motives, impediments and success factors’, Journal of Hospitality and Tourism Management, 31, pp. 70-82. Available at: https://doi.org/10.1016/j.jhtm.2016.09.004. </w:t>
      </w:r>
    </w:p>
    <w:p w14:paraId="7EC68ADF"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Kim, W. G., Lim, H., &amp; Brymer, R. A., 2015. ‘The effectiveness of managing social media on hotel performance’, International Journal of Hospitality Management, 44, pp. 165-171. Available at: https://doi.org/10.1016/j.ijhm.2014.10.014.</w:t>
      </w:r>
    </w:p>
    <w:p w14:paraId="21CA80B4"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López-Gracia, J., and Sogorb-Mira, F., 2008. ‘Testing Trade-Off and Pecking Order Theories Financing SMEs’, Small Business Economics, 31(2), pp. 117-136. Available at: https://doi.org/10.1007/s11187-007-9088-4. </w:t>
      </w:r>
    </w:p>
    <w:p w14:paraId="70B83E3F"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Mody, M., Suess, C., &amp; Lehto, X., 2017. ‘The accommodation experiencescape: A comparative assessment of hotels and Airbnb’, International Journal of Contemporary Hospitality Management, 29(9), pp. 2377-2404. https://open.bu.edu/bitstream/handle/2144/26479/ResearchGateManuscript.pdf?sequence=3 </w:t>
      </w:r>
    </w:p>
    <w:p w14:paraId="6738F451"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Mullins, J., 2014. The New Business Road Test: What entrepreneurs and executives should do before writing a business plan. https://web.stanford.edu/group/techventures/resources/Ch1-Title%20Page.pdf </w:t>
      </w:r>
    </w:p>
    <w:p w14:paraId="0F01A3F7"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Rane, N.L., Achari, A. and Choudhary, S.P., 2023. Enhancing customer loyalty through quality of service: Effective strategies to improve customer satisfaction, experience, relationship, and engagement. International Research Journal of Modernization in Engineering Technology and Science, 5(5), pp.427-452. https://www.academia.edu/download/73296331/The_Impact_Of_Customer_Relationship_Management.pdf PappasPappasPappas</w:t>
      </w:r>
    </w:p>
    <w:p w14:paraId="4CFBFAB8" w14:textId="77777777" w:rsidR="005C7CDC" w:rsidRDefault="00000000">
      <w:pPr>
        <w:numPr>
          <w:ilvl w:val="0"/>
          <w:numId w:val="2"/>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Scott, D., Hall, C. M., &amp; Gössling, S., 2019. ‘Global tourism vulnerability to climate change’, Annals of Tourism Research, 77, pp. 49-61. Available at: https://doi.org/10.1016/j.annals.2019.05.007.</w:t>
      </w:r>
    </w:p>
    <w:p w14:paraId="79CE4353" w14:textId="77777777" w:rsidR="005C7CDC" w:rsidRDefault="00000000">
      <w:pPr>
        <w:numPr>
          <w:ilvl w:val="0"/>
          <w:numId w:val="2"/>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Yenidogan, A., Gurcaylilar-Yenidogan, T. and Tetik, N., 2021. Environmental management and hotel profitability: operating performance matters. Tourism &amp; Management Studies, 17(3), pp.7-19. http://orcid.org/0000-0001-5615-8665 </w:t>
      </w:r>
    </w:p>
    <w:p w14:paraId="78F9C93A" w14:textId="77777777" w:rsidR="005C7CDC" w:rsidRDefault="005C7CDC">
      <w:pPr>
        <w:spacing w:line="360" w:lineRule="auto"/>
        <w:jc w:val="both"/>
      </w:pPr>
    </w:p>
    <w:p w14:paraId="21A99C80" w14:textId="77777777" w:rsidR="005C7CDC" w:rsidRDefault="005C7CDC"/>
    <w:p w14:paraId="02E599AB" w14:textId="77777777" w:rsidR="005C7CDC" w:rsidRDefault="005C7CDC"/>
    <w:p w14:paraId="3D44ED51" w14:textId="77777777" w:rsidR="005C7CDC" w:rsidRDefault="005C7CDC"/>
    <w:p w14:paraId="18511F1D" w14:textId="77777777" w:rsidR="005C7CDC" w:rsidRDefault="005C7CDC"/>
    <w:p w14:paraId="7B23481D" w14:textId="77777777" w:rsidR="005C7CDC" w:rsidRDefault="00000000">
      <w:r>
        <w:t xml:space="preserve"> </w:t>
      </w:r>
    </w:p>
    <w:p w14:paraId="139283AA" w14:textId="77777777" w:rsidR="005C7CDC" w:rsidRDefault="005C7CDC"/>
    <w:p w14:paraId="76D1BF6F" w14:textId="77777777" w:rsidR="005C7CDC" w:rsidRDefault="005C7CDC"/>
    <w:p w14:paraId="67AA0BBE" w14:textId="77777777" w:rsidR="005C7CDC" w:rsidRDefault="005C7CDC"/>
    <w:p w14:paraId="01917322" w14:textId="77777777" w:rsidR="005C7CDC" w:rsidRDefault="005C7CDC"/>
    <w:p w14:paraId="43FAA389" w14:textId="77777777" w:rsidR="005C7CDC" w:rsidRDefault="005C7CDC"/>
    <w:sectPr w:rsidR="005C7CDC">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9B60B4" w14:textId="77777777" w:rsidR="00561ADC" w:rsidRDefault="00561ADC">
      <w:pPr>
        <w:spacing w:after="0" w:line="240" w:lineRule="auto"/>
      </w:pPr>
      <w:r>
        <w:separator/>
      </w:r>
    </w:p>
  </w:endnote>
  <w:endnote w:type="continuationSeparator" w:id="0">
    <w:p w14:paraId="14DD232D" w14:textId="77777777" w:rsidR="00561ADC" w:rsidRDefault="00561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5D249809-9747-44B2-8E5B-4FD212B6141D}"/>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AAB4F367-2728-4DB3-83AE-38FB67474978}"/>
    <w:embedItalic r:id="rId3" w:fontKey="{0541E06B-8A81-4A1C-9124-A400D8E16E93}"/>
  </w:font>
  <w:font w:name="Calibri Light">
    <w:panose1 w:val="020F0302020204030204"/>
    <w:charset w:val="00"/>
    <w:family w:val="swiss"/>
    <w:pitch w:val="variable"/>
    <w:sig w:usb0="E4002EFF" w:usb1="C000247B" w:usb2="00000009" w:usb3="00000000" w:csb0="000001FF" w:csb1="00000000"/>
    <w:embedRegular r:id="rId4" w:fontKey="{18B4490A-A6D3-46AD-937E-FC686F13FA21}"/>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5868F4" w14:textId="77777777" w:rsidR="005C7CDC" w:rsidRDefault="00000000">
    <w:pPr>
      <w:jc w:val="right"/>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DF9A3A" w14:textId="77777777" w:rsidR="00561ADC" w:rsidRDefault="00561ADC">
      <w:pPr>
        <w:spacing w:after="0" w:line="240" w:lineRule="auto"/>
      </w:pPr>
      <w:r>
        <w:separator/>
      </w:r>
    </w:p>
  </w:footnote>
  <w:footnote w:type="continuationSeparator" w:id="0">
    <w:p w14:paraId="478FEA84" w14:textId="77777777" w:rsidR="00561ADC" w:rsidRDefault="00561A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BA796C"/>
    <w:multiLevelType w:val="multilevel"/>
    <w:tmpl w:val="FEE2B204"/>
    <w:lvl w:ilvl="0">
      <w:start w:val="1"/>
      <w:numFmt w:val="decimal"/>
      <w:lvlText w:val="%1."/>
      <w:lvlJc w:val="left"/>
      <w:pPr>
        <w:ind w:left="720" w:hanging="360"/>
      </w:p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3FEE4C99"/>
    <w:multiLevelType w:val="multilevel"/>
    <w:tmpl w:val="B4DC0AAC"/>
    <w:lvl w:ilvl="0">
      <w:start w:val="1"/>
      <w:numFmt w:val="decimal"/>
      <w:lvlText w:val="%1."/>
      <w:lvlJc w:val="left"/>
      <w:pPr>
        <w:ind w:left="720" w:hanging="360"/>
      </w:p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52CF1457"/>
    <w:multiLevelType w:val="multilevel"/>
    <w:tmpl w:val="EF9E1CA6"/>
    <w:lvl w:ilvl="0">
      <w:start w:val="1"/>
      <w:numFmt w:val="decimal"/>
      <w:lvlText w:val="%1."/>
      <w:lvlJc w:val="left"/>
      <w:pPr>
        <w:ind w:left="1440" w:hanging="360"/>
      </w:p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3" w15:restartNumberingAfterBreak="0">
    <w:nsid w:val="64112F25"/>
    <w:multiLevelType w:val="multilevel"/>
    <w:tmpl w:val="BFEC5AD2"/>
    <w:lvl w:ilvl="0">
      <w:start w:val="1"/>
      <w:numFmt w:val="decimal"/>
      <w:lvlText w:val="%1."/>
      <w:lvlJc w:val="left"/>
      <w:pPr>
        <w:ind w:left="720" w:hanging="360"/>
      </w:p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647B1533"/>
    <w:multiLevelType w:val="multilevel"/>
    <w:tmpl w:val="FF68BFD0"/>
    <w:lvl w:ilvl="0">
      <w:start w:val="1"/>
      <w:numFmt w:val="decimal"/>
      <w:lvlText w:val="%1."/>
      <w:lvlJc w:val="left"/>
      <w:pPr>
        <w:ind w:left="720" w:hanging="360"/>
      </w:p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445416060">
    <w:abstractNumId w:val="1"/>
  </w:num>
  <w:num w:numId="2" w16cid:durableId="63995303">
    <w:abstractNumId w:val="2"/>
  </w:num>
  <w:num w:numId="3" w16cid:durableId="2121562206">
    <w:abstractNumId w:val="3"/>
  </w:num>
  <w:num w:numId="4" w16cid:durableId="1574851847">
    <w:abstractNumId w:val="0"/>
  </w:num>
  <w:num w:numId="5" w16cid:durableId="8199247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7CDC"/>
    <w:rsid w:val="001C3AE2"/>
    <w:rsid w:val="00561ADC"/>
    <w:rsid w:val="005C7CDC"/>
    <w:rsid w:val="00E91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E98E2"/>
  <w15:docId w15:val="{EB7E8DC8-4DD7-436E-9D5F-9206B70D8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0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B20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20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20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20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20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20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20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20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B20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B20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B20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B20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B20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20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20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20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20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207E"/>
    <w:rPr>
      <w:rFonts w:eastAsiaTheme="majorEastAsia" w:cstheme="majorBidi"/>
      <w:color w:val="272727" w:themeColor="text1" w:themeTint="D8"/>
    </w:rPr>
  </w:style>
  <w:style w:type="character" w:customStyle="1" w:styleId="TitleChar">
    <w:name w:val="Title Char"/>
    <w:basedOn w:val="DefaultParagraphFont"/>
    <w:link w:val="Title"/>
    <w:uiPriority w:val="10"/>
    <w:rsid w:val="00FB20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FB20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207E"/>
    <w:pPr>
      <w:spacing w:before="160"/>
      <w:jc w:val="center"/>
    </w:pPr>
    <w:rPr>
      <w:i/>
      <w:iCs/>
      <w:color w:val="404040" w:themeColor="text1" w:themeTint="BF"/>
    </w:rPr>
  </w:style>
  <w:style w:type="character" w:customStyle="1" w:styleId="QuoteChar">
    <w:name w:val="Quote Char"/>
    <w:basedOn w:val="DefaultParagraphFont"/>
    <w:link w:val="Quote"/>
    <w:uiPriority w:val="29"/>
    <w:rsid w:val="00FB207E"/>
    <w:rPr>
      <w:i/>
      <w:iCs/>
      <w:color w:val="404040" w:themeColor="text1" w:themeTint="BF"/>
    </w:rPr>
  </w:style>
  <w:style w:type="paragraph" w:styleId="ListParagraph">
    <w:name w:val="List Paragraph"/>
    <w:basedOn w:val="Normal"/>
    <w:uiPriority w:val="34"/>
    <w:qFormat/>
    <w:rsid w:val="00FB207E"/>
    <w:pPr>
      <w:ind w:left="720"/>
      <w:contextualSpacing/>
    </w:pPr>
  </w:style>
  <w:style w:type="character" w:styleId="IntenseEmphasis">
    <w:name w:val="Intense Emphasis"/>
    <w:basedOn w:val="DefaultParagraphFont"/>
    <w:uiPriority w:val="21"/>
    <w:qFormat/>
    <w:rsid w:val="00FB207E"/>
    <w:rPr>
      <w:i/>
      <w:iCs/>
      <w:color w:val="2F5496" w:themeColor="accent1" w:themeShade="BF"/>
    </w:rPr>
  </w:style>
  <w:style w:type="paragraph" w:styleId="IntenseQuote">
    <w:name w:val="Intense Quote"/>
    <w:basedOn w:val="Normal"/>
    <w:next w:val="Normal"/>
    <w:link w:val="IntenseQuoteChar"/>
    <w:uiPriority w:val="30"/>
    <w:qFormat/>
    <w:rsid w:val="00FB20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207E"/>
    <w:rPr>
      <w:i/>
      <w:iCs/>
      <w:color w:val="2F5496" w:themeColor="accent1" w:themeShade="BF"/>
    </w:rPr>
  </w:style>
  <w:style w:type="character" w:styleId="IntenseReference">
    <w:name w:val="Intense Reference"/>
    <w:basedOn w:val="DefaultParagraphFont"/>
    <w:uiPriority w:val="32"/>
    <w:qFormat/>
    <w:rsid w:val="00FB207E"/>
    <w:rPr>
      <w:b/>
      <w:bCs/>
      <w:smallCaps/>
      <w:color w:val="2F5496" w:themeColor="accent1" w:themeShade="BF"/>
      <w:spacing w:val="5"/>
    </w:rPr>
  </w:style>
  <w:style w:type="paragraph" w:styleId="NormalWeb">
    <w:name w:val="Normal (Web)"/>
    <w:basedOn w:val="Normal"/>
    <w:uiPriority w:val="99"/>
    <w:semiHidden/>
    <w:unhideWhenUsed/>
    <w:rsid w:val="00800EC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00EC2"/>
    <w:rPr>
      <w:b/>
      <w:bCs/>
    </w:rPr>
  </w:style>
  <w:style w:type="character" w:customStyle="1" w:styleId="katex-mathml">
    <w:name w:val="katex-mathml"/>
    <w:basedOn w:val="DefaultParagraphFont"/>
    <w:rsid w:val="009B2961"/>
  </w:style>
  <w:style w:type="character" w:customStyle="1" w:styleId="mord">
    <w:name w:val="mord"/>
    <w:basedOn w:val="DefaultParagraphFont"/>
    <w:rsid w:val="009B2961"/>
  </w:style>
  <w:style w:type="character" w:customStyle="1" w:styleId="mbin">
    <w:name w:val="mbin"/>
    <w:basedOn w:val="DefaultParagraphFont"/>
    <w:rsid w:val="009B2961"/>
  </w:style>
  <w:style w:type="character" w:customStyle="1" w:styleId="mrel">
    <w:name w:val="mrel"/>
    <w:basedOn w:val="DefaultParagraphFont"/>
    <w:rsid w:val="009B2961"/>
  </w:style>
  <w:style w:type="character" w:customStyle="1" w:styleId="mpunct">
    <w:name w:val="mpunct"/>
    <w:basedOn w:val="DefaultParagraphFont"/>
    <w:rsid w:val="009B2961"/>
  </w:style>
  <w:style w:type="paragraph" w:styleId="z-TopofForm">
    <w:name w:val="HTML Top of Form"/>
    <w:basedOn w:val="Normal"/>
    <w:next w:val="Normal"/>
    <w:link w:val="z-TopofFormChar"/>
    <w:hidden/>
    <w:uiPriority w:val="99"/>
    <w:semiHidden/>
    <w:unhideWhenUsed/>
    <w:rsid w:val="0005187F"/>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05187F"/>
    <w:rPr>
      <w:rFonts w:ascii="Arial" w:eastAsia="Times New Roman" w:hAnsi="Arial" w:cs="Arial"/>
      <w:vanish/>
      <w:kern w:val="0"/>
      <w:sz w:val="16"/>
      <w:szCs w:val="16"/>
    </w:rPr>
  </w:style>
  <w:style w:type="character" w:styleId="Hyperlink">
    <w:name w:val="Hyperlink"/>
    <w:basedOn w:val="DefaultParagraphFont"/>
    <w:uiPriority w:val="99"/>
    <w:unhideWhenUsed/>
    <w:rsid w:val="003F1A96"/>
    <w:rPr>
      <w:color w:val="0563C1" w:themeColor="hyperlink"/>
      <w:u w:val="single"/>
    </w:rPr>
  </w:style>
  <w:style w:type="character" w:styleId="UnresolvedMention">
    <w:name w:val="Unresolved Mention"/>
    <w:basedOn w:val="DefaultParagraphFont"/>
    <w:uiPriority w:val="99"/>
    <w:semiHidden/>
    <w:unhideWhenUsed/>
    <w:rsid w:val="003F1A96"/>
    <w:rPr>
      <w:color w:val="605E5C"/>
      <w:shd w:val="clear" w:color="auto" w:fill="E1DFDD"/>
    </w:rPr>
  </w:style>
  <w:style w:type="character" w:styleId="FollowedHyperlink">
    <w:name w:val="FollowedHyperlink"/>
    <w:basedOn w:val="DefaultParagraphFont"/>
    <w:uiPriority w:val="99"/>
    <w:semiHidden/>
    <w:unhideWhenUsed/>
    <w:rsid w:val="00AD024E"/>
    <w:rPr>
      <w:color w:val="954F72" w:themeColor="followedHyperlink"/>
      <w:u w:val="single"/>
    </w:rPr>
  </w:style>
  <w:style w:type="paragraph" w:styleId="Header">
    <w:name w:val="header"/>
    <w:basedOn w:val="Normal"/>
    <w:link w:val="HeaderChar"/>
    <w:uiPriority w:val="99"/>
    <w:unhideWhenUsed/>
    <w:rsid w:val="003A3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39A"/>
  </w:style>
  <w:style w:type="paragraph" w:styleId="Footer">
    <w:name w:val="footer"/>
    <w:basedOn w:val="Normal"/>
    <w:link w:val="FooterChar"/>
    <w:uiPriority w:val="99"/>
    <w:unhideWhenUsed/>
    <w:rsid w:val="003A3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3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Makhsuma-Abdullaeva/publication/343035686_IMPACT_OF_CUSTOMER_SATISFACTION_ON_CUSTOMER_LOYALTY_IN_UPSCALE_ETHNIC_RESTAURANTS/links/64eda0d49b1e56033daa2753/IMPACT-OF-CUSTOMER-SATISFACTION-ON-CUSTOMER-LOYALTY-IN-UPSCALE-ETHNIC-RESTAURANTS.pdf"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j04SjbiUITL7S/k1if/UDXJS1g==">CgMxLjA4AHIhMUR5cG5KbXdQNWl3S3pRQzZyUERob19LelZHYTdJbXJI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3316</Words>
  <Characters>18906</Characters>
  <Application>Microsoft Office Word</Application>
  <DocSecurity>0</DocSecurity>
  <Lines>157</Lines>
  <Paragraphs>44</Paragraphs>
  <ScaleCrop>false</ScaleCrop>
  <Company/>
  <LinksUpToDate>false</LinksUpToDate>
  <CharactersWithSpaces>22178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 bumb</dc:creator>
  <cp:lastModifiedBy>Mihaela Bumb (2232072)</cp:lastModifiedBy>
  <cp:revision>2</cp:revision>
  <dcterms:created xsi:type="dcterms:W3CDTF">2024-06-06T22:16:00Z</dcterms:created>
  <dcterms:modified xsi:type="dcterms:W3CDTF">2024-06-06T22:16:00Z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077747da5ce03920ad953da89f5d6967c0b4daf5852182cac3aa511562693561</vt:lpwstr>
  </property>
</Properties>
</file>