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342A97" w14:textId="77777777" w:rsidR="00A813B7" w:rsidRDefault="00A813B7" w:rsidP="00A813B7">
      <w:pPr>
        <w:rPr>
          <w:rFonts w:ascii="Arial" w:hAnsi="Arial" w:cs="Arial"/>
          <w:bCs/>
          <w:spacing w:val="-2"/>
          <w:sz w:val="36"/>
          <w:szCs w:val="36"/>
        </w:rPr>
      </w:pPr>
    </w:p>
    <w:p w14:paraId="00E2469B" w14:textId="4816AEEF" w:rsidR="00A813B7" w:rsidRDefault="00A813B7" w:rsidP="00A813B7">
      <w:pPr>
        <w:rPr>
          <w:rFonts w:ascii="Arial" w:hAnsi="Arial" w:cs="Arial"/>
          <w:bCs/>
          <w:spacing w:val="-2"/>
          <w:sz w:val="36"/>
          <w:szCs w:val="36"/>
        </w:rPr>
      </w:pPr>
      <w:r>
        <w:rPr>
          <w:noProof/>
        </w:rPr>
        <w:drawing>
          <wp:inline distT="0" distB="0" distL="0" distR="0" wp14:anchorId="2941D4E7" wp14:editId="5D915FBB">
            <wp:extent cx="5135880" cy="1254754"/>
            <wp:effectExtent l="0" t="0" r="0" b="0"/>
            <wp:docPr id="125875952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759525" name="Picture 1" descr="A black background with white text&#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261746" cy="1285504"/>
                    </a:xfrm>
                    <a:prstGeom prst="rect">
                      <a:avLst/>
                    </a:prstGeom>
                  </pic:spPr>
                </pic:pic>
              </a:graphicData>
            </a:graphic>
          </wp:inline>
        </w:drawing>
      </w:r>
    </w:p>
    <w:p w14:paraId="47B9C8CD" w14:textId="77777777" w:rsidR="00A813B7" w:rsidRDefault="00A813B7" w:rsidP="00A813B7">
      <w:pPr>
        <w:rPr>
          <w:rFonts w:ascii="Arial" w:hAnsi="Arial" w:cs="Arial"/>
          <w:bCs/>
          <w:spacing w:val="-2"/>
          <w:sz w:val="36"/>
          <w:szCs w:val="36"/>
        </w:rPr>
      </w:pPr>
    </w:p>
    <w:p w14:paraId="24B29099" w14:textId="576995EC" w:rsidR="00A813B7" w:rsidRDefault="00A813B7" w:rsidP="00A813B7">
      <w:pPr>
        <w:rPr>
          <w:rFonts w:ascii="Arial" w:hAnsi="Arial" w:cs="Arial"/>
          <w:bCs/>
          <w:spacing w:val="-2"/>
          <w:sz w:val="36"/>
          <w:szCs w:val="36"/>
        </w:rPr>
      </w:pPr>
    </w:p>
    <w:p w14:paraId="580D1FBA" w14:textId="77777777" w:rsidR="00A813B7" w:rsidRDefault="00A813B7" w:rsidP="00A813B7">
      <w:pPr>
        <w:rPr>
          <w:rFonts w:ascii="Arial" w:hAnsi="Arial" w:cs="Arial"/>
          <w:bCs/>
          <w:spacing w:val="-2"/>
          <w:sz w:val="36"/>
          <w:szCs w:val="36"/>
        </w:rPr>
      </w:pPr>
    </w:p>
    <w:p w14:paraId="7BD82869" w14:textId="77777777" w:rsidR="00A813B7" w:rsidRDefault="00A813B7" w:rsidP="00A813B7">
      <w:pPr>
        <w:rPr>
          <w:rFonts w:ascii="Arial" w:hAnsi="Arial" w:cs="Arial"/>
          <w:bCs/>
          <w:spacing w:val="-2"/>
          <w:sz w:val="36"/>
          <w:szCs w:val="36"/>
        </w:rPr>
      </w:pPr>
    </w:p>
    <w:p w14:paraId="626CDF2E" w14:textId="77777777" w:rsidR="00A813B7" w:rsidRDefault="00A813B7" w:rsidP="00A813B7">
      <w:pPr>
        <w:rPr>
          <w:rFonts w:ascii="Arial" w:hAnsi="Arial" w:cs="Arial"/>
          <w:bCs/>
          <w:spacing w:val="-2"/>
          <w:sz w:val="36"/>
          <w:szCs w:val="36"/>
        </w:rPr>
      </w:pPr>
    </w:p>
    <w:p w14:paraId="6CECFE5C" w14:textId="01848BED" w:rsidR="00A813B7" w:rsidRPr="00A813B7" w:rsidRDefault="00A813B7" w:rsidP="00A813B7">
      <w:pPr>
        <w:jc w:val="center"/>
        <w:rPr>
          <w:rFonts w:ascii="Times New Roman" w:hAnsi="Times New Roman" w:cs="Times New Roman"/>
          <w:b/>
          <w:spacing w:val="-2"/>
          <w:sz w:val="76"/>
          <w:szCs w:val="76"/>
        </w:rPr>
      </w:pPr>
      <w:r w:rsidRPr="00A813B7">
        <w:rPr>
          <w:rFonts w:ascii="Times New Roman" w:hAnsi="Times New Roman" w:cs="Times New Roman"/>
          <w:b/>
          <w:spacing w:val="-2"/>
          <w:sz w:val="76"/>
          <w:szCs w:val="76"/>
        </w:rPr>
        <w:t>A Project Portfolio</w:t>
      </w:r>
    </w:p>
    <w:p w14:paraId="6C6C2903" w14:textId="77777777" w:rsidR="00A813B7" w:rsidRDefault="00A813B7" w:rsidP="00A813B7">
      <w:pPr>
        <w:rPr>
          <w:rFonts w:ascii="Arial" w:hAnsi="Arial" w:cs="Arial"/>
          <w:bCs/>
          <w:spacing w:val="-2"/>
          <w:sz w:val="36"/>
          <w:szCs w:val="36"/>
        </w:rPr>
      </w:pPr>
    </w:p>
    <w:p w14:paraId="7D38C9DA" w14:textId="77777777" w:rsidR="00A813B7" w:rsidRDefault="00A813B7" w:rsidP="00A813B7">
      <w:pPr>
        <w:rPr>
          <w:rFonts w:ascii="Arial" w:hAnsi="Arial" w:cs="Arial"/>
          <w:bCs/>
          <w:spacing w:val="-2"/>
          <w:sz w:val="36"/>
          <w:szCs w:val="36"/>
        </w:rPr>
      </w:pPr>
    </w:p>
    <w:p w14:paraId="787D1A73" w14:textId="77777777" w:rsidR="00A813B7" w:rsidRDefault="00A813B7" w:rsidP="00A813B7">
      <w:pPr>
        <w:rPr>
          <w:rFonts w:ascii="Arial" w:hAnsi="Arial" w:cs="Arial"/>
          <w:bCs/>
          <w:spacing w:val="-2"/>
          <w:sz w:val="36"/>
          <w:szCs w:val="36"/>
        </w:rPr>
      </w:pPr>
    </w:p>
    <w:p w14:paraId="1D2C5EBE" w14:textId="33BF18EE" w:rsidR="00A813B7" w:rsidRPr="00A813B7" w:rsidRDefault="00A813B7" w:rsidP="00A813B7">
      <w:pPr>
        <w:rPr>
          <w:rFonts w:ascii="Times New Roman" w:hAnsi="Times New Roman" w:cs="Times New Roman"/>
          <w:b/>
          <w:bCs/>
          <w:spacing w:val="-2"/>
          <w:sz w:val="36"/>
          <w:szCs w:val="36"/>
        </w:rPr>
      </w:pPr>
      <w:r w:rsidRPr="00A813B7">
        <w:rPr>
          <w:rFonts w:ascii="Times New Roman" w:hAnsi="Times New Roman" w:cs="Times New Roman"/>
          <w:bCs/>
          <w:spacing w:val="-2"/>
          <w:sz w:val="36"/>
          <w:szCs w:val="36"/>
        </w:rPr>
        <w:t>Module</w:t>
      </w:r>
      <w:r w:rsidRPr="00A813B7">
        <w:rPr>
          <w:rFonts w:ascii="Times New Roman" w:hAnsi="Times New Roman" w:cs="Times New Roman"/>
          <w:b/>
          <w:spacing w:val="-2"/>
          <w:sz w:val="36"/>
          <w:szCs w:val="36"/>
        </w:rPr>
        <w:t xml:space="preserve">: </w:t>
      </w:r>
      <w:r w:rsidRPr="00A813B7">
        <w:rPr>
          <w:rFonts w:ascii="Times New Roman" w:hAnsi="Times New Roman" w:cs="Times New Roman"/>
          <w:b/>
          <w:bCs/>
          <w:spacing w:val="-2"/>
          <w:sz w:val="36"/>
          <w:szCs w:val="36"/>
        </w:rPr>
        <w:t xml:space="preserve">Project Management </w:t>
      </w:r>
    </w:p>
    <w:p w14:paraId="4A3B64DB" w14:textId="77777777" w:rsidR="00A813B7" w:rsidRPr="00A813B7" w:rsidRDefault="00A813B7" w:rsidP="00A813B7">
      <w:pPr>
        <w:rPr>
          <w:rFonts w:ascii="Times New Roman" w:hAnsi="Times New Roman" w:cs="Times New Roman"/>
          <w:b/>
          <w:bCs/>
          <w:spacing w:val="-5"/>
          <w:sz w:val="36"/>
          <w:szCs w:val="36"/>
        </w:rPr>
      </w:pPr>
      <w:r w:rsidRPr="00A813B7">
        <w:rPr>
          <w:rFonts w:ascii="Times New Roman" w:hAnsi="Times New Roman" w:cs="Times New Roman"/>
          <w:spacing w:val="-5"/>
          <w:sz w:val="36"/>
          <w:szCs w:val="36"/>
        </w:rPr>
        <w:t>Student name and ID</w:t>
      </w:r>
      <w:r w:rsidRPr="00A813B7">
        <w:rPr>
          <w:rFonts w:ascii="Times New Roman" w:hAnsi="Times New Roman" w:cs="Times New Roman"/>
          <w:b/>
          <w:bCs/>
          <w:spacing w:val="-5"/>
          <w:sz w:val="36"/>
          <w:szCs w:val="36"/>
        </w:rPr>
        <w:t>: Valentin Otelea/2410975</w:t>
      </w:r>
    </w:p>
    <w:p w14:paraId="47095D89" w14:textId="77777777" w:rsidR="00A813B7" w:rsidRPr="00A813B7" w:rsidRDefault="00A813B7">
      <w:pPr>
        <w:rPr>
          <w:rFonts w:ascii="Times New Roman" w:hAnsi="Times New Roman" w:cs="Times New Roman"/>
        </w:rPr>
      </w:pPr>
    </w:p>
    <w:p w14:paraId="635EA423" w14:textId="77777777" w:rsidR="00A813B7" w:rsidRDefault="00A813B7" w:rsidP="00A813B7">
      <w:pPr>
        <w:rPr>
          <w:rFonts w:ascii="Times New Roman" w:hAnsi="Times New Roman" w:cs="Times New Roman"/>
          <w:bCs/>
          <w:sz w:val="40"/>
          <w:szCs w:val="40"/>
        </w:rPr>
      </w:pPr>
    </w:p>
    <w:p w14:paraId="6170CC34" w14:textId="77777777" w:rsidR="00A813B7" w:rsidRDefault="00A813B7" w:rsidP="00A813B7">
      <w:pPr>
        <w:rPr>
          <w:rFonts w:ascii="Times New Roman" w:hAnsi="Times New Roman" w:cs="Times New Roman"/>
          <w:bCs/>
          <w:sz w:val="40"/>
          <w:szCs w:val="40"/>
        </w:rPr>
      </w:pPr>
    </w:p>
    <w:p w14:paraId="2D0ED782" w14:textId="71C43474" w:rsidR="00A813B7" w:rsidRPr="00A813B7" w:rsidRDefault="00A813B7" w:rsidP="00A813B7">
      <w:pPr>
        <w:rPr>
          <w:rFonts w:ascii="Times New Roman" w:hAnsi="Times New Roman" w:cs="Times New Roman"/>
          <w:sz w:val="40"/>
          <w:szCs w:val="40"/>
        </w:rPr>
      </w:pPr>
      <w:r w:rsidRPr="00A813B7">
        <w:rPr>
          <w:rFonts w:ascii="Times New Roman" w:hAnsi="Times New Roman" w:cs="Times New Roman"/>
          <w:bCs/>
          <w:sz w:val="40"/>
          <w:szCs w:val="40"/>
        </w:rPr>
        <w:t>Module</w:t>
      </w:r>
      <w:r w:rsidRPr="00A813B7">
        <w:rPr>
          <w:rFonts w:ascii="Times New Roman" w:hAnsi="Times New Roman" w:cs="Times New Roman"/>
          <w:bCs/>
          <w:spacing w:val="-4"/>
          <w:sz w:val="40"/>
          <w:szCs w:val="40"/>
        </w:rPr>
        <w:t xml:space="preserve"> </w:t>
      </w:r>
      <w:r w:rsidRPr="00A813B7">
        <w:rPr>
          <w:rFonts w:ascii="Times New Roman" w:hAnsi="Times New Roman" w:cs="Times New Roman"/>
          <w:bCs/>
          <w:spacing w:val="-2"/>
          <w:sz w:val="40"/>
          <w:szCs w:val="40"/>
        </w:rPr>
        <w:t>code:</w:t>
      </w:r>
      <w:r w:rsidRPr="00A813B7">
        <w:rPr>
          <w:rFonts w:ascii="Times New Roman" w:hAnsi="Times New Roman" w:cs="Times New Roman"/>
          <w:b/>
          <w:spacing w:val="-2"/>
          <w:sz w:val="40"/>
          <w:szCs w:val="40"/>
        </w:rPr>
        <w:t xml:space="preserve"> </w:t>
      </w:r>
      <w:r w:rsidRPr="00A813B7">
        <w:rPr>
          <w:rFonts w:ascii="Times New Roman" w:hAnsi="Times New Roman" w:cs="Times New Roman"/>
          <w:b/>
          <w:bCs/>
          <w:sz w:val="40"/>
          <w:szCs w:val="40"/>
        </w:rPr>
        <w:t>LCLM5003_BIRM</w:t>
      </w:r>
    </w:p>
    <w:p w14:paraId="2D6E72EA" w14:textId="77777777" w:rsidR="00A813B7" w:rsidRPr="00A813B7" w:rsidRDefault="00A813B7" w:rsidP="00A813B7">
      <w:pPr>
        <w:rPr>
          <w:rFonts w:ascii="Times New Roman" w:hAnsi="Times New Roman" w:cs="Times New Roman"/>
          <w:b/>
          <w:spacing w:val="-2"/>
          <w:sz w:val="40"/>
          <w:szCs w:val="40"/>
        </w:rPr>
      </w:pPr>
      <w:r w:rsidRPr="00A813B7">
        <w:rPr>
          <w:rFonts w:ascii="Times New Roman" w:hAnsi="Times New Roman" w:cs="Times New Roman"/>
          <w:bCs/>
          <w:spacing w:val="-2"/>
          <w:sz w:val="40"/>
          <w:szCs w:val="40"/>
        </w:rPr>
        <w:t>Lecture:</w:t>
      </w:r>
      <w:r w:rsidRPr="00A813B7">
        <w:rPr>
          <w:rFonts w:ascii="Times New Roman" w:hAnsi="Times New Roman" w:cs="Times New Roman"/>
          <w:b/>
          <w:spacing w:val="-2"/>
          <w:sz w:val="40"/>
          <w:szCs w:val="40"/>
        </w:rPr>
        <w:t xml:space="preserve"> Samson Oladejo</w:t>
      </w:r>
    </w:p>
    <w:p w14:paraId="030CCBAD" w14:textId="3E09E895" w:rsidR="00A813B7" w:rsidRPr="00A813B7" w:rsidRDefault="00A813B7">
      <w:pPr>
        <w:sectPr w:rsidR="00A813B7" w:rsidRPr="00A813B7">
          <w:headerReference w:type="even" r:id="rId9"/>
          <w:headerReference w:type="default" r:id="rId10"/>
          <w:footerReference w:type="even" r:id="rId11"/>
          <w:footerReference w:type="default" r:id="rId12"/>
          <w:headerReference w:type="first" r:id="rId13"/>
          <w:footerReference w:type="first" r:id="rId14"/>
          <w:pgSz w:w="11906" w:h="16838"/>
          <w:pgMar w:top="1417" w:right="1417" w:bottom="1417" w:left="1417" w:header="708" w:footer="708" w:gutter="0"/>
          <w:cols w:space="708"/>
          <w:docGrid w:linePitch="360"/>
        </w:sectPr>
      </w:pPr>
    </w:p>
    <w:p w14:paraId="320B0135" w14:textId="77777777" w:rsidR="00E66C27" w:rsidRDefault="00A813B7">
      <w:pPr>
        <w:sectPr w:rsidR="00E66C27" w:rsidSect="00A813B7">
          <w:pgSz w:w="16838" w:h="11906" w:orient="landscape"/>
          <w:pgMar w:top="1417" w:right="1417" w:bottom="1417" w:left="1417" w:header="708" w:footer="708" w:gutter="0"/>
          <w:cols w:space="708"/>
          <w:docGrid w:linePitch="360"/>
        </w:sectPr>
      </w:pPr>
      <w:r>
        <w:rPr>
          <w:noProof/>
        </w:rPr>
        <w:lastRenderedPageBreak/>
        <w:drawing>
          <wp:inline distT="0" distB="0" distL="0" distR="0" wp14:anchorId="6694924B" wp14:editId="4B406661">
            <wp:extent cx="8785860" cy="6589395"/>
            <wp:effectExtent l="0" t="0" r="0" b="1905"/>
            <wp:docPr id="2003822259" name="Picture 1" descr="A close-up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22259" name="Picture 1" descr="A close-up of a brochu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785860" cy="6589395"/>
                    </a:xfrm>
                    <a:prstGeom prst="rect">
                      <a:avLst/>
                    </a:prstGeom>
                  </pic:spPr>
                </pic:pic>
              </a:graphicData>
            </a:graphic>
          </wp:inline>
        </w:drawing>
      </w:r>
    </w:p>
    <w:p w14:paraId="1A57A0D0" w14:textId="77777777" w:rsidR="00E66C27" w:rsidRPr="00663EDA" w:rsidRDefault="00E66C27" w:rsidP="00E66C27">
      <w:pPr>
        <w:jc w:val="center"/>
        <w:rPr>
          <w:rFonts w:ascii="Times New Roman" w:hAnsi="Times New Roman" w:cs="Times New Roman"/>
          <w:b/>
          <w:bCs/>
          <w:sz w:val="36"/>
          <w:szCs w:val="36"/>
        </w:rPr>
      </w:pPr>
      <w:r w:rsidRPr="00663EDA">
        <w:rPr>
          <w:rFonts w:ascii="Times New Roman" w:hAnsi="Times New Roman" w:cs="Times New Roman"/>
          <w:b/>
          <w:bCs/>
          <w:sz w:val="36"/>
          <w:szCs w:val="36"/>
        </w:rPr>
        <w:lastRenderedPageBreak/>
        <w:t>Reflection from the Feedback Received from Tutor and Peers</w:t>
      </w:r>
    </w:p>
    <w:p w14:paraId="2EC1093B" w14:textId="77777777" w:rsidR="00E66C27" w:rsidRDefault="00E66C27" w:rsidP="00E66C27">
      <w:pPr>
        <w:spacing w:line="360" w:lineRule="auto"/>
        <w:rPr>
          <w:rFonts w:ascii="Times New Roman" w:hAnsi="Times New Roman" w:cs="Times New Roman"/>
        </w:rPr>
      </w:pPr>
    </w:p>
    <w:p w14:paraId="3E8BE2B7" w14:textId="5AF46FF5" w:rsidR="00E66C27" w:rsidRDefault="00E66C27" w:rsidP="00E66C27">
      <w:pPr>
        <w:spacing w:line="360" w:lineRule="auto"/>
        <w:rPr>
          <w:rFonts w:ascii="Times New Roman" w:hAnsi="Times New Roman" w:cs="Times New Roman"/>
        </w:rPr>
      </w:pPr>
      <w:r>
        <w:rPr>
          <w:rFonts w:ascii="Times New Roman" w:hAnsi="Times New Roman" w:cs="Times New Roman"/>
        </w:rPr>
        <w:t>Following my poster presentation, I received constructive feedback from both my tutors and peers, which helped me strengths as well as areas requiring improvement. This feedback was valuable in developing my understanding of effective poster design, academic presentation, and professional communication. To develop this reflection in a structured way, I have applied Gibbs’ Reflective Cycle, which includes the stages of description, feelings, evaluation, analysis, conclusion, and action plan. This model allows me to critically evaluate the feedback received from my tutor and peers and consider how it can improve my future work</w:t>
      </w:r>
      <w:r w:rsidR="00304209">
        <w:rPr>
          <w:rFonts w:ascii="Times New Roman" w:hAnsi="Times New Roman" w:cs="Times New Roman"/>
        </w:rPr>
        <w:t xml:space="preserve"> (He, et al., 2018)</w:t>
      </w:r>
      <w:r>
        <w:rPr>
          <w:rFonts w:ascii="Times New Roman" w:hAnsi="Times New Roman" w:cs="Times New Roman"/>
        </w:rPr>
        <w:t>. By reflecting on both the positive and negative aspects of my poster presentation, I can identify areas for improvement and develop practical strategies to enhance the clarity, organisation, and academic quality of my future presentations. (</w:t>
      </w:r>
      <w:r w:rsidRPr="003079C2">
        <w:rPr>
          <w:rFonts w:ascii="Times New Roman" w:hAnsi="Times New Roman" w:cs="Times New Roman"/>
        </w:rPr>
        <w:t>Adeani</w:t>
      </w:r>
      <w:r>
        <w:rPr>
          <w:rFonts w:ascii="Times New Roman" w:hAnsi="Times New Roman" w:cs="Times New Roman"/>
        </w:rPr>
        <w:t>, et al., 2020)</w:t>
      </w:r>
    </w:p>
    <w:p w14:paraId="17856EDC"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One of the main areas for improvement identified was the overall organisation and layout of my poster. The tutor noted that the information appeared messy and was not arranged in a smooth and clear structure. Although all the required content was included, the flow between sections was not logical enough, which made it more difficult for the audience to fallow the project narrative. This highlighted the importance of structuring information in a clear sequence, using consistent headings, and ensuring logical progression from introduction through the conclusion. In my revised poster, I will focus on improving alignment, spacing, and visual hierarchy so that the information is easier to read and understand.</w:t>
      </w:r>
    </w:p>
    <w:p w14:paraId="74FAA25E"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tutor also pointed out that I did not clearly label the “Introduction” section with an appropriate heading. This made the structure less obvious and affected the professional presentation of the poster. This feedback helped me to understand the importance of clearly labelled sections to guide the audience and demonstrate academic organisation. Additionally, my QUAD Chart did not fully follow the correct format, as it was not presented using the standard four equal squares layout. This reduced its effectiveness as a visual project summary tool. In my revised version, I will ensure the Quad Chart follows the correct structure, with clearly defined quadrants for objectives, scope, risks, and schedule. I also received feedback regarding my in-text referencing, where I incorrectly used initials from first names instead of proper academic referencing format. This is an important academic skill, and I will review the correct referencing guidelines to ensure accuracy and professionalism in future work.</w:t>
      </w:r>
    </w:p>
    <w:p w14:paraId="4E33F60B" w14:textId="77777777" w:rsidR="00E66C27" w:rsidRDefault="00E66C27" w:rsidP="00E66C27">
      <w:pPr>
        <w:spacing w:line="360" w:lineRule="auto"/>
        <w:rPr>
          <w:rFonts w:ascii="Times New Roman" w:hAnsi="Times New Roman" w:cs="Times New Roman"/>
        </w:rPr>
      </w:pPr>
      <w:r>
        <w:rPr>
          <w:rFonts w:ascii="Times New Roman" w:hAnsi="Times New Roman" w:cs="Times New Roman"/>
        </w:rPr>
        <w:lastRenderedPageBreak/>
        <w:t>Despite these weaknesses, the feedback also highlighted positive aspects of my poster. Both the tutor and peers confirmed that I had included all required sections and presented relevant and appropriate information for the project scenario. This demonstrated my understanding of the project management concepts and the ability to apply them effectively.</w:t>
      </w:r>
    </w:p>
    <w:p w14:paraId="671F0519" w14:textId="300CD7CD" w:rsidR="00E66C27" w:rsidRPr="00C24885" w:rsidRDefault="00304209" w:rsidP="00E66C27">
      <w:pPr>
        <w:spacing w:line="360" w:lineRule="auto"/>
        <w:rPr>
          <w:rFonts w:ascii="Times New Roman" w:hAnsi="Times New Roman" w:cs="Times New Roman"/>
        </w:rPr>
      </w:pPr>
      <w:r>
        <w:rPr>
          <w:rFonts w:ascii="Times New Roman" w:hAnsi="Times New Roman" w:cs="Times New Roman"/>
        </w:rPr>
        <w:t>This experience has contributed significantly to my personal and professional development in project management. It highlighted the importance of clear communication, structured planning, and effective visual presentation when delivering project information to stakeholders. I realised that even when technical content is accurate, poor organisation can reduce its impact and clarity (</w:t>
      </w:r>
      <w:r w:rsidRPr="00304209">
        <w:rPr>
          <w:rFonts w:ascii="Times New Roman" w:hAnsi="Times New Roman" w:cs="Times New Roman"/>
        </w:rPr>
        <w:t>Jekunen, 2018</w:t>
      </w:r>
      <w:r>
        <w:rPr>
          <w:rFonts w:ascii="Times New Roman" w:hAnsi="Times New Roman" w:cs="Times New Roman"/>
        </w:rPr>
        <w:t>). This learning will influence my future approach by encouraging me to prioritise clarity, audience understanding, and professional standards in all project documentation. Developing these skills is essential for effective stakeholder engagement and successful project delivery in real-world project management environments</w:t>
      </w:r>
      <w:r w:rsidR="00ED7E00">
        <w:rPr>
          <w:rFonts w:ascii="Times New Roman" w:hAnsi="Times New Roman" w:cs="Times New Roman"/>
        </w:rPr>
        <w:t xml:space="preserve"> (</w:t>
      </w:r>
      <w:r w:rsidR="00ED7E00" w:rsidRPr="00ED7E00">
        <w:rPr>
          <w:rFonts w:ascii="Times New Roman" w:hAnsi="Times New Roman" w:cs="Times New Roman"/>
        </w:rPr>
        <w:t>Tuhacek</w:t>
      </w:r>
      <w:r w:rsidR="00ED7E00">
        <w:rPr>
          <w:rFonts w:ascii="Times New Roman" w:hAnsi="Times New Roman" w:cs="Times New Roman"/>
        </w:rPr>
        <w:t xml:space="preserve"> </w:t>
      </w:r>
      <w:r w:rsidR="00ED7E00" w:rsidRPr="00ED7E00">
        <w:rPr>
          <w:rFonts w:ascii="Times New Roman" w:hAnsi="Times New Roman" w:cs="Times New Roman"/>
        </w:rPr>
        <w:t>and Svoboda, 2019</w:t>
      </w:r>
      <w:r w:rsidR="00ED7E00">
        <w:rPr>
          <w:rFonts w:ascii="Times New Roman" w:hAnsi="Times New Roman" w:cs="Times New Roman"/>
        </w:rPr>
        <w:t xml:space="preserve">). </w:t>
      </w:r>
    </w:p>
    <w:p w14:paraId="050B2442" w14:textId="7E282EB3" w:rsidR="00A813B7" w:rsidRDefault="00A813B7"/>
    <w:p w14:paraId="6B7FEFAE" w14:textId="77777777" w:rsidR="00E66C27" w:rsidRDefault="00E66C27"/>
    <w:p w14:paraId="6EE13AE1" w14:textId="77777777" w:rsidR="00E66C27" w:rsidRDefault="00E66C27"/>
    <w:p w14:paraId="0424B519" w14:textId="77777777" w:rsidR="00E66C27" w:rsidRDefault="00E66C27"/>
    <w:p w14:paraId="43C605CA" w14:textId="77777777" w:rsidR="00E66C27" w:rsidRDefault="00E66C27"/>
    <w:p w14:paraId="02CF7488" w14:textId="77777777" w:rsidR="00E66C27" w:rsidRDefault="00E66C27"/>
    <w:p w14:paraId="4749B7F1" w14:textId="77777777" w:rsidR="00E66C27" w:rsidRDefault="00E66C27"/>
    <w:p w14:paraId="2EA236F7" w14:textId="77777777" w:rsidR="00E66C27" w:rsidRDefault="00E66C27"/>
    <w:p w14:paraId="0D0BD8EC" w14:textId="77777777" w:rsidR="00E66C27" w:rsidRDefault="00E66C27"/>
    <w:p w14:paraId="4104033D" w14:textId="77777777" w:rsidR="00E66C27" w:rsidRDefault="00E66C27"/>
    <w:p w14:paraId="775A58CE" w14:textId="77777777" w:rsidR="00E66C27" w:rsidRDefault="00E66C27"/>
    <w:p w14:paraId="0B254D3B" w14:textId="77777777" w:rsidR="00E66C27" w:rsidRDefault="00E66C27"/>
    <w:p w14:paraId="643F152E" w14:textId="77777777" w:rsidR="00E66C27" w:rsidRDefault="00E66C27"/>
    <w:p w14:paraId="580DD665" w14:textId="77777777" w:rsidR="00E66C27" w:rsidRDefault="00E66C27"/>
    <w:p w14:paraId="20F614EA" w14:textId="77777777" w:rsidR="00E66C27" w:rsidRDefault="00E66C27"/>
    <w:p w14:paraId="0FC4499B" w14:textId="77777777" w:rsidR="00E66C27" w:rsidRDefault="00E66C27"/>
    <w:p w14:paraId="0F513038" w14:textId="77777777" w:rsidR="00E66C27" w:rsidRDefault="00E66C27"/>
    <w:p w14:paraId="13A2FE9D" w14:textId="24F64372" w:rsidR="00E66C27" w:rsidRDefault="00E66C27" w:rsidP="00E66C27">
      <w:pPr>
        <w:spacing w:line="360" w:lineRule="auto"/>
        <w:jc w:val="center"/>
        <w:rPr>
          <w:b/>
          <w:bCs/>
          <w:sz w:val="48"/>
          <w:szCs w:val="48"/>
        </w:rPr>
      </w:pPr>
    </w:p>
    <w:p w14:paraId="6F0E9616" w14:textId="77777777" w:rsidR="00E66C27" w:rsidRDefault="00E66C27" w:rsidP="00E66C27">
      <w:pPr>
        <w:rPr>
          <w:rFonts w:ascii="Arial" w:hAnsi="Arial" w:cs="Arial"/>
          <w:bCs/>
          <w:spacing w:val="-2"/>
          <w:sz w:val="36"/>
          <w:szCs w:val="36"/>
        </w:rPr>
      </w:pPr>
    </w:p>
    <w:p w14:paraId="1DA0CE05" w14:textId="77777777" w:rsidR="00E66C27" w:rsidRDefault="00E66C27" w:rsidP="00E66C27">
      <w:pPr>
        <w:rPr>
          <w:rFonts w:ascii="Arial" w:hAnsi="Arial" w:cs="Arial"/>
          <w:bCs/>
          <w:spacing w:val="-2"/>
          <w:sz w:val="36"/>
          <w:szCs w:val="36"/>
        </w:rPr>
      </w:pPr>
    </w:p>
    <w:p w14:paraId="3D0C4B64" w14:textId="77777777" w:rsidR="00E66C27" w:rsidRPr="002B17EF" w:rsidRDefault="00E66C27" w:rsidP="00E66C27">
      <w:pPr>
        <w:rPr>
          <w:rFonts w:ascii="Arial" w:hAnsi="Arial" w:cs="Arial"/>
          <w:b/>
          <w:bCs/>
          <w:spacing w:val="-2"/>
          <w:sz w:val="36"/>
          <w:szCs w:val="36"/>
        </w:rPr>
      </w:pPr>
      <w:r w:rsidRPr="002B17EF">
        <w:rPr>
          <w:rFonts w:ascii="Arial" w:hAnsi="Arial" w:cs="Arial"/>
          <w:bCs/>
          <w:spacing w:val="-2"/>
          <w:sz w:val="36"/>
          <w:szCs w:val="36"/>
        </w:rPr>
        <w:t>Module</w:t>
      </w:r>
      <w:r w:rsidRPr="002B17EF">
        <w:rPr>
          <w:rFonts w:ascii="Arial" w:hAnsi="Arial" w:cs="Arial"/>
          <w:b/>
          <w:spacing w:val="-2"/>
          <w:sz w:val="36"/>
          <w:szCs w:val="36"/>
        </w:rPr>
        <w:t xml:space="preserve">: </w:t>
      </w:r>
      <w:r>
        <w:rPr>
          <w:rFonts w:ascii="Arial" w:hAnsi="Arial" w:cs="Arial"/>
          <w:b/>
          <w:bCs/>
          <w:spacing w:val="-2"/>
          <w:sz w:val="36"/>
          <w:szCs w:val="36"/>
        </w:rPr>
        <w:t xml:space="preserve">Project Management </w:t>
      </w:r>
    </w:p>
    <w:p w14:paraId="1BB5104D" w14:textId="77777777" w:rsidR="00E66C27" w:rsidRPr="002B17EF" w:rsidRDefault="00E66C27" w:rsidP="00E66C27">
      <w:pPr>
        <w:rPr>
          <w:rFonts w:ascii="Arial" w:hAnsi="Arial" w:cs="Arial"/>
          <w:b/>
          <w:bCs/>
          <w:spacing w:val="-5"/>
          <w:sz w:val="36"/>
          <w:szCs w:val="36"/>
        </w:rPr>
      </w:pPr>
      <w:r w:rsidRPr="002B17EF">
        <w:rPr>
          <w:rFonts w:ascii="Arial" w:hAnsi="Arial" w:cs="Arial"/>
          <w:spacing w:val="-5"/>
          <w:sz w:val="36"/>
          <w:szCs w:val="36"/>
        </w:rPr>
        <w:t>Student name and ID</w:t>
      </w:r>
      <w:r w:rsidRPr="002B17EF">
        <w:rPr>
          <w:rFonts w:ascii="Arial" w:hAnsi="Arial" w:cs="Arial"/>
          <w:b/>
          <w:bCs/>
          <w:spacing w:val="-5"/>
          <w:sz w:val="36"/>
          <w:szCs w:val="36"/>
        </w:rPr>
        <w:t>: Valentin Otelea/2410975</w:t>
      </w:r>
    </w:p>
    <w:p w14:paraId="0C3F0CB4" w14:textId="77777777" w:rsidR="00E66C27" w:rsidRDefault="00E66C27" w:rsidP="00E66C27">
      <w:pPr>
        <w:spacing w:line="360" w:lineRule="auto"/>
        <w:jc w:val="center"/>
        <w:rPr>
          <w:b/>
          <w:bCs/>
          <w:sz w:val="48"/>
          <w:szCs w:val="48"/>
        </w:rPr>
      </w:pPr>
    </w:p>
    <w:p w14:paraId="69D707BD" w14:textId="77777777" w:rsidR="00E66C27" w:rsidRDefault="00E66C27" w:rsidP="00E66C27">
      <w:pPr>
        <w:spacing w:line="360" w:lineRule="auto"/>
        <w:jc w:val="center"/>
        <w:rPr>
          <w:b/>
          <w:bCs/>
          <w:sz w:val="48"/>
          <w:szCs w:val="48"/>
        </w:rPr>
      </w:pPr>
    </w:p>
    <w:p w14:paraId="7950E042" w14:textId="77777777" w:rsidR="00E66C27" w:rsidRPr="00727F71" w:rsidRDefault="00E66C27" w:rsidP="00E66C27">
      <w:pPr>
        <w:spacing w:line="360" w:lineRule="auto"/>
        <w:jc w:val="center"/>
        <w:rPr>
          <w:b/>
          <w:bCs/>
          <w:sz w:val="48"/>
          <w:szCs w:val="48"/>
        </w:rPr>
      </w:pPr>
      <w:r w:rsidRPr="00727F71">
        <w:rPr>
          <w:b/>
          <w:bCs/>
          <w:sz w:val="48"/>
          <w:szCs w:val="48"/>
        </w:rPr>
        <w:t>Project Management Plan</w:t>
      </w:r>
    </w:p>
    <w:p w14:paraId="2EB834D2" w14:textId="77777777" w:rsidR="00E66C27" w:rsidRPr="00472EB2" w:rsidRDefault="00E66C27" w:rsidP="00E66C27">
      <w:pPr>
        <w:spacing w:line="240" w:lineRule="auto"/>
        <w:jc w:val="center"/>
        <w:rPr>
          <w:rFonts w:ascii="Times New Roman" w:hAnsi="Times New Roman" w:cs="Times New Roman"/>
          <w:i/>
          <w:iCs/>
          <w:sz w:val="36"/>
          <w:szCs w:val="36"/>
        </w:rPr>
      </w:pPr>
      <w:r w:rsidRPr="00472EB2">
        <w:rPr>
          <w:rFonts w:ascii="Times New Roman" w:hAnsi="Times New Roman" w:cs="Times New Roman"/>
          <w:i/>
          <w:iCs/>
          <w:sz w:val="36"/>
          <w:szCs w:val="36"/>
        </w:rPr>
        <w:t>Severn Corridor Resilient Transport Reconstruction</w:t>
      </w:r>
    </w:p>
    <w:p w14:paraId="6BCF250B" w14:textId="77777777" w:rsidR="00E66C27" w:rsidRDefault="00E66C27" w:rsidP="00E66C27">
      <w:pPr>
        <w:spacing w:line="240" w:lineRule="auto"/>
        <w:jc w:val="center"/>
        <w:rPr>
          <w:rFonts w:ascii="Times New Roman" w:hAnsi="Times New Roman" w:cs="Times New Roman"/>
          <w:sz w:val="32"/>
          <w:szCs w:val="32"/>
        </w:rPr>
      </w:pPr>
      <w:r w:rsidRPr="00727F71">
        <w:rPr>
          <w:rFonts w:ascii="Times New Roman" w:hAnsi="Times New Roman" w:cs="Times New Roman"/>
          <w:sz w:val="32"/>
          <w:szCs w:val="32"/>
        </w:rPr>
        <w:t>(West Midlands, July 2025)</w:t>
      </w:r>
    </w:p>
    <w:p w14:paraId="04CCFF26" w14:textId="77777777" w:rsidR="00E66C27" w:rsidRDefault="00E66C27" w:rsidP="00E66C27">
      <w:pPr>
        <w:spacing w:line="240" w:lineRule="auto"/>
        <w:jc w:val="center"/>
        <w:rPr>
          <w:rFonts w:ascii="Times New Roman" w:hAnsi="Times New Roman" w:cs="Times New Roman"/>
          <w:sz w:val="32"/>
          <w:szCs w:val="32"/>
        </w:rPr>
      </w:pPr>
    </w:p>
    <w:p w14:paraId="47651ADD" w14:textId="77777777" w:rsidR="00E66C27" w:rsidRDefault="00E66C27" w:rsidP="00E66C27">
      <w:pPr>
        <w:spacing w:line="240" w:lineRule="auto"/>
        <w:jc w:val="center"/>
        <w:rPr>
          <w:rFonts w:ascii="Times New Roman" w:hAnsi="Times New Roman" w:cs="Times New Roman"/>
          <w:sz w:val="32"/>
          <w:szCs w:val="32"/>
        </w:rPr>
      </w:pPr>
    </w:p>
    <w:p w14:paraId="0CC463C2" w14:textId="77777777" w:rsidR="00E66C27" w:rsidRDefault="00E66C27" w:rsidP="00E66C27">
      <w:pPr>
        <w:spacing w:line="240" w:lineRule="auto"/>
        <w:jc w:val="center"/>
        <w:rPr>
          <w:rFonts w:ascii="Times New Roman" w:hAnsi="Times New Roman" w:cs="Times New Roman"/>
          <w:sz w:val="32"/>
          <w:szCs w:val="32"/>
        </w:rPr>
      </w:pPr>
    </w:p>
    <w:p w14:paraId="6533CA4A" w14:textId="77777777" w:rsidR="00E66C27" w:rsidRDefault="00E66C27" w:rsidP="00E66C27">
      <w:pPr>
        <w:spacing w:line="240" w:lineRule="auto"/>
        <w:jc w:val="center"/>
        <w:rPr>
          <w:rFonts w:ascii="Times New Roman" w:hAnsi="Times New Roman" w:cs="Times New Roman"/>
          <w:sz w:val="32"/>
          <w:szCs w:val="32"/>
        </w:rPr>
      </w:pPr>
    </w:p>
    <w:p w14:paraId="0EE4574C" w14:textId="77777777" w:rsidR="00E66C27" w:rsidRDefault="00E66C27" w:rsidP="00E66C27">
      <w:pPr>
        <w:spacing w:line="240" w:lineRule="auto"/>
        <w:jc w:val="center"/>
        <w:rPr>
          <w:rFonts w:ascii="Times New Roman" w:hAnsi="Times New Roman" w:cs="Times New Roman"/>
          <w:sz w:val="32"/>
          <w:szCs w:val="32"/>
        </w:rPr>
      </w:pPr>
    </w:p>
    <w:p w14:paraId="68F5ACFD" w14:textId="77777777" w:rsidR="00E66C27" w:rsidRDefault="00E66C27" w:rsidP="00E66C27">
      <w:pPr>
        <w:spacing w:line="240" w:lineRule="auto"/>
        <w:jc w:val="center"/>
        <w:rPr>
          <w:rFonts w:ascii="Times New Roman" w:hAnsi="Times New Roman" w:cs="Times New Roman"/>
          <w:sz w:val="32"/>
          <w:szCs w:val="32"/>
        </w:rPr>
      </w:pPr>
    </w:p>
    <w:p w14:paraId="33FA5076" w14:textId="77777777" w:rsidR="00E66C27" w:rsidRPr="002B17EF" w:rsidRDefault="00E66C27" w:rsidP="00E66C27">
      <w:pPr>
        <w:rPr>
          <w:rFonts w:ascii="Arial" w:hAnsi="Arial" w:cs="Arial"/>
          <w:sz w:val="40"/>
          <w:szCs w:val="40"/>
        </w:rPr>
      </w:pPr>
      <w:r w:rsidRPr="002B17EF">
        <w:rPr>
          <w:rFonts w:ascii="Arial" w:hAnsi="Arial" w:cs="Arial"/>
          <w:bCs/>
          <w:sz w:val="40"/>
          <w:szCs w:val="40"/>
        </w:rPr>
        <w:t>Module</w:t>
      </w:r>
      <w:r w:rsidRPr="002B17EF">
        <w:rPr>
          <w:rFonts w:ascii="Arial" w:hAnsi="Arial" w:cs="Arial"/>
          <w:bCs/>
          <w:spacing w:val="-4"/>
          <w:sz w:val="40"/>
          <w:szCs w:val="40"/>
        </w:rPr>
        <w:t xml:space="preserve"> </w:t>
      </w:r>
      <w:r w:rsidRPr="002B17EF">
        <w:rPr>
          <w:rFonts w:ascii="Arial" w:hAnsi="Arial" w:cs="Arial"/>
          <w:bCs/>
          <w:spacing w:val="-2"/>
          <w:sz w:val="40"/>
          <w:szCs w:val="40"/>
        </w:rPr>
        <w:t>code:</w:t>
      </w:r>
      <w:r w:rsidRPr="002B17EF">
        <w:rPr>
          <w:rFonts w:ascii="Arial" w:hAnsi="Arial" w:cs="Arial"/>
          <w:b/>
          <w:spacing w:val="-2"/>
          <w:sz w:val="40"/>
          <w:szCs w:val="40"/>
        </w:rPr>
        <w:t xml:space="preserve"> </w:t>
      </w:r>
      <w:r w:rsidRPr="002B17EF">
        <w:rPr>
          <w:rFonts w:ascii="Arial" w:hAnsi="Arial" w:cs="Arial"/>
          <w:b/>
          <w:bCs/>
          <w:sz w:val="40"/>
          <w:szCs w:val="40"/>
        </w:rPr>
        <w:t>LCLM500</w:t>
      </w:r>
      <w:r>
        <w:rPr>
          <w:rFonts w:ascii="Arial" w:hAnsi="Arial" w:cs="Arial"/>
          <w:b/>
          <w:bCs/>
          <w:sz w:val="40"/>
          <w:szCs w:val="40"/>
        </w:rPr>
        <w:t>3</w:t>
      </w:r>
      <w:r w:rsidRPr="002B17EF">
        <w:rPr>
          <w:rFonts w:ascii="Arial" w:hAnsi="Arial" w:cs="Arial"/>
          <w:b/>
          <w:bCs/>
          <w:sz w:val="40"/>
          <w:szCs w:val="40"/>
        </w:rPr>
        <w:t>_BIRM</w:t>
      </w:r>
    </w:p>
    <w:p w14:paraId="24ED7D96" w14:textId="77777777" w:rsidR="00E66C27" w:rsidRDefault="00E66C27" w:rsidP="00E66C27">
      <w:pPr>
        <w:rPr>
          <w:rFonts w:ascii="Arial" w:hAnsi="Arial" w:cs="Arial"/>
          <w:b/>
          <w:spacing w:val="-2"/>
          <w:sz w:val="40"/>
          <w:szCs w:val="40"/>
        </w:rPr>
      </w:pPr>
      <w:r w:rsidRPr="002B17EF">
        <w:rPr>
          <w:rFonts w:ascii="Arial" w:hAnsi="Arial" w:cs="Arial"/>
          <w:bCs/>
          <w:spacing w:val="-2"/>
          <w:sz w:val="40"/>
          <w:szCs w:val="40"/>
        </w:rPr>
        <w:t>Lecture:</w:t>
      </w:r>
      <w:r w:rsidRPr="002B17EF">
        <w:rPr>
          <w:rFonts w:ascii="Arial" w:hAnsi="Arial" w:cs="Arial"/>
          <w:b/>
          <w:spacing w:val="-2"/>
          <w:sz w:val="40"/>
          <w:szCs w:val="40"/>
        </w:rPr>
        <w:t xml:space="preserve"> </w:t>
      </w:r>
      <w:r>
        <w:rPr>
          <w:rFonts w:ascii="Arial" w:hAnsi="Arial" w:cs="Arial"/>
          <w:b/>
          <w:spacing w:val="-2"/>
          <w:sz w:val="40"/>
          <w:szCs w:val="40"/>
        </w:rPr>
        <w:t>Samson Oladejo</w:t>
      </w:r>
    </w:p>
    <w:p w14:paraId="45F7983E" w14:textId="77777777" w:rsidR="00E66C27" w:rsidRDefault="00E66C27" w:rsidP="00E66C27">
      <w:pPr>
        <w:spacing w:line="240" w:lineRule="auto"/>
        <w:rPr>
          <w:rFonts w:ascii="Times New Roman" w:hAnsi="Times New Roman" w:cs="Times New Roman"/>
          <w:sz w:val="32"/>
          <w:szCs w:val="32"/>
        </w:rPr>
      </w:pPr>
    </w:p>
    <w:p w14:paraId="46985791" w14:textId="77777777" w:rsidR="00E66C27" w:rsidRPr="002946CC" w:rsidRDefault="00E66C27" w:rsidP="00E66C27">
      <w:pPr>
        <w:jc w:val="center"/>
        <w:rPr>
          <w:rFonts w:ascii="Times New Roman" w:hAnsi="Times New Roman" w:cs="Times New Roman"/>
          <w:b/>
          <w:bCs/>
          <w:sz w:val="36"/>
          <w:szCs w:val="36"/>
        </w:rPr>
      </w:pPr>
      <w:r>
        <w:rPr>
          <w:rFonts w:ascii="Times New Roman" w:hAnsi="Times New Roman" w:cs="Times New Roman"/>
          <w:sz w:val="32"/>
          <w:szCs w:val="32"/>
        </w:rPr>
        <w:br w:type="page"/>
      </w:r>
      <w:r w:rsidRPr="002946CC">
        <w:rPr>
          <w:rFonts w:ascii="Times New Roman" w:hAnsi="Times New Roman" w:cs="Times New Roman"/>
          <w:b/>
          <w:bCs/>
          <w:sz w:val="36"/>
          <w:szCs w:val="36"/>
        </w:rPr>
        <w:lastRenderedPageBreak/>
        <w:t>Executive Summary</w:t>
      </w:r>
    </w:p>
    <w:p w14:paraId="5D6435BB" w14:textId="77777777" w:rsidR="00E66C27" w:rsidRDefault="00E66C27" w:rsidP="00E66C27">
      <w:pPr>
        <w:spacing w:line="240" w:lineRule="auto"/>
        <w:rPr>
          <w:rFonts w:ascii="Times New Roman" w:hAnsi="Times New Roman" w:cs="Times New Roman"/>
        </w:rPr>
      </w:pPr>
    </w:p>
    <w:p w14:paraId="686E41E4" w14:textId="77777777" w:rsidR="00E66C27" w:rsidRDefault="00E66C27" w:rsidP="00E66C27">
      <w:pPr>
        <w:spacing w:line="240" w:lineRule="auto"/>
        <w:rPr>
          <w:rFonts w:ascii="Times New Roman" w:hAnsi="Times New Roman" w:cs="Times New Roman"/>
        </w:rPr>
      </w:pPr>
    </w:p>
    <w:p w14:paraId="68E2A470" w14:textId="77777777" w:rsidR="00E66C27" w:rsidRDefault="00E66C27" w:rsidP="00E66C27">
      <w:pPr>
        <w:spacing w:line="360" w:lineRule="auto"/>
        <w:rPr>
          <w:rFonts w:ascii="Times New Roman" w:hAnsi="Times New Roman" w:cs="Times New Roman"/>
        </w:rPr>
      </w:pPr>
      <w:r w:rsidRPr="00773BBC">
        <w:rPr>
          <w:rFonts w:ascii="Times New Roman" w:hAnsi="Times New Roman" w:cs="Times New Roman"/>
        </w:rPr>
        <w:t xml:space="preserve">In </w:t>
      </w:r>
      <w:r>
        <w:rPr>
          <w:rFonts w:ascii="Times New Roman" w:hAnsi="Times New Roman" w:cs="Times New Roman"/>
        </w:rPr>
        <w:t>July 2025, catastrophic flooding caused by extreme rainfall severely affected transport infrastructure across the West Midlands, including Worcester, Shrewsbury, and Kidderminster. The River Severn breached its flood defences, resulting in structural damage, transport disruption, and economic losses. This project proposes the reconstruction and flood resilient upgrade of the principal transport corridor to restore connectivity and improve infrastructure resilience.</w:t>
      </w:r>
    </w:p>
    <w:p w14:paraId="59CB4A02"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project aims to reconstruct damage infrastructure, strengthen structural components, improve drainages systems, end ensure long-term flood resilience. The project duration is 24 months with an estimated budget of £145 million.</w:t>
      </w:r>
    </w:p>
    <w:p w14:paraId="66E30917" w14:textId="77777777" w:rsidR="00E66C27" w:rsidRPr="00773BBC" w:rsidRDefault="00E66C27" w:rsidP="00E66C27">
      <w:pPr>
        <w:spacing w:line="360" w:lineRule="auto"/>
        <w:rPr>
          <w:rFonts w:ascii="Times New Roman" w:hAnsi="Times New Roman" w:cs="Times New Roman"/>
        </w:rPr>
      </w:pPr>
      <w:r>
        <w:rPr>
          <w:rFonts w:ascii="Times New Roman" w:hAnsi="Times New Roman" w:cs="Times New Roman"/>
        </w:rPr>
        <w:t xml:space="preserve">The project applies structured project management methodologies to ensure effective planning, stakeholder coordination, resource allocation, and risk management. Upon completion, the corridor will provide reliable and resilient transport connectivity, supporting economic recovery and improving regional infrastructure resilience. </w:t>
      </w:r>
    </w:p>
    <w:p w14:paraId="2EE09372" w14:textId="77777777" w:rsidR="00E66C27" w:rsidRPr="001D43AA" w:rsidRDefault="00E66C27" w:rsidP="00E66C27">
      <w:pPr>
        <w:spacing w:line="276" w:lineRule="auto"/>
        <w:jc w:val="both"/>
        <w:rPr>
          <w:rFonts w:ascii="Times New Roman" w:hAnsi="Times New Roman" w:cs="Times New Roman"/>
          <w:sz w:val="48"/>
          <w:szCs w:val="48"/>
          <w:lang w:val="en-US"/>
        </w:rPr>
      </w:pPr>
      <w:r>
        <w:rPr>
          <w:rFonts w:ascii="Times New Roman" w:hAnsi="Times New Roman" w:cs="Times New Roman"/>
          <w:sz w:val="32"/>
          <w:szCs w:val="32"/>
        </w:rPr>
        <w:br w:type="page"/>
      </w:r>
      <w:bookmarkStart w:id="0" w:name="_Hlk213836431"/>
      <w:r w:rsidRPr="001D43AA">
        <w:rPr>
          <w:rFonts w:ascii="Times New Roman" w:hAnsi="Times New Roman" w:cs="Times New Roman"/>
          <w:sz w:val="48"/>
          <w:szCs w:val="48"/>
          <w:lang w:val="en-US"/>
        </w:rPr>
        <w:lastRenderedPageBreak/>
        <w:t>Table of Contents</w:t>
      </w:r>
    </w:p>
    <w:p w14:paraId="788538F4" w14:textId="77777777" w:rsidR="00E66C27" w:rsidRDefault="00E66C27" w:rsidP="00E66C27">
      <w:pPr>
        <w:pStyle w:val="TOCHeading"/>
        <w:rPr>
          <w:rFonts w:ascii="Times New Roman" w:hAnsi="Times New Roman" w:cs="Times New Roman"/>
        </w:rPr>
      </w:pPr>
    </w:p>
    <w:p w14:paraId="29E6DFDA" w14:textId="77777777" w:rsidR="00E66C27" w:rsidRDefault="00E66C27" w:rsidP="00E66C27">
      <w:pPr>
        <w:rPr>
          <w:lang w:eastAsia="zh-CN"/>
        </w:rPr>
      </w:pPr>
    </w:p>
    <w:p w14:paraId="192687BD" w14:textId="77777777" w:rsidR="00E66C27" w:rsidRPr="00107838" w:rsidRDefault="00E66C27" w:rsidP="00E66C27">
      <w:pPr>
        <w:rPr>
          <w:lang w:eastAsia="zh-CN"/>
        </w:rPr>
      </w:pPr>
    </w:p>
    <w:p w14:paraId="76321375" w14:textId="754758C8" w:rsidR="00E66C27" w:rsidRPr="00107838" w:rsidRDefault="00E66C27" w:rsidP="00E66C27">
      <w:pPr>
        <w:pStyle w:val="ListParagraph"/>
        <w:numPr>
          <w:ilvl w:val="0"/>
          <w:numId w:val="3"/>
        </w:numPr>
        <w:spacing w:line="360" w:lineRule="auto"/>
        <w:rPr>
          <w:rFonts w:ascii="Times New Roman" w:hAnsi="Times New Roman" w:cs="Times New Roman"/>
          <w:sz w:val="32"/>
          <w:szCs w:val="32"/>
        </w:rPr>
      </w:pPr>
      <w:r w:rsidRPr="00107838">
        <w:rPr>
          <w:rFonts w:ascii="Times New Roman" w:hAnsi="Times New Roman" w:cs="Times New Roman"/>
          <w:sz w:val="32"/>
          <w:szCs w:val="32"/>
        </w:rPr>
        <w:t xml:space="preserve"> Introduction…………………………………………………. </w:t>
      </w:r>
      <w:r>
        <w:rPr>
          <w:rFonts w:ascii="Times New Roman" w:hAnsi="Times New Roman" w:cs="Times New Roman"/>
          <w:sz w:val="32"/>
          <w:szCs w:val="32"/>
        </w:rPr>
        <w:t>8</w:t>
      </w:r>
    </w:p>
    <w:p w14:paraId="7A215960" w14:textId="4006C2BD" w:rsidR="00E66C27" w:rsidRPr="00107838" w:rsidRDefault="00E66C27" w:rsidP="00E66C27">
      <w:pPr>
        <w:pStyle w:val="ListParagraph"/>
        <w:numPr>
          <w:ilvl w:val="0"/>
          <w:numId w:val="3"/>
        </w:numPr>
        <w:rPr>
          <w:rFonts w:ascii="Times New Roman" w:hAnsi="Times New Roman" w:cs="Times New Roman"/>
          <w:sz w:val="32"/>
          <w:szCs w:val="32"/>
          <w:lang w:eastAsia="zh-CN"/>
        </w:rPr>
      </w:pPr>
      <w:r w:rsidRPr="00107838">
        <w:rPr>
          <w:rFonts w:ascii="Times New Roman" w:hAnsi="Times New Roman" w:cs="Times New Roman"/>
          <w:sz w:val="32"/>
          <w:szCs w:val="32"/>
        </w:rPr>
        <w:t xml:space="preserve"> Project Description ……………..…………………………...</w:t>
      </w:r>
      <w:r>
        <w:rPr>
          <w:rFonts w:ascii="Times New Roman" w:hAnsi="Times New Roman" w:cs="Times New Roman"/>
          <w:sz w:val="32"/>
          <w:szCs w:val="32"/>
        </w:rPr>
        <w:t>9</w:t>
      </w:r>
      <w:r w:rsidRPr="00107838">
        <w:rPr>
          <w:rFonts w:ascii="Times New Roman" w:hAnsi="Times New Roman" w:cs="Times New Roman"/>
          <w:sz w:val="32"/>
          <w:szCs w:val="32"/>
        </w:rPr>
        <w:t xml:space="preserve">                                                                                                                   </w:t>
      </w:r>
    </w:p>
    <w:p w14:paraId="6C6EAB0A" w14:textId="5B2466BD" w:rsidR="00E66C27" w:rsidRPr="00107838" w:rsidRDefault="00E66C27" w:rsidP="00E66C27">
      <w:pPr>
        <w:ind w:left="360"/>
        <w:rPr>
          <w:rFonts w:ascii="Times New Roman" w:hAnsi="Times New Roman" w:cs="Times New Roman"/>
          <w:sz w:val="32"/>
          <w:szCs w:val="32"/>
          <w:lang w:eastAsia="zh-CN"/>
        </w:rPr>
      </w:pPr>
      <w:r w:rsidRPr="00107838">
        <w:rPr>
          <w:rFonts w:ascii="Times New Roman" w:hAnsi="Times New Roman" w:cs="Times New Roman"/>
          <w:sz w:val="32"/>
          <w:szCs w:val="32"/>
          <w:lang w:eastAsia="zh-CN"/>
        </w:rPr>
        <w:t xml:space="preserve">3.  Scope………………………………….……………………. </w:t>
      </w:r>
      <w:r>
        <w:rPr>
          <w:rFonts w:ascii="Times New Roman" w:hAnsi="Times New Roman" w:cs="Times New Roman"/>
          <w:sz w:val="32"/>
          <w:szCs w:val="32"/>
          <w:lang w:eastAsia="zh-CN"/>
        </w:rPr>
        <w:t>10</w:t>
      </w:r>
    </w:p>
    <w:p w14:paraId="6CA47F83" w14:textId="11213324" w:rsidR="00E66C27" w:rsidRPr="00107838" w:rsidRDefault="00E66C27" w:rsidP="00E66C27">
      <w:pPr>
        <w:ind w:left="360"/>
        <w:rPr>
          <w:rFonts w:ascii="Times New Roman" w:hAnsi="Times New Roman" w:cs="Times New Roman"/>
          <w:sz w:val="32"/>
          <w:szCs w:val="32"/>
          <w:lang w:eastAsia="zh-CN"/>
        </w:rPr>
      </w:pPr>
      <w:r w:rsidRPr="00107838">
        <w:rPr>
          <w:rFonts w:ascii="Times New Roman" w:hAnsi="Times New Roman" w:cs="Times New Roman"/>
          <w:sz w:val="32"/>
          <w:szCs w:val="32"/>
          <w:lang w:eastAsia="zh-CN"/>
        </w:rPr>
        <w:t xml:space="preserve">4.  Work Breakdown Structure ………………………………... </w:t>
      </w:r>
      <w:r>
        <w:rPr>
          <w:rFonts w:ascii="Times New Roman" w:hAnsi="Times New Roman" w:cs="Times New Roman"/>
          <w:sz w:val="32"/>
          <w:szCs w:val="32"/>
          <w:lang w:eastAsia="zh-CN"/>
        </w:rPr>
        <w:t>11</w:t>
      </w:r>
    </w:p>
    <w:p w14:paraId="7DBCBF8B" w14:textId="08964B14" w:rsidR="00E66C27" w:rsidRPr="00107838" w:rsidRDefault="00E66C27" w:rsidP="00E66C27">
      <w:pPr>
        <w:ind w:left="360"/>
        <w:rPr>
          <w:rFonts w:ascii="Times New Roman" w:hAnsi="Times New Roman" w:cs="Times New Roman"/>
          <w:sz w:val="32"/>
          <w:szCs w:val="32"/>
          <w:lang w:eastAsia="zh-CN"/>
        </w:rPr>
      </w:pPr>
      <w:r w:rsidRPr="00107838">
        <w:rPr>
          <w:rFonts w:ascii="Times New Roman" w:hAnsi="Times New Roman" w:cs="Times New Roman"/>
          <w:sz w:val="32"/>
          <w:szCs w:val="32"/>
          <w:lang w:eastAsia="zh-CN"/>
        </w:rPr>
        <w:t xml:space="preserve">5.  Quad Chart…………………………………………………. </w:t>
      </w:r>
      <w:r>
        <w:rPr>
          <w:rFonts w:ascii="Times New Roman" w:hAnsi="Times New Roman" w:cs="Times New Roman"/>
          <w:sz w:val="32"/>
          <w:szCs w:val="32"/>
          <w:lang w:eastAsia="zh-CN"/>
        </w:rPr>
        <w:t>12</w:t>
      </w:r>
    </w:p>
    <w:p w14:paraId="4D0D3A8C" w14:textId="3DDBE487" w:rsidR="00E66C27" w:rsidRPr="00107838" w:rsidRDefault="00E66C27" w:rsidP="00E66C27">
      <w:pPr>
        <w:ind w:left="360"/>
        <w:rPr>
          <w:rFonts w:ascii="Times New Roman" w:hAnsi="Times New Roman" w:cs="Times New Roman"/>
          <w:sz w:val="32"/>
          <w:szCs w:val="32"/>
          <w:lang w:eastAsia="zh-CN"/>
        </w:rPr>
      </w:pPr>
      <w:r w:rsidRPr="00107838">
        <w:rPr>
          <w:rFonts w:ascii="Times New Roman" w:hAnsi="Times New Roman" w:cs="Times New Roman"/>
          <w:sz w:val="32"/>
          <w:szCs w:val="32"/>
          <w:lang w:eastAsia="zh-CN"/>
        </w:rPr>
        <w:t>6. Gantt Chart……………………………...……………………</w:t>
      </w:r>
      <w:r>
        <w:rPr>
          <w:rFonts w:ascii="Times New Roman" w:hAnsi="Times New Roman" w:cs="Times New Roman"/>
          <w:sz w:val="32"/>
          <w:szCs w:val="32"/>
          <w:lang w:eastAsia="zh-CN"/>
        </w:rPr>
        <w:t>13</w:t>
      </w:r>
    </w:p>
    <w:p w14:paraId="0F8BDADD" w14:textId="73676420" w:rsidR="00E66C27" w:rsidRPr="00107838" w:rsidRDefault="00E66C27" w:rsidP="00E66C27">
      <w:pPr>
        <w:spacing w:line="360" w:lineRule="auto"/>
        <w:rPr>
          <w:rFonts w:ascii="Times New Roman" w:hAnsi="Times New Roman" w:cs="Times New Roman"/>
          <w:sz w:val="32"/>
          <w:szCs w:val="32"/>
        </w:rPr>
      </w:pPr>
      <w:r w:rsidRPr="00107838">
        <w:rPr>
          <w:rFonts w:ascii="Times New Roman" w:hAnsi="Times New Roman" w:cs="Times New Roman"/>
          <w:sz w:val="32"/>
          <w:szCs w:val="32"/>
          <w:lang w:eastAsia="zh-CN"/>
        </w:rPr>
        <w:t xml:space="preserve">    7. Stakeholder’s Involvement ………………………………</w:t>
      </w:r>
      <w:r w:rsidRPr="00107838">
        <w:rPr>
          <w:rFonts w:ascii="Times New Roman" w:hAnsi="Times New Roman" w:cs="Times New Roman"/>
          <w:sz w:val="32"/>
          <w:szCs w:val="32"/>
        </w:rPr>
        <w:t>…</w:t>
      </w:r>
      <w:r>
        <w:rPr>
          <w:rFonts w:ascii="Times New Roman" w:hAnsi="Times New Roman" w:cs="Times New Roman"/>
          <w:sz w:val="32"/>
          <w:szCs w:val="32"/>
        </w:rPr>
        <w:t>..15</w:t>
      </w:r>
    </w:p>
    <w:p w14:paraId="03580723" w14:textId="56F23A4D" w:rsidR="00E66C27" w:rsidRPr="00107838" w:rsidRDefault="00E66C27" w:rsidP="00E66C27">
      <w:pPr>
        <w:spacing w:line="360" w:lineRule="auto"/>
        <w:rPr>
          <w:rFonts w:ascii="Times New Roman" w:hAnsi="Times New Roman" w:cs="Times New Roman"/>
          <w:sz w:val="32"/>
          <w:szCs w:val="32"/>
        </w:rPr>
      </w:pPr>
      <w:r w:rsidRPr="00107838">
        <w:rPr>
          <w:rFonts w:ascii="Times New Roman" w:hAnsi="Times New Roman" w:cs="Times New Roman"/>
          <w:sz w:val="32"/>
          <w:szCs w:val="32"/>
        </w:rPr>
        <w:t xml:space="preserve">    8. Allocation of Resources……...…………………………….</w:t>
      </w:r>
      <w:r>
        <w:rPr>
          <w:rFonts w:ascii="Times New Roman" w:hAnsi="Times New Roman" w:cs="Times New Roman"/>
          <w:sz w:val="32"/>
          <w:szCs w:val="32"/>
        </w:rPr>
        <w:t>.</w:t>
      </w:r>
      <w:r w:rsidRPr="00107838">
        <w:rPr>
          <w:rFonts w:ascii="Times New Roman" w:hAnsi="Times New Roman" w:cs="Times New Roman"/>
          <w:sz w:val="32"/>
          <w:szCs w:val="32"/>
        </w:rPr>
        <w:t xml:space="preserve"> .1</w:t>
      </w:r>
      <w:r>
        <w:rPr>
          <w:rFonts w:ascii="Times New Roman" w:hAnsi="Times New Roman" w:cs="Times New Roman"/>
          <w:sz w:val="32"/>
          <w:szCs w:val="32"/>
        </w:rPr>
        <w:t>6</w:t>
      </w:r>
    </w:p>
    <w:p w14:paraId="63167BB1" w14:textId="5F3B82D3" w:rsidR="00E66C27" w:rsidRPr="00107838" w:rsidRDefault="00E66C27" w:rsidP="00E66C27">
      <w:pPr>
        <w:spacing w:line="360" w:lineRule="auto"/>
        <w:rPr>
          <w:rFonts w:ascii="Times New Roman" w:hAnsi="Times New Roman" w:cs="Times New Roman"/>
          <w:sz w:val="32"/>
          <w:szCs w:val="32"/>
        </w:rPr>
      </w:pPr>
      <w:r w:rsidRPr="00107838">
        <w:rPr>
          <w:rFonts w:ascii="Times New Roman" w:hAnsi="Times New Roman" w:cs="Times New Roman"/>
          <w:sz w:val="32"/>
          <w:szCs w:val="32"/>
        </w:rPr>
        <w:t xml:space="preserve">    9. Risk Analysis………………………………………………</w:t>
      </w:r>
      <w:r>
        <w:rPr>
          <w:rFonts w:ascii="Times New Roman" w:hAnsi="Times New Roman" w:cs="Times New Roman"/>
          <w:sz w:val="32"/>
          <w:szCs w:val="32"/>
        </w:rPr>
        <w:t>...</w:t>
      </w:r>
      <w:r w:rsidRPr="00107838">
        <w:rPr>
          <w:rFonts w:ascii="Times New Roman" w:hAnsi="Times New Roman" w:cs="Times New Roman"/>
          <w:sz w:val="32"/>
          <w:szCs w:val="32"/>
        </w:rPr>
        <w:t>1</w:t>
      </w:r>
      <w:r>
        <w:rPr>
          <w:rFonts w:ascii="Times New Roman" w:hAnsi="Times New Roman" w:cs="Times New Roman"/>
          <w:sz w:val="32"/>
          <w:szCs w:val="32"/>
        </w:rPr>
        <w:t>6</w:t>
      </w:r>
    </w:p>
    <w:p w14:paraId="7094150E" w14:textId="708FA103" w:rsidR="00E66C27" w:rsidRPr="00107838" w:rsidRDefault="00E66C27" w:rsidP="00E66C27">
      <w:pPr>
        <w:spacing w:line="360" w:lineRule="auto"/>
        <w:rPr>
          <w:rFonts w:ascii="Times New Roman" w:hAnsi="Times New Roman" w:cs="Times New Roman"/>
          <w:sz w:val="32"/>
          <w:szCs w:val="32"/>
        </w:rPr>
      </w:pPr>
      <w:r w:rsidRPr="00107838">
        <w:rPr>
          <w:rFonts w:ascii="Times New Roman" w:hAnsi="Times New Roman" w:cs="Times New Roman"/>
          <w:sz w:val="32"/>
          <w:szCs w:val="32"/>
        </w:rPr>
        <w:t xml:space="preserve">    10. Conclusion ………………………………………………</w:t>
      </w:r>
      <w:r>
        <w:rPr>
          <w:rFonts w:ascii="Times New Roman" w:hAnsi="Times New Roman" w:cs="Times New Roman"/>
          <w:sz w:val="32"/>
          <w:szCs w:val="32"/>
        </w:rPr>
        <w:t>.</w:t>
      </w:r>
      <w:r w:rsidRPr="00107838">
        <w:rPr>
          <w:rFonts w:ascii="Times New Roman" w:hAnsi="Times New Roman" w:cs="Times New Roman"/>
          <w:sz w:val="32"/>
          <w:szCs w:val="32"/>
        </w:rPr>
        <w:t>..</w:t>
      </w:r>
      <w:r>
        <w:rPr>
          <w:rFonts w:ascii="Times New Roman" w:hAnsi="Times New Roman" w:cs="Times New Roman"/>
          <w:sz w:val="32"/>
          <w:szCs w:val="32"/>
        </w:rPr>
        <w:t>17</w:t>
      </w:r>
    </w:p>
    <w:bookmarkEnd w:id="0"/>
    <w:p w14:paraId="7BF8BF88" w14:textId="7730C4AE" w:rsidR="00E66C27" w:rsidRPr="00107838" w:rsidRDefault="00E66C27" w:rsidP="00E66C27">
      <w:pPr>
        <w:spacing w:line="360" w:lineRule="auto"/>
        <w:rPr>
          <w:rFonts w:ascii="Times New Roman" w:hAnsi="Times New Roman" w:cs="Times New Roman"/>
          <w:sz w:val="32"/>
          <w:szCs w:val="32"/>
        </w:rPr>
      </w:pPr>
      <w:r w:rsidRPr="00107838">
        <w:rPr>
          <w:rFonts w:ascii="Times New Roman" w:hAnsi="Times New Roman" w:cs="Times New Roman"/>
          <w:sz w:val="32"/>
          <w:szCs w:val="32"/>
        </w:rPr>
        <w:t xml:space="preserve">    11. Reference List……………………………………………. 1</w:t>
      </w:r>
      <w:r>
        <w:rPr>
          <w:rFonts w:ascii="Times New Roman" w:hAnsi="Times New Roman" w:cs="Times New Roman"/>
          <w:sz w:val="32"/>
          <w:szCs w:val="32"/>
        </w:rPr>
        <w:t>8</w:t>
      </w:r>
    </w:p>
    <w:p w14:paraId="10D8B194" w14:textId="77777777" w:rsidR="00E66C27" w:rsidRPr="001D43AA" w:rsidRDefault="00E66C27" w:rsidP="00E66C27">
      <w:pPr>
        <w:spacing w:line="360" w:lineRule="auto"/>
        <w:rPr>
          <w:rFonts w:ascii="Times New Roman" w:hAnsi="Times New Roman" w:cs="Times New Roman"/>
          <w:sz w:val="32"/>
          <w:szCs w:val="32"/>
        </w:rPr>
      </w:pPr>
    </w:p>
    <w:p w14:paraId="64214744" w14:textId="77777777" w:rsidR="00E66C27" w:rsidRDefault="00E66C27" w:rsidP="00E66C27">
      <w:pPr>
        <w:rPr>
          <w:rFonts w:ascii="Times New Roman" w:hAnsi="Times New Roman" w:cs="Times New Roman"/>
          <w:sz w:val="32"/>
          <w:szCs w:val="32"/>
        </w:rPr>
      </w:pPr>
    </w:p>
    <w:p w14:paraId="6BB7E700" w14:textId="77777777" w:rsidR="00E66C27" w:rsidRDefault="00E66C27" w:rsidP="00E66C27">
      <w:pPr>
        <w:spacing w:line="240" w:lineRule="auto"/>
        <w:rPr>
          <w:rFonts w:ascii="Times New Roman" w:hAnsi="Times New Roman" w:cs="Times New Roman"/>
          <w:sz w:val="32"/>
          <w:szCs w:val="32"/>
        </w:rPr>
      </w:pPr>
    </w:p>
    <w:p w14:paraId="0925C90A" w14:textId="77777777" w:rsidR="00E66C27" w:rsidRDefault="00E66C27" w:rsidP="00E66C27">
      <w:pPr>
        <w:spacing w:line="240" w:lineRule="auto"/>
        <w:jc w:val="center"/>
        <w:rPr>
          <w:rFonts w:ascii="Times New Roman" w:hAnsi="Times New Roman" w:cs="Times New Roman"/>
          <w:sz w:val="32"/>
          <w:szCs w:val="32"/>
        </w:rPr>
      </w:pPr>
    </w:p>
    <w:p w14:paraId="099E369D" w14:textId="77777777" w:rsidR="00E66C27" w:rsidRDefault="00E66C27" w:rsidP="00E66C27">
      <w:pPr>
        <w:spacing w:line="240" w:lineRule="auto"/>
        <w:rPr>
          <w:rFonts w:ascii="Times New Roman" w:hAnsi="Times New Roman" w:cs="Times New Roman"/>
        </w:rPr>
      </w:pPr>
    </w:p>
    <w:p w14:paraId="15A1DE6F" w14:textId="77777777" w:rsidR="00E66C27" w:rsidRDefault="00E66C27" w:rsidP="00E66C27">
      <w:pPr>
        <w:spacing w:line="240" w:lineRule="auto"/>
        <w:rPr>
          <w:rFonts w:ascii="Times New Roman" w:hAnsi="Times New Roman" w:cs="Times New Roman"/>
        </w:rPr>
      </w:pPr>
    </w:p>
    <w:p w14:paraId="7DDF010B" w14:textId="77777777" w:rsidR="00E66C27" w:rsidRDefault="00E66C27" w:rsidP="00E66C27">
      <w:pPr>
        <w:spacing w:line="240" w:lineRule="auto"/>
        <w:rPr>
          <w:rFonts w:ascii="Times New Roman" w:hAnsi="Times New Roman" w:cs="Times New Roman"/>
        </w:rPr>
      </w:pPr>
    </w:p>
    <w:p w14:paraId="6F37F017" w14:textId="77777777" w:rsidR="00E66C27" w:rsidRDefault="00E66C27" w:rsidP="00E66C27">
      <w:pPr>
        <w:spacing w:line="240" w:lineRule="auto"/>
        <w:rPr>
          <w:rFonts w:ascii="Times New Roman" w:hAnsi="Times New Roman" w:cs="Times New Roman"/>
        </w:rPr>
      </w:pPr>
    </w:p>
    <w:p w14:paraId="50028E2D" w14:textId="77777777" w:rsidR="00E66C27" w:rsidRDefault="00E66C27" w:rsidP="00E66C27">
      <w:pPr>
        <w:spacing w:line="240" w:lineRule="auto"/>
        <w:rPr>
          <w:rFonts w:ascii="Times New Roman" w:hAnsi="Times New Roman" w:cs="Times New Roman"/>
        </w:rPr>
      </w:pPr>
    </w:p>
    <w:p w14:paraId="0D153CE0" w14:textId="77777777" w:rsidR="00E66C27" w:rsidRDefault="00E66C27" w:rsidP="00E66C27">
      <w:pPr>
        <w:spacing w:line="240" w:lineRule="auto"/>
        <w:rPr>
          <w:rFonts w:ascii="Times New Roman" w:hAnsi="Times New Roman" w:cs="Times New Roman"/>
        </w:rPr>
      </w:pPr>
    </w:p>
    <w:p w14:paraId="02CD1FC4" w14:textId="77777777" w:rsidR="00E66C27" w:rsidRDefault="00E66C27" w:rsidP="00E66C27">
      <w:pPr>
        <w:spacing w:line="240" w:lineRule="auto"/>
        <w:rPr>
          <w:rFonts w:ascii="Times New Roman" w:hAnsi="Times New Roman" w:cs="Times New Roman"/>
        </w:rPr>
      </w:pPr>
    </w:p>
    <w:p w14:paraId="12485322" w14:textId="77777777" w:rsidR="00E66C27" w:rsidRPr="00165F18" w:rsidRDefault="00E66C27" w:rsidP="00E66C27">
      <w:pPr>
        <w:pStyle w:val="ListParagraph"/>
        <w:numPr>
          <w:ilvl w:val="0"/>
          <w:numId w:val="1"/>
        </w:numPr>
        <w:spacing w:line="360" w:lineRule="auto"/>
        <w:rPr>
          <w:rFonts w:ascii="Times New Roman" w:hAnsi="Times New Roman" w:cs="Times New Roman"/>
          <w:b/>
          <w:bCs/>
          <w:sz w:val="36"/>
          <w:szCs w:val="36"/>
        </w:rPr>
      </w:pPr>
      <w:r w:rsidRPr="00165F18">
        <w:rPr>
          <w:rFonts w:ascii="Times New Roman" w:hAnsi="Times New Roman" w:cs="Times New Roman"/>
          <w:b/>
          <w:bCs/>
          <w:sz w:val="36"/>
          <w:szCs w:val="36"/>
        </w:rPr>
        <w:t>Introduction</w:t>
      </w:r>
    </w:p>
    <w:p w14:paraId="7BAA0A47" w14:textId="77777777" w:rsidR="00E66C27" w:rsidRPr="00165F18" w:rsidRDefault="00E66C27" w:rsidP="00E66C27">
      <w:pPr>
        <w:spacing w:line="360" w:lineRule="auto"/>
        <w:rPr>
          <w:rFonts w:ascii="Times New Roman" w:hAnsi="Times New Roman" w:cs="Times New Roman"/>
          <w:b/>
          <w:bCs/>
          <w:sz w:val="32"/>
          <w:szCs w:val="32"/>
        </w:rPr>
      </w:pPr>
    </w:p>
    <w:p w14:paraId="45594F36"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In July 2025, extreme rainfall caused by an unusual Atlantic weather system resulted in catastrophic flooding across several towns in the West Midlands, including Worcester, Shrewsbury, and Kidderminster. The River Severn reached critical levels and breached its flood defences in multiple locations. As a result, major transport routes were submerged, structural components were weakened, and access to essential services was severely disrupted. The flooding caused widespread damage to roads, bridges, drainage systems, and supporting infrastructure, significantly affecting economic activity, emergency response capabilities, and community mobility. Transport infrastructure represents a critical component of regional resilience and economic continuity. The principal transport corridor connecting Worcester, Shrewsbury, and Kidderminster serves as a key route for the movement of goods, commuters, and emergency services. Its failure has created logistical bottlenecks, economic losses, and delay in recovery efforts. The scale of infrastructure damage requires a structured and coordinated reconstruction effort supported by effective project management practices.</w:t>
      </w:r>
    </w:p>
    <w:p w14:paraId="0E40A98E"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Infrastructure reconstruction following a disaster must therefore go beyond simple restoration. A reactive approach that rebuilds assets to their previous condition risks repeated failure under similar circumstances. Contemporary infrastructure management promotes resilience-based reconstruction, which integrates adaptive design, climate forecasting, and risk-informed engineering decisions. Within this context, the Severn corridor reconstruction project represents not only a recovery initiative but also a strategic resilience investment design to reduce long-term regional vulnerability. Effective project management plays a critical role in delivering such complex reconstruction initiatives. Pos-disaster environments are characterised by uncertainty, resource constraints, and heightened stakeholder expectations. Structured planning, governance, and risk control mechanisms are therefore essential to ensure that recovery objectives are achieved within defined time and cost parameters.</w:t>
      </w:r>
    </w:p>
    <w:p w14:paraId="61B56561"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This Project Management Plan presents a comprehensive framework for reconstructing and upgrading the principal transport corridor along the River Severn to restore functionality and improve long-term resilience against future flooding events. The plan defines the project </w:t>
      </w:r>
      <w:r>
        <w:rPr>
          <w:rFonts w:ascii="Times New Roman" w:hAnsi="Times New Roman" w:cs="Times New Roman"/>
        </w:rPr>
        <w:lastRenderedPageBreak/>
        <w:t>scope, structure, timeline, stakeholder engagement, resource allocation, and risk management strategies necessary to ensure successful delivery. The project applies recognised project management principles to ensure efficient coordination, cost control, and timely completion.</w:t>
      </w:r>
    </w:p>
    <w:p w14:paraId="06FF2E4E" w14:textId="77777777" w:rsidR="00E66C27" w:rsidRDefault="00E66C27" w:rsidP="00E66C27">
      <w:pPr>
        <w:spacing w:line="360" w:lineRule="auto"/>
        <w:rPr>
          <w:rFonts w:ascii="Times New Roman" w:hAnsi="Times New Roman" w:cs="Times New Roman"/>
        </w:rPr>
      </w:pPr>
    </w:p>
    <w:p w14:paraId="06A027AD" w14:textId="77777777" w:rsidR="00E66C27" w:rsidRDefault="00E66C27" w:rsidP="00E66C27">
      <w:pPr>
        <w:spacing w:line="360" w:lineRule="auto"/>
        <w:rPr>
          <w:rFonts w:ascii="Times New Roman" w:hAnsi="Times New Roman" w:cs="Times New Roman"/>
        </w:rPr>
      </w:pPr>
    </w:p>
    <w:p w14:paraId="491EDA4F"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842465">
        <w:rPr>
          <w:rFonts w:ascii="Times New Roman" w:hAnsi="Times New Roman" w:cs="Times New Roman"/>
          <w:b/>
          <w:bCs/>
          <w:sz w:val="36"/>
          <w:szCs w:val="36"/>
        </w:rPr>
        <w:t>Project Description</w:t>
      </w:r>
    </w:p>
    <w:p w14:paraId="3FA9E6F6" w14:textId="77777777" w:rsidR="00E66C27" w:rsidRPr="007F22B1" w:rsidRDefault="00E66C27" w:rsidP="00E66C27">
      <w:pPr>
        <w:spacing w:line="360" w:lineRule="auto"/>
        <w:rPr>
          <w:rFonts w:ascii="Times New Roman" w:hAnsi="Times New Roman" w:cs="Times New Roman"/>
          <w:b/>
          <w:bCs/>
          <w:sz w:val="36"/>
          <w:szCs w:val="36"/>
        </w:rPr>
      </w:pPr>
    </w:p>
    <w:p w14:paraId="740E322C" w14:textId="77777777" w:rsidR="00E66C27" w:rsidRPr="007F22B1" w:rsidRDefault="00E66C27" w:rsidP="00E66C27">
      <w:pPr>
        <w:spacing w:line="360" w:lineRule="auto"/>
        <w:rPr>
          <w:rFonts w:ascii="Times New Roman" w:hAnsi="Times New Roman" w:cs="Times New Roman"/>
        </w:rPr>
      </w:pPr>
      <w:r>
        <w:rPr>
          <w:rFonts w:ascii="Times New Roman" w:hAnsi="Times New Roman" w:cs="Times New Roman"/>
        </w:rPr>
        <w:t>“</w:t>
      </w:r>
      <w:r w:rsidRPr="007F22B1">
        <w:rPr>
          <w:rFonts w:ascii="Times New Roman" w:hAnsi="Times New Roman" w:cs="Times New Roman"/>
        </w:rPr>
        <w:t>Project management is “the application of knowledge, skills, tools and techniques to project activities to meet the project requirements.” Project managers must not only strive to meet specific scope, schedule, cost, resource, risk, and quality requirements of projects, they must also facilitate the entire process to meet the needs and expectations of the people involved in or affected by project activities</w:t>
      </w:r>
      <w:r>
        <w:rPr>
          <w:rFonts w:ascii="Times New Roman" w:hAnsi="Times New Roman" w:cs="Times New Roman"/>
        </w:rPr>
        <w:t>.” (</w:t>
      </w:r>
      <w:r w:rsidRPr="007F22B1">
        <w:rPr>
          <w:rFonts w:ascii="Times New Roman" w:hAnsi="Times New Roman" w:cs="Times New Roman"/>
        </w:rPr>
        <w:t>Schwalbe</w:t>
      </w:r>
      <w:r>
        <w:rPr>
          <w:rFonts w:ascii="Times New Roman" w:hAnsi="Times New Roman" w:cs="Times New Roman"/>
        </w:rPr>
        <w:t>, 2009)</w:t>
      </w:r>
    </w:p>
    <w:p w14:paraId="5FA7B4C6" w14:textId="407F23F8" w:rsidR="00E66C27" w:rsidRDefault="00E66C27" w:rsidP="00E66C27">
      <w:pPr>
        <w:spacing w:line="360" w:lineRule="auto"/>
        <w:rPr>
          <w:rFonts w:ascii="Times New Roman" w:hAnsi="Times New Roman" w:cs="Times New Roman"/>
        </w:rPr>
      </w:pPr>
      <w:r>
        <w:rPr>
          <w:rFonts w:ascii="Times New Roman" w:hAnsi="Times New Roman" w:cs="Times New Roman"/>
        </w:rPr>
        <w:t>The Severn Corridor Resilient Transport Reconstruction Project aims to restore and enhance the primary transport route connecting Worcester, Shrewsbury, and Kidderminster following the severe flood damage of July 2025. The project focuses not only on restoring infrastructure functionality but also on improving resilience to future flooding through engineering upgrades and flood mitigation measures. The primary objective of this project is to reconstruct damaged sections of the corridor and ensure that the route meets modern engineering and flood resilience standards. The project also seeks to strengthen structural components, improve drainage systems, and elevate vulnerable sections of the road to reduce the likelihood of future disruption. Restoring this corridor is essential to support regional economic recovery, facilitate emergency service access, and improve public safety.</w:t>
      </w:r>
      <w:r w:rsidR="003505AB">
        <w:rPr>
          <w:rFonts w:ascii="Times New Roman" w:hAnsi="Times New Roman" w:cs="Times New Roman"/>
        </w:rPr>
        <w:t xml:space="preserve"> </w:t>
      </w:r>
    </w:p>
    <w:p w14:paraId="0706EE09" w14:textId="17579733" w:rsidR="003505AB" w:rsidRDefault="003505AB" w:rsidP="00E66C27">
      <w:pPr>
        <w:spacing w:line="360" w:lineRule="auto"/>
        <w:rPr>
          <w:rFonts w:ascii="Times New Roman" w:hAnsi="Times New Roman" w:cs="Times New Roman"/>
        </w:rPr>
      </w:pPr>
      <w:r>
        <w:rPr>
          <w:rFonts w:ascii="Times New Roman" w:hAnsi="Times New Roman" w:cs="Times New Roman"/>
        </w:rPr>
        <w:t xml:space="preserve">Reinforced concrete structures are selected due to their durability under prolonged water exposure and reduced maintenance requirements. </w:t>
      </w:r>
      <w:r>
        <w:rPr>
          <w:rFonts w:ascii="Times New Roman" w:hAnsi="Times New Roman" w:cs="Times New Roman"/>
        </w:rPr>
        <w:t>In addition, the integration of sustainable drainage systems, including permeable surfaces and controlled runoff channels, reduces surface water accumulation and minimises pressure on existing drainage networks. This combination of structural reinforcement</w:t>
      </w:r>
      <w:r w:rsidR="00757001">
        <w:rPr>
          <w:rFonts w:ascii="Times New Roman" w:hAnsi="Times New Roman" w:cs="Times New Roman"/>
        </w:rPr>
        <w:t xml:space="preserve"> and adaptive design ensures that the reconstructed corridor performs effectively under both current and future environmental conditions (</w:t>
      </w:r>
      <w:r w:rsidR="00757001" w:rsidRPr="00757001">
        <w:rPr>
          <w:rFonts w:ascii="Times New Roman" w:hAnsi="Times New Roman" w:cs="Times New Roman"/>
        </w:rPr>
        <w:t>Scholz,</w:t>
      </w:r>
      <w:r w:rsidR="00757001">
        <w:rPr>
          <w:rFonts w:ascii="Times New Roman" w:hAnsi="Times New Roman" w:cs="Times New Roman"/>
        </w:rPr>
        <w:t xml:space="preserve"> </w:t>
      </w:r>
      <w:r w:rsidR="00757001" w:rsidRPr="00757001">
        <w:rPr>
          <w:rFonts w:ascii="Times New Roman" w:hAnsi="Times New Roman" w:cs="Times New Roman"/>
        </w:rPr>
        <w:t>2015</w:t>
      </w:r>
      <w:r w:rsidR="00757001">
        <w:rPr>
          <w:rFonts w:ascii="Times New Roman" w:hAnsi="Times New Roman" w:cs="Times New Roman"/>
        </w:rPr>
        <w:t>)</w:t>
      </w:r>
      <w:r w:rsidR="00757001">
        <w:rPr>
          <w:rFonts w:ascii="Times New Roman" w:hAnsi="Times New Roman" w:cs="Times New Roman"/>
        </w:rPr>
        <w:t>.</w:t>
      </w:r>
    </w:p>
    <w:p w14:paraId="316D1303" w14:textId="77777777" w:rsidR="003505AB" w:rsidRDefault="00E66C27" w:rsidP="00E66C27">
      <w:pPr>
        <w:spacing w:line="360" w:lineRule="auto"/>
        <w:rPr>
          <w:rFonts w:ascii="Times New Roman" w:hAnsi="Times New Roman" w:cs="Times New Roman"/>
        </w:rPr>
      </w:pPr>
      <w:r>
        <w:rPr>
          <w:rFonts w:ascii="Times New Roman" w:hAnsi="Times New Roman" w:cs="Times New Roman"/>
        </w:rPr>
        <w:lastRenderedPageBreak/>
        <w:t>The project involves multiple phases, including initial assessment, engineering design, procurement, construction, testing, and commissioning. Engineering surveys and hydrological assessments will identify the extent of structural damage and determine appropriate reconstruction methods. The design phase will incorporate flood-resistant engineering solutions, including reinforced foundations, elevated embankments, and improved drainage capacity. The construction phase will involve demolition of irreparable sections, reconstruction of structural components, and installation of protective infrastructure. The final phase will include safety inspections and certification to ensure compliance with engineering and regulatory requirements.</w:t>
      </w:r>
    </w:p>
    <w:p w14:paraId="017D6A23" w14:textId="3613D206" w:rsidR="00E66C27" w:rsidRDefault="00E66C27" w:rsidP="00E66C27">
      <w:pPr>
        <w:spacing w:line="360" w:lineRule="auto"/>
        <w:rPr>
          <w:rFonts w:ascii="Times New Roman" w:hAnsi="Times New Roman" w:cs="Times New Roman"/>
        </w:rPr>
      </w:pPr>
      <w:r>
        <w:rPr>
          <w:rFonts w:ascii="Times New Roman" w:hAnsi="Times New Roman" w:cs="Times New Roman"/>
        </w:rPr>
        <w:t>The project is expected to be completed over a 24-month period, beginning in August 2025 and concluding in July 2027. Upon completion, the transport corridor will be fully operational and capable of withstanding severe flood conditions, ensuring long-term reliability and safety.</w:t>
      </w:r>
    </w:p>
    <w:p w14:paraId="435D723E" w14:textId="77777777" w:rsidR="00E66C27" w:rsidRDefault="00E66C27" w:rsidP="00E66C27">
      <w:pPr>
        <w:spacing w:line="360" w:lineRule="auto"/>
        <w:rPr>
          <w:rFonts w:ascii="Times New Roman" w:hAnsi="Times New Roman" w:cs="Times New Roman"/>
        </w:rPr>
      </w:pPr>
      <w:r>
        <w:rPr>
          <w:rFonts w:ascii="Times New Roman" w:hAnsi="Times New Roman" w:cs="Times New Roman"/>
          <w:noProof/>
        </w:rPr>
        <w:drawing>
          <wp:inline distT="0" distB="0" distL="0" distR="0" wp14:anchorId="164BE666" wp14:editId="78D296A0">
            <wp:extent cx="2903220" cy="2185663"/>
            <wp:effectExtent l="0" t="0" r="0" b="5715"/>
            <wp:docPr id="2063457959" name="Picture 1" descr="A diagram of a typical project constrai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57959" name="Picture 1" descr="A diagram of a typical project constraint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10247" cy="2190954"/>
                    </a:xfrm>
                    <a:prstGeom prst="rect">
                      <a:avLst/>
                    </a:prstGeom>
                  </pic:spPr>
                </pic:pic>
              </a:graphicData>
            </a:graphic>
          </wp:inline>
        </w:drawing>
      </w:r>
    </w:p>
    <w:p w14:paraId="72F490D5"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Figure 1. – Typical project constraints</w:t>
      </w:r>
    </w:p>
    <w:p w14:paraId="2B653EA8" w14:textId="77777777" w:rsidR="00E66C27" w:rsidRDefault="00E66C27" w:rsidP="00E66C27">
      <w:pPr>
        <w:spacing w:line="360" w:lineRule="auto"/>
        <w:rPr>
          <w:rFonts w:ascii="Times New Roman" w:hAnsi="Times New Roman" w:cs="Times New Roman"/>
        </w:rPr>
      </w:pPr>
    </w:p>
    <w:p w14:paraId="66216F7F"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472EB2">
        <w:rPr>
          <w:rFonts w:ascii="Times New Roman" w:hAnsi="Times New Roman" w:cs="Times New Roman"/>
          <w:b/>
          <w:bCs/>
          <w:sz w:val="36"/>
          <w:szCs w:val="36"/>
        </w:rPr>
        <w:t>Scope</w:t>
      </w:r>
    </w:p>
    <w:p w14:paraId="2BBF4B62" w14:textId="77777777" w:rsidR="00E66C27" w:rsidRPr="002946CC" w:rsidRDefault="00E66C27" w:rsidP="00E66C27">
      <w:pPr>
        <w:spacing w:line="360" w:lineRule="auto"/>
        <w:rPr>
          <w:rFonts w:ascii="Times New Roman" w:hAnsi="Times New Roman" w:cs="Times New Roman"/>
          <w:b/>
          <w:bCs/>
          <w:sz w:val="36"/>
          <w:szCs w:val="36"/>
        </w:rPr>
      </w:pPr>
    </w:p>
    <w:p w14:paraId="64BBA5D2"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The scope of the Severn Corridor Resilient Transport Reconstruction Project defines the boundaries of the work required to restore and upgrade the transport corridor. The project includes structural assessments of damaged infrastructure, demolition of unsafe sections, reconstruction of road foundations, reinforcement of bridge structures, installation of advanced drainage systems, and elevation of vulnerable sections of the route. These activities </w:t>
      </w:r>
      <w:r>
        <w:rPr>
          <w:rFonts w:ascii="Times New Roman" w:hAnsi="Times New Roman" w:cs="Times New Roman"/>
        </w:rPr>
        <w:lastRenderedPageBreak/>
        <w:t>are necessary to ensure structural integrity and resilience against future flooding events. The project also includes engineering design, procurement of materials, construction management, testing, and commissioning. Environmental assessments and regulatory compliance activities are incorporated to ensure that reconstruction work meets environmental protection requirements and engineering standards (</w:t>
      </w:r>
      <w:r w:rsidRPr="00465C6A">
        <w:rPr>
          <w:rFonts w:ascii="Times New Roman" w:hAnsi="Times New Roman" w:cs="Times New Roman"/>
        </w:rPr>
        <w:t>Khrutba</w:t>
      </w:r>
      <w:r>
        <w:rPr>
          <w:rFonts w:ascii="Times New Roman" w:hAnsi="Times New Roman" w:cs="Times New Roman"/>
        </w:rPr>
        <w:t>, et al.,2021).</w:t>
      </w:r>
    </w:p>
    <w:p w14:paraId="0DD56479"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Certain activities fall outside the scope of this project. Reconstruction of private residential properties, compensation administration, and infrastructure unrelated to the principal corridor are excluded. River management activities beyond the immediate corridor area are also excluded, as they fall under the responsibility of separate authorities. </w:t>
      </w:r>
    </w:p>
    <w:p w14:paraId="4E7C411C"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primary deliverable of the project is a fully reconstructed and operational transport corridor that meets safety, engineering, and flood resistance standards. Additional deliverables include engineering certification, safety approval documentation, and operational readiness verification.</w:t>
      </w:r>
    </w:p>
    <w:p w14:paraId="0FDAB022"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Clear scope definition is essential in post-disaster reconstruction project due to the high risk of scope creep. Fallowing major flooding events, stakeholders often request additional improvements, aesthetic upgrades, or expansion works beyond the original reconstruction objectives. Without strict scope control mechanisms, such additions can lead to budget overruns and schedule delays (</w:t>
      </w:r>
      <w:r w:rsidRPr="000E6D39">
        <w:rPr>
          <w:rFonts w:ascii="Times New Roman" w:hAnsi="Times New Roman" w:cs="Times New Roman"/>
        </w:rPr>
        <w:t>Derenskaya</w:t>
      </w:r>
      <w:r>
        <w:rPr>
          <w:rFonts w:ascii="Times New Roman" w:hAnsi="Times New Roman" w:cs="Times New Roman"/>
        </w:rPr>
        <w:t>,2018). To prevent uncontrolled expansion, the project establishes a formal change control process. Any proposed modification must be documented, assessed for cost and schedule implications, and approved through a governance structure before implementation (Khan, 2006). This structure approach ensures alignment between stakeholder expectations and project constraints.</w:t>
      </w:r>
    </w:p>
    <w:p w14:paraId="53A3BD7A" w14:textId="77777777" w:rsidR="00E66C27" w:rsidRDefault="00E66C27" w:rsidP="00E66C27">
      <w:pPr>
        <w:spacing w:line="360" w:lineRule="auto"/>
        <w:rPr>
          <w:rFonts w:ascii="Times New Roman" w:hAnsi="Times New Roman" w:cs="Times New Roman"/>
        </w:rPr>
      </w:pPr>
    </w:p>
    <w:p w14:paraId="4BA8C2D8"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790D69">
        <w:rPr>
          <w:rFonts w:ascii="Times New Roman" w:hAnsi="Times New Roman" w:cs="Times New Roman"/>
          <w:b/>
          <w:bCs/>
          <w:sz w:val="36"/>
          <w:szCs w:val="36"/>
        </w:rPr>
        <w:t>Work Breakdown Structure</w:t>
      </w:r>
    </w:p>
    <w:p w14:paraId="2447A3EC" w14:textId="77777777" w:rsidR="00E66C27" w:rsidRPr="002946CC" w:rsidRDefault="00E66C27" w:rsidP="00E66C27">
      <w:pPr>
        <w:spacing w:line="360" w:lineRule="auto"/>
        <w:rPr>
          <w:rFonts w:ascii="Times New Roman" w:hAnsi="Times New Roman" w:cs="Times New Roman"/>
          <w:b/>
          <w:bCs/>
          <w:sz w:val="36"/>
          <w:szCs w:val="36"/>
        </w:rPr>
      </w:pPr>
    </w:p>
    <w:p w14:paraId="6B686B33" w14:textId="77777777" w:rsidR="00E66C27" w:rsidRPr="004217C7" w:rsidRDefault="00E66C27" w:rsidP="00E66C27">
      <w:pPr>
        <w:spacing w:line="360" w:lineRule="auto"/>
        <w:rPr>
          <w:rFonts w:ascii="Times New Roman" w:hAnsi="Times New Roman" w:cs="Times New Roman"/>
          <w:b/>
          <w:bCs/>
        </w:rPr>
      </w:pPr>
      <w:r>
        <w:rPr>
          <w:rFonts w:ascii="Times New Roman" w:hAnsi="Times New Roman" w:cs="Times New Roman"/>
        </w:rPr>
        <w:t>“</w:t>
      </w:r>
      <w:r w:rsidRPr="004217C7">
        <w:rPr>
          <w:rFonts w:ascii="Times New Roman" w:hAnsi="Times New Roman" w:cs="Times New Roman"/>
        </w:rPr>
        <w:t xml:space="preserve">The WBS or the Work Breakdown Structure is essential as part of project’s lifecycle and timeline. An important part of Project planning, the WBS begins with a hierarchy of tasks and levels that help to identify how the project will flow within a designed timeline set by the project manager. The project management institute defines the WBS as “Representing the sum </w:t>
      </w:r>
      <w:r w:rsidRPr="004217C7">
        <w:rPr>
          <w:rFonts w:ascii="Times New Roman" w:hAnsi="Times New Roman" w:cs="Times New Roman"/>
        </w:rPr>
        <w:lastRenderedPageBreak/>
        <w:t>total decomposition of all work that the project encompasses, from beginning to end”</w:t>
      </w:r>
      <w:r>
        <w:rPr>
          <w:rFonts w:ascii="Times New Roman" w:hAnsi="Times New Roman" w:cs="Times New Roman"/>
        </w:rPr>
        <w:t xml:space="preserve"> (Devi and Reddy, 2012)</w:t>
      </w:r>
      <w:r w:rsidRPr="004217C7">
        <w:rPr>
          <w:rFonts w:ascii="Times New Roman" w:hAnsi="Times New Roman" w:cs="Times New Roman"/>
        </w:rPr>
        <w:t>.</w:t>
      </w:r>
    </w:p>
    <w:p w14:paraId="1FE574E5"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For our Project Management Plan the Work Breakdown Structure provides a hierarchical decomposition of the project into manageable components to facilitate planning, scheduling, and resource allocation. The project is divided into major phases, including project management, engineering assessment, design, procurement, construction, and commissioning. The project management phase includes project initiation, planning, monitoring, and administrative coordination (Kim and Choi, 2013). This phase ensures that the project remains aligned with objectives, timelines, and budget constraints. The engineering assessment phase involves structural surveys, geotechnical analysis, and hydrological modelling to determine damage extent and reconstruction requirements.</w:t>
      </w:r>
    </w:p>
    <w:p w14:paraId="40C2484A"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The design phase includes conceptual and detailed engineering design, incorporating flood resistance measures and structural improvements. Procurement activities involve contractor selection, supplier engagement, and acquisition of materials and equipment required for construction. </w:t>
      </w:r>
    </w:p>
    <w:p w14:paraId="785C0337"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construction phase represents the most resource-intense component of the project. This phase includes site preparation, demolition of damaged infrastructure, reconstruction of foundations, reinstatement of bridges, installation of drainage systems, and resurfacing of the road. The final phase includes structural testing, safety inspections, and formal handover to operational authorities.</w:t>
      </w:r>
    </w:p>
    <w:p w14:paraId="7CF447FE"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Work Breakdown Structure ensures that complex project activities are organized into logical components, enabling effective coordination and monitoring. (</w:t>
      </w:r>
      <w:r w:rsidRPr="00C73486">
        <w:rPr>
          <w:rFonts w:ascii="Times New Roman" w:hAnsi="Times New Roman" w:cs="Times New Roman"/>
        </w:rPr>
        <w:t>Norman</w:t>
      </w:r>
      <w:r>
        <w:rPr>
          <w:rFonts w:ascii="Times New Roman" w:hAnsi="Times New Roman" w:cs="Times New Roman"/>
        </w:rPr>
        <w:t>, et al., 2008)</w:t>
      </w:r>
    </w:p>
    <w:p w14:paraId="427AD495" w14:textId="77777777" w:rsidR="00E66C27" w:rsidRDefault="00E66C27" w:rsidP="00E66C27">
      <w:pPr>
        <w:spacing w:line="360" w:lineRule="auto"/>
        <w:rPr>
          <w:rFonts w:ascii="Times New Roman" w:hAnsi="Times New Roman" w:cs="Times New Roman"/>
        </w:rPr>
      </w:pPr>
    </w:p>
    <w:p w14:paraId="7D3A34F6" w14:textId="77777777" w:rsidR="00E66C27" w:rsidRDefault="00E66C27" w:rsidP="00E66C27">
      <w:pPr>
        <w:spacing w:line="360" w:lineRule="auto"/>
        <w:rPr>
          <w:rFonts w:ascii="Times New Roman" w:hAnsi="Times New Roman" w:cs="Times New Roman"/>
        </w:rPr>
      </w:pPr>
    </w:p>
    <w:p w14:paraId="3D0EC398" w14:textId="77777777" w:rsidR="00E66C27" w:rsidRDefault="00E66C27" w:rsidP="00E66C27">
      <w:pPr>
        <w:spacing w:line="360" w:lineRule="auto"/>
        <w:rPr>
          <w:rFonts w:ascii="Times New Roman" w:hAnsi="Times New Roman" w:cs="Times New Roman"/>
        </w:rPr>
      </w:pPr>
    </w:p>
    <w:p w14:paraId="7A726C5E"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B73534">
        <w:rPr>
          <w:rFonts w:ascii="Times New Roman" w:hAnsi="Times New Roman" w:cs="Times New Roman"/>
          <w:b/>
          <w:bCs/>
          <w:sz w:val="36"/>
          <w:szCs w:val="36"/>
        </w:rPr>
        <w:t>Quad Chart</w:t>
      </w:r>
    </w:p>
    <w:p w14:paraId="12B43D4D" w14:textId="77777777" w:rsidR="00E66C27" w:rsidRPr="002946CC" w:rsidRDefault="00E66C27" w:rsidP="00E66C27">
      <w:pPr>
        <w:spacing w:line="360" w:lineRule="auto"/>
        <w:rPr>
          <w:rFonts w:ascii="Times New Roman" w:hAnsi="Times New Roman" w:cs="Times New Roman"/>
          <w:b/>
          <w:bCs/>
          <w:sz w:val="36"/>
          <w:szCs w:val="36"/>
        </w:rPr>
      </w:pPr>
    </w:p>
    <w:p w14:paraId="27A05CDC" w14:textId="77777777" w:rsidR="00E66C27" w:rsidRPr="002946CC" w:rsidRDefault="00E66C27" w:rsidP="00E66C27">
      <w:pPr>
        <w:spacing w:line="360" w:lineRule="auto"/>
        <w:rPr>
          <w:rFonts w:ascii="Times New Roman" w:hAnsi="Times New Roman" w:cs="Times New Roman"/>
        </w:rPr>
      </w:pPr>
      <w:r>
        <w:rPr>
          <w:rFonts w:ascii="Times New Roman" w:hAnsi="Times New Roman" w:cs="Times New Roman"/>
        </w:rPr>
        <w:t>“</w:t>
      </w:r>
      <w:r w:rsidRPr="002946CC">
        <w:rPr>
          <w:rFonts w:ascii="Times New Roman" w:hAnsi="Times New Roman" w:cs="Times New Roman"/>
        </w:rPr>
        <w:t>In management and engineering disciplines, quad charts are well known and becoming increasingly popular</w:t>
      </w:r>
      <w:r>
        <w:rPr>
          <w:rFonts w:ascii="Times New Roman" w:hAnsi="Times New Roman" w:cs="Times New Roman"/>
        </w:rPr>
        <w:t xml:space="preserve">. </w:t>
      </w:r>
      <w:r w:rsidRPr="002946CC">
        <w:rPr>
          <w:rFonts w:ascii="Times New Roman" w:hAnsi="Times New Roman" w:cs="Times New Roman"/>
        </w:rPr>
        <w:t xml:space="preserve">In simple terms, the quad chart employs four structured categories for </w:t>
      </w:r>
      <w:r w:rsidRPr="002946CC">
        <w:rPr>
          <w:rFonts w:ascii="Times New Roman" w:hAnsi="Times New Roman" w:cs="Times New Roman"/>
        </w:rPr>
        <w:lastRenderedPageBreak/>
        <w:t>communicating complex information to audiences, often comprised of decision makers, in a graphical way. They achieve the same goals as a white paper, but in a more condensed format (condensing ideas into four quadrants on a single page or PowerPoint slide). Other terms for this genre include 2 × 2 matrix, four quadrants, and four-square chart.</w:t>
      </w:r>
      <w:r>
        <w:rPr>
          <w:rFonts w:ascii="Times New Roman" w:hAnsi="Times New Roman" w:cs="Times New Roman"/>
        </w:rPr>
        <w:t>” (</w:t>
      </w:r>
      <w:r w:rsidRPr="002946CC">
        <w:rPr>
          <w:rFonts w:ascii="Times New Roman" w:hAnsi="Times New Roman" w:cs="Times New Roman"/>
        </w:rPr>
        <w:t>Ford and Wei</w:t>
      </w:r>
      <w:r>
        <w:rPr>
          <w:rFonts w:ascii="Times New Roman" w:hAnsi="Times New Roman" w:cs="Times New Roman"/>
        </w:rPr>
        <w:t>, 2015)</w:t>
      </w:r>
    </w:p>
    <w:p w14:paraId="4E172C01"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Quad Chart provides a summary of the project’s mission, schedule, cost, and technical approach. The mission of the project is to reconstruct and upgrade the principal transport corridor along the River Severn to restore connectivity and improve resilience against future flooding. This objective aligns with regional recovery priorities and infrastructure resilience goals.</w:t>
      </w:r>
    </w:p>
    <w:p w14:paraId="69FFF229" w14:textId="77777777" w:rsidR="00E66C27" w:rsidRDefault="00E66C27" w:rsidP="00E66C27">
      <w:pPr>
        <w:spacing w:line="360" w:lineRule="auto"/>
        <w:rPr>
          <w:rFonts w:ascii="Times New Roman" w:hAnsi="Times New Roman" w:cs="Times New Roman"/>
        </w:rPr>
      </w:pPr>
    </w:p>
    <w:p w14:paraId="1AF9F9E5" w14:textId="77777777" w:rsidR="00E66C27" w:rsidRDefault="00E66C27" w:rsidP="00E66C27">
      <w:pPr>
        <w:spacing w:line="360" w:lineRule="auto"/>
        <w:rPr>
          <w:rFonts w:ascii="Times New Roman" w:hAnsi="Times New Roman" w:cs="Times New Roman"/>
        </w:rPr>
      </w:pPr>
      <w:r>
        <w:rPr>
          <w:rFonts w:ascii="Times New Roman" w:hAnsi="Times New Roman" w:cs="Times New Roman"/>
          <w:noProof/>
        </w:rPr>
        <w:drawing>
          <wp:inline distT="0" distB="0" distL="0" distR="0" wp14:anchorId="41E96234" wp14:editId="31694E77">
            <wp:extent cx="3642360" cy="2560320"/>
            <wp:effectExtent l="0" t="0" r="0" b="0"/>
            <wp:docPr id="127484431" name="Picture 1" descr="A multicolored squar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84431" name="Picture 1" descr="A multicolored square chart with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42677" cy="2560543"/>
                    </a:xfrm>
                    <a:prstGeom prst="rect">
                      <a:avLst/>
                    </a:prstGeom>
                  </pic:spPr>
                </pic:pic>
              </a:graphicData>
            </a:graphic>
          </wp:inline>
        </w:drawing>
      </w:r>
    </w:p>
    <w:p w14:paraId="02F4885B"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Figure 2. -Quad Chart Model                     (Slidehunter, 2026)</w:t>
      </w:r>
    </w:p>
    <w:p w14:paraId="7A1FCD71" w14:textId="77777777" w:rsidR="00E66C27" w:rsidRDefault="00E66C27" w:rsidP="00E66C27">
      <w:pPr>
        <w:spacing w:line="360" w:lineRule="auto"/>
        <w:rPr>
          <w:rFonts w:ascii="Times New Roman" w:hAnsi="Times New Roman" w:cs="Times New Roman"/>
        </w:rPr>
      </w:pPr>
    </w:p>
    <w:p w14:paraId="311965B6"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project schedule spans 24 months, beginning in August 2025 and ending in July 2027. The cost estimate for the project is £145 million, including contingency allowance to address potential uncertainties. The technical approach focuses on improving structural strength, elevating vulnerable sections, and installing enhanced drainage systems to reduce flood risk.</w:t>
      </w:r>
    </w:p>
    <w:p w14:paraId="365FB2B0"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Quad Chart provides stakeholders with a clear overview of the project’s purpose, timeline, financial requirements, and technical strategies.</w:t>
      </w:r>
    </w:p>
    <w:p w14:paraId="1056CCED" w14:textId="77777777" w:rsidR="00E66C27" w:rsidRDefault="00E66C27" w:rsidP="00E66C27">
      <w:pPr>
        <w:spacing w:line="360" w:lineRule="auto"/>
        <w:rPr>
          <w:rFonts w:ascii="Times New Roman" w:hAnsi="Times New Roman" w:cs="Times New Roman"/>
        </w:rPr>
      </w:pPr>
    </w:p>
    <w:p w14:paraId="6D006268"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FB2FD0">
        <w:rPr>
          <w:rFonts w:ascii="Times New Roman" w:hAnsi="Times New Roman" w:cs="Times New Roman"/>
          <w:b/>
          <w:bCs/>
          <w:sz w:val="36"/>
          <w:szCs w:val="36"/>
        </w:rPr>
        <w:t>Gantt Chart</w:t>
      </w:r>
    </w:p>
    <w:p w14:paraId="42CC2678" w14:textId="77777777" w:rsidR="00E66C27" w:rsidRPr="002946CC" w:rsidRDefault="00E66C27" w:rsidP="00E66C27">
      <w:pPr>
        <w:spacing w:line="360" w:lineRule="auto"/>
        <w:rPr>
          <w:rFonts w:ascii="Times New Roman" w:hAnsi="Times New Roman" w:cs="Times New Roman"/>
          <w:b/>
          <w:bCs/>
          <w:sz w:val="36"/>
          <w:szCs w:val="36"/>
        </w:rPr>
      </w:pPr>
    </w:p>
    <w:p w14:paraId="2CEC98A5"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w:t>
      </w:r>
      <w:r w:rsidRPr="00CB18A7">
        <w:rPr>
          <w:rFonts w:ascii="Times New Roman" w:hAnsi="Times New Roman" w:cs="Times New Roman"/>
        </w:rPr>
        <w:t xml:space="preserve">According to </w:t>
      </w:r>
      <w:r>
        <w:rPr>
          <w:rFonts w:ascii="Times New Roman" w:hAnsi="Times New Roman" w:cs="Times New Roman"/>
        </w:rPr>
        <w:t>Gantt’s</w:t>
      </w:r>
      <w:r w:rsidRPr="00CB18A7">
        <w:rPr>
          <w:rFonts w:ascii="Times New Roman" w:hAnsi="Times New Roman" w:cs="Times New Roman"/>
        </w:rPr>
        <w:t xml:space="preserve"> chart the activities are first divided into their required task that must complete. They are divided into weeks and days, those activities which can run simultaneously should start at the same time, and another activity should start after the activity on the day which will be the last day of said activity</w:t>
      </w:r>
      <w:r>
        <w:rPr>
          <w:rFonts w:ascii="Times New Roman" w:hAnsi="Times New Roman" w:cs="Times New Roman"/>
        </w:rPr>
        <w:t>.” (</w:t>
      </w:r>
      <w:r w:rsidRPr="00CB18A7">
        <w:rPr>
          <w:rFonts w:ascii="Times New Roman" w:hAnsi="Times New Roman" w:cs="Times New Roman"/>
        </w:rPr>
        <w:t>Ramachandran</w:t>
      </w:r>
      <w:r>
        <w:rPr>
          <w:rFonts w:ascii="Times New Roman" w:hAnsi="Times New Roman" w:cs="Times New Roman"/>
        </w:rPr>
        <w:t xml:space="preserve"> and </w:t>
      </w:r>
      <w:r w:rsidRPr="00CB18A7">
        <w:rPr>
          <w:rFonts w:ascii="Times New Roman" w:hAnsi="Times New Roman" w:cs="Times New Roman"/>
        </w:rPr>
        <w:t>Karthick</w:t>
      </w:r>
      <w:r>
        <w:rPr>
          <w:rFonts w:ascii="Times New Roman" w:hAnsi="Times New Roman" w:cs="Times New Roman"/>
        </w:rPr>
        <w:t>, 2019)</w:t>
      </w:r>
    </w:p>
    <w:p w14:paraId="0BA8BD9F"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Gantt Chart provides a timeline of project activities and their sequence. The project begins with an initiation and planning phase lasting approximately three months, during which project objectives, approvals, and planning activities are completed. This phase is followed by a five-moth engineering assessment and design phase, during which structural analysis, and design development are conducted.</w:t>
      </w:r>
    </w:p>
    <w:p w14:paraId="637F41C5" w14:textId="77777777" w:rsidR="00E66C27" w:rsidRDefault="00E66C27" w:rsidP="00E66C27">
      <w:pPr>
        <w:spacing w:line="360" w:lineRule="auto"/>
        <w:rPr>
          <w:rFonts w:ascii="Times New Roman" w:hAnsi="Times New Roman" w:cs="Times New Roman"/>
        </w:rPr>
      </w:pPr>
      <w:r>
        <w:rPr>
          <w:rFonts w:ascii="Times New Roman" w:hAnsi="Times New Roman" w:cs="Times New Roman"/>
          <w:noProof/>
        </w:rPr>
        <w:drawing>
          <wp:inline distT="0" distB="0" distL="0" distR="0" wp14:anchorId="2FF40273" wp14:editId="3F0EB9BD">
            <wp:extent cx="4206240" cy="2665992"/>
            <wp:effectExtent l="0" t="0" r="3810" b="1270"/>
            <wp:docPr id="1926745181" name="Picture 2" descr="A graph of a schedu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45181" name="Picture 2" descr="A graph of a schedul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4225187" cy="2678001"/>
                    </a:xfrm>
                    <a:prstGeom prst="rect">
                      <a:avLst/>
                    </a:prstGeom>
                  </pic:spPr>
                </pic:pic>
              </a:graphicData>
            </a:graphic>
          </wp:inline>
        </w:drawing>
      </w:r>
    </w:p>
    <w:p w14:paraId="240B0792"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Figure 3. – Gantt Chart Model                        (Venngage, 2026)</w:t>
      </w:r>
    </w:p>
    <w:p w14:paraId="562E402F"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Procurement activities are scheduled to occur over a three-month period following design completion. This phase includes contractor selection and procurement of materials and equipment. The construction phase spans approximately ten </w:t>
      </w:r>
      <w:proofErr w:type="spellStart"/>
      <w:r>
        <w:rPr>
          <w:rFonts w:ascii="Times New Roman" w:hAnsi="Times New Roman" w:cs="Times New Roman"/>
        </w:rPr>
        <w:t>moths</w:t>
      </w:r>
      <w:proofErr w:type="spellEnd"/>
      <w:r>
        <w:rPr>
          <w:rFonts w:ascii="Times New Roman" w:hAnsi="Times New Roman" w:cs="Times New Roman"/>
        </w:rPr>
        <w:t xml:space="preserve"> and includes reconstruction of infrastructure, installation of drainage systems, and structural reinforcement.</w:t>
      </w:r>
    </w:p>
    <w:p w14:paraId="4761243D"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final phase involves testing, inspection, and commissioning, ensuring that the reconstructed corridor meets safety and operational requirements. The Gantt Chart enables effective scheduling, monitoring, and coordination of project activities.</w:t>
      </w:r>
    </w:p>
    <w:p w14:paraId="74B817D7" w14:textId="3532B449" w:rsidR="00E66C27" w:rsidRDefault="00E66C27" w:rsidP="00E66C27">
      <w:pPr>
        <w:spacing w:line="360" w:lineRule="auto"/>
        <w:rPr>
          <w:rFonts w:ascii="Times New Roman" w:hAnsi="Times New Roman" w:cs="Times New Roman"/>
        </w:rPr>
      </w:pPr>
      <w:r>
        <w:rPr>
          <w:rFonts w:ascii="Times New Roman" w:hAnsi="Times New Roman" w:cs="Times New Roman"/>
        </w:rPr>
        <w:lastRenderedPageBreak/>
        <w:t>Critical path analysis identifies activities that directly influence project completion time. Bridge reconstruction and embankment reinforcement represent critical tasks due to their structural complexity and dependency relationships.</w:t>
      </w:r>
      <w:r w:rsidR="00757001">
        <w:rPr>
          <w:rFonts w:ascii="Times New Roman" w:hAnsi="Times New Roman" w:cs="Times New Roman"/>
        </w:rPr>
        <w:t xml:space="preserve"> Float time is limited in early design stages, which increases the importance of timely approvals from regulatory authorities. To manage this constraint, parallel processing of procurement activities is introduced where is feasible. This analytic approach to scheduling improves time efficiency while maintaining control over high-risk dependencies.</w:t>
      </w:r>
      <w:r>
        <w:rPr>
          <w:rFonts w:ascii="Times New Roman" w:hAnsi="Times New Roman" w:cs="Times New Roman"/>
        </w:rPr>
        <w:t xml:space="preserve"> Any delay in the activities may extend the overall project duration. To mitigate schedule risks, buffer periods are incorporated within high-risk activities, and regular schedule performance review are conducted</w:t>
      </w:r>
      <w:r w:rsidR="00851303">
        <w:rPr>
          <w:rFonts w:ascii="Times New Roman" w:hAnsi="Times New Roman" w:cs="Times New Roman"/>
        </w:rPr>
        <w:t xml:space="preserve"> (</w:t>
      </w:r>
      <w:r w:rsidR="00851303" w:rsidRPr="00851303">
        <w:rPr>
          <w:rFonts w:ascii="Times New Roman" w:hAnsi="Times New Roman" w:cs="Times New Roman"/>
        </w:rPr>
        <w:t>Atin</w:t>
      </w:r>
      <w:r w:rsidR="00851303">
        <w:rPr>
          <w:rFonts w:ascii="Times New Roman" w:hAnsi="Times New Roman" w:cs="Times New Roman"/>
        </w:rPr>
        <w:t xml:space="preserve"> </w:t>
      </w:r>
      <w:r w:rsidR="00851303" w:rsidRPr="00851303">
        <w:rPr>
          <w:rFonts w:ascii="Times New Roman" w:hAnsi="Times New Roman" w:cs="Times New Roman"/>
        </w:rPr>
        <w:t>and Lubis</w:t>
      </w:r>
      <w:r w:rsidR="00851303">
        <w:rPr>
          <w:rFonts w:ascii="Times New Roman" w:hAnsi="Times New Roman" w:cs="Times New Roman"/>
        </w:rPr>
        <w:t xml:space="preserve">, </w:t>
      </w:r>
      <w:r w:rsidR="00851303" w:rsidRPr="00851303">
        <w:rPr>
          <w:rFonts w:ascii="Times New Roman" w:hAnsi="Times New Roman" w:cs="Times New Roman"/>
        </w:rPr>
        <w:t>2019</w:t>
      </w:r>
      <w:r w:rsidR="00851303">
        <w:rPr>
          <w:rFonts w:ascii="Times New Roman" w:hAnsi="Times New Roman" w:cs="Times New Roman"/>
        </w:rPr>
        <w:t>)</w:t>
      </w:r>
      <w:r w:rsidR="00851303">
        <w:rPr>
          <w:rFonts w:ascii="Times New Roman" w:hAnsi="Times New Roman" w:cs="Times New Roman"/>
        </w:rPr>
        <w:t>.</w:t>
      </w:r>
    </w:p>
    <w:p w14:paraId="55779195"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Earned value analysis may be applied to compare planned progress with actual performance. Schedule performance indicators provide early warning of potential delays, enabling corrective action before significant disruption occurs. Through systematic schedule control mechanisms, the project maintains alignment with its planned completion date. </w:t>
      </w:r>
    </w:p>
    <w:p w14:paraId="6718F258" w14:textId="77777777" w:rsidR="00E66C27" w:rsidRDefault="00E66C27" w:rsidP="00E66C27">
      <w:pPr>
        <w:spacing w:line="360" w:lineRule="auto"/>
        <w:rPr>
          <w:rFonts w:ascii="Times New Roman" w:hAnsi="Times New Roman" w:cs="Times New Roman"/>
        </w:rPr>
      </w:pPr>
    </w:p>
    <w:p w14:paraId="4316056B" w14:textId="77777777" w:rsidR="00E66C27" w:rsidRDefault="00E66C27" w:rsidP="00E66C27">
      <w:pPr>
        <w:spacing w:line="360" w:lineRule="auto"/>
        <w:rPr>
          <w:rFonts w:ascii="Times New Roman" w:hAnsi="Times New Roman" w:cs="Times New Roman"/>
        </w:rPr>
      </w:pPr>
    </w:p>
    <w:p w14:paraId="3EDA9F7B" w14:textId="77777777" w:rsidR="00E66C27" w:rsidRDefault="00E66C27" w:rsidP="00E66C27">
      <w:pPr>
        <w:spacing w:line="360" w:lineRule="auto"/>
        <w:rPr>
          <w:rFonts w:ascii="Times New Roman" w:hAnsi="Times New Roman" w:cs="Times New Roman"/>
        </w:rPr>
      </w:pPr>
    </w:p>
    <w:p w14:paraId="642501B5"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772843">
        <w:rPr>
          <w:rFonts w:ascii="Times New Roman" w:hAnsi="Times New Roman" w:cs="Times New Roman"/>
          <w:b/>
          <w:bCs/>
          <w:sz w:val="36"/>
          <w:szCs w:val="36"/>
        </w:rPr>
        <w:t>Stakeholder’s Involvement</w:t>
      </w:r>
    </w:p>
    <w:p w14:paraId="7ABF564A" w14:textId="77777777" w:rsidR="00E66C27" w:rsidRPr="002946CC" w:rsidRDefault="00E66C27" w:rsidP="00E66C27">
      <w:pPr>
        <w:spacing w:line="360" w:lineRule="auto"/>
        <w:rPr>
          <w:rFonts w:ascii="Times New Roman" w:hAnsi="Times New Roman" w:cs="Times New Roman"/>
          <w:b/>
          <w:bCs/>
          <w:sz w:val="36"/>
          <w:szCs w:val="36"/>
        </w:rPr>
      </w:pPr>
    </w:p>
    <w:p w14:paraId="195E5769"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Stakeholder involvement is essential to ensure project success and alignment with community and regulatory requirements.</w:t>
      </w:r>
      <w:r w:rsidRPr="005E4211">
        <w:t xml:space="preserve"> </w:t>
      </w:r>
      <w:r w:rsidRPr="005E4211">
        <w:rPr>
          <w:rFonts w:ascii="Times New Roman" w:hAnsi="Times New Roman" w:cs="Times New Roman"/>
        </w:rPr>
        <w:t>“Coherent information supports coherent decisions.”</w:t>
      </w:r>
      <w:r>
        <w:rPr>
          <w:rFonts w:ascii="Times New Roman" w:hAnsi="Times New Roman" w:cs="Times New Roman"/>
        </w:rPr>
        <w:t xml:space="preserve"> (</w:t>
      </w:r>
      <w:r w:rsidRPr="005E4211">
        <w:rPr>
          <w:rFonts w:ascii="Times New Roman" w:hAnsi="Times New Roman" w:cs="Times New Roman"/>
        </w:rPr>
        <w:t>Narváez</w:t>
      </w:r>
      <w:r>
        <w:rPr>
          <w:rFonts w:ascii="Times New Roman" w:hAnsi="Times New Roman" w:cs="Times New Roman"/>
        </w:rPr>
        <w:t xml:space="preserve"> and </w:t>
      </w:r>
      <w:r w:rsidRPr="005E4211">
        <w:rPr>
          <w:rFonts w:ascii="Times New Roman" w:hAnsi="Times New Roman" w:cs="Times New Roman"/>
        </w:rPr>
        <w:t>Quick</w:t>
      </w:r>
      <w:r>
        <w:rPr>
          <w:rFonts w:ascii="Times New Roman" w:hAnsi="Times New Roman" w:cs="Times New Roman"/>
        </w:rPr>
        <w:t>, 2017) Key stakeholders include local authorities such as Worcestershire County Council and Shropshire Council, which are responsible for infrastructure oversight and regional planning. The Environment Agency plays a critical role in flood risk management and environmental compliance. “</w:t>
      </w:r>
      <w:r w:rsidRPr="005E4211">
        <w:rPr>
          <w:rFonts w:ascii="Times New Roman" w:hAnsi="Times New Roman" w:cs="Times New Roman"/>
        </w:rPr>
        <w:t>Political and policy dynamics associated with local road systems planning, management, and financing merit special attention.</w:t>
      </w:r>
      <w:r>
        <w:rPr>
          <w:rFonts w:ascii="Times New Roman" w:hAnsi="Times New Roman" w:cs="Times New Roman"/>
        </w:rPr>
        <w:t>” (</w:t>
      </w:r>
      <w:r w:rsidRPr="005E4211">
        <w:rPr>
          <w:rFonts w:ascii="Times New Roman" w:hAnsi="Times New Roman" w:cs="Times New Roman"/>
        </w:rPr>
        <w:t>Narváez</w:t>
      </w:r>
      <w:r>
        <w:rPr>
          <w:rFonts w:ascii="Times New Roman" w:hAnsi="Times New Roman" w:cs="Times New Roman"/>
        </w:rPr>
        <w:t xml:space="preserve"> and </w:t>
      </w:r>
      <w:r w:rsidRPr="005E4211">
        <w:rPr>
          <w:rFonts w:ascii="Times New Roman" w:hAnsi="Times New Roman" w:cs="Times New Roman"/>
        </w:rPr>
        <w:t>Quick</w:t>
      </w:r>
      <w:r>
        <w:rPr>
          <w:rFonts w:ascii="Times New Roman" w:hAnsi="Times New Roman" w:cs="Times New Roman"/>
        </w:rPr>
        <w:t>, 2017)</w:t>
      </w:r>
    </w:p>
    <w:p w14:paraId="534C1ACE" w14:textId="77777777" w:rsidR="00E66C27" w:rsidRPr="00772843" w:rsidRDefault="00E66C27" w:rsidP="00E66C27">
      <w:pPr>
        <w:spacing w:line="360" w:lineRule="auto"/>
        <w:rPr>
          <w:rFonts w:ascii="Times New Roman" w:hAnsi="Times New Roman" w:cs="Times New Roman"/>
        </w:rPr>
      </w:pPr>
      <w:r>
        <w:rPr>
          <w:rFonts w:ascii="Times New Roman" w:hAnsi="Times New Roman" w:cs="Times New Roman"/>
        </w:rPr>
        <w:t xml:space="preserve">Local businesses, transport operators, and residents are also important stakeholders, as they are directly affected by infrastructure disruption and reconstruction activities. Emergency services depend on reliable transport routes to provide essential services, making their involvement essential. Effective stakeholder engagement also requires structured governance </w:t>
      </w:r>
      <w:r>
        <w:rPr>
          <w:rFonts w:ascii="Times New Roman" w:hAnsi="Times New Roman" w:cs="Times New Roman"/>
        </w:rPr>
        <w:lastRenderedPageBreak/>
        <w:t>mechanisms that facilitate collaboration between public authorities, contractors, and community representatives (Olm, 2011). Regular coordination meetings ensure alignment of expectations, timely resolution of disputes, and transparency in decision-making. Public consultation provides opportunities for residents and businesses to express their concerns regarding traffic disruptions, environmental impact, and construction noise. Incorporating stakeholders feedback into planning adjustments strengthens legitimacy and social acceptance of the project, thereby reducing resistance and enhancing long-term community support for the reconstructed transport corridor (</w:t>
      </w:r>
      <w:r w:rsidRPr="000B19E4">
        <w:rPr>
          <w:rFonts w:ascii="Times New Roman" w:hAnsi="Times New Roman" w:cs="Times New Roman"/>
        </w:rPr>
        <w:t>Salvo</w:t>
      </w:r>
      <w:r>
        <w:rPr>
          <w:rFonts w:ascii="Times New Roman" w:hAnsi="Times New Roman" w:cs="Times New Roman"/>
        </w:rPr>
        <w:t>, et al.,2025).</w:t>
      </w:r>
    </w:p>
    <w:p w14:paraId="29AD2B80" w14:textId="77777777" w:rsidR="00E66C27" w:rsidRDefault="00E66C27" w:rsidP="00E66C27">
      <w:pPr>
        <w:spacing w:line="360" w:lineRule="auto"/>
        <w:rPr>
          <w:rFonts w:ascii="Times New Roman" w:hAnsi="Times New Roman" w:cs="Times New Roman"/>
        </w:rPr>
      </w:pPr>
    </w:p>
    <w:p w14:paraId="736A9F18" w14:textId="77777777" w:rsidR="00E66C27" w:rsidRDefault="00E66C27" w:rsidP="00E66C27">
      <w:pPr>
        <w:spacing w:line="360" w:lineRule="auto"/>
        <w:rPr>
          <w:rFonts w:ascii="Times New Roman" w:hAnsi="Times New Roman" w:cs="Times New Roman"/>
        </w:rPr>
      </w:pPr>
    </w:p>
    <w:p w14:paraId="5C665480"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E84CF5">
        <w:rPr>
          <w:rFonts w:ascii="Times New Roman" w:hAnsi="Times New Roman" w:cs="Times New Roman"/>
          <w:b/>
          <w:bCs/>
          <w:sz w:val="36"/>
          <w:szCs w:val="36"/>
        </w:rPr>
        <w:t>Allocation of Resources</w:t>
      </w:r>
    </w:p>
    <w:p w14:paraId="5CC4AB35" w14:textId="77777777" w:rsidR="00E66C27" w:rsidRPr="002946CC" w:rsidRDefault="00E66C27" w:rsidP="00E66C27">
      <w:pPr>
        <w:spacing w:line="360" w:lineRule="auto"/>
        <w:rPr>
          <w:rFonts w:ascii="Times New Roman" w:hAnsi="Times New Roman" w:cs="Times New Roman"/>
          <w:b/>
          <w:bCs/>
          <w:sz w:val="36"/>
          <w:szCs w:val="36"/>
        </w:rPr>
      </w:pPr>
    </w:p>
    <w:p w14:paraId="7FE901FE"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Effective resource allocation is essential to ensure successful project delivery. The project requires skilled personnel, financial investment, and specialised equipment. Human resources include project managers, engineers, environmental specialists, procurement personnel, and construction workers. Each role contributes to planning, execution, and monitoring activities. Clear role definitions and reporting structures reduce ambiguity and enhance accountability. A structured governance hierarchy ensures that decision making authority is appropriately distributed, while maintaining centralised oversight (Cao, et al., 2025).</w:t>
      </w:r>
    </w:p>
    <w:p w14:paraId="28FE6323"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project budget is £145 million, covering construction, design, project management, and contingency costs. Financial planning ensures that resources are allocated efficiently and that sufficient funds are available for project completion. Periodic budget reviews compare actual expenditure with baseline forecast, enabling early identification of the cost variances. Contingency reserves are maintained to address unforeseen conditions, particularly those associated with geotechnical uncertainty or additional structural reinforcement requirements.</w:t>
      </w:r>
    </w:p>
    <w:p w14:paraId="77B3D084" w14:textId="6D1E4AD9" w:rsidR="00851303" w:rsidRDefault="00851303" w:rsidP="00E66C27">
      <w:pPr>
        <w:spacing w:line="360" w:lineRule="auto"/>
        <w:rPr>
          <w:rFonts w:ascii="Times New Roman" w:hAnsi="Times New Roman" w:cs="Times New Roman"/>
        </w:rPr>
      </w:pPr>
      <w:r>
        <w:rPr>
          <w:rFonts w:ascii="Times New Roman" w:hAnsi="Times New Roman" w:cs="Times New Roman"/>
        </w:rPr>
        <w:t>Cost management is supported through the application of Earned Value Management (EVM), which enables continuous comparison between planned and actual project performance (Kim, et al., 20</w:t>
      </w:r>
      <w:r w:rsidR="00441A36">
        <w:rPr>
          <w:rFonts w:ascii="Times New Roman" w:hAnsi="Times New Roman" w:cs="Times New Roman"/>
        </w:rPr>
        <w:t>0</w:t>
      </w:r>
      <w:r>
        <w:rPr>
          <w:rFonts w:ascii="Times New Roman" w:hAnsi="Times New Roman" w:cs="Times New Roman"/>
        </w:rPr>
        <w:t xml:space="preserve">3). Key indicators such as Cost Performance Index (CPI) and Schedule Performance Index (SPI) provide quantitative insight into project performance. A CPI value below 1.0 indicates cost overruns, prompting corrective actions such as resource reallocation or scope </w:t>
      </w:r>
      <w:r>
        <w:rPr>
          <w:rFonts w:ascii="Times New Roman" w:hAnsi="Times New Roman" w:cs="Times New Roman"/>
        </w:rPr>
        <w:lastRenderedPageBreak/>
        <w:t>adjustment. In addition, a contingency reserve is incorporated based or risk exposure, ensuring that unforeseen events do not compromise financial stability</w:t>
      </w:r>
      <w:r w:rsidR="00441A36">
        <w:rPr>
          <w:rFonts w:ascii="Times New Roman" w:hAnsi="Times New Roman" w:cs="Times New Roman"/>
        </w:rPr>
        <w:t xml:space="preserve"> (</w:t>
      </w:r>
      <w:r w:rsidR="00441A36" w:rsidRPr="00441A36">
        <w:rPr>
          <w:rFonts w:ascii="Times New Roman" w:hAnsi="Times New Roman" w:cs="Times New Roman"/>
        </w:rPr>
        <w:t>Christensen</w:t>
      </w:r>
      <w:r w:rsidR="00441A36">
        <w:rPr>
          <w:rFonts w:ascii="Times New Roman" w:hAnsi="Times New Roman" w:cs="Times New Roman"/>
        </w:rPr>
        <w:t xml:space="preserve"> </w:t>
      </w:r>
      <w:r w:rsidR="00441A36" w:rsidRPr="00441A36">
        <w:rPr>
          <w:rFonts w:ascii="Times New Roman" w:hAnsi="Times New Roman" w:cs="Times New Roman"/>
        </w:rPr>
        <w:t>and Heise</w:t>
      </w:r>
      <w:r w:rsidR="00441A36">
        <w:rPr>
          <w:rFonts w:ascii="Times New Roman" w:hAnsi="Times New Roman" w:cs="Times New Roman"/>
        </w:rPr>
        <w:t xml:space="preserve">, </w:t>
      </w:r>
      <w:r w:rsidR="00441A36" w:rsidRPr="00441A36">
        <w:rPr>
          <w:rFonts w:ascii="Times New Roman" w:hAnsi="Times New Roman" w:cs="Times New Roman"/>
        </w:rPr>
        <w:t>1993</w:t>
      </w:r>
      <w:r w:rsidR="00441A36">
        <w:rPr>
          <w:rFonts w:ascii="Times New Roman" w:hAnsi="Times New Roman" w:cs="Times New Roman"/>
        </w:rPr>
        <w:t>)</w:t>
      </w:r>
      <w:r w:rsidR="00441A36">
        <w:rPr>
          <w:rFonts w:ascii="Times New Roman" w:hAnsi="Times New Roman" w:cs="Times New Roman"/>
        </w:rPr>
        <w:t>.</w:t>
      </w:r>
    </w:p>
    <w:p w14:paraId="422E04EA"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Physical resources include construction machinery, logistical coordination for material deliveries, and monitoring equipment. Proper resource management ensures that project activities proceed efficiently without delays or resource shortage. Through integrated resource planning, the project aims to optimise productivity while maintaining cost controls and safety standards (Olm,2011).</w:t>
      </w:r>
    </w:p>
    <w:p w14:paraId="7A7F5E9E" w14:textId="77777777" w:rsidR="00E66C27" w:rsidRDefault="00E66C27" w:rsidP="00E66C27">
      <w:pPr>
        <w:spacing w:line="360" w:lineRule="auto"/>
        <w:rPr>
          <w:rFonts w:ascii="Times New Roman" w:hAnsi="Times New Roman" w:cs="Times New Roman"/>
        </w:rPr>
      </w:pPr>
    </w:p>
    <w:p w14:paraId="035DDCE5"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633D32">
        <w:rPr>
          <w:rFonts w:ascii="Times New Roman" w:hAnsi="Times New Roman" w:cs="Times New Roman"/>
          <w:b/>
          <w:bCs/>
          <w:sz w:val="36"/>
          <w:szCs w:val="36"/>
        </w:rPr>
        <w:t>Risk Analysis</w:t>
      </w:r>
    </w:p>
    <w:p w14:paraId="42EFFCA8" w14:textId="77777777" w:rsidR="00E66C27" w:rsidRPr="002946CC" w:rsidRDefault="00E66C27" w:rsidP="00E66C27">
      <w:pPr>
        <w:spacing w:line="360" w:lineRule="auto"/>
        <w:rPr>
          <w:rFonts w:ascii="Times New Roman" w:hAnsi="Times New Roman" w:cs="Times New Roman"/>
          <w:b/>
          <w:bCs/>
          <w:sz w:val="36"/>
          <w:szCs w:val="36"/>
        </w:rPr>
      </w:pPr>
    </w:p>
    <w:p w14:paraId="0BBC8D1B"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w:t>
      </w:r>
      <w:r w:rsidRPr="00633D32">
        <w:rPr>
          <w:rFonts w:ascii="Times New Roman" w:hAnsi="Times New Roman" w:cs="Times New Roman"/>
        </w:rPr>
        <w:t>The study of risk management began after World War II. Risk management has long been associated with the use of market insurance to protect individuals and companies from various losses associated with accidents. Other forms of risk management, alternatives to market insurance, surfaced during the 1950s when market insurance was perceived as very costly and incomplete for protection against pure risk</w:t>
      </w:r>
      <w:r>
        <w:rPr>
          <w:rFonts w:ascii="Times New Roman" w:hAnsi="Times New Roman" w:cs="Times New Roman"/>
        </w:rPr>
        <w:t>” (Dionne, 2013). Risk management is essential to address uncertainties that may affect project success. One significant risk is the possibility of additional flooding during construction, which may cause delays and damage.  This risk can be mitigated by implementing temporary flood protecting measures.</w:t>
      </w:r>
    </w:p>
    <w:p w14:paraId="5B7DF0A4"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Cost escalation represents another potential risk due to material price fluctuations and unforeseen construction challenges. Contingency funding is allocated to address the risk (</w:t>
      </w:r>
      <w:r w:rsidRPr="006B0EFC">
        <w:rPr>
          <w:rFonts w:ascii="Times New Roman" w:hAnsi="Times New Roman" w:cs="Times New Roman"/>
        </w:rPr>
        <w:t>Welde</w:t>
      </w:r>
      <w:r>
        <w:rPr>
          <w:rFonts w:ascii="Times New Roman" w:hAnsi="Times New Roman" w:cs="Times New Roman"/>
        </w:rPr>
        <w:t xml:space="preserve"> and Dahl, 2021). Supply chain disruptions may also affect project timelines, requiring careful procurement planning. Community concerns and environmental issues may also present challenges. Effective stakeholder communication and compliance with environmental regulations help minimise these risks. (</w:t>
      </w:r>
      <w:r w:rsidRPr="005E4211">
        <w:rPr>
          <w:rFonts w:ascii="Times New Roman" w:hAnsi="Times New Roman" w:cs="Times New Roman"/>
        </w:rPr>
        <w:t>Kemp</w:t>
      </w:r>
      <w:r>
        <w:rPr>
          <w:rFonts w:ascii="Times New Roman" w:hAnsi="Times New Roman" w:cs="Times New Roman"/>
        </w:rPr>
        <w:t>, 1965)</w:t>
      </w:r>
    </w:p>
    <w:p w14:paraId="0985A763"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Continuous monitoring and risk assessment ensure timely identification and mitigation of potential threats.</w:t>
      </w:r>
    </w:p>
    <w:p w14:paraId="67733257" w14:textId="77777777" w:rsidR="00E66C27" w:rsidRDefault="00E66C27" w:rsidP="00E66C27">
      <w:pPr>
        <w:spacing w:line="360" w:lineRule="auto"/>
        <w:rPr>
          <w:rFonts w:ascii="Times New Roman" w:hAnsi="Times New Roman" w:cs="Times New Roman"/>
        </w:rPr>
      </w:pPr>
    </w:p>
    <w:p w14:paraId="495F2858" w14:textId="77777777" w:rsidR="00E66C27" w:rsidRDefault="00E66C27" w:rsidP="00E66C27">
      <w:pPr>
        <w:spacing w:line="360" w:lineRule="auto"/>
        <w:rPr>
          <w:rFonts w:ascii="Times New Roman" w:hAnsi="Times New Roman" w:cs="Times New Roman"/>
        </w:rPr>
      </w:pPr>
    </w:p>
    <w:p w14:paraId="629B91A8" w14:textId="77777777" w:rsidR="00E66C27" w:rsidRDefault="00E66C27" w:rsidP="00E66C27">
      <w:pPr>
        <w:pStyle w:val="ListParagraph"/>
        <w:numPr>
          <w:ilvl w:val="0"/>
          <w:numId w:val="1"/>
        </w:numPr>
        <w:spacing w:line="360" w:lineRule="auto"/>
        <w:rPr>
          <w:rFonts w:ascii="Times New Roman" w:hAnsi="Times New Roman" w:cs="Times New Roman"/>
          <w:b/>
          <w:bCs/>
          <w:sz w:val="36"/>
          <w:szCs w:val="36"/>
        </w:rPr>
      </w:pPr>
      <w:r w:rsidRPr="00CD7ACA">
        <w:rPr>
          <w:rFonts w:ascii="Times New Roman" w:hAnsi="Times New Roman" w:cs="Times New Roman"/>
          <w:b/>
          <w:bCs/>
          <w:sz w:val="36"/>
          <w:szCs w:val="36"/>
        </w:rPr>
        <w:lastRenderedPageBreak/>
        <w:t>Conclusion</w:t>
      </w:r>
    </w:p>
    <w:p w14:paraId="052FC422" w14:textId="77777777" w:rsidR="00E66C27" w:rsidRPr="002946CC" w:rsidRDefault="00E66C27" w:rsidP="00E66C27">
      <w:pPr>
        <w:spacing w:line="360" w:lineRule="auto"/>
        <w:rPr>
          <w:rFonts w:ascii="Times New Roman" w:hAnsi="Times New Roman" w:cs="Times New Roman"/>
          <w:b/>
          <w:bCs/>
          <w:sz w:val="36"/>
          <w:szCs w:val="36"/>
        </w:rPr>
      </w:pPr>
    </w:p>
    <w:p w14:paraId="1484079F"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The catastrophic flooding of July 2025 caused severe damage to transport infrastructure across Worcester, Shrewsbury, and Kidderminster, disrupting economic activity and community mobility. Reconstruction of the principal transport corridor along the River Severn is essential to restore connectivity and support regional recovery.</w:t>
      </w:r>
    </w:p>
    <w:p w14:paraId="28252C3D"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This Project Management Plan provides a structured framework for delivering the reconstruction project effectively. The plan defines project scope, schedule, resources, stakeholder engagement, and risk management strategies. The 24-month timeline and defined resource allocation provide a realistic and achievable approach to project competition. The integration of structured project management methodologies ensures that reconstruction activities remain aligned with strategic objectives, financial constraints, and stakeholders’ expectations. </w:t>
      </w:r>
    </w:p>
    <w:p w14:paraId="351EF2F5"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Successful delivery of the project will restore critical infrastructure, enhance flood resilience, and support long term economic stability in the West Midlands. The reconstructed transport corridor will provide reliable connectivity and reduce vulnerability to future flooding events.</w:t>
      </w:r>
    </w:p>
    <w:p w14:paraId="7F5B6FD3" w14:textId="77777777" w:rsidR="00E66C27" w:rsidRDefault="00E66C27" w:rsidP="00E66C27">
      <w:pPr>
        <w:spacing w:line="360" w:lineRule="auto"/>
        <w:rPr>
          <w:rFonts w:ascii="Times New Roman" w:hAnsi="Times New Roman" w:cs="Times New Roman"/>
        </w:rPr>
      </w:pPr>
      <w:r>
        <w:rPr>
          <w:rFonts w:ascii="Times New Roman" w:hAnsi="Times New Roman" w:cs="Times New Roman"/>
        </w:rPr>
        <w:t xml:space="preserve"> </w:t>
      </w:r>
    </w:p>
    <w:p w14:paraId="71DDF526" w14:textId="77777777" w:rsidR="00E66C27" w:rsidRDefault="00E66C27" w:rsidP="00E66C27">
      <w:pPr>
        <w:spacing w:line="360" w:lineRule="auto"/>
        <w:rPr>
          <w:rFonts w:ascii="Times New Roman" w:hAnsi="Times New Roman" w:cs="Times New Roman"/>
        </w:rPr>
      </w:pPr>
    </w:p>
    <w:p w14:paraId="6B12AA9D" w14:textId="77777777" w:rsidR="00E66C27" w:rsidRPr="000E6D39" w:rsidRDefault="00E66C27" w:rsidP="00E66C27">
      <w:pPr>
        <w:pStyle w:val="ListParagraph"/>
        <w:numPr>
          <w:ilvl w:val="0"/>
          <w:numId w:val="1"/>
        </w:numPr>
        <w:spacing w:line="360" w:lineRule="auto"/>
        <w:rPr>
          <w:rFonts w:ascii="Times New Roman" w:hAnsi="Times New Roman" w:cs="Times New Roman"/>
          <w:b/>
          <w:bCs/>
          <w:sz w:val="36"/>
          <w:szCs w:val="36"/>
        </w:rPr>
      </w:pPr>
      <w:r w:rsidRPr="000E6D39">
        <w:rPr>
          <w:rFonts w:ascii="Times New Roman" w:hAnsi="Times New Roman" w:cs="Times New Roman"/>
          <w:b/>
          <w:bCs/>
          <w:sz w:val="36"/>
          <w:szCs w:val="36"/>
        </w:rPr>
        <w:t>Reference List:</w:t>
      </w:r>
    </w:p>
    <w:p w14:paraId="462833F5" w14:textId="77777777" w:rsidR="00E66C27" w:rsidRDefault="00E66C27" w:rsidP="00E66C27">
      <w:pPr>
        <w:spacing w:line="360" w:lineRule="auto"/>
        <w:rPr>
          <w:rFonts w:ascii="Times New Roman" w:hAnsi="Times New Roman" w:cs="Times New Roman"/>
        </w:rPr>
      </w:pPr>
    </w:p>
    <w:p w14:paraId="0F5E1FA4" w14:textId="77777777" w:rsidR="00E66C27" w:rsidRDefault="00E66C27" w:rsidP="00E66C27">
      <w:pPr>
        <w:pStyle w:val="ListParagraph"/>
        <w:numPr>
          <w:ilvl w:val="0"/>
          <w:numId w:val="2"/>
        </w:numPr>
        <w:spacing w:line="360" w:lineRule="auto"/>
        <w:rPr>
          <w:rFonts w:ascii="Times New Roman" w:hAnsi="Times New Roman" w:cs="Times New Roman"/>
        </w:rPr>
      </w:pPr>
      <w:r w:rsidRPr="003079C2">
        <w:rPr>
          <w:rFonts w:ascii="Times New Roman" w:hAnsi="Times New Roman" w:cs="Times New Roman"/>
        </w:rPr>
        <w:t xml:space="preserve">Adeani, I.S., Febriani, R.B. and Syafryadin, S., </w:t>
      </w:r>
      <w:r>
        <w:rPr>
          <w:rFonts w:ascii="Times New Roman" w:hAnsi="Times New Roman" w:cs="Times New Roman"/>
        </w:rPr>
        <w:t>(</w:t>
      </w:r>
      <w:r w:rsidRPr="003079C2">
        <w:rPr>
          <w:rFonts w:ascii="Times New Roman" w:hAnsi="Times New Roman" w:cs="Times New Roman"/>
        </w:rPr>
        <w:t>2020</w:t>
      </w:r>
      <w:r>
        <w:rPr>
          <w:rFonts w:ascii="Times New Roman" w:hAnsi="Times New Roman" w:cs="Times New Roman"/>
        </w:rPr>
        <w:t>)</w:t>
      </w:r>
      <w:r w:rsidRPr="003079C2">
        <w:rPr>
          <w:rFonts w:ascii="Times New Roman" w:hAnsi="Times New Roman" w:cs="Times New Roman"/>
        </w:rPr>
        <w:t>. Using GIBBS’reflective cycle in making reflections of literary analysis. </w:t>
      </w:r>
      <w:r w:rsidRPr="003079C2">
        <w:rPr>
          <w:rFonts w:ascii="Times New Roman" w:hAnsi="Times New Roman" w:cs="Times New Roman"/>
          <w:i/>
          <w:iCs/>
        </w:rPr>
        <w:t>Indonesian EFL Journal</w:t>
      </w:r>
      <w:r w:rsidRPr="003079C2">
        <w:rPr>
          <w:rFonts w:ascii="Times New Roman" w:hAnsi="Times New Roman" w:cs="Times New Roman"/>
        </w:rPr>
        <w:t>, </w:t>
      </w:r>
      <w:r w:rsidRPr="003079C2">
        <w:rPr>
          <w:rFonts w:ascii="Times New Roman" w:hAnsi="Times New Roman" w:cs="Times New Roman"/>
          <w:i/>
          <w:iCs/>
        </w:rPr>
        <w:t>6</w:t>
      </w:r>
      <w:r w:rsidRPr="003079C2">
        <w:rPr>
          <w:rFonts w:ascii="Times New Roman" w:hAnsi="Times New Roman" w:cs="Times New Roman"/>
        </w:rPr>
        <w:t>(2), pp.139-148.</w:t>
      </w:r>
    </w:p>
    <w:p w14:paraId="1E172F4F" w14:textId="50E202DB" w:rsidR="00851303" w:rsidRDefault="00851303" w:rsidP="00E66C27">
      <w:pPr>
        <w:pStyle w:val="ListParagraph"/>
        <w:numPr>
          <w:ilvl w:val="0"/>
          <w:numId w:val="2"/>
        </w:numPr>
        <w:spacing w:line="360" w:lineRule="auto"/>
        <w:rPr>
          <w:rFonts w:ascii="Times New Roman" w:hAnsi="Times New Roman" w:cs="Times New Roman"/>
        </w:rPr>
      </w:pPr>
      <w:r w:rsidRPr="00851303">
        <w:rPr>
          <w:rFonts w:ascii="Times New Roman" w:hAnsi="Times New Roman" w:cs="Times New Roman"/>
        </w:rPr>
        <w:t xml:space="preserve">Atin, S. and Lubis, R., </w:t>
      </w:r>
      <w:r>
        <w:rPr>
          <w:rFonts w:ascii="Times New Roman" w:hAnsi="Times New Roman" w:cs="Times New Roman"/>
        </w:rPr>
        <w:t>(</w:t>
      </w:r>
      <w:r w:rsidRPr="00851303">
        <w:rPr>
          <w:rFonts w:ascii="Times New Roman" w:hAnsi="Times New Roman" w:cs="Times New Roman"/>
        </w:rPr>
        <w:t>2019</w:t>
      </w:r>
      <w:r>
        <w:rPr>
          <w:rFonts w:ascii="Times New Roman" w:hAnsi="Times New Roman" w:cs="Times New Roman"/>
        </w:rPr>
        <w:t>)</w:t>
      </w:r>
      <w:r w:rsidRPr="00851303">
        <w:rPr>
          <w:rFonts w:ascii="Times New Roman" w:hAnsi="Times New Roman" w:cs="Times New Roman"/>
        </w:rPr>
        <w:t>, November. Implementation of critical path method in project planning and scheduling. In </w:t>
      </w:r>
      <w:r w:rsidRPr="00851303">
        <w:rPr>
          <w:rFonts w:ascii="Times New Roman" w:hAnsi="Times New Roman" w:cs="Times New Roman"/>
          <w:i/>
          <w:iCs/>
        </w:rPr>
        <w:t>IOP Conference Series: Materials Science and Engineering</w:t>
      </w:r>
      <w:r w:rsidRPr="00851303">
        <w:rPr>
          <w:rFonts w:ascii="Times New Roman" w:hAnsi="Times New Roman" w:cs="Times New Roman"/>
        </w:rPr>
        <w:t> (Vol. 662, No. 2, p. 022031). IOP Publishing.</w:t>
      </w:r>
    </w:p>
    <w:p w14:paraId="28F07DB1" w14:textId="77777777" w:rsidR="00E66C27" w:rsidRDefault="00E66C27" w:rsidP="00E66C27">
      <w:pPr>
        <w:pStyle w:val="ListParagraph"/>
        <w:numPr>
          <w:ilvl w:val="0"/>
          <w:numId w:val="2"/>
        </w:numPr>
        <w:spacing w:line="360" w:lineRule="auto"/>
        <w:rPr>
          <w:rFonts w:ascii="Times New Roman" w:hAnsi="Times New Roman" w:cs="Times New Roman"/>
        </w:rPr>
      </w:pPr>
      <w:r w:rsidRPr="000B19E4">
        <w:rPr>
          <w:rFonts w:ascii="Times New Roman" w:hAnsi="Times New Roman" w:cs="Times New Roman"/>
        </w:rPr>
        <w:t xml:space="preserve">Cao, S., Ji, W. and Fang, D., </w:t>
      </w:r>
      <w:r>
        <w:rPr>
          <w:rFonts w:ascii="Times New Roman" w:hAnsi="Times New Roman" w:cs="Times New Roman"/>
        </w:rPr>
        <w:t>(</w:t>
      </w:r>
      <w:r w:rsidRPr="000B19E4">
        <w:rPr>
          <w:rFonts w:ascii="Times New Roman" w:hAnsi="Times New Roman" w:cs="Times New Roman"/>
        </w:rPr>
        <w:t>2025</w:t>
      </w:r>
      <w:r>
        <w:rPr>
          <w:rFonts w:ascii="Times New Roman" w:hAnsi="Times New Roman" w:cs="Times New Roman"/>
        </w:rPr>
        <w:t>)</w:t>
      </w:r>
      <w:r w:rsidRPr="000B19E4">
        <w:rPr>
          <w:rFonts w:ascii="Times New Roman" w:hAnsi="Times New Roman" w:cs="Times New Roman"/>
        </w:rPr>
        <w:t>. Prioritizing Highway Restoration Following Flood Inundations: An Integrated Accessibility-Driven Approach. </w:t>
      </w:r>
      <w:r w:rsidRPr="000B19E4">
        <w:rPr>
          <w:rFonts w:ascii="Times New Roman" w:hAnsi="Times New Roman" w:cs="Times New Roman"/>
          <w:i/>
          <w:iCs/>
        </w:rPr>
        <w:t>Journal of Management in Engineering</w:t>
      </w:r>
      <w:r w:rsidRPr="000B19E4">
        <w:rPr>
          <w:rFonts w:ascii="Times New Roman" w:hAnsi="Times New Roman" w:cs="Times New Roman"/>
        </w:rPr>
        <w:t>, </w:t>
      </w:r>
      <w:r w:rsidRPr="000B19E4">
        <w:rPr>
          <w:rFonts w:ascii="Times New Roman" w:hAnsi="Times New Roman" w:cs="Times New Roman"/>
          <w:i/>
          <w:iCs/>
        </w:rPr>
        <w:t>41</w:t>
      </w:r>
      <w:r w:rsidRPr="000B19E4">
        <w:rPr>
          <w:rFonts w:ascii="Times New Roman" w:hAnsi="Times New Roman" w:cs="Times New Roman"/>
        </w:rPr>
        <w:t>(4), p.04025023.</w:t>
      </w:r>
    </w:p>
    <w:p w14:paraId="41E1B227" w14:textId="6A300BC9" w:rsidR="00441A36" w:rsidRPr="004217C7" w:rsidRDefault="00441A36" w:rsidP="00E66C27">
      <w:pPr>
        <w:pStyle w:val="ListParagraph"/>
        <w:numPr>
          <w:ilvl w:val="0"/>
          <w:numId w:val="2"/>
        </w:numPr>
        <w:spacing w:line="360" w:lineRule="auto"/>
        <w:rPr>
          <w:rFonts w:ascii="Times New Roman" w:hAnsi="Times New Roman" w:cs="Times New Roman"/>
        </w:rPr>
      </w:pPr>
      <w:r w:rsidRPr="00441A36">
        <w:rPr>
          <w:rFonts w:ascii="Times New Roman" w:hAnsi="Times New Roman" w:cs="Times New Roman"/>
        </w:rPr>
        <w:lastRenderedPageBreak/>
        <w:t xml:space="preserve">Christensen, D.S. and Heise, S.R., </w:t>
      </w:r>
      <w:r>
        <w:rPr>
          <w:rFonts w:ascii="Times New Roman" w:hAnsi="Times New Roman" w:cs="Times New Roman"/>
        </w:rPr>
        <w:t>(</w:t>
      </w:r>
      <w:r w:rsidRPr="00441A36">
        <w:rPr>
          <w:rFonts w:ascii="Times New Roman" w:hAnsi="Times New Roman" w:cs="Times New Roman"/>
        </w:rPr>
        <w:t>1993</w:t>
      </w:r>
      <w:r>
        <w:rPr>
          <w:rFonts w:ascii="Times New Roman" w:hAnsi="Times New Roman" w:cs="Times New Roman"/>
        </w:rPr>
        <w:t>)</w:t>
      </w:r>
      <w:r w:rsidRPr="00441A36">
        <w:rPr>
          <w:rFonts w:ascii="Times New Roman" w:hAnsi="Times New Roman" w:cs="Times New Roman"/>
        </w:rPr>
        <w:t>. Cost performance index stability. </w:t>
      </w:r>
      <w:r w:rsidRPr="00441A36">
        <w:rPr>
          <w:rFonts w:ascii="Times New Roman" w:hAnsi="Times New Roman" w:cs="Times New Roman"/>
          <w:i/>
          <w:iCs/>
        </w:rPr>
        <w:t>National Contract Management Journal</w:t>
      </w:r>
      <w:r w:rsidRPr="00441A36">
        <w:rPr>
          <w:rFonts w:ascii="Times New Roman" w:hAnsi="Times New Roman" w:cs="Times New Roman"/>
        </w:rPr>
        <w:t>, </w:t>
      </w:r>
      <w:r w:rsidRPr="00441A36">
        <w:rPr>
          <w:rFonts w:ascii="Times New Roman" w:hAnsi="Times New Roman" w:cs="Times New Roman"/>
          <w:i/>
          <w:iCs/>
        </w:rPr>
        <w:t>25</w:t>
      </w:r>
      <w:r w:rsidRPr="00441A36">
        <w:rPr>
          <w:rFonts w:ascii="Times New Roman" w:hAnsi="Times New Roman" w:cs="Times New Roman"/>
        </w:rPr>
        <w:t>(1), pp.7-15.</w:t>
      </w:r>
    </w:p>
    <w:p w14:paraId="2D12C219" w14:textId="77777777" w:rsidR="00E66C27" w:rsidRDefault="00E66C27" w:rsidP="00E66C27">
      <w:pPr>
        <w:pStyle w:val="ListParagraph"/>
        <w:numPr>
          <w:ilvl w:val="0"/>
          <w:numId w:val="2"/>
        </w:numPr>
        <w:spacing w:line="360" w:lineRule="auto"/>
        <w:rPr>
          <w:rFonts w:ascii="Times New Roman" w:hAnsi="Times New Roman" w:cs="Times New Roman"/>
        </w:rPr>
      </w:pPr>
      <w:r w:rsidRPr="000E6D39">
        <w:rPr>
          <w:rFonts w:ascii="Times New Roman" w:hAnsi="Times New Roman" w:cs="Times New Roman"/>
        </w:rPr>
        <w:t xml:space="preserve">Derenskaya, Y., </w:t>
      </w:r>
      <w:r>
        <w:rPr>
          <w:rFonts w:ascii="Times New Roman" w:hAnsi="Times New Roman" w:cs="Times New Roman"/>
        </w:rPr>
        <w:t>(</w:t>
      </w:r>
      <w:r w:rsidRPr="000E6D39">
        <w:rPr>
          <w:rFonts w:ascii="Times New Roman" w:hAnsi="Times New Roman" w:cs="Times New Roman"/>
        </w:rPr>
        <w:t>2018</w:t>
      </w:r>
      <w:r>
        <w:rPr>
          <w:rFonts w:ascii="Times New Roman" w:hAnsi="Times New Roman" w:cs="Times New Roman"/>
        </w:rPr>
        <w:t>)</w:t>
      </w:r>
      <w:r w:rsidRPr="000E6D39">
        <w:rPr>
          <w:rFonts w:ascii="Times New Roman" w:hAnsi="Times New Roman" w:cs="Times New Roman"/>
        </w:rPr>
        <w:t>. Project scope management process. </w:t>
      </w:r>
      <w:r w:rsidRPr="000E6D39">
        <w:rPr>
          <w:rFonts w:ascii="Times New Roman" w:hAnsi="Times New Roman" w:cs="Times New Roman"/>
          <w:i/>
          <w:iCs/>
        </w:rPr>
        <w:t>Baltic Journal of Economic Studies</w:t>
      </w:r>
      <w:r w:rsidRPr="000E6D39">
        <w:rPr>
          <w:rFonts w:ascii="Times New Roman" w:hAnsi="Times New Roman" w:cs="Times New Roman"/>
        </w:rPr>
        <w:t>, </w:t>
      </w:r>
      <w:r w:rsidRPr="000E6D39">
        <w:rPr>
          <w:rFonts w:ascii="Times New Roman" w:hAnsi="Times New Roman" w:cs="Times New Roman"/>
          <w:i/>
          <w:iCs/>
        </w:rPr>
        <w:t>4</w:t>
      </w:r>
      <w:r w:rsidRPr="000E6D39">
        <w:rPr>
          <w:rFonts w:ascii="Times New Roman" w:hAnsi="Times New Roman" w:cs="Times New Roman"/>
        </w:rPr>
        <w:t>(1), pp.118-125.</w:t>
      </w:r>
    </w:p>
    <w:p w14:paraId="43AD07E8" w14:textId="77777777" w:rsidR="00E66C27" w:rsidRPr="00601E02" w:rsidRDefault="00E66C27" w:rsidP="00E66C27">
      <w:pPr>
        <w:pStyle w:val="ListParagraph"/>
        <w:numPr>
          <w:ilvl w:val="0"/>
          <w:numId w:val="2"/>
        </w:numPr>
        <w:spacing w:line="360" w:lineRule="auto"/>
        <w:rPr>
          <w:rFonts w:ascii="Times New Roman" w:hAnsi="Times New Roman" w:cs="Times New Roman"/>
        </w:rPr>
      </w:pPr>
      <w:r w:rsidRPr="004217C7">
        <w:rPr>
          <w:rFonts w:ascii="Times New Roman" w:hAnsi="Times New Roman" w:cs="Times New Roman"/>
        </w:rPr>
        <w:t xml:space="preserve">Devi, T.R. and Reddy, V.S., </w:t>
      </w:r>
      <w:r>
        <w:rPr>
          <w:rFonts w:ascii="Times New Roman" w:hAnsi="Times New Roman" w:cs="Times New Roman"/>
        </w:rPr>
        <w:t>(</w:t>
      </w:r>
      <w:r w:rsidRPr="004217C7">
        <w:rPr>
          <w:rFonts w:ascii="Times New Roman" w:hAnsi="Times New Roman" w:cs="Times New Roman"/>
        </w:rPr>
        <w:t>2012</w:t>
      </w:r>
      <w:r>
        <w:rPr>
          <w:rFonts w:ascii="Times New Roman" w:hAnsi="Times New Roman" w:cs="Times New Roman"/>
        </w:rPr>
        <w:t>)</w:t>
      </w:r>
      <w:r w:rsidRPr="004217C7">
        <w:rPr>
          <w:rFonts w:ascii="Times New Roman" w:hAnsi="Times New Roman" w:cs="Times New Roman"/>
        </w:rPr>
        <w:t>.</w:t>
      </w:r>
      <w:r w:rsidRPr="004217C7">
        <w:rPr>
          <w:rFonts w:ascii="Times New Roman" w:hAnsi="Times New Roman" w:cs="Times New Roman"/>
          <w:i/>
          <w:iCs/>
        </w:rPr>
        <w:t xml:space="preserve"> Work breakdown structure of the project</w:t>
      </w:r>
      <w:r w:rsidRPr="004217C7">
        <w:rPr>
          <w:rFonts w:ascii="Times New Roman" w:hAnsi="Times New Roman" w:cs="Times New Roman"/>
        </w:rPr>
        <w:t>. Int J Eng Res Appl, 2(2), pp.683-686.</w:t>
      </w:r>
    </w:p>
    <w:p w14:paraId="60152C6A" w14:textId="77777777" w:rsidR="00E66C27" w:rsidRDefault="00E66C27" w:rsidP="00E66C27">
      <w:pPr>
        <w:pStyle w:val="ListParagraph"/>
        <w:numPr>
          <w:ilvl w:val="0"/>
          <w:numId w:val="2"/>
        </w:numPr>
        <w:spacing w:line="360" w:lineRule="auto"/>
        <w:rPr>
          <w:rFonts w:ascii="Times New Roman" w:hAnsi="Times New Roman" w:cs="Times New Roman"/>
        </w:rPr>
      </w:pPr>
      <w:r w:rsidRPr="00633D32">
        <w:rPr>
          <w:rFonts w:ascii="Times New Roman" w:hAnsi="Times New Roman" w:cs="Times New Roman"/>
        </w:rPr>
        <w:t xml:space="preserve">Dionne, G., </w:t>
      </w:r>
      <w:r>
        <w:rPr>
          <w:rFonts w:ascii="Times New Roman" w:hAnsi="Times New Roman" w:cs="Times New Roman"/>
        </w:rPr>
        <w:t>(</w:t>
      </w:r>
      <w:r w:rsidRPr="00633D32">
        <w:rPr>
          <w:rFonts w:ascii="Times New Roman" w:hAnsi="Times New Roman" w:cs="Times New Roman"/>
        </w:rPr>
        <w:t>2013</w:t>
      </w:r>
      <w:r>
        <w:rPr>
          <w:rFonts w:ascii="Times New Roman" w:hAnsi="Times New Roman" w:cs="Times New Roman"/>
        </w:rPr>
        <w:t>)</w:t>
      </w:r>
      <w:r w:rsidRPr="00633D32">
        <w:rPr>
          <w:rFonts w:ascii="Times New Roman" w:hAnsi="Times New Roman" w:cs="Times New Roman"/>
        </w:rPr>
        <w:t>. Risk management: History, definition, and critique. </w:t>
      </w:r>
      <w:r w:rsidRPr="00633D32">
        <w:rPr>
          <w:rFonts w:ascii="Times New Roman" w:hAnsi="Times New Roman" w:cs="Times New Roman"/>
          <w:i/>
          <w:iCs/>
        </w:rPr>
        <w:t>Risk management and insurance review</w:t>
      </w:r>
      <w:r w:rsidRPr="00633D32">
        <w:rPr>
          <w:rFonts w:ascii="Times New Roman" w:hAnsi="Times New Roman" w:cs="Times New Roman"/>
        </w:rPr>
        <w:t>, </w:t>
      </w:r>
      <w:r w:rsidRPr="00633D32">
        <w:rPr>
          <w:rFonts w:ascii="Times New Roman" w:hAnsi="Times New Roman" w:cs="Times New Roman"/>
          <w:i/>
          <w:iCs/>
        </w:rPr>
        <w:t>16</w:t>
      </w:r>
      <w:r w:rsidRPr="00633D32">
        <w:rPr>
          <w:rFonts w:ascii="Times New Roman" w:hAnsi="Times New Roman" w:cs="Times New Roman"/>
        </w:rPr>
        <w:t>(2), pp.147-166.</w:t>
      </w:r>
    </w:p>
    <w:p w14:paraId="2755D63F" w14:textId="77777777" w:rsidR="00E66C27" w:rsidRDefault="00E66C27" w:rsidP="00E66C27">
      <w:pPr>
        <w:pStyle w:val="ListParagraph"/>
        <w:numPr>
          <w:ilvl w:val="0"/>
          <w:numId w:val="2"/>
        </w:numPr>
        <w:spacing w:line="360" w:lineRule="auto"/>
        <w:rPr>
          <w:rFonts w:ascii="Times New Roman" w:hAnsi="Times New Roman" w:cs="Times New Roman"/>
        </w:rPr>
      </w:pPr>
      <w:r w:rsidRPr="002946CC">
        <w:rPr>
          <w:rFonts w:ascii="Times New Roman" w:hAnsi="Times New Roman" w:cs="Times New Roman"/>
        </w:rPr>
        <w:t xml:space="preserve">Ford, J.D. and Wei, T., </w:t>
      </w:r>
      <w:r>
        <w:rPr>
          <w:rFonts w:ascii="Times New Roman" w:hAnsi="Times New Roman" w:cs="Times New Roman"/>
        </w:rPr>
        <w:t>(</w:t>
      </w:r>
      <w:r w:rsidRPr="002946CC">
        <w:rPr>
          <w:rFonts w:ascii="Times New Roman" w:hAnsi="Times New Roman" w:cs="Times New Roman"/>
        </w:rPr>
        <w:t>2015</w:t>
      </w:r>
      <w:r>
        <w:rPr>
          <w:rFonts w:ascii="Times New Roman" w:hAnsi="Times New Roman" w:cs="Times New Roman"/>
        </w:rPr>
        <w:t>)</w:t>
      </w:r>
      <w:r w:rsidRPr="002946CC">
        <w:rPr>
          <w:rFonts w:ascii="Times New Roman" w:hAnsi="Times New Roman" w:cs="Times New Roman"/>
        </w:rPr>
        <w:t>. Quad charts in the classroom to reinforce technical communication fundamentals. </w:t>
      </w:r>
      <w:r w:rsidRPr="002946CC">
        <w:rPr>
          <w:rFonts w:ascii="Times New Roman" w:hAnsi="Times New Roman" w:cs="Times New Roman"/>
          <w:i/>
          <w:iCs/>
        </w:rPr>
        <w:t>Journal of Technical Writing and Communication</w:t>
      </w:r>
      <w:r w:rsidRPr="002946CC">
        <w:rPr>
          <w:rFonts w:ascii="Times New Roman" w:hAnsi="Times New Roman" w:cs="Times New Roman"/>
        </w:rPr>
        <w:t>, </w:t>
      </w:r>
      <w:r w:rsidRPr="002946CC">
        <w:rPr>
          <w:rFonts w:ascii="Times New Roman" w:hAnsi="Times New Roman" w:cs="Times New Roman"/>
          <w:i/>
          <w:iCs/>
        </w:rPr>
        <w:t>45</w:t>
      </w:r>
      <w:r w:rsidRPr="002946CC">
        <w:rPr>
          <w:rFonts w:ascii="Times New Roman" w:hAnsi="Times New Roman" w:cs="Times New Roman"/>
        </w:rPr>
        <w:t>(3), pp.275-284.</w:t>
      </w:r>
    </w:p>
    <w:p w14:paraId="31040E4E" w14:textId="33168905" w:rsidR="00304209" w:rsidRDefault="00304209" w:rsidP="00E66C27">
      <w:pPr>
        <w:pStyle w:val="ListParagraph"/>
        <w:numPr>
          <w:ilvl w:val="0"/>
          <w:numId w:val="2"/>
        </w:numPr>
        <w:spacing w:line="360" w:lineRule="auto"/>
        <w:rPr>
          <w:rFonts w:ascii="Times New Roman" w:hAnsi="Times New Roman" w:cs="Times New Roman"/>
        </w:rPr>
      </w:pPr>
      <w:r w:rsidRPr="00304209">
        <w:rPr>
          <w:rFonts w:ascii="Times New Roman" w:hAnsi="Times New Roman" w:cs="Times New Roman"/>
        </w:rPr>
        <w:t xml:space="preserve">He, K.N., Parkinson, L. and Doyle, A.K., </w:t>
      </w:r>
      <w:r>
        <w:rPr>
          <w:rFonts w:ascii="Times New Roman" w:hAnsi="Times New Roman" w:cs="Times New Roman"/>
        </w:rPr>
        <w:t>(</w:t>
      </w:r>
      <w:r w:rsidRPr="00304209">
        <w:rPr>
          <w:rFonts w:ascii="Times New Roman" w:hAnsi="Times New Roman" w:cs="Times New Roman"/>
        </w:rPr>
        <w:t>2018</w:t>
      </w:r>
      <w:r>
        <w:rPr>
          <w:rFonts w:ascii="Times New Roman" w:hAnsi="Times New Roman" w:cs="Times New Roman"/>
        </w:rPr>
        <w:t>)</w:t>
      </w:r>
      <w:r w:rsidRPr="00304209">
        <w:rPr>
          <w:rFonts w:ascii="Times New Roman" w:hAnsi="Times New Roman" w:cs="Times New Roman"/>
        </w:rPr>
        <w:t>. Gibbs’ Reflective Cycle.</w:t>
      </w:r>
    </w:p>
    <w:p w14:paraId="7FCB6A10" w14:textId="47E9B832" w:rsidR="00304209" w:rsidRDefault="00304209" w:rsidP="00E66C27">
      <w:pPr>
        <w:pStyle w:val="ListParagraph"/>
        <w:numPr>
          <w:ilvl w:val="0"/>
          <w:numId w:val="2"/>
        </w:numPr>
        <w:spacing w:line="360" w:lineRule="auto"/>
        <w:rPr>
          <w:rFonts w:ascii="Times New Roman" w:hAnsi="Times New Roman" w:cs="Times New Roman"/>
        </w:rPr>
      </w:pPr>
      <w:bookmarkStart w:id="1" w:name="_Hlk224978487"/>
      <w:r w:rsidRPr="00304209">
        <w:rPr>
          <w:rFonts w:ascii="Times New Roman" w:hAnsi="Times New Roman" w:cs="Times New Roman"/>
        </w:rPr>
        <w:t xml:space="preserve">Jekunen, N., </w:t>
      </w:r>
      <w:r>
        <w:rPr>
          <w:rFonts w:ascii="Times New Roman" w:hAnsi="Times New Roman" w:cs="Times New Roman"/>
        </w:rPr>
        <w:t>(</w:t>
      </w:r>
      <w:r w:rsidRPr="00304209">
        <w:rPr>
          <w:rFonts w:ascii="Times New Roman" w:hAnsi="Times New Roman" w:cs="Times New Roman"/>
        </w:rPr>
        <w:t>2018</w:t>
      </w:r>
      <w:r>
        <w:rPr>
          <w:rFonts w:ascii="Times New Roman" w:hAnsi="Times New Roman" w:cs="Times New Roman"/>
        </w:rPr>
        <w:t>)</w:t>
      </w:r>
      <w:bookmarkEnd w:id="1"/>
      <w:r w:rsidRPr="00304209">
        <w:rPr>
          <w:rFonts w:ascii="Times New Roman" w:hAnsi="Times New Roman" w:cs="Times New Roman"/>
        </w:rPr>
        <w:t>. The importance of clear communication in work life.</w:t>
      </w:r>
    </w:p>
    <w:p w14:paraId="2308EC68" w14:textId="77777777" w:rsidR="00E66C27" w:rsidRPr="006818F3" w:rsidRDefault="00E66C27" w:rsidP="00E66C27">
      <w:pPr>
        <w:pStyle w:val="ListParagraph"/>
        <w:numPr>
          <w:ilvl w:val="0"/>
          <w:numId w:val="2"/>
        </w:numPr>
        <w:spacing w:line="360" w:lineRule="auto"/>
      </w:pPr>
      <w:r w:rsidRPr="00F13797">
        <w:t xml:space="preserve">Joo, S.H., Ogawa, Y. and Sekimoto, Y., </w:t>
      </w:r>
      <w:r>
        <w:t>(</w:t>
      </w:r>
      <w:r w:rsidRPr="00F13797">
        <w:t>2022</w:t>
      </w:r>
      <w:r>
        <w:t>)</w:t>
      </w:r>
      <w:r w:rsidRPr="00F13797">
        <w:t>. Road-reconstruction after multi-locational flooding in multi-agent deep RL with the consideration of human mobility-Case study: Western Japan flooding in 2018. </w:t>
      </w:r>
      <w:r w:rsidRPr="00F13797">
        <w:rPr>
          <w:i/>
          <w:iCs/>
        </w:rPr>
        <w:t>International Journal of Disaster Risk Reduction</w:t>
      </w:r>
      <w:r w:rsidRPr="00F13797">
        <w:t>, </w:t>
      </w:r>
      <w:r w:rsidRPr="00F13797">
        <w:rPr>
          <w:i/>
          <w:iCs/>
        </w:rPr>
        <w:t>70</w:t>
      </w:r>
      <w:r w:rsidRPr="00F13797">
        <w:t>, p.102780.</w:t>
      </w:r>
    </w:p>
    <w:p w14:paraId="28620A21" w14:textId="77777777" w:rsidR="00E66C27" w:rsidRPr="005E4211" w:rsidRDefault="00E66C27" w:rsidP="00E66C27">
      <w:pPr>
        <w:pStyle w:val="ListParagraph"/>
        <w:numPr>
          <w:ilvl w:val="0"/>
          <w:numId w:val="2"/>
        </w:numPr>
        <w:spacing w:line="360" w:lineRule="auto"/>
        <w:rPr>
          <w:rFonts w:ascii="Times New Roman" w:hAnsi="Times New Roman" w:cs="Times New Roman"/>
        </w:rPr>
      </w:pPr>
      <w:r w:rsidRPr="005E4211">
        <w:rPr>
          <w:rFonts w:ascii="Times New Roman" w:hAnsi="Times New Roman" w:cs="Times New Roman"/>
        </w:rPr>
        <w:t xml:space="preserve">Kemp, B.H., </w:t>
      </w:r>
      <w:r>
        <w:rPr>
          <w:rFonts w:ascii="Times New Roman" w:hAnsi="Times New Roman" w:cs="Times New Roman"/>
        </w:rPr>
        <w:t>(</w:t>
      </w:r>
      <w:r w:rsidRPr="005E4211">
        <w:rPr>
          <w:rFonts w:ascii="Times New Roman" w:hAnsi="Times New Roman" w:cs="Times New Roman"/>
        </w:rPr>
        <w:t>1965</w:t>
      </w:r>
      <w:r>
        <w:rPr>
          <w:rFonts w:ascii="Times New Roman" w:hAnsi="Times New Roman" w:cs="Times New Roman"/>
        </w:rPr>
        <w:t>)</w:t>
      </w:r>
      <w:r w:rsidRPr="005E4211">
        <w:rPr>
          <w:rFonts w:ascii="Times New Roman" w:hAnsi="Times New Roman" w:cs="Times New Roman"/>
        </w:rPr>
        <w:t>. Social impact of a highway on an urban community. </w:t>
      </w:r>
      <w:r w:rsidRPr="005E4211">
        <w:rPr>
          <w:rFonts w:ascii="Times New Roman" w:hAnsi="Times New Roman" w:cs="Times New Roman"/>
          <w:i/>
          <w:iCs/>
        </w:rPr>
        <w:t>Highway Research Record</w:t>
      </w:r>
      <w:r w:rsidRPr="005E4211">
        <w:rPr>
          <w:rFonts w:ascii="Times New Roman" w:hAnsi="Times New Roman" w:cs="Times New Roman"/>
        </w:rPr>
        <w:t>, </w:t>
      </w:r>
      <w:r w:rsidRPr="005E4211">
        <w:rPr>
          <w:rFonts w:ascii="Times New Roman" w:hAnsi="Times New Roman" w:cs="Times New Roman"/>
          <w:i/>
          <w:iCs/>
        </w:rPr>
        <w:t>75</w:t>
      </w:r>
      <w:r w:rsidRPr="005E4211">
        <w:rPr>
          <w:rFonts w:ascii="Times New Roman" w:hAnsi="Times New Roman" w:cs="Times New Roman"/>
        </w:rPr>
        <w:t>, pp.92-102.</w:t>
      </w:r>
    </w:p>
    <w:p w14:paraId="542B5E3E" w14:textId="77777777" w:rsidR="00E66C27" w:rsidRDefault="00E66C27" w:rsidP="00E66C27">
      <w:pPr>
        <w:pStyle w:val="ListParagraph"/>
        <w:numPr>
          <w:ilvl w:val="0"/>
          <w:numId w:val="2"/>
        </w:numPr>
        <w:spacing w:line="360" w:lineRule="auto"/>
        <w:rPr>
          <w:rFonts w:ascii="Times New Roman" w:hAnsi="Times New Roman" w:cs="Times New Roman"/>
        </w:rPr>
      </w:pPr>
      <w:r w:rsidRPr="000E6D39">
        <w:rPr>
          <w:rFonts w:ascii="Times New Roman" w:hAnsi="Times New Roman" w:cs="Times New Roman"/>
        </w:rPr>
        <w:t xml:space="preserve">Khan, A., </w:t>
      </w:r>
      <w:r>
        <w:rPr>
          <w:rFonts w:ascii="Times New Roman" w:hAnsi="Times New Roman" w:cs="Times New Roman"/>
        </w:rPr>
        <w:t>(</w:t>
      </w:r>
      <w:r w:rsidRPr="000E6D39">
        <w:rPr>
          <w:rFonts w:ascii="Times New Roman" w:hAnsi="Times New Roman" w:cs="Times New Roman"/>
        </w:rPr>
        <w:t>2006</w:t>
      </w:r>
      <w:r>
        <w:rPr>
          <w:rFonts w:ascii="Times New Roman" w:hAnsi="Times New Roman" w:cs="Times New Roman"/>
        </w:rPr>
        <w:t>)</w:t>
      </w:r>
      <w:r w:rsidRPr="000E6D39">
        <w:rPr>
          <w:rFonts w:ascii="Times New Roman" w:hAnsi="Times New Roman" w:cs="Times New Roman"/>
        </w:rPr>
        <w:t>. Project scope management. </w:t>
      </w:r>
      <w:r w:rsidRPr="000E6D39">
        <w:rPr>
          <w:rFonts w:ascii="Times New Roman" w:hAnsi="Times New Roman" w:cs="Times New Roman"/>
          <w:i/>
          <w:iCs/>
        </w:rPr>
        <w:t>Cost engineering</w:t>
      </w:r>
      <w:r w:rsidRPr="000E6D39">
        <w:rPr>
          <w:rFonts w:ascii="Times New Roman" w:hAnsi="Times New Roman" w:cs="Times New Roman"/>
        </w:rPr>
        <w:t>, </w:t>
      </w:r>
      <w:r w:rsidRPr="000E6D39">
        <w:rPr>
          <w:rFonts w:ascii="Times New Roman" w:hAnsi="Times New Roman" w:cs="Times New Roman"/>
          <w:i/>
          <w:iCs/>
        </w:rPr>
        <w:t>48</w:t>
      </w:r>
      <w:r w:rsidRPr="000E6D39">
        <w:rPr>
          <w:rFonts w:ascii="Times New Roman" w:hAnsi="Times New Roman" w:cs="Times New Roman"/>
        </w:rPr>
        <w:t>(6), pp.12-16.</w:t>
      </w:r>
    </w:p>
    <w:p w14:paraId="1ECB4A97" w14:textId="77777777" w:rsidR="00E66C27" w:rsidRDefault="00E66C27" w:rsidP="00E66C27">
      <w:pPr>
        <w:pStyle w:val="ListParagraph"/>
        <w:numPr>
          <w:ilvl w:val="0"/>
          <w:numId w:val="2"/>
        </w:numPr>
        <w:spacing w:line="360" w:lineRule="auto"/>
        <w:rPr>
          <w:rFonts w:ascii="Times New Roman" w:hAnsi="Times New Roman" w:cs="Times New Roman"/>
        </w:rPr>
      </w:pPr>
      <w:r w:rsidRPr="00465C6A">
        <w:rPr>
          <w:rFonts w:ascii="Times New Roman" w:hAnsi="Times New Roman" w:cs="Times New Roman"/>
        </w:rPr>
        <w:t xml:space="preserve">Khrutba, V., Anpilova, Y., Lukianova, V., Kotsiuba, I., Kriukovska, L. and Spasichenko, O., </w:t>
      </w:r>
      <w:r>
        <w:rPr>
          <w:rFonts w:ascii="Times New Roman" w:hAnsi="Times New Roman" w:cs="Times New Roman"/>
        </w:rPr>
        <w:t>(</w:t>
      </w:r>
      <w:r w:rsidRPr="00465C6A">
        <w:rPr>
          <w:rFonts w:ascii="Times New Roman" w:hAnsi="Times New Roman" w:cs="Times New Roman"/>
        </w:rPr>
        <w:t>2021</w:t>
      </w:r>
      <w:r>
        <w:rPr>
          <w:rFonts w:ascii="Times New Roman" w:hAnsi="Times New Roman" w:cs="Times New Roman"/>
        </w:rPr>
        <w:t>)</w:t>
      </w:r>
      <w:r w:rsidRPr="00465C6A">
        <w:rPr>
          <w:rFonts w:ascii="Times New Roman" w:hAnsi="Times New Roman" w:cs="Times New Roman"/>
        </w:rPr>
        <w:t>. Evaluation of the impact on the environment at building and reconstruction of motorways using the system analysis method. </w:t>
      </w:r>
      <w:r w:rsidRPr="00465C6A">
        <w:rPr>
          <w:rFonts w:ascii="Times New Roman" w:hAnsi="Times New Roman" w:cs="Times New Roman"/>
          <w:i/>
          <w:iCs/>
        </w:rPr>
        <w:t>Environmental Research, Engineering and Management</w:t>
      </w:r>
      <w:r w:rsidRPr="00465C6A">
        <w:rPr>
          <w:rFonts w:ascii="Times New Roman" w:hAnsi="Times New Roman" w:cs="Times New Roman"/>
        </w:rPr>
        <w:t>, </w:t>
      </w:r>
      <w:r w:rsidRPr="00465C6A">
        <w:rPr>
          <w:rFonts w:ascii="Times New Roman" w:hAnsi="Times New Roman" w:cs="Times New Roman"/>
          <w:i/>
          <w:iCs/>
        </w:rPr>
        <w:t>77</w:t>
      </w:r>
      <w:r w:rsidRPr="00465C6A">
        <w:rPr>
          <w:rFonts w:ascii="Times New Roman" w:hAnsi="Times New Roman" w:cs="Times New Roman"/>
        </w:rPr>
        <w:t>(1), pp.85-95.</w:t>
      </w:r>
    </w:p>
    <w:p w14:paraId="77F94311" w14:textId="77777777" w:rsidR="00E66C27" w:rsidRDefault="00E66C27" w:rsidP="00E66C27">
      <w:pPr>
        <w:pStyle w:val="ListParagraph"/>
        <w:numPr>
          <w:ilvl w:val="0"/>
          <w:numId w:val="2"/>
        </w:numPr>
        <w:spacing w:line="360" w:lineRule="auto"/>
        <w:rPr>
          <w:rFonts w:ascii="Times New Roman" w:hAnsi="Times New Roman" w:cs="Times New Roman"/>
        </w:rPr>
      </w:pPr>
      <w:r w:rsidRPr="00465C6A">
        <w:rPr>
          <w:rFonts w:ascii="Times New Roman" w:hAnsi="Times New Roman" w:cs="Times New Roman"/>
        </w:rPr>
        <w:t xml:space="preserve">Kim, K.N. and Choi, J.H., </w:t>
      </w:r>
      <w:r>
        <w:rPr>
          <w:rFonts w:ascii="Times New Roman" w:hAnsi="Times New Roman" w:cs="Times New Roman"/>
        </w:rPr>
        <w:t>(</w:t>
      </w:r>
      <w:r w:rsidRPr="00465C6A">
        <w:rPr>
          <w:rFonts w:ascii="Times New Roman" w:hAnsi="Times New Roman" w:cs="Times New Roman"/>
        </w:rPr>
        <w:t>2013</w:t>
      </w:r>
      <w:r>
        <w:rPr>
          <w:rFonts w:ascii="Times New Roman" w:hAnsi="Times New Roman" w:cs="Times New Roman"/>
        </w:rPr>
        <w:t>)</w:t>
      </w:r>
      <w:r w:rsidRPr="00465C6A">
        <w:rPr>
          <w:rFonts w:ascii="Times New Roman" w:hAnsi="Times New Roman" w:cs="Times New Roman"/>
        </w:rPr>
        <w:t>. Breaking the vicious cycle of flood disasters: Goals of project management in post-disaster rebuild projects. </w:t>
      </w:r>
      <w:r w:rsidRPr="00465C6A">
        <w:rPr>
          <w:rFonts w:ascii="Times New Roman" w:hAnsi="Times New Roman" w:cs="Times New Roman"/>
          <w:i/>
          <w:iCs/>
        </w:rPr>
        <w:t>International Journal of Project Management</w:t>
      </w:r>
      <w:r w:rsidRPr="00465C6A">
        <w:rPr>
          <w:rFonts w:ascii="Times New Roman" w:hAnsi="Times New Roman" w:cs="Times New Roman"/>
        </w:rPr>
        <w:t>, </w:t>
      </w:r>
      <w:r w:rsidRPr="00465C6A">
        <w:rPr>
          <w:rFonts w:ascii="Times New Roman" w:hAnsi="Times New Roman" w:cs="Times New Roman"/>
          <w:i/>
          <w:iCs/>
        </w:rPr>
        <w:t>31</w:t>
      </w:r>
      <w:r w:rsidRPr="00465C6A">
        <w:rPr>
          <w:rFonts w:ascii="Times New Roman" w:hAnsi="Times New Roman" w:cs="Times New Roman"/>
        </w:rPr>
        <w:t>(1), pp.147-160.</w:t>
      </w:r>
    </w:p>
    <w:p w14:paraId="6F373F99" w14:textId="04B660A2" w:rsidR="00851303" w:rsidRDefault="00851303" w:rsidP="00E66C27">
      <w:pPr>
        <w:pStyle w:val="ListParagraph"/>
        <w:numPr>
          <w:ilvl w:val="0"/>
          <w:numId w:val="2"/>
        </w:numPr>
        <w:spacing w:line="360" w:lineRule="auto"/>
        <w:rPr>
          <w:rFonts w:ascii="Times New Roman" w:hAnsi="Times New Roman" w:cs="Times New Roman"/>
        </w:rPr>
      </w:pPr>
      <w:r w:rsidRPr="00851303">
        <w:rPr>
          <w:rFonts w:ascii="Times New Roman" w:hAnsi="Times New Roman" w:cs="Times New Roman"/>
        </w:rPr>
        <w:t xml:space="preserve">Kim, E., Wells Jr, W.G. and Duffey, M.R., </w:t>
      </w:r>
      <w:r>
        <w:rPr>
          <w:rFonts w:ascii="Times New Roman" w:hAnsi="Times New Roman" w:cs="Times New Roman"/>
        </w:rPr>
        <w:t>(</w:t>
      </w:r>
      <w:r w:rsidRPr="00851303">
        <w:rPr>
          <w:rFonts w:ascii="Times New Roman" w:hAnsi="Times New Roman" w:cs="Times New Roman"/>
        </w:rPr>
        <w:t>2003</w:t>
      </w:r>
      <w:r>
        <w:rPr>
          <w:rFonts w:ascii="Times New Roman" w:hAnsi="Times New Roman" w:cs="Times New Roman"/>
        </w:rPr>
        <w:t>)</w:t>
      </w:r>
      <w:r w:rsidRPr="00851303">
        <w:rPr>
          <w:rFonts w:ascii="Times New Roman" w:hAnsi="Times New Roman" w:cs="Times New Roman"/>
        </w:rPr>
        <w:t>. A model for effective implementation of Earned Value Management methodology. </w:t>
      </w:r>
      <w:r w:rsidRPr="00851303">
        <w:rPr>
          <w:rFonts w:ascii="Times New Roman" w:hAnsi="Times New Roman" w:cs="Times New Roman"/>
          <w:i/>
          <w:iCs/>
        </w:rPr>
        <w:t>International Journal of Project Management</w:t>
      </w:r>
      <w:r w:rsidRPr="00851303">
        <w:rPr>
          <w:rFonts w:ascii="Times New Roman" w:hAnsi="Times New Roman" w:cs="Times New Roman"/>
        </w:rPr>
        <w:t>, </w:t>
      </w:r>
      <w:r w:rsidRPr="00851303">
        <w:rPr>
          <w:rFonts w:ascii="Times New Roman" w:hAnsi="Times New Roman" w:cs="Times New Roman"/>
          <w:i/>
          <w:iCs/>
        </w:rPr>
        <w:t>21</w:t>
      </w:r>
      <w:r w:rsidRPr="00851303">
        <w:rPr>
          <w:rFonts w:ascii="Times New Roman" w:hAnsi="Times New Roman" w:cs="Times New Roman"/>
        </w:rPr>
        <w:t>(5), pp.375-382.</w:t>
      </w:r>
    </w:p>
    <w:p w14:paraId="308ED691" w14:textId="77777777" w:rsidR="00E66C27" w:rsidRDefault="00E66C27" w:rsidP="00E66C27">
      <w:pPr>
        <w:pStyle w:val="ListParagraph"/>
        <w:numPr>
          <w:ilvl w:val="0"/>
          <w:numId w:val="2"/>
        </w:numPr>
        <w:spacing w:line="360" w:lineRule="auto"/>
        <w:rPr>
          <w:rFonts w:ascii="Times New Roman" w:hAnsi="Times New Roman" w:cs="Times New Roman"/>
        </w:rPr>
      </w:pPr>
      <w:r w:rsidRPr="000B19E4">
        <w:rPr>
          <w:rFonts w:ascii="Times New Roman" w:hAnsi="Times New Roman" w:cs="Times New Roman"/>
        </w:rPr>
        <w:t xml:space="preserve">Olm, D.W.C., </w:t>
      </w:r>
      <w:r>
        <w:rPr>
          <w:rFonts w:ascii="Times New Roman" w:hAnsi="Times New Roman" w:cs="Times New Roman"/>
        </w:rPr>
        <w:t>(</w:t>
      </w:r>
      <w:r w:rsidRPr="000B19E4">
        <w:rPr>
          <w:rFonts w:ascii="Times New Roman" w:hAnsi="Times New Roman" w:cs="Times New Roman"/>
        </w:rPr>
        <w:t>2011</w:t>
      </w:r>
      <w:r>
        <w:rPr>
          <w:rFonts w:ascii="Times New Roman" w:hAnsi="Times New Roman" w:cs="Times New Roman"/>
        </w:rPr>
        <w:t>)</w:t>
      </w:r>
      <w:r w:rsidRPr="000B19E4">
        <w:rPr>
          <w:rFonts w:ascii="Times New Roman" w:hAnsi="Times New Roman" w:cs="Times New Roman"/>
        </w:rPr>
        <w:t>. Management of road reconstruction and repair following a flooding disaster.</w:t>
      </w:r>
    </w:p>
    <w:p w14:paraId="72CA4806" w14:textId="77777777" w:rsidR="00E66C27" w:rsidRPr="006818F3" w:rsidRDefault="00E66C27" w:rsidP="00E66C27">
      <w:pPr>
        <w:pStyle w:val="ListParagraph"/>
        <w:numPr>
          <w:ilvl w:val="0"/>
          <w:numId w:val="2"/>
        </w:numPr>
        <w:spacing w:line="360" w:lineRule="auto"/>
      </w:pPr>
      <w:r w:rsidRPr="00340484">
        <w:lastRenderedPageBreak/>
        <w:t xml:space="preserve">Mamuyac, L.K.D., Reyes, J.R.D.D., Lumanglas, L.S.L., Rebotiaco, E.L.C. and Fillone, A.M., </w:t>
      </w:r>
      <w:r>
        <w:t>(</w:t>
      </w:r>
      <w:r w:rsidRPr="00340484">
        <w:t>2024</w:t>
      </w:r>
      <w:r>
        <w:t>)</w:t>
      </w:r>
      <w:r w:rsidRPr="00340484">
        <w:t>, October. The Effects of Flood-induced Lane Reduction on the Capacity of a Road Network. International Exchange and Innovation Conference on Engineering &amp; Sciences.</w:t>
      </w:r>
    </w:p>
    <w:p w14:paraId="5539F5BB" w14:textId="77777777" w:rsidR="00E66C27" w:rsidRDefault="00E66C27" w:rsidP="00E66C27">
      <w:pPr>
        <w:pStyle w:val="ListParagraph"/>
        <w:numPr>
          <w:ilvl w:val="0"/>
          <w:numId w:val="2"/>
        </w:numPr>
        <w:spacing w:line="360" w:lineRule="auto"/>
        <w:rPr>
          <w:rFonts w:ascii="Times New Roman" w:hAnsi="Times New Roman" w:cs="Times New Roman"/>
        </w:rPr>
      </w:pPr>
      <w:r w:rsidRPr="005E4211">
        <w:rPr>
          <w:rFonts w:ascii="Times New Roman" w:hAnsi="Times New Roman" w:cs="Times New Roman"/>
        </w:rPr>
        <w:t xml:space="preserve">Narváez, G. and Quick, K., </w:t>
      </w:r>
      <w:r>
        <w:rPr>
          <w:rFonts w:ascii="Times New Roman" w:hAnsi="Times New Roman" w:cs="Times New Roman"/>
        </w:rPr>
        <w:t>(</w:t>
      </w:r>
      <w:r w:rsidRPr="005E4211">
        <w:rPr>
          <w:rFonts w:ascii="Times New Roman" w:hAnsi="Times New Roman" w:cs="Times New Roman"/>
        </w:rPr>
        <w:t>2017</w:t>
      </w:r>
      <w:r>
        <w:rPr>
          <w:rFonts w:ascii="Times New Roman" w:hAnsi="Times New Roman" w:cs="Times New Roman"/>
        </w:rPr>
        <w:t>)</w:t>
      </w:r>
      <w:r w:rsidRPr="005E4211">
        <w:rPr>
          <w:rFonts w:ascii="Times New Roman" w:hAnsi="Times New Roman" w:cs="Times New Roman"/>
        </w:rPr>
        <w:t>. Stakeholder attitudes, knowledge and engagement in local road systems planning and decision making.</w:t>
      </w:r>
    </w:p>
    <w:p w14:paraId="2B94E1F9" w14:textId="77777777" w:rsidR="00E66C27" w:rsidRPr="005E4211" w:rsidRDefault="00E66C27" w:rsidP="00E66C27">
      <w:pPr>
        <w:pStyle w:val="ListParagraph"/>
        <w:numPr>
          <w:ilvl w:val="0"/>
          <w:numId w:val="2"/>
        </w:numPr>
        <w:spacing w:line="360" w:lineRule="auto"/>
        <w:rPr>
          <w:rFonts w:ascii="Times New Roman" w:hAnsi="Times New Roman" w:cs="Times New Roman"/>
        </w:rPr>
      </w:pPr>
      <w:r w:rsidRPr="00C73486">
        <w:rPr>
          <w:rFonts w:ascii="Times New Roman" w:hAnsi="Times New Roman" w:cs="Times New Roman"/>
        </w:rPr>
        <w:t xml:space="preserve">Norman, E.S., Brotherton, S.A. and Fried, R.T., </w:t>
      </w:r>
      <w:r>
        <w:rPr>
          <w:rFonts w:ascii="Times New Roman" w:hAnsi="Times New Roman" w:cs="Times New Roman"/>
        </w:rPr>
        <w:t>(</w:t>
      </w:r>
      <w:r w:rsidRPr="00C73486">
        <w:rPr>
          <w:rFonts w:ascii="Times New Roman" w:hAnsi="Times New Roman" w:cs="Times New Roman"/>
        </w:rPr>
        <w:t>2008</w:t>
      </w:r>
      <w:r>
        <w:rPr>
          <w:rFonts w:ascii="Times New Roman" w:hAnsi="Times New Roman" w:cs="Times New Roman"/>
        </w:rPr>
        <w:t>)</w:t>
      </w:r>
      <w:r w:rsidRPr="00C73486">
        <w:rPr>
          <w:rFonts w:ascii="Times New Roman" w:hAnsi="Times New Roman" w:cs="Times New Roman"/>
        </w:rPr>
        <w:t>. </w:t>
      </w:r>
      <w:r w:rsidRPr="00C73486">
        <w:rPr>
          <w:rFonts w:ascii="Times New Roman" w:hAnsi="Times New Roman" w:cs="Times New Roman"/>
          <w:i/>
          <w:iCs/>
        </w:rPr>
        <w:t>Work breakdown structures: the foundation for project management excellence</w:t>
      </w:r>
      <w:r w:rsidRPr="00C73486">
        <w:rPr>
          <w:rFonts w:ascii="Times New Roman" w:hAnsi="Times New Roman" w:cs="Times New Roman"/>
        </w:rPr>
        <w:t>. John Wiley &amp; Sons.</w:t>
      </w:r>
    </w:p>
    <w:p w14:paraId="09ADDB89" w14:textId="77777777" w:rsidR="00E66C27" w:rsidRDefault="00E66C27" w:rsidP="00E66C27">
      <w:pPr>
        <w:pStyle w:val="ListParagraph"/>
        <w:numPr>
          <w:ilvl w:val="0"/>
          <w:numId w:val="2"/>
        </w:numPr>
        <w:spacing w:line="360" w:lineRule="auto"/>
        <w:rPr>
          <w:rFonts w:ascii="Times New Roman" w:hAnsi="Times New Roman" w:cs="Times New Roman"/>
        </w:rPr>
      </w:pPr>
      <w:r w:rsidRPr="00CB18A7">
        <w:rPr>
          <w:rFonts w:ascii="Times New Roman" w:hAnsi="Times New Roman" w:cs="Times New Roman"/>
        </w:rPr>
        <w:t xml:space="preserve">Ramachandran, K.K. and Karthick, K.K., </w:t>
      </w:r>
      <w:r>
        <w:rPr>
          <w:rFonts w:ascii="Times New Roman" w:hAnsi="Times New Roman" w:cs="Times New Roman"/>
        </w:rPr>
        <w:t>(</w:t>
      </w:r>
      <w:r w:rsidRPr="00CB18A7">
        <w:rPr>
          <w:rFonts w:ascii="Times New Roman" w:hAnsi="Times New Roman" w:cs="Times New Roman"/>
        </w:rPr>
        <w:t>2019</w:t>
      </w:r>
      <w:r>
        <w:rPr>
          <w:rFonts w:ascii="Times New Roman" w:hAnsi="Times New Roman" w:cs="Times New Roman"/>
        </w:rPr>
        <w:t>)</w:t>
      </w:r>
      <w:r w:rsidRPr="00CB18A7">
        <w:rPr>
          <w:rFonts w:ascii="Times New Roman" w:hAnsi="Times New Roman" w:cs="Times New Roman"/>
        </w:rPr>
        <w:t>. Gantt chart: An important tool of management. </w:t>
      </w:r>
      <w:r w:rsidRPr="00CB18A7">
        <w:rPr>
          <w:rFonts w:ascii="Times New Roman" w:hAnsi="Times New Roman" w:cs="Times New Roman"/>
          <w:i/>
          <w:iCs/>
        </w:rPr>
        <w:t>Int. J. Innov. Technol. Explor. Eng</w:t>
      </w:r>
      <w:r w:rsidRPr="00CB18A7">
        <w:rPr>
          <w:rFonts w:ascii="Times New Roman" w:hAnsi="Times New Roman" w:cs="Times New Roman"/>
        </w:rPr>
        <w:t>, </w:t>
      </w:r>
      <w:r w:rsidRPr="00CB18A7">
        <w:rPr>
          <w:rFonts w:ascii="Times New Roman" w:hAnsi="Times New Roman" w:cs="Times New Roman"/>
          <w:i/>
          <w:iCs/>
        </w:rPr>
        <w:t>8</w:t>
      </w:r>
      <w:r w:rsidRPr="00CB18A7">
        <w:rPr>
          <w:rFonts w:ascii="Times New Roman" w:hAnsi="Times New Roman" w:cs="Times New Roman"/>
        </w:rPr>
        <w:t>(7), pp.140-142.</w:t>
      </w:r>
    </w:p>
    <w:p w14:paraId="6DCBD495" w14:textId="77777777" w:rsidR="00E66C27" w:rsidRDefault="00E66C27" w:rsidP="00E66C27">
      <w:pPr>
        <w:pStyle w:val="ListParagraph"/>
        <w:numPr>
          <w:ilvl w:val="0"/>
          <w:numId w:val="2"/>
        </w:numPr>
        <w:spacing w:line="360" w:lineRule="auto"/>
        <w:rPr>
          <w:rFonts w:ascii="Times New Roman" w:hAnsi="Times New Roman" w:cs="Times New Roman"/>
        </w:rPr>
      </w:pPr>
      <w:r w:rsidRPr="000B19E4">
        <w:rPr>
          <w:rFonts w:ascii="Times New Roman" w:hAnsi="Times New Roman" w:cs="Times New Roman"/>
        </w:rPr>
        <w:t xml:space="preserve">Salvo, G., Karakikes, I., Papaioannou, G., Polydoropoulou, A., Sanfilippo, L. and Brignone, A., </w:t>
      </w:r>
      <w:r>
        <w:rPr>
          <w:rFonts w:ascii="Times New Roman" w:hAnsi="Times New Roman" w:cs="Times New Roman"/>
        </w:rPr>
        <w:t>(</w:t>
      </w:r>
      <w:r w:rsidRPr="000B19E4">
        <w:rPr>
          <w:rFonts w:ascii="Times New Roman" w:hAnsi="Times New Roman" w:cs="Times New Roman"/>
        </w:rPr>
        <w:t>2025</w:t>
      </w:r>
      <w:r>
        <w:rPr>
          <w:rFonts w:ascii="Times New Roman" w:hAnsi="Times New Roman" w:cs="Times New Roman"/>
        </w:rPr>
        <w:t>)</w:t>
      </w:r>
      <w:r w:rsidRPr="000B19E4">
        <w:rPr>
          <w:rFonts w:ascii="Times New Roman" w:hAnsi="Times New Roman" w:cs="Times New Roman"/>
        </w:rPr>
        <w:t>. Enhancing urban resilience: Managing flood-induced disruptions in road networks. </w:t>
      </w:r>
      <w:r w:rsidRPr="000B19E4">
        <w:rPr>
          <w:rFonts w:ascii="Times New Roman" w:hAnsi="Times New Roman" w:cs="Times New Roman"/>
          <w:i/>
          <w:iCs/>
        </w:rPr>
        <w:t>Transportation Research Interdisciplinary Perspectives</w:t>
      </w:r>
      <w:r w:rsidRPr="000B19E4">
        <w:rPr>
          <w:rFonts w:ascii="Times New Roman" w:hAnsi="Times New Roman" w:cs="Times New Roman"/>
        </w:rPr>
        <w:t>, </w:t>
      </w:r>
      <w:r w:rsidRPr="000B19E4">
        <w:rPr>
          <w:rFonts w:ascii="Times New Roman" w:hAnsi="Times New Roman" w:cs="Times New Roman"/>
          <w:i/>
          <w:iCs/>
        </w:rPr>
        <w:t>31</w:t>
      </w:r>
      <w:r w:rsidRPr="000B19E4">
        <w:rPr>
          <w:rFonts w:ascii="Times New Roman" w:hAnsi="Times New Roman" w:cs="Times New Roman"/>
        </w:rPr>
        <w:t>, p.101383.</w:t>
      </w:r>
    </w:p>
    <w:p w14:paraId="3A241248" w14:textId="2BA23358" w:rsidR="00757001" w:rsidRDefault="00757001" w:rsidP="00E66C27">
      <w:pPr>
        <w:pStyle w:val="ListParagraph"/>
        <w:numPr>
          <w:ilvl w:val="0"/>
          <w:numId w:val="2"/>
        </w:numPr>
        <w:spacing w:line="360" w:lineRule="auto"/>
        <w:rPr>
          <w:rFonts w:ascii="Times New Roman" w:hAnsi="Times New Roman" w:cs="Times New Roman"/>
        </w:rPr>
      </w:pPr>
      <w:r w:rsidRPr="00757001">
        <w:rPr>
          <w:rFonts w:ascii="Times New Roman" w:hAnsi="Times New Roman" w:cs="Times New Roman"/>
        </w:rPr>
        <w:t xml:space="preserve">Scholz, M., </w:t>
      </w:r>
      <w:r>
        <w:rPr>
          <w:rFonts w:ascii="Times New Roman" w:hAnsi="Times New Roman" w:cs="Times New Roman"/>
        </w:rPr>
        <w:t>(</w:t>
      </w:r>
      <w:r w:rsidRPr="00757001">
        <w:rPr>
          <w:rFonts w:ascii="Times New Roman" w:hAnsi="Times New Roman" w:cs="Times New Roman"/>
        </w:rPr>
        <w:t>2015</w:t>
      </w:r>
      <w:r>
        <w:rPr>
          <w:rFonts w:ascii="Times New Roman" w:hAnsi="Times New Roman" w:cs="Times New Roman"/>
        </w:rPr>
        <w:t>)</w:t>
      </w:r>
      <w:r w:rsidRPr="00757001">
        <w:rPr>
          <w:rFonts w:ascii="Times New Roman" w:hAnsi="Times New Roman" w:cs="Times New Roman"/>
        </w:rPr>
        <w:t>. Sustainable drainage systems. </w:t>
      </w:r>
      <w:r w:rsidRPr="00757001">
        <w:rPr>
          <w:rFonts w:ascii="Times New Roman" w:hAnsi="Times New Roman" w:cs="Times New Roman"/>
          <w:i/>
          <w:iCs/>
        </w:rPr>
        <w:t>Water</w:t>
      </w:r>
      <w:r w:rsidRPr="00757001">
        <w:rPr>
          <w:rFonts w:ascii="Times New Roman" w:hAnsi="Times New Roman" w:cs="Times New Roman"/>
        </w:rPr>
        <w:t>, </w:t>
      </w:r>
      <w:r w:rsidRPr="00757001">
        <w:rPr>
          <w:rFonts w:ascii="Times New Roman" w:hAnsi="Times New Roman" w:cs="Times New Roman"/>
          <w:i/>
          <w:iCs/>
        </w:rPr>
        <w:t>7</w:t>
      </w:r>
      <w:r w:rsidRPr="00757001">
        <w:rPr>
          <w:rFonts w:ascii="Times New Roman" w:hAnsi="Times New Roman" w:cs="Times New Roman"/>
        </w:rPr>
        <w:t>(5), pp.2272-2274.</w:t>
      </w:r>
    </w:p>
    <w:p w14:paraId="3FA752B6" w14:textId="77777777" w:rsidR="00E66C27" w:rsidRDefault="00E66C27" w:rsidP="00E66C27">
      <w:pPr>
        <w:pStyle w:val="ListParagraph"/>
        <w:numPr>
          <w:ilvl w:val="0"/>
          <w:numId w:val="2"/>
        </w:numPr>
        <w:spacing w:line="360" w:lineRule="auto"/>
        <w:rPr>
          <w:rFonts w:ascii="Times New Roman" w:hAnsi="Times New Roman" w:cs="Times New Roman"/>
        </w:rPr>
      </w:pPr>
      <w:r w:rsidRPr="007F22B1">
        <w:rPr>
          <w:rFonts w:ascii="Times New Roman" w:hAnsi="Times New Roman" w:cs="Times New Roman"/>
        </w:rPr>
        <w:t xml:space="preserve">Schwalbe, K., </w:t>
      </w:r>
      <w:r>
        <w:rPr>
          <w:rFonts w:ascii="Times New Roman" w:hAnsi="Times New Roman" w:cs="Times New Roman"/>
        </w:rPr>
        <w:t>(</w:t>
      </w:r>
      <w:r w:rsidRPr="007F22B1">
        <w:rPr>
          <w:rFonts w:ascii="Times New Roman" w:hAnsi="Times New Roman" w:cs="Times New Roman"/>
        </w:rPr>
        <w:t>2009</w:t>
      </w:r>
      <w:r>
        <w:rPr>
          <w:rFonts w:ascii="Times New Roman" w:hAnsi="Times New Roman" w:cs="Times New Roman"/>
        </w:rPr>
        <w:t>)</w:t>
      </w:r>
      <w:r w:rsidRPr="007F22B1">
        <w:rPr>
          <w:rFonts w:ascii="Times New Roman" w:hAnsi="Times New Roman" w:cs="Times New Roman"/>
        </w:rPr>
        <w:t>. </w:t>
      </w:r>
      <w:r w:rsidRPr="007F22B1">
        <w:rPr>
          <w:rFonts w:ascii="Times New Roman" w:hAnsi="Times New Roman" w:cs="Times New Roman"/>
          <w:i/>
          <w:iCs/>
        </w:rPr>
        <w:t>Introduction to project management</w:t>
      </w:r>
      <w:r w:rsidRPr="007F22B1">
        <w:rPr>
          <w:rFonts w:ascii="Times New Roman" w:hAnsi="Times New Roman" w:cs="Times New Roman"/>
        </w:rPr>
        <w:t>. Boston: Course Technology Cengage Learning.</w:t>
      </w:r>
    </w:p>
    <w:p w14:paraId="111CF041" w14:textId="77777777" w:rsidR="00E66C27" w:rsidRDefault="00E66C27" w:rsidP="00E66C27">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Slidehunter, (2026). </w:t>
      </w:r>
      <w:r w:rsidRPr="000E6D39">
        <w:rPr>
          <w:rFonts w:ascii="Times New Roman" w:hAnsi="Times New Roman" w:cs="Times New Roman"/>
          <w:i/>
          <w:iCs/>
        </w:rPr>
        <w:t>Quad PowerPoint templates</w:t>
      </w:r>
      <w:r>
        <w:rPr>
          <w:rFonts w:ascii="Times New Roman" w:hAnsi="Times New Roman" w:cs="Times New Roman"/>
          <w:i/>
          <w:iCs/>
        </w:rPr>
        <w:t>.</w:t>
      </w:r>
      <w:r>
        <w:rPr>
          <w:rFonts w:ascii="Times New Roman" w:hAnsi="Times New Roman" w:cs="Times New Roman"/>
        </w:rPr>
        <w:t xml:space="preserve"> JPEG. Available at: </w:t>
      </w:r>
      <w:hyperlink r:id="rId19" w:history="1">
        <w:r w:rsidRPr="000E6D39">
          <w:rPr>
            <w:rStyle w:val="Hyperlink"/>
            <w:rFonts w:ascii="Times New Roman" w:hAnsi="Times New Roman" w:cs="Times New Roman"/>
          </w:rPr>
          <w:t>Free Quad Templates for PowerPoint &amp; Presentation Slides</w:t>
        </w:r>
      </w:hyperlink>
      <w:r>
        <w:rPr>
          <w:rFonts w:ascii="Times New Roman" w:hAnsi="Times New Roman" w:cs="Times New Roman"/>
          <w:i/>
          <w:iCs/>
        </w:rPr>
        <w:t xml:space="preserve"> </w:t>
      </w:r>
      <w:r>
        <w:rPr>
          <w:rFonts w:ascii="Times New Roman" w:hAnsi="Times New Roman" w:cs="Times New Roman"/>
        </w:rPr>
        <w:t>(Accessed: 02 March 2026).</w:t>
      </w:r>
    </w:p>
    <w:p w14:paraId="4F9A0062" w14:textId="36D3C545" w:rsidR="00ED7E00" w:rsidRPr="00601E02" w:rsidRDefault="00ED7E00" w:rsidP="00E66C27">
      <w:pPr>
        <w:pStyle w:val="ListParagraph"/>
        <w:numPr>
          <w:ilvl w:val="0"/>
          <w:numId w:val="2"/>
        </w:numPr>
        <w:spacing w:line="360" w:lineRule="auto"/>
        <w:rPr>
          <w:rFonts w:ascii="Times New Roman" w:hAnsi="Times New Roman" w:cs="Times New Roman"/>
        </w:rPr>
      </w:pPr>
      <w:r w:rsidRPr="00ED7E00">
        <w:rPr>
          <w:rFonts w:ascii="Times New Roman" w:hAnsi="Times New Roman" w:cs="Times New Roman"/>
        </w:rPr>
        <w:t xml:space="preserve">Tuhacek, M. and Svoboda, P., </w:t>
      </w:r>
      <w:r>
        <w:rPr>
          <w:rFonts w:ascii="Times New Roman" w:hAnsi="Times New Roman" w:cs="Times New Roman"/>
        </w:rPr>
        <w:t>(</w:t>
      </w:r>
      <w:r w:rsidRPr="00ED7E00">
        <w:rPr>
          <w:rFonts w:ascii="Times New Roman" w:hAnsi="Times New Roman" w:cs="Times New Roman"/>
        </w:rPr>
        <w:t>2019</w:t>
      </w:r>
      <w:r>
        <w:rPr>
          <w:rFonts w:ascii="Times New Roman" w:hAnsi="Times New Roman" w:cs="Times New Roman"/>
        </w:rPr>
        <w:t>)</w:t>
      </w:r>
      <w:r w:rsidRPr="00ED7E00">
        <w:rPr>
          <w:rFonts w:ascii="Times New Roman" w:hAnsi="Times New Roman" w:cs="Times New Roman"/>
        </w:rPr>
        <w:t>, February. Quality of project documentation. In </w:t>
      </w:r>
      <w:r w:rsidRPr="00ED7E00">
        <w:rPr>
          <w:rFonts w:ascii="Times New Roman" w:hAnsi="Times New Roman" w:cs="Times New Roman"/>
          <w:i/>
          <w:iCs/>
        </w:rPr>
        <w:t>IOP Conference Series: Materials Science and Engineering</w:t>
      </w:r>
      <w:r w:rsidRPr="00ED7E00">
        <w:rPr>
          <w:rFonts w:ascii="Times New Roman" w:hAnsi="Times New Roman" w:cs="Times New Roman"/>
        </w:rPr>
        <w:t> (Vol. 471, No. 5, p. 052012). IOP Publishing.</w:t>
      </w:r>
    </w:p>
    <w:p w14:paraId="1E39A2D1" w14:textId="77777777" w:rsidR="00E66C27" w:rsidRPr="00225CFD" w:rsidRDefault="00E66C27" w:rsidP="00E66C27">
      <w:pPr>
        <w:pStyle w:val="ListParagraph"/>
        <w:numPr>
          <w:ilvl w:val="0"/>
          <w:numId w:val="2"/>
        </w:numPr>
        <w:spacing w:line="360" w:lineRule="auto"/>
        <w:rPr>
          <w:rFonts w:ascii="Times New Roman" w:hAnsi="Times New Roman" w:cs="Times New Roman"/>
          <w:i/>
          <w:iCs/>
        </w:rPr>
      </w:pPr>
      <w:r>
        <w:rPr>
          <w:rFonts w:ascii="Times New Roman" w:hAnsi="Times New Roman" w:cs="Times New Roman"/>
        </w:rPr>
        <w:t xml:space="preserve">Venngage, (2026). </w:t>
      </w:r>
      <w:r w:rsidRPr="00225CFD">
        <w:rPr>
          <w:rFonts w:ascii="Times New Roman" w:hAnsi="Times New Roman" w:cs="Times New Roman"/>
          <w:i/>
          <w:iCs/>
        </w:rPr>
        <w:t>Best Gantt Chart Examples &amp; Templates for Project Planning</w:t>
      </w:r>
      <w:r>
        <w:rPr>
          <w:rFonts w:ascii="Times New Roman" w:hAnsi="Times New Roman" w:cs="Times New Roman"/>
          <w:i/>
          <w:iCs/>
        </w:rPr>
        <w:t xml:space="preserve">. </w:t>
      </w:r>
      <w:r>
        <w:rPr>
          <w:rFonts w:ascii="Times New Roman" w:hAnsi="Times New Roman" w:cs="Times New Roman"/>
        </w:rPr>
        <w:t xml:space="preserve">JPEG. Available at: </w:t>
      </w:r>
      <w:hyperlink r:id="rId20" w:history="1">
        <w:r w:rsidRPr="00225CFD">
          <w:rPr>
            <w:rStyle w:val="Hyperlink"/>
            <w:rFonts w:ascii="Times New Roman" w:hAnsi="Times New Roman" w:cs="Times New Roman"/>
          </w:rPr>
          <w:t>Best Gantt Chart Examples &amp; Templates for Project Planning - Venngage</w:t>
        </w:r>
      </w:hyperlink>
      <w:r>
        <w:rPr>
          <w:rFonts w:ascii="Times New Roman" w:hAnsi="Times New Roman" w:cs="Times New Roman"/>
        </w:rPr>
        <w:t xml:space="preserve"> (Accessed: 03 March 2026).</w:t>
      </w:r>
    </w:p>
    <w:p w14:paraId="2427DE0E" w14:textId="77777777" w:rsidR="00E66C27" w:rsidRDefault="00E66C27" w:rsidP="00E66C27">
      <w:pPr>
        <w:pStyle w:val="ListParagraph"/>
        <w:numPr>
          <w:ilvl w:val="0"/>
          <w:numId w:val="2"/>
        </w:numPr>
        <w:spacing w:line="360" w:lineRule="auto"/>
        <w:rPr>
          <w:rFonts w:ascii="Times New Roman" w:hAnsi="Times New Roman" w:cs="Times New Roman"/>
        </w:rPr>
      </w:pPr>
      <w:r w:rsidRPr="006B0EFC">
        <w:rPr>
          <w:rFonts w:ascii="Times New Roman" w:hAnsi="Times New Roman" w:cs="Times New Roman"/>
        </w:rPr>
        <w:t xml:space="preserve">Welde, M. and Dahl, R.E., </w:t>
      </w:r>
      <w:r>
        <w:rPr>
          <w:rFonts w:ascii="Times New Roman" w:hAnsi="Times New Roman" w:cs="Times New Roman"/>
        </w:rPr>
        <w:t>(</w:t>
      </w:r>
      <w:r w:rsidRPr="006B0EFC">
        <w:rPr>
          <w:rFonts w:ascii="Times New Roman" w:hAnsi="Times New Roman" w:cs="Times New Roman"/>
        </w:rPr>
        <w:t>2021</w:t>
      </w:r>
      <w:r>
        <w:rPr>
          <w:rFonts w:ascii="Times New Roman" w:hAnsi="Times New Roman" w:cs="Times New Roman"/>
        </w:rPr>
        <w:t>)</w:t>
      </w:r>
      <w:r w:rsidRPr="006B0EFC">
        <w:rPr>
          <w:rFonts w:ascii="Times New Roman" w:hAnsi="Times New Roman" w:cs="Times New Roman"/>
        </w:rPr>
        <w:t>. Cost escalation in road construction contracts. </w:t>
      </w:r>
      <w:r w:rsidRPr="006B0EFC">
        <w:rPr>
          <w:rFonts w:ascii="Times New Roman" w:hAnsi="Times New Roman" w:cs="Times New Roman"/>
          <w:i/>
          <w:iCs/>
        </w:rPr>
        <w:t>Transportation Research Record</w:t>
      </w:r>
      <w:r w:rsidRPr="006B0EFC">
        <w:rPr>
          <w:rFonts w:ascii="Times New Roman" w:hAnsi="Times New Roman" w:cs="Times New Roman"/>
        </w:rPr>
        <w:t>, </w:t>
      </w:r>
      <w:r w:rsidRPr="006B0EFC">
        <w:rPr>
          <w:rFonts w:ascii="Times New Roman" w:hAnsi="Times New Roman" w:cs="Times New Roman"/>
          <w:i/>
          <w:iCs/>
        </w:rPr>
        <w:t>2675</w:t>
      </w:r>
      <w:r w:rsidRPr="006B0EFC">
        <w:rPr>
          <w:rFonts w:ascii="Times New Roman" w:hAnsi="Times New Roman" w:cs="Times New Roman"/>
        </w:rPr>
        <w:t>(9), pp.1006-1015.</w:t>
      </w:r>
    </w:p>
    <w:p w14:paraId="287E866B" w14:textId="77777777" w:rsidR="00E66C27" w:rsidRDefault="00E66C27" w:rsidP="00E66C27">
      <w:pPr>
        <w:pStyle w:val="ListParagraph"/>
        <w:numPr>
          <w:ilvl w:val="0"/>
          <w:numId w:val="2"/>
        </w:numPr>
        <w:spacing w:line="360" w:lineRule="auto"/>
      </w:pPr>
      <w:r w:rsidRPr="00EA3890">
        <w:t xml:space="preserve">Zhong, H. and Liang, D., </w:t>
      </w:r>
      <w:r>
        <w:t>(</w:t>
      </w:r>
      <w:r w:rsidRPr="00EA3890">
        <w:t>2024</w:t>
      </w:r>
      <w:r>
        <w:t>)</w:t>
      </w:r>
      <w:r w:rsidRPr="00EA3890">
        <w:t>. A study of road closure due to rainfall and flood zone based on logistic regression. </w:t>
      </w:r>
      <w:r w:rsidRPr="00EA3890">
        <w:rPr>
          <w:i/>
          <w:iCs/>
        </w:rPr>
        <w:t>International Journal of Disaster Risk Reduction</w:t>
      </w:r>
      <w:r w:rsidRPr="00EA3890">
        <w:t>, </w:t>
      </w:r>
      <w:r w:rsidRPr="00EA3890">
        <w:rPr>
          <w:i/>
          <w:iCs/>
        </w:rPr>
        <w:t>102</w:t>
      </w:r>
      <w:r w:rsidRPr="00EA3890">
        <w:t>, p.104291.</w:t>
      </w:r>
    </w:p>
    <w:p w14:paraId="18F78DB7" w14:textId="77777777" w:rsidR="00E66C27" w:rsidRDefault="00E66C27" w:rsidP="00E66C27">
      <w:pPr>
        <w:pStyle w:val="ListParagraph"/>
        <w:spacing w:line="360" w:lineRule="auto"/>
        <w:ind w:left="360"/>
        <w:rPr>
          <w:rFonts w:ascii="Times New Roman" w:hAnsi="Times New Roman" w:cs="Times New Roman"/>
        </w:rPr>
      </w:pPr>
    </w:p>
    <w:p w14:paraId="6C046CF6" w14:textId="77777777" w:rsidR="00E66C27" w:rsidRPr="00633D32" w:rsidRDefault="00E66C27" w:rsidP="00E66C27">
      <w:pPr>
        <w:pStyle w:val="ListParagraph"/>
        <w:spacing w:line="360" w:lineRule="auto"/>
        <w:rPr>
          <w:rFonts w:ascii="Times New Roman" w:hAnsi="Times New Roman" w:cs="Times New Roman"/>
        </w:rPr>
      </w:pPr>
    </w:p>
    <w:p w14:paraId="5C17C1D2" w14:textId="77777777" w:rsidR="00E66C27" w:rsidRDefault="00E66C27"/>
    <w:sectPr w:rsidR="00E66C27" w:rsidSect="00E66C2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7C1FC3" w14:textId="77777777" w:rsidR="002C4896" w:rsidRDefault="002C4896" w:rsidP="00A813B7">
      <w:pPr>
        <w:spacing w:after="0" w:line="240" w:lineRule="auto"/>
      </w:pPr>
      <w:r>
        <w:separator/>
      </w:r>
    </w:p>
  </w:endnote>
  <w:endnote w:type="continuationSeparator" w:id="0">
    <w:p w14:paraId="0D00A49C" w14:textId="77777777" w:rsidR="002C4896" w:rsidRDefault="002C4896" w:rsidP="00A81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A472BD" w14:textId="77777777" w:rsidR="00A813B7" w:rsidRDefault="00A81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44201343"/>
      <w:docPartObj>
        <w:docPartGallery w:val="Page Numbers (Bottom of Page)"/>
        <w:docPartUnique/>
      </w:docPartObj>
    </w:sdtPr>
    <w:sdtContent>
      <w:p w14:paraId="072BBAC0" w14:textId="4FF76AEC" w:rsidR="00A813B7" w:rsidRDefault="00A813B7">
        <w:pPr>
          <w:pStyle w:val="Footer"/>
          <w:jc w:val="right"/>
        </w:pPr>
        <w:r>
          <w:fldChar w:fldCharType="begin"/>
        </w:r>
        <w:r>
          <w:instrText>PAGE   \* MERGEFORMAT</w:instrText>
        </w:r>
        <w:r>
          <w:fldChar w:fldCharType="separate"/>
        </w:r>
        <w:r>
          <w:t>2</w:t>
        </w:r>
        <w:r>
          <w:fldChar w:fldCharType="end"/>
        </w:r>
      </w:p>
    </w:sdtContent>
  </w:sdt>
  <w:p w14:paraId="15E47E2D" w14:textId="77777777" w:rsidR="00A813B7" w:rsidRDefault="00A813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D74981" w14:textId="77777777" w:rsidR="00A813B7" w:rsidRDefault="00A81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CBB2FC" w14:textId="77777777" w:rsidR="002C4896" w:rsidRDefault="002C4896" w:rsidP="00A813B7">
      <w:pPr>
        <w:spacing w:after="0" w:line="240" w:lineRule="auto"/>
      </w:pPr>
      <w:r>
        <w:separator/>
      </w:r>
    </w:p>
  </w:footnote>
  <w:footnote w:type="continuationSeparator" w:id="0">
    <w:p w14:paraId="0E0B684B" w14:textId="77777777" w:rsidR="002C4896" w:rsidRDefault="002C4896" w:rsidP="00A81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B9C2C1" w14:textId="77777777" w:rsidR="00A813B7" w:rsidRDefault="00A813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E4080C" w14:textId="77777777" w:rsidR="00A813B7" w:rsidRDefault="00A813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5E2C1A" w14:textId="77777777" w:rsidR="00A813B7" w:rsidRDefault="00A813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E0617E"/>
    <w:multiLevelType w:val="hybridMultilevel"/>
    <w:tmpl w:val="B0982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FA2A9F"/>
    <w:multiLevelType w:val="hybridMultilevel"/>
    <w:tmpl w:val="1AF6D470"/>
    <w:lvl w:ilvl="0" w:tplc="80BAEF5A">
      <w:start w:val="1"/>
      <w:numFmt w:val="decimal"/>
      <w:lvlText w:val="%1."/>
      <w:lvlJc w:val="left"/>
      <w:pPr>
        <w:ind w:left="36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E12D3F"/>
    <w:multiLevelType w:val="hybridMultilevel"/>
    <w:tmpl w:val="87403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7310566">
    <w:abstractNumId w:val="2"/>
  </w:num>
  <w:num w:numId="2" w16cid:durableId="2056157318">
    <w:abstractNumId w:val="1"/>
  </w:num>
  <w:num w:numId="3" w16cid:durableId="22101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3B7"/>
    <w:rsid w:val="00021847"/>
    <w:rsid w:val="002C4896"/>
    <w:rsid w:val="00304209"/>
    <w:rsid w:val="003505AB"/>
    <w:rsid w:val="00441A36"/>
    <w:rsid w:val="00480A9D"/>
    <w:rsid w:val="005D4F09"/>
    <w:rsid w:val="006D691C"/>
    <w:rsid w:val="00757001"/>
    <w:rsid w:val="00851303"/>
    <w:rsid w:val="00A813B7"/>
    <w:rsid w:val="00D53C04"/>
    <w:rsid w:val="00D7666C"/>
    <w:rsid w:val="00E66C27"/>
    <w:rsid w:val="00ED7E00"/>
    <w:rsid w:val="00F36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97558"/>
  <w15:chartTrackingRefBased/>
  <w15:docId w15:val="{441181C2-8CC1-41A7-A162-A7270809C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3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13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13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13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13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13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13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13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13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13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13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13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13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13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13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13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13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13B7"/>
    <w:rPr>
      <w:rFonts w:eastAsiaTheme="majorEastAsia" w:cstheme="majorBidi"/>
      <w:color w:val="272727" w:themeColor="text1" w:themeTint="D8"/>
    </w:rPr>
  </w:style>
  <w:style w:type="paragraph" w:styleId="Title">
    <w:name w:val="Title"/>
    <w:basedOn w:val="Normal"/>
    <w:next w:val="Normal"/>
    <w:link w:val="TitleChar"/>
    <w:uiPriority w:val="10"/>
    <w:qFormat/>
    <w:rsid w:val="00A813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13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13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13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13B7"/>
    <w:pPr>
      <w:spacing w:before="160"/>
      <w:jc w:val="center"/>
    </w:pPr>
    <w:rPr>
      <w:i/>
      <w:iCs/>
      <w:color w:val="404040" w:themeColor="text1" w:themeTint="BF"/>
    </w:rPr>
  </w:style>
  <w:style w:type="character" w:customStyle="1" w:styleId="QuoteChar">
    <w:name w:val="Quote Char"/>
    <w:basedOn w:val="DefaultParagraphFont"/>
    <w:link w:val="Quote"/>
    <w:uiPriority w:val="29"/>
    <w:rsid w:val="00A813B7"/>
    <w:rPr>
      <w:i/>
      <w:iCs/>
      <w:color w:val="404040" w:themeColor="text1" w:themeTint="BF"/>
    </w:rPr>
  </w:style>
  <w:style w:type="paragraph" w:styleId="ListParagraph">
    <w:name w:val="List Paragraph"/>
    <w:basedOn w:val="Normal"/>
    <w:uiPriority w:val="34"/>
    <w:qFormat/>
    <w:rsid w:val="00A813B7"/>
    <w:pPr>
      <w:ind w:left="720"/>
      <w:contextualSpacing/>
    </w:pPr>
  </w:style>
  <w:style w:type="character" w:styleId="IntenseEmphasis">
    <w:name w:val="Intense Emphasis"/>
    <w:basedOn w:val="DefaultParagraphFont"/>
    <w:uiPriority w:val="21"/>
    <w:qFormat/>
    <w:rsid w:val="00A813B7"/>
    <w:rPr>
      <w:i/>
      <w:iCs/>
      <w:color w:val="0F4761" w:themeColor="accent1" w:themeShade="BF"/>
    </w:rPr>
  </w:style>
  <w:style w:type="paragraph" w:styleId="IntenseQuote">
    <w:name w:val="Intense Quote"/>
    <w:basedOn w:val="Normal"/>
    <w:next w:val="Normal"/>
    <w:link w:val="IntenseQuoteChar"/>
    <w:uiPriority w:val="30"/>
    <w:qFormat/>
    <w:rsid w:val="00A813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13B7"/>
    <w:rPr>
      <w:i/>
      <w:iCs/>
      <w:color w:val="0F4761" w:themeColor="accent1" w:themeShade="BF"/>
    </w:rPr>
  </w:style>
  <w:style w:type="character" w:styleId="IntenseReference">
    <w:name w:val="Intense Reference"/>
    <w:basedOn w:val="DefaultParagraphFont"/>
    <w:uiPriority w:val="32"/>
    <w:qFormat/>
    <w:rsid w:val="00A813B7"/>
    <w:rPr>
      <w:b/>
      <w:bCs/>
      <w:smallCaps/>
      <w:color w:val="0F4761" w:themeColor="accent1" w:themeShade="BF"/>
      <w:spacing w:val="5"/>
    </w:rPr>
  </w:style>
  <w:style w:type="paragraph" w:styleId="Header">
    <w:name w:val="header"/>
    <w:basedOn w:val="Normal"/>
    <w:link w:val="HeaderChar"/>
    <w:uiPriority w:val="99"/>
    <w:unhideWhenUsed/>
    <w:rsid w:val="00A813B7"/>
    <w:pPr>
      <w:tabs>
        <w:tab w:val="center" w:pos="4536"/>
        <w:tab w:val="right" w:pos="9072"/>
      </w:tabs>
      <w:spacing w:after="0" w:line="240" w:lineRule="auto"/>
    </w:pPr>
  </w:style>
  <w:style w:type="character" w:customStyle="1" w:styleId="HeaderChar">
    <w:name w:val="Header Char"/>
    <w:basedOn w:val="DefaultParagraphFont"/>
    <w:link w:val="Header"/>
    <w:uiPriority w:val="99"/>
    <w:rsid w:val="00A813B7"/>
  </w:style>
  <w:style w:type="paragraph" w:styleId="Footer">
    <w:name w:val="footer"/>
    <w:basedOn w:val="Normal"/>
    <w:link w:val="FooterChar"/>
    <w:uiPriority w:val="99"/>
    <w:unhideWhenUsed/>
    <w:rsid w:val="00A813B7"/>
    <w:pPr>
      <w:tabs>
        <w:tab w:val="center" w:pos="4536"/>
        <w:tab w:val="right" w:pos="9072"/>
      </w:tabs>
      <w:spacing w:after="0" w:line="240" w:lineRule="auto"/>
    </w:pPr>
  </w:style>
  <w:style w:type="character" w:customStyle="1" w:styleId="FooterChar">
    <w:name w:val="Footer Char"/>
    <w:basedOn w:val="DefaultParagraphFont"/>
    <w:link w:val="Footer"/>
    <w:uiPriority w:val="99"/>
    <w:rsid w:val="00A813B7"/>
  </w:style>
  <w:style w:type="character" w:styleId="Hyperlink">
    <w:name w:val="Hyperlink"/>
    <w:basedOn w:val="DefaultParagraphFont"/>
    <w:uiPriority w:val="99"/>
    <w:unhideWhenUsed/>
    <w:rsid w:val="00E66C27"/>
    <w:rPr>
      <w:color w:val="467886" w:themeColor="hyperlink"/>
      <w:u w:val="single"/>
    </w:rPr>
  </w:style>
  <w:style w:type="paragraph" w:styleId="TOCHeading">
    <w:name w:val="TOC Heading"/>
    <w:basedOn w:val="Heading1"/>
    <w:next w:val="Normal"/>
    <w:uiPriority w:val="39"/>
    <w:unhideWhenUsed/>
    <w:qFormat/>
    <w:rsid w:val="00E66C27"/>
    <w:pPr>
      <w:spacing w:before="240" w:after="0" w:line="259" w:lineRule="auto"/>
      <w:outlineLvl w:val="9"/>
    </w:pPr>
    <w:rPr>
      <w:kern w:val="0"/>
      <w:sz w:val="32"/>
      <w:szCs w:val="3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vo.info/2021/01/04/free-employability-workshop-with-university-of-wales-trinity-saint-david/" TargetMode="External"/><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venngage.com/blog/gantt-chart-exam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eader" Target="header2.xml"/><Relationship Id="rId19" Type="http://schemas.openxmlformats.org/officeDocument/2006/relationships/hyperlink" Target="https://slidehunter.com/topics/quad/"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TotalTime>
  <Pages>20</Pages>
  <Words>4686</Words>
  <Characters>26713</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Otelea (2410975)</dc:creator>
  <cp:keywords/>
  <dc:description/>
  <cp:lastModifiedBy>Valentin Otelea (2410975)</cp:lastModifiedBy>
  <cp:revision>4</cp:revision>
  <dcterms:created xsi:type="dcterms:W3CDTF">2026-03-16T17:45:00Z</dcterms:created>
  <dcterms:modified xsi:type="dcterms:W3CDTF">2026-03-22T16:09:00Z</dcterms:modified>
</cp:coreProperties>
</file>