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1FF6184E">
      <w:pPr>
        <w:jc w:val="center"/>
        <w:rPr>
          <w:rFonts w:ascii="Arial" w:eastAsia="Arial" w:hAnsi="Arial" w:cs="Arial"/>
          <w:b/>
          <w:bCs/>
          <w:u w:val="single"/>
        </w:rPr>
      </w:pPr>
    </w:p>
    <w:p w14:paraId="618BF57D" w14:textId="77777777" w:rsidR="001B69C8" w:rsidRDefault="001B69C8" w:rsidP="1FF6184E">
      <w:pPr>
        <w:jc w:val="both"/>
        <w:rPr>
          <w:rFonts w:ascii="Arial" w:eastAsia="Arial" w:hAnsi="Arial" w:cs="Arial"/>
          <w:b/>
          <w:bCs/>
          <w:u w:val="single"/>
        </w:rPr>
      </w:pPr>
    </w:p>
    <w:p w14:paraId="5E1B2845" w14:textId="77777777" w:rsidR="001B69C8" w:rsidRDefault="001B69C8" w:rsidP="1FF6184E">
      <w:pPr>
        <w:jc w:val="both"/>
        <w:rPr>
          <w:rFonts w:ascii="Arial" w:eastAsia="Arial" w:hAnsi="Arial" w:cs="Arial"/>
          <w:b/>
          <w:bCs/>
          <w:u w:val="single"/>
        </w:rPr>
      </w:pPr>
    </w:p>
    <w:p w14:paraId="1EB2ED0E" w14:textId="39D03809" w:rsidR="00B945EA" w:rsidRDefault="1FF6184E" w:rsidP="1FF6184E">
      <w:pPr>
        <w:jc w:val="both"/>
        <w:rPr>
          <w:rFonts w:ascii="Arial" w:eastAsia="Arial" w:hAnsi="Arial" w:cs="Arial"/>
          <w:b/>
          <w:bCs/>
          <w:u w:val="single"/>
        </w:rPr>
      </w:pPr>
      <w:r w:rsidRPr="1FF6184E">
        <w:rPr>
          <w:rFonts w:ascii="Arial" w:eastAsia="Arial" w:hAnsi="Arial" w:cs="Arial"/>
          <w:b/>
          <w:bCs/>
          <w:u w:val="single"/>
        </w:rPr>
        <w:t xml:space="preserve">LEVEL 4 – Student Journal </w:t>
      </w:r>
    </w:p>
    <w:p w14:paraId="21B8D9FF" w14:textId="77777777" w:rsidR="00301AD0" w:rsidRPr="003C3341" w:rsidRDefault="00301AD0" w:rsidP="1FF6184E">
      <w:pPr>
        <w:rPr>
          <w:rFonts w:ascii="Arial" w:eastAsia="Arial" w:hAnsi="Arial" w:cs="Arial"/>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1FF6184E">
        <w:tc>
          <w:tcPr>
            <w:tcW w:w="3987" w:type="dxa"/>
            <w:shd w:val="clear" w:color="auto" w:fill="8DB3E2" w:themeFill="text2" w:themeFillTint="66"/>
          </w:tcPr>
          <w:p w14:paraId="4B8FE21B" w14:textId="6EDE99F3" w:rsidR="00B21F2E" w:rsidRDefault="1FF6184E" w:rsidP="1FF6184E">
            <w:pPr>
              <w:rPr>
                <w:rFonts w:ascii="Arial" w:eastAsia="Arial" w:hAnsi="Arial" w:cs="Arial"/>
                <w:b/>
                <w:bCs/>
              </w:rPr>
            </w:pPr>
            <w:r w:rsidRPr="1FF6184E">
              <w:rPr>
                <w:rFonts w:ascii="Arial" w:eastAsia="Arial" w:hAnsi="Arial" w:cs="Arial"/>
                <w:b/>
                <w:bCs/>
              </w:rPr>
              <w:t xml:space="preserve">Student Name: </w:t>
            </w:r>
            <w:r w:rsidR="00B70778">
              <w:rPr>
                <w:rFonts w:ascii="Arial" w:eastAsia="Arial" w:hAnsi="Arial" w:cs="Arial"/>
                <w:b/>
                <w:bCs/>
              </w:rPr>
              <w:t xml:space="preserve">Loredana </w:t>
            </w:r>
            <w:proofErr w:type="spellStart"/>
            <w:r w:rsidR="00B70778">
              <w:rPr>
                <w:rFonts w:ascii="Arial" w:eastAsia="Arial" w:hAnsi="Arial" w:cs="Arial"/>
                <w:b/>
                <w:bCs/>
              </w:rPr>
              <w:t>Trandafir</w:t>
            </w:r>
            <w:proofErr w:type="spellEnd"/>
          </w:p>
          <w:p w14:paraId="498F0B10" w14:textId="77777777" w:rsidR="001B69C8" w:rsidRPr="003C3341" w:rsidRDefault="001B69C8" w:rsidP="1FF6184E">
            <w:pPr>
              <w:rPr>
                <w:rFonts w:ascii="Arial" w:eastAsia="Arial" w:hAnsi="Arial" w:cs="Arial"/>
                <w:b/>
                <w:bCs/>
              </w:rPr>
            </w:pPr>
          </w:p>
          <w:p w14:paraId="69E1F0CF" w14:textId="5B8546CB" w:rsidR="00B21F2E" w:rsidRPr="003C3341" w:rsidRDefault="1FF6184E" w:rsidP="1FF6184E">
            <w:pPr>
              <w:rPr>
                <w:rFonts w:ascii="Arial" w:eastAsia="Arial" w:hAnsi="Arial" w:cs="Arial"/>
                <w:b/>
                <w:bCs/>
              </w:rPr>
            </w:pPr>
            <w:r w:rsidRPr="1FF6184E">
              <w:rPr>
                <w:rFonts w:ascii="Arial" w:eastAsia="Arial" w:hAnsi="Arial" w:cs="Arial"/>
                <w:b/>
                <w:bCs/>
              </w:rPr>
              <w:t xml:space="preserve">Student Number: </w:t>
            </w:r>
            <w:r w:rsidR="00B70778">
              <w:rPr>
                <w:rFonts w:ascii="Arial" w:eastAsia="Arial" w:hAnsi="Arial" w:cs="Arial"/>
                <w:b/>
                <w:bCs/>
              </w:rPr>
              <w:t>2119482</w:t>
            </w:r>
          </w:p>
          <w:p w14:paraId="1BE02E96" w14:textId="77777777" w:rsidR="00B21F2E" w:rsidRPr="003C3341" w:rsidRDefault="00B21F2E" w:rsidP="1FF6184E">
            <w:pPr>
              <w:rPr>
                <w:rFonts w:ascii="Arial" w:eastAsia="Arial" w:hAnsi="Arial" w:cs="Arial"/>
                <w:b/>
                <w:bCs/>
              </w:rPr>
            </w:pPr>
          </w:p>
        </w:tc>
        <w:tc>
          <w:tcPr>
            <w:tcW w:w="7195" w:type="dxa"/>
            <w:shd w:val="clear" w:color="auto" w:fill="8DB3E2" w:themeFill="text2" w:themeFillTint="66"/>
          </w:tcPr>
          <w:p w14:paraId="2019D1B6" w14:textId="77777777" w:rsidR="00B21F2E" w:rsidRDefault="00B21F2E" w:rsidP="1FF6184E">
            <w:pPr>
              <w:rPr>
                <w:rFonts w:ascii="Arial" w:eastAsia="Arial" w:hAnsi="Arial" w:cs="Arial"/>
                <w:b/>
                <w:bCs/>
              </w:rPr>
            </w:pPr>
          </w:p>
          <w:p w14:paraId="450FE136" w14:textId="0CBF2618" w:rsidR="001B69C8" w:rsidRPr="003C3341" w:rsidRDefault="1FF6184E" w:rsidP="1FF6184E">
            <w:pPr>
              <w:rPr>
                <w:rFonts w:ascii="Arial" w:eastAsia="Arial" w:hAnsi="Arial" w:cs="Arial"/>
                <w:b/>
                <w:bCs/>
              </w:rPr>
            </w:pPr>
            <w:r w:rsidRPr="1FF6184E">
              <w:rPr>
                <w:rFonts w:ascii="Arial" w:eastAsia="Arial" w:hAnsi="Arial" w:cs="Arial"/>
                <w:b/>
                <w:bCs/>
              </w:rPr>
              <w:t xml:space="preserve">Lecturer: </w:t>
            </w:r>
            <w:r w:rsidR="00B70778">
              <w:rPr>
                <w:rFonts w:ascii="Arial" w:eastAsia="Arial" w:hAnsi="Arial" w:cs="Arial"/>
                <w:b/>
                <w:bCs/>
              </w:rPr>
              <w:t>Lola Villard</w:t>
            </w:r>
          </w:p>
        </w:tc>
      </w:tr>
    </w:tbl>
    <w:p w14:paraId="1F13C318" w14:textId="4D5FFF34" w:rsidR="0062012D" w:rsidRPr="003C3341" w:rsidRDefault="0062012D" w:rsidP="1FF6184E">
      <w:pPr>
        <w:rPr>
          <w:rFonts w:ascii="Arial" w:eastAsia="Arial" w:hAnsi="Arial" w:cs="Arial"/>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1FF6184E">
        <w:tc>
          <w:tcPr>
            <w:tcW w:w="3983" w:type="dxa"/>
            <w:shd w:val="clear" w:color="auto" w:fill="FBD4B4" w:themeFill="accent6" w:themeFillTint="66"/>
          </w:tcPr>
          <w:p w14:paraId="15299B24" w14:textId="0CE5C153" w:rsidR="00B21F2E" w:rsidRPr="00946B23" w:rsidRDefault="1FF6184E" w:rsidP="1FF6184E">
            <w:pPr>
              <w:rPr>
                <w:rFonts w:ascii="Arial" w:eastAsia="Arial" w:hAnsi="Arial" w:cs="Arial"/>
                <w:b/>
                <w:bCs/>
              </w:rPr>
            </w:pPr>
            <w:r w:rsidRPr="1FF6184E">
              <w:rPr>
                <w:rFonts w:ascii="Arial" w:eastAsia="Arial" w:hAnsi="Arial" w:cs="Arial"/>
                <w:b/>
                <w:bCs/>
              </w:rPr>
              <w:t xml:space="preserve">Topic of choice: </w:t>
            </w:r>
          </w:p>
        </w:tc>
        <w:tc>
          <w:tcPr>
            <w:tcW w:w="7199" w:type="dxa"/>
            <w:shd w:val="clear" w:color="auto" w:fill="FBD4B4" w:themeFill="accent6" w:themeFillTint="66"/>
          </w:tcPr>
          <w:p w14:paraId="46D7ECC8" w14:textId="62488195" w:rsidR="00B21F2E" w:rsidRDefault="00B21F2E" w:rsidP="1FF6184E">
            <w:pPr>
              <w:rPr>
                <w:rFonts w:ascii="Arial" w:eastAsia="Arial" w:hAnsi="Arial" w:cs="Arial"/>
                <w:b/>
                <w:bCs/>
              </w:rPr>
            </w:pPr>
          </w:p>
          <w:p w14:paraId="36F1B310" w14:textId="5EC128BF" w:rsidR="00B21F2E" w:rsidRDefault="1FF6184E" w:rsidP="1FF6184E">
            <w:pPr>
              <w:jc w:val="center"/>
              <w:rPr>
                <w:rFonts w:ascii="Arial" w:eastAsia="Arial" w:hAnsi="Arial" w:cs="Arial"/>
                <w:b/>
                <w:bCs/>
              </w:rPr>
            </w:pPr>
            <w:r w:rsidRPr="1FF6184E">
              <w:rPr>
                <w:rFonts w:ascii="Arial" w:eastAsia="Arial" w:hAnsi="Arial" w:cs="Arial"/>
                <w:b/>
                <w:bCs/>
              </w:rPr>
              <w:t xml:space="preserve">Ratings, Inspections and Reporting Procedures  </w:t>
            </w:r>
          </w:p>
          <w:p w14:paraId="5A58C08D" w14:textId="0CB28053" w:rsidR="00B21F2E" w:rsidRPr="003C3341" w:rsidRDefault="00B21F2E" w:rsidP="1FF6184E">
            <w:pPr>
              <w:jc w:val="center"/>
              <w:rPr>
                <w:rFonts w:ascii="Arial" w:eastAsia="Arial" w:hAnsi="Arial" w:cs="Arial"/>
                <w:b/>
                <w:bCs/>
              </w:rPr>
            </w:pPr>
          </w:p>
        </w:tc>
      </w:tr>
      <w:tr w:rsidR="00B945EA" w:rsidRPr="003C3341" w14:paraId="60CC0225" w14:textId="77777777" w:rsidTr="1FF6184E">
        <w:trPr>
          <w:trHeight w:val="2494"/>
        </w:trPr>
        <w:tc>
          <w:tcPr>
            <w:tcW w:w="11182" w:type="dxa"/>
            <w:gridSpan w:val="2"/>
          </w:tcPr>
          <w:p w14:paraId="0831D54A" w14:textId="77777777" w:rsidR="00B945EA" w:rsidRDefault="00B945EA" w:rsidP="1FF6184E">
            <w:pPr>
              <w:rPr>
                <w:rFonts w:ascii="Arial" w:eastAsia="Arial" w:hAnsi="Arial" w:cs="Arial"/>
              </w:rPr>
            </w:pPr>
          </w:p>
          <w:p w14:paraId="6DD53ED1" w14:textId="77777777" w:rsidR="00394E1A" w:rsidRPr="00394E1A" w:rsidRDefault="00394E1A" w:rsidP="00394E1A">
            <w:pPr>
              <w:spacing w:line="360" w:lineRule="auto"/>
              <w:jc w:val="both"/>
              <w:rPr>
                <w:rFonts w:ascii="Arial" w:eastAsia="Arial" w:hAnsi="Arial" w:cs="Arial"/>
              </w:rPr>
            </w:pPr>
            <w:r w:rsidRPr="00394E1A">
              <w:rPr>
                <w:rFonts w:ascii="Arial" w:eastAsia="Arial" w:hAnsi="Arial" w:cs="Arial"/>
              </w:rPr>
              <w:t xml:space="preserve">Food and beverage services refer to the activities involved in producing, presenting, and distributing food and drink to end users and paying customers. In the hospitality industry, food and beverage services contribute significantly to profitability. There has been an increase in the number of people who use catering services as the value of business meetings and other personal and social events develops. These professionals </w:t>
            </w:r>
            <w:proofErr w:type="gramStart"/>
            <w:r w:rsidRPr="00394E1A">
              <w:rPr>
                <w:rFonts w:ascii="Arial" w:eastAsia="Arial" w:hAnsi="Arial" w:cs="Arial"/>
              </w:rPr>
              <w:t>are dedicated to providing</w:t>
            </w:r>
            <w:proofErr w:type="gramEnd"/>
            <w:r w:rsidRPr="00394E1A">
              <w:rPr>
                <w:rFonts w:ascii="Arial" w:eastAsia="Arial" w:hAnsi="Arial" w:cs="Arial"/>
              </w:rPr>
              <w:t xml:space="preserve"> the best possible service for every single one of their clients. Ratings, inspections, and reporting are critical considerations in this industry (Jukes, 2013).</w:t>
            </w:r>
          </w:p>
          <w:p w14:paraId="0BB4B7D3" w14:textId="28D7CCE4" w:rsidR="72DC38C0" w:rsidRDefault="00394E1A" w:rsidP="00394E1A">
            <w:pPr>
              <w:spacing w:line="360" w:lineRule="auto"/>
              <w:jc w:val="both"/>
              <w:rPr>
                <w:rFonts w:ascii="Arial" w:eastAsia="Arial" w:hAnsi="Arial" w:cs="Arial"/>
              </w:rPr>
            </w:pPr>
            <w:r w:rsidRPr="00394E1A">
              <w:rPr>
                <w:rFonts w:ascii="Arial" w:eastAsia="Arial" w:hAnsi="Arial" w:cs="Arial"/>
              </w:rPr>
              <w:t xml:space="preserve">The Food Cleanliness Rating Scheme in the United Kingdom, according to </w:t>
            </w:r>
            <w:proofErr w:type="spellStart"/>
            <w:r w:rsidRPr="00394E1A">
              <w:rPr>
                <w:rFonts w:ascii="Arial" w:eastAsia="Arial" w:hAnsi="Arial" w:cs="Arial"/>
              </w:rPr>
              <w:t>Vegeris</w:t>
            </w:r>
            <w:proofErr w:type="spellEnd"/>
            <w:r w:rsidRPr="00394E1A">
              <w:rPr>
                <w:rFonts w:ascii="Arial" w:eastAsia="Arial" w:hAnsi="Arial" w:cs="Arial"/>
              </w:rPr>
              <w:t xml:space="preserve"> (2015), helps people decide whether to dine out or purchase for food by clearly informing them about the hygienic standards of the facilities. As part of the project, restaurants are given grades of 5–0 on their premises and online so that customers may make more informed selections about where to dine and shop.</w:t>
            </w:r>
            <w:r w:rsidR="1FF6184E" w:rsidRPr="1FF6184E">
              <w:rPr>
                <w:rFonts w:ascii="Arial" w:eastAsia="Arial" w:hAnsi="Arial" w:cs="Arial"/>
              </w:rPr>
              <w:t>5 – The sanitary standards are excellent.</w:t>
            </w:r>
          </w:p>
          <w:p w14:paraId="6F72A24E" w14:textId="1A504D4B" w:rsidR="72DC38C0" w:rsidRDefault="1FF6184E" w:rsidP="1FF6184E">
            <w:pPr>
              <w:spacing w:line="360" w:lineRule="auto"/>
              <w:jc w:val="both"/>
              <w:rPr>
                <w:rFonts w:ascii="Arial" w:eastAsia="Arial" w:hAnsi="Arial" w:cs="Arial"/>
              </w:rPr>
            </w:pPr>
            <w:r w:rsidRPr="1FF6184E">
              <w:rPr>
                <w:rFonts w:ascii="Arial" w:eastAsia="Arial" w:hAnsi="Arial" w:cs="Arial"/>
              </w:rPr>
              <w:t>4 – The hygiene standards are satisfactory.</w:t>
            </w:r>
          </w:p>
          <w:p w14:paraId="65F97C07" w14:textId="7A3D59C8" w:rsidR="72DC38C0" w:rsidRDefault="1FF6184E" w:rsidP="1FF6184E">
            <w:pPr>
              <w:spacing w:line="360" w:lineRule="auto"/>
              <w:jc w:val="both"/>
              <w:rPr>
                <w:rFonts w:ascii="Arial" w:eastAsia="Arial" w:hAnsi="Arial" w:cs="Arial"/>
              </w:rPr>
            </w:pPr>
            <w:r w:rsidRPr="1FF6184E">
              <w:rPr>
                <w:rFonts w:ascii="Arial" w:eastAsia="Arial" w:hAnsi="Arial" w:cs="Arial"/>
              </w:rPr>
              <w:t>3 – hygienic conditions are typically acceptable.</w:t>
            </w:r>
          </w:p>
          <w:p w14:paraId="53C15127" w14:textId="525C8C21" w:rsidR="72DC38C0" w:rsidRDefault="1FF6184E" w:rsidP="1FF6184E">
            <w:pPr>
              <w:spacing w:line="360" w:lineRule="auto"/>
              <w:jc w:val="both"/>
              <w:rPr>
                <w:rFonts w:ascii="Arial" w:eastAsia="Arial" w:hAnsi="Arial" w:cs="Arial"/>
              </w:rPr>
            </w:pPr>
            <w:r w:rsidRPr="1FF6184E">
              <w:rPr>
                <w:rFonts w:ascii="Arial" w:eastAsia="Arial" w:hAnsi="Arial" w:cs="Arial"/>
              </w:rPr>
              <w:t>2 – There is room for improvement.</w:t>
            </w:r>
          </w:p>
          <w:p w14:paraId="407E09EB" w14:textId="4CF6E3FF" w:rsidR="72DC38C0" w:rsidRDefault="1FF6184E" w:rsidP="1FF6184E">
            <w:pPr>
              <w:spacing w:line="360" w:lineRule="auto"/>
              <w:jc w:val="both"/>
              <w:rPr>
                <w:rFonts w:ascii="Arial" w:eastAsia="Arial" w:hAnsi="Arial" w:cs="Arial"/>
              </w:rPr>
            </w:pPr>
            <w:r w:rsidRPr="1FF6184E">
              <w:rPr>
                <w:rFonts w:ascii="Arial" w:eastAsia="Arial" w:hAnsi="Arial" w:cs="Arial"/>
              </w:rPr>
              <w:t>1 – Significant improvement is required</w:t>
            </w:r>
          </w:p>
          <w:p w14:paraId="07E27580" w14:textId="25E1B799" w:rsidR="72DC38C0" w:rsidRDefault="1FF6184E" w:rsidP="1FF6184E">
            <w:pPr>
              <w:spacing w:line="360" w:lineRule="auto"/>
              <w:jc w:val="both"/>
              <w:rPr>
                <w:rFonts w:ascii="Arial" w:eastAsia="Arial" w:hAnsi="Arial" w:cs="Arial"/>
              </w:rPr>
            </w:pPr>
            <w:r w:rsidRPr="1FF6184E">
              <w:rPr>
                <w:rFonts w:ascii="Arial" w:eastAsia="Arial" w:hAnsi="Arial" w:cs="Arial"/>
              </w:rPr>
              <w:t>0 – Immediate improvement is needed</w:t>
            </w:r>
          </w:p>
          <w:p w14:paraId="1EBA8BF3" w14:textId="078F2D00" w:rsidR="72DC38C0" w:rsidRDefault="1FF6184E" w:rsidP="1FF6184E">
            <w:pPr>
              <w:spacing w:line="360" w:lineRule="auto"/>
              <w:jc w:val="both"/>
              <w:rPr>
                <w:rFonts w:ascii="Arial" w:eastAsia="Arial" w:hAnsi="Arial" w:cs="Arial"/>
              </w:rPr>
            </w:pPr>
            <w:r w:rsidRPr="1FF6184E">
              <w:rPr>
                <w:rFonts w:ascii="Arial" w:eastAsia="Arial" w:hAnsi="Arial" w:cs="Arial"/>
              </w:rPr>
              <w:t xml:space="preserve"> </w:t>
            </w:r>
          </w:p>
          <w:p w14:paraId="4DDBD7A0" w14:textId="4253BA5F" w:rsidR="00375882" w:rsidRDefault="007F1658" w:rsidP="1FF6184E">
            <w:pPr>
              <w:spacing w:line="360" w:lineRule="auto"/>
              <w:jc w:val="both"/>
              <w:rPr>
                <w:rFonts w:ascii="Arial" w:eastAsia="Arial" w:hAnsi="Arial" w:cs="Arial"/>
              </w:rPr>
            </w:pPr>
            <w:r w:rsidRPr="007F1658">
              <w:rPr>
                <w:rFonts w:ascii="Arial" w:eastAsia="Arial" w:hAnsi="Arial" w:cs="Arial"/>
              </w:rPr>
              <w:t xml:space="preserve">Ratings provide a snapshot of what was found in terms of food safety requirements during the inspection. Food hygiene regulations must be </w:t>
            </w:r>
            <w:proofErr w:type="gramStart"/>
            <w:r w:rsidRPr="007F1658">
              <w:rPr>
                <w:rFonts w:ascii="Arial" w:eastAsia="Arial" w:hAnsi="Arial" w:cs="Arial"/>
              </w:rPr>
              <w:t>adhered to at all times</w:t>
            </w:r>
            <w:proofErr w:type="gramEnd"/>
            <w:r w:rsidRPr="007F1658">
              <w:rPr>
                <w:rFonts w:ascii="Arial" w:eastAsia="Arial" w:hAnsi="Arial" w:cs="Arial"/>
              </w:rPr>
              <w:t xml:space="preserve"> by the firm. There are </w:t>
            </w:r>
            <w:proofErr w:type="gramStart"/>
            <w:r w:rsidRPr="007F1658">
              <w:rPr>
                <w:rFonts w:ascii="Arial" w:eastAsia="Arial" w:hAnsi="Arial" w:cs="Arial"/>
              </w:rPr>
              <w:t>a number of</w:t>
            </w:r>
            <w:proofErr w:type="gramEnd"/>
            <w:r w:rsidRPr="007F1658">
              <w:rPr>
                <w:rFonts w:ascii="Arial" w:eastAsia="Arial" w:hAnsi="Arial" w:cs="Arial"/>
              </w:rPr>
              <w:t xml:space="preserve"> factors to consider, including food preparation and cleanliness, as well as food safety. Food quality and customer service, as well as presentation comfort and culinary talent, are not considered in the food hygiene rating system (Fleetwood, 2019).</w:t>
            </w:r>
          </w:p>
          <w:p w14:paraId="21219CAA" w14:textId="77777777" w:rsidR="008F417E" w:rsidRDefault="008F417E" w:rsidP="1FF6184E">
            <w:pPr>
              <w:spacing w:line="360" w:lineRule="auto"/>
              <w:jc w:val="both"/>
              <w:rPr>
                <w:rFonts w:ascii="Arial" w:eastAsia="Arial" w:hAnsi="Arial" w:cs="Arial"/>
              </w:rPr>
            </w:pPr>
          </w:p>
          <w:p w14:paraId="7840D2FE" w14:textId="5CF412C5" w:rsidR="00375882" w:rsidRDefault="008F417E" w:rsidP="1FF6184E">
            <w:pPr>
              <w:spacing w:line="360" w:lineRule="auto"/>
              <w:jc w:val="both"/>
              <w:rPr>
                <w:rFonts w:ascii="Arial" w:eastAsia="Arial" w:hAnsi="Arial" w:cs="Arial"/>
              </w:rPr>
            </w:pPr>
            <w:r w:rsidRPr="1FF6184E">
              <w:rPr>
                <w:rFonts w:ascii="Arial" w:eastAsia="Arial" w:hAnsi="Arial" w:cs="Arial"/>
              </w:rPr>
              <w:t>Identifying</w:t>
            </w:r>
            <w:r w:rsidR="1FF6184E" w:rsidRPr="1FF6184E">
              <w:rPr>
                <w:rFonts w:ascii="Arial" w:eastAsia="Arial" w:hAnsi="Arial" w:cs="Arial"/>
              </w:rPr>
              <w:t xml:space="preserve"> any steps necessary to manage health and safety hazards and/or control specific risks. </w:t>
            </w:r>
            <w:proofErr w:type="gramStart"/>
            <w:r w:rsidR="1FF6184E" w:rsidRPr="1FF6184E">
              <w:rPr>
                <w:rFonts w:ascii="Arial" w:eastAsia="Arial" w:hAnsi="Arial" w:cs="Arial"/>
              </w:rPr>
              <w:t>in order to</w:t>
            </w:r>
            <w:proofErr w:type="gramEnd"/>
            <w:r w:rsidR="1FF6184E" w:rsidRPr="1FF6184E">
              <w:rPr>
                <w:rFonts w:ascii="Arial" w:eastAsia="Arial" w:hAnsi="Arial" w:cs="Arial"/>
              </w:rPr>
              <w:t xml:space="preserve"> encourage long-term compliance, taking necessary measures, such as enforcement in </w:t>
            </w:r>
            <w:r w:rsidR="1FF6184E" w:rsidRPr="1FF6184E">
              <w:rPr>
                <w:rFonts w:ascii="Arial" w:eastAsia="Arial" w:hAnsi="Arial" w:cs="Arial"/>
              </w:rPr>
              <w:lastRenderedPageBreak/>
              <w:t>accordance with the Enforcement Policy, the Enforcement Policy Statement (EPS) and the Enforcement Management Model (EMM), fee for Intervention or other cost recovery regimes should be used as needed. The inspection strategy is appropriate to the scope and difficulty of the duty holder's project, the nature and scope of the risks, as well as how well they are managed and adequacy of the duty holder's health and safety management arrangements. Typical inspection procedures include a mix of observing the actions, methods, and circumstances at work, Owners, directors, managers, and employee representatives are among those who have participated in conversations and employees and examining the plant, work methods, procedures, and related documentation. This technique explains how to organize, prepare, and perform an inspection, as well as how to report and document the finding.</w:t>
            </w:r>
            <w:r w:rsidR="008930EB">
              <w:rPr>
                <w:rFonts w:ascii="Arial" w:eastAsia="Arial" w:hAnsi="Arial" w:cs="Arial"/>
              </w:rPr>
              <w:t xml:space="preserve"> </w:t>
            </w:r>
            <w:r w:rsidR="1FF6184E" w:rsidRPr="1FF6184E">
              <w:rPr>
                <w:rFonts w:ascii="Arial" w:eastAsia="Arial" w:hAnsi="Arial" w:cs="Arial"/>
              </w:rPr>
              <w:t xml:space="preserve">Those in the food and beverage sector have a responsibility to give consumers things that are safe, correctly packed, and fresh. </w:t>
            </w:r>
            <w:r w:rsidR="00713344" w:rsidRPr="00713344">
              <w:rPr>
                <w:rFonts w:ascii="Arial" w:eastAsia="Arial" w:hAnsi="Arial" w:cs="Arial"/>
              </w:rPr>
              <w:t>Keeping up with the rising costs of food and the upkeep of the restaurants and bars is the responsibility of t</w:t>
            </w:r>
            <w:r w:rsidR="00713344">
              <w:rPr>
                <w:rFonts w:ascii="Arial" w:eastAsia="Arial" w:hAnsi="Arial" w:cs="Arial"/>
              </w:rPr>
              <w:t>he food and beverage department</w:t>
            </w:r>
            <w:r w:rsidR="1FF6184E" w:rsidRPr="1FF6184E">
              <w:rPr>
                <w:rFonts w:ascii="Arial" w:eastAsia="Arial" w:hAnsi="Arial" w:cs="Arial"/>
              </w:rPr>
              <w:t>. With rapidly changing customer needs and stringent health requirements, the necessity of food and beverage handling procedures is critical (</w:t>
            </w:r>
            <w:r w:rsidR="1FF6184E" w:rsidRPr="1FF6184E">
              <w:rPr>
                <w:rFonts w:ascii="Arial" w:eastAsia="Arial" w:hAnsi="Arial" w:cs="Arial"/>
                <w:color w:val="222222"/>
              </w:rPr>
              <w:t>Sprenger, 2018</w:t>
            </w:r>
            <w:r w:rsidR="1FF6184E" w:rsidRPr="1FF6184E">
              <w:rPr>
                <w:rFonts w:ascii="Arial" w:eastAsia="Arial" w:hAnsi="Arial" w:cs="Arial"/>
              </w:rPr>
              <w:t>).</w:t>
            </w:r>
          </w:p>
          <w:p w14:paraId="33B5DAFF" w14:textId="2E9D7BA5" w:rsidR="00375882" w:rsidRDefault="1FF6184E" w:rsidP="1FF6184E">
            <w:pPr>
              <w:spacing w:line="360" w:lineRule="auto"/>
              <w:jc w:val="both"/>
              <w:rPr>
                <w:rFonts w:ascii="Arial" w:eastAsia="Arial" w:hAnsi="Arial" w:cs="Arial"/>
              </w:rPr>
            </w:pPr>
            <w:r w:rsidRPr="1FF6184E">
              <w:rPr>
                <w:rFonts w:ascii="Arial" w:eastAsia="Arial" w:hAnsi="Arial" w:cs="Arial"/>
              </w:rPr>
              <w:t xml:space="preserve"> </w:t>
            </w:r>
          </w:p>
          <w:p w14:paraId="4C77C550" w14:textId="41B0482E" w:rsidR="00375882" w:rsidRDefault="1FF6184E" w:rsidP="1FF6184E">
            <w:pPr>
              <w:spacing w:line="360" w:lineRule="auto"/>
              <w:jc w:val="both"/>
              <w:rPr>
                <w:rFonts w:ascii="Arial" w:eastAsia="Arial" w:hAnsi="Arial" w:cs="Arial"/>
              </w:rPr>
            </w:pPr>
            <w:r w:rsidRPr="1FF6184E">
              <w:rPr>
                <w:rFonts w:ascii="Arial" w:eastAsia="Arial" w:hAnsi="Arial" w:cs="Arial"/>
              </w:rPr>
              <w:t>Food safety is critical because contaminated food can cause foodborne sickness or food poisoning in consumers. According to a WHO research, foodborne diseases can cause long-term impairment and even death. The state and municipal governments closely monitor food and beverage handling operations to ensure that all safety regulations are followed. Failure to follow these standards or pass routine inspections may result in the food and beverage business being shut down. Food and beverage companies that regularly adhere to these safety standards are more likely to acquire customer trust, actively avoid foodborne disease, and have a stronger relationship with regulators (</w:t>
            </w:r>
            <w:r w:rsidRPr="1FF6184E">
              <w:rPr>
                <w:rFonts w:ascii="Arial" w:eastAsia="Arial" w:hAnsi="Arial" w:cs="Arial"/>
                <w:color w:val="000000" w:themeColor="text1"/>
              </w:rPr>
              <w:t>Who.int. 2022</w:t>
            </w:r>
            <w:r w:rsidRPr="1FF6184E">
              <w:rPr>
                <w:rFonts w:ascii="Arial" w:eastAsia="Arial" w:hAnsi="Arial" w:cs="Arial"/>
              </w:rPr>
              <w:t>).</w:t>
            </w:r>
          </w:p>
          <w:p w14:paraId="62AD0F58" w14:textId="3C91C86F" w:rsidR="00375882" w:rsidRDefault="1FF6184E" w:rsidP="1FF6184E">
            <w:pPr>
              <w:spacing w:line="360" w:lineRule="auto"/>
              <w:jc w:val="both"/>
              <w:rPr>
                <w:rFonts w:ascii="Arial" w:eastAsia="Arial" w:hAnsi="Arial" w:cs="Arial"/>
              </w:rPr>
            </w:pPr>
            <w:r w:rsidRPr="1FF6184E">
              <w:rPr>
                <w:rFonts w:ascii="Arial" w:eastAsia="Arial" w:hAnsi="Arial" w:cs="Arial"/>
              </w:rPr>
              <w:t xml:space="preserve">A food incident occurs when there are concerns about real or potential hazards to food or feed safety, which may need intervention to safeguard consumers' interests. </w:t>
            </w:r>
            <w:r w:rsidR="007E7C00" w:rsidRPr="007E7C00">
              <w:rPr>
                <w:rFonts w:ascii="Arial" w:eastAsia="Arial" w:hAnsi="Arial" w:cs="Arial"/>
              </w:rPr>
              <w:t xml:space="preserve">Businesses must contact their local authority/port health authority and the Food Standards Agency if they feel that food or feed does not meet safety rules and should be </w:t>
            </w:r>
            <w:r w:rsidR="007E7C00">
              <w:rPr>
                <w:rFonts w:ascii="Arial" w:eastAsia="Arial" w:hAnsi="Arial" w:cs="Arial"/>
              </w:rPr>
              <w:t xml:space="preserve">withdrawn or recalled from sale </w:t>
            </w:r>
            <w:r w:rsidRPr="1FF6184E">
              <w:rPr>
                <w:rFonts w:ascii="Arial" w:eastAsia="Arial" w:hAnsi="Arial" w:cs="Arial"/>
              </w:rPr>
              <w:t>(Food Standards Agency. 2022).</w:t>
            </w:r>
          </w:p>
          <w:p w14:paraId="5CE46A05" w14:textId="3954489C" w:rsidR="00375882" w:rsidRDefault="00375882" w:rsidP="1FF6184E">
            <w:pPr>
              <w:spacing w:line="360" w:lineRule="auto"/>
              <w:jc w:val="both"/>
              <w:rPr>
                <w:rFonts w:ascii="Arial" w:eastAsia="Arial" w:hAnsi="Arial" w:cs="Arial"/>
              </w:rPr>
            </w:pPr>
          </w:p>
          <w:p w14:paraId="79476F34" w14:textId="5FD7E913" w:rsidR="00375882" w:rsidRDefault="00375882" w:rsidP="1FF6184E">
            <w:pPr>
              <w:spacing w:line="360" w:lineRule="auto"/>
              <w:jc w:val="both"/>
              <w:rPr>
                <w:rFonts w:ascii="Arial" w:eastAsia="Arial" w:hAnsi="Arial" w:cs="Arial"/>
              </w:rPr>
            </w:pPr>
          </w:p>
          <w:p w14:paraId="3723CE45" w14:textId="5C538BB7" w:rsidR="00375882" w:rsidRDefault="1FF6184E" w:rsidP="1FF6184E">
            <w:pPr>
              <w:spacing w:line="360" w:lineRule="auto"/>
              <w:jc w:val="both"/>
              <w:rPr>
                <w:rFonts w:ascii="Arial" w:eastAsia="Arial" w:hAnsi="Arial" w:cs="Arial"/>
              </w:rPr>
            </w:pPr>
            <w:r w:rsidRPr="1FF6184E">
              <w:rPr>
                <w:rFonts w:ascii="Arial" w:eastAsia="Arial" w:hAnsi="Arial" w:cs="Arial"/>
              </w:rPr>
              <w:t xml:space="preserve">Throughout this topic I improved my research skills as well as my note taking skills as I took my time going through the relevant resources as well as those provided during class. Researching on the inspection procedures since I had the chance to understand all the different policies that come with food handling when it comes to inspecting and reporting. I also had a better understanding of the how ratings work in the food and beverage industry in the United Kingdom. Lastly, I was very much interested in how </w:t>
            </w:r>
            <w:r w:rsidRPr="1FF6184E">
              <w:rPr>
                <w:rFonts w:ascii="Arial" w:eastAsia="Arial" w:hAnsi="Arial" w:cs="Arial"/>
              </w:rPr>
              <w:lastRenderedPageBreak/>
              <w:t>the officials as well as the rest of the staff report incidences which occur in the food and beverage industry.</w:t>
            </w:r>
          </w:p>
          <w:p w14:paraId="3B344F1E" w14:textId="4F66D5C5" w:rsidR="00375882" w:rsidRPr="003C3341" w:rsidRDefault="00375882" w:rsidP="1FF6184E">
            <w:pPr>
              <w:jc w:val="both"/>
              <w:rPr>
                <w:rFonts w:ascii="Arial" w:eastAsia="Arial" w:hAnsi="Arial" w:cs="Arial"/>
              </w:rPr>
            </w:pPr>
          </w:p>
        </w:tc>
      </w:tr>
    </w:tbl>
    <w:p w14:paraId="7D9A52CF" w14:textId="77777777" w:rsidR="00B00678" w:rsidRDefault="00B00678" w:rsidP="1FF6184E">
      <w:pPr>
        <w:rPr>
          <w:rFonts w:ascii="Arial" w:eastAsia="Arial" w:hAnsi="Arial" w:cs="Arial"/>
          <w:b/>
          <w:bCs/>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1FF6184E">
        <w:tc>
          <w:tcPr>
            <w:tcW w:w="10910" w:type="dxa"/>
            <w:shd w:val="clear" w:color="auto" w:fill="FBD4B4" w:themeFill="accent6" w:themeFillTint="66"/>
          </w:tcPr>
          <w:p w14:paraId="0731D9DE" w14:textId="423CB3E9" w:rsidR="00375882" w:rsidRPr="00946B23" w:rsidRDefault="1FF6184E" w:rsidP="1FF6184E">
            <w:pPr>
              <w:rPr>
                <w:rFonts w:ascii="Arial" w:eastAsia="Arial" w:hAnsi="Arial" w:cs="Arial"/>
                <w:b/>
                <w:bCs/>
              </w:rPr>
            </w:pPr>
            <w:r w:rsidRPr="1FF6184E">
              <w:rPr>
                <w:rFonts w:ascii="Arial" w:eastAsia="Arial" w:hAnsi="Arial" w:cs="Arial"/>
                <w:b/>
                <w:bCs/>
              </w:rPr>
              <w:t>REFERENCE LIST (not included in word count)</w:t>
            </w:r>
          </w:p>
        </w:tc>
        <w:tc>
          <w:tcPr>
            <w:tcW w:w="272" w:type="dxa"/>
            <w:shd w:val="clear" w:color="auto" w:fill="FBD4B4" w:themeFill="accent6" w:themeFillTint="66"/>
          </w:tcPr>
          <w:p w14:paraId="2A993785" w14:textId="77777777" w:rsidR="00375882" w:rsidRDefault="00375882" w:rsidP="1FF6184E">
            <w:pPr>
              <w:jc w:val="center"/>
              <w:rPr>
                <w:rFonts w:ascii="Arial" w:eastAsia="Arial" w:hAnsi="Arial" w:cs="Arial"/>
                <w:b/>
                <w:bCs/>
              </w:rPr>
            </w:pPr>
          </w:p>
          <w:p w14:paraId="52F3ACFA" w14:textId="77777777" w:rsidR="00375882" w:rsidRPr="003C3341" w:rsidRDefault="00375882" w:rsidP="1FF6184E">
            <w:pPr>
              <w:jc w:val="center"/>
              <w:rPr>
                <w:rFonts w:ascii="Arial" w:eastAsia="Arial" w:hAnsi="Arial" w:cs="Arial"/>
                <w:b/>
                <w:bCs/>
              </w:rPr>
            </w:pPr>
          </w:p>
        </w:tc>
      </w:tr>
      <w:tr w:rsidR="00375882" w:rsidRPr="003C3341" w14:paraId="130E5631" w14:textId="77777777" w:rsidTr="1FF6184E">
        <w:trPr>
          <w:trHeight w:val="2494"/>
        </w:trPr>
        <w:tc>
          <w:tcPr>
            <w:tcW w:w="11182" w:type="dxa"/>
            <w:gridSpan w:val="2"/>
          </w:tcPr>
          <w:p w14:paraId="4FBADFA5" w14:textId="77777777" w:rsidR="00375882" w:rsidRDefault="00375882" w:rsidP="1FF6184E">
            <w:pPr>
              <w:rPr>
                <w:rFonts w:ascii="Arial" w:eastAsia="Arial" w:hAnsi="Arial" w:cs="Arial"/>
              </w:rPr>
            </w:pPr>
          </w:p>
          <w:p w14:paraId="07F710C6" w14:textId="18CCD479" w:rsidR="00375882" w:rsidRDefault="1FF6184E" w:rsidP="1FF6184E">
            <w:pPr>
              <w:pStyle w:val="ListParagraph"/>
              <w:numPr>
                <w:ilvl w:val="0"/>
                <w:numId w:val="1"/>
              </w:numPr>
              <w:spacing w:line="360" w:lineRule="auto"/>
              <w:jc w:val="both"/>
              <w:rPr>
                <w:rFonts w:ascii="Arial" w:eastAsia="Arial" w:hAnsi="Arial" w:cs="Arial"/>
                <w:color w:val="000000" w:themeColor="text1"/>
              </w:rPr>
            </w:pPr>
            <w:r w:rsidRPr="1FF6184E">
              <w:rPr>
                <w:rFonts w:ascii="Arial" w:eastAsia="Arial" w:hAnsi="Arial" w:cs="Arial"/>
                <w:color w:val="222222"/>
              </w:rPr>
              <w:t xml:space="preserve">Fleetwood, J., 2019. Scores on doors: Restaurant hygiene ratings and public health policy. </w:t>
            </w:r>
            <w:r w:rsidRPr="1FF6184E">
              <w:rPr>
                <w:rFonts w:ascii="Arial" w:eastAsia="Arial" w:hAnsi="Arial" w:cs="Arial"/>
                <w:i/>
                <w:iCs/>
                <w:color w:val="222222"/>
              </w:rPr>
              <w:t>Journal of public health policy</w:t>
            </w:r>
            <w:r w:rsidRPr="1FF6184E">
              <w:rPr>
                <w:rFonts w:ascii="Arial" w:eastAsia="Arial" w:hAnsi="Arial" w:cs="Arial"/>
                <w:color w:val="222222"/>
              </w:rPr>
              <w:t xml:space="preserve">, </w:t>
            </w:r>
            <w:r w:rsidRPr="1FF6184E">
              <w:rPr>
                <w:rFonts w:ascii="Arial" w:eastAsia="Arial" w:hAnsi="Arial" w:cs="Arial"/>
                <w:i/>
                <w:iCs/>
                <w:color w:val="222222"/>
              </w:rPr>
              <w:t>40</w:t>
            </w:r>
            <w:r w:rsidRPr="1FF6184E">
              <w:rPr>
                <w:rFonts w:ascii="Arial" w:eastAsia="Arial" w:hAnsi="Arial" w:cs="Arial"/>
                <w:color w:val="222222"/>
              </w:rPr>
              <w:t>(4), pp.410-422.</w:t>
            </w:r>
            <w:r w:rsidRPr="1FF6184E">
              <w:rPr>
                <w:rFonts w:ascii="Arial" w:eastAsia="Arial" w:hAnsi="Arial" w:cs="Arial"/>
                <w:color w:val="000000" w:themeColor="text1"/>
              </w:rPr>
              <w:t xml:space="preserve"> </w:t>
            </w:r>
          </w:p>
          <w:p w14:paraId="17396DFB" w14:textId="4EA020D5" w:rsidR="00375882" w:rsidRDefault="1FF6184E" w:rsidP="1FF6184E">
            <w:pPr>
              <w:pStyle w:val="ListParagraph"/>
              <w:numPr>
                <w:ilvl w:val="0"/>
                <w:numId w:val="1"/>
              </w:numPr>
              <w:spacing w:line="360" w:lineRule="auto"/>
              <w:jc w:val="both"/>
              <w:rPr>
                <w:rFonts w:ascii="Arial" w:eastAsia="Arial" w:hAnsi="Arial" w:cs="Arial"/>
                <w:color w:val="000000" w:themeColor="text1"/>
              </w:rPr>
            </w:pPr>
            <w:r w:rsidRPr="1FF6184E">
              <w:rPr>
                <w:rFonts w:ascii="Arial" w:eastAsia="Arial" w:hAnsi="Arial" w:cs="Arial"/>
                <w:color w:val="000000" w:themeColor="text1"/>
              </w:rPr>
              <w:t>Food Standards Agency. 2022. Report a food safety incident. [online] Available at: &lt;https://www.food.gov.uk/contactbusinessesreport-safety-concern/report-a-food-safety-incident&gt; [Accessed 29 April 2022].</w:t>
            </w:r>
          </w:p>
          <w:p w14:paraId="4C6DEC4D" w14:textId="09CA776E" w:rsidR="00375882" w:rsidRDefault="1FF6184E" w:rsidP="1FF6184E">
            <w:pPr>
              <w:pStyle w:val="ListParagraph"/>
              <w:numPr>
                <w:ilvl w:val="0"/>
                <w:numId w:val="1"/>
              </w:numPr>
              <w:spacing w:line="360" w:lineRule="auto"/>
              <w:jc w:val="both"/>
              <w:rPr>
                <w:rFonts w:ascii="Arial" w:eastAsia="Arial" w:hAnsi="Arial" w:cs="Arial"/>
                <w:color w:val="222222"/>
              </w:rPr>
            </w:pPr>
            <w:r w:rsidRPr="1FF6184E">
              <w:rPr>
                <w:rFonts w:ascii="Arial" w:eastAsia="Arial" w:hAnsi="Arial" w:cs="Arial"/>
                <w:color w:val="222222"/>
              </w:rPr>
              <w:t xml:space="preserve">Jukes, D.J., 2013. </w:t>
            </w:r>
            <w:r w:rsidRPr="1FF6184E">
              <w:rPr>
                <w:rFonts w:ascii="Arial" w:eastAsia="Arial" w:hAnsi="Arial" w:cs="Arial"/>
                <w:i/>
                <w:iCs/>
                <w:color w:val="222222"/>
              </w:rPr>
              <w:t>Food Legislation of the UK: A concise Guide</w:t>
            </w:r>
            <w:r w:rsidRPr="1FF6184E">
              <w:rPr>
                <w:rFonts w:ascii="Arial" w:eastAsia="Arial" w:hAnsi="Arial" w:cs="Arial"/>
                <w:color w:val="222222"/>
              </w:rPr>
              <w:t>. Elsevier.</w:t>
            </w:r>
          </w:p>
          <w:p w14:paraId="70A0B229" w14:textId="0C78931B" w:rsidR="00375882" w:rsidRDefault="1FF6184E" w:rsidP="1FF6184E">
            <w:pPr>
              <w:pStyle w:val="ListParagraph"/>
              <w:numPr>
                <w:ilvl w:val="0"/>
                <w:numId w:val="1"/>
              </w:numPr>
              <w:spacing w:line="360" w:lineRule="auto"/>
              <w:jc w:val="both"/>
              <w:rPr>
                <w:rFonts w:ascii="Arial" w:eastAsia="Arial" w:hAnsi="Arial" w:cs="Arial"/>
                <w:color w:val="222222"/>
              </w:rPr>
            </w:pPr>
            <w:r w:rsidRPr="1FF6184E">
              <w:rPr>
                <w:rFonts w:ascii="Arial" w:eastAsia="Arial" w:hAnsi="Arial" w:cs="Arial"/>
                <w:color w:val="222222"/>
              </w:rPr>
              <w:t xml:space="preserve">Sprenger, R.A., 2018. </w:t>
            </w:r>
            <w:r w:rsidRPr="1FF6184E">
              <w:rPr>
                <w:rFonts w:ascii="Arial" w:eastAsia="Arial" w:hAnsi="Arial" w:cs="Arial"/>
                <w:i/>
                <w:iCs/>
                <w:color w:val="222222"/>
              </w:rPr>
              <w:t>food safety handbook</w:t>
            </w:r>
            <w:r w:rsidRPr="1FF6184E">
              <w:rPr>
                <w:rFonts w:ascii="Arial" w:eastAsia="Arial" w:hAnsi="Arial" w:cs="Arial"/>
                <w:color w:val="222222"/>
              </w:rPr>
              <w:t>. Highfield.</w:t>
            </w:r>
          </w:p>
          <w:p w14:paraId="65613913" w14:textId="5E701748" w:rsidR="00375882" w:rsidRDefault="1FF6184E" w:rsidP="1FF6184E">
            <w:pPr>
              <w:pStyle w:val="ListParagraph"/>
              <w:numPr>
                <w:ilvl w:val="0"/>
                <w:numId w:val="1"/>
              </w:numPr>
              <w:spacing w:line="360" w:lineRule="auto"/>
              <w:jc w:val="both"/>
              <w:rPr>
                <w:rFonts w:ascii="Arial" w:eastAsia="Arial" w:hAnsi="Arial" w:cs="Arial"/>
                <w:color w:val="222222"/>
              </w:rPr>
            </w:pPr>
            <w:proofErr w:type="spellStart"/>
            <w:r w:rsidRPr="1FF6184E">
              <w:rPr>
                <w:rFonts w:ascii="Arial" w:eastAsia="Arial" w:hAnsi="Arial" w:cs="Arial"/>
                <w:color w:val="222222"/>
              </w:rPr>
              <w:t>Vegeris</w:t>
            </w:r>
            <w:proofErr w:type="spellEnd"/>
            <w:r w:rsidRPr="1FF6184E">
              <w:rPr>
                <w:rFonts w:ascii="Arial" w:eastAsia="Arial" w:hAnsi="Arial" w:cs="Arial"/>
                <w:color w:val="222222"/>
              </w:rPr>
              <w:t>, S., 2015. The food hygiene rating scheme and the food hygiene information scheme: evaluation findings 2011-2014.</w:t>
            </w:r>
          </w:p>
          <w:p w14:paraId="2E020AEF" w14:textId="214A92C8" w:rsidR="00375882" w:rsidRDefault="1FF6184E" w:rsidP="1FF6184E">
            <w:pPr>
              <w:pStyle w:val="ListParagraph"/>
              <w:numPr>
                <w:ilvl w:val="0"/>
                <w:numId w:val="1"/>
              </w:numPr>
              <w:spacing w:line="360" w:lineRule="auto"/>
              <w:jc w:val="both"/>
              <w:rPr>
                <w:rFonts w:ascii="Arial" w:eastAsia="Arial" w:hAnsi="Arial" w:cs="Arial"/>
                <w:color w:val="000000" w:themeColor="text1"/>
              </w:rPr>
            </w:pPr>
            <w:r w:rsidRPr="1FF6184E">
              <w:rPr>
                <w:rFonts w:ascii="Arial" w:eastAsia="Arial" w:hAnsi="Arial" w:cs="Arial"/>
                <w:color w:val="000000" w:themeColor="text1"/>
              </w:rPr>
              <w:t xml:space="preserve">Who.int. 2022. </w:t>
            </w:r>
            <w:r w:rsidRPr="1FF6184E">
              <w:rPr>
                <w:rFonts w:ascii="Arial" w:eastAsia="Arial" w:hAnsi="Arial" w:cs="Arial"/>
                <w:i/>
                <w:iCs/>
                <w:color w:val="000000" w:themeColor="text1"/>
              </w:rPr>
              <w:t>Food safety</w:t>
            </w:r>
            <w:r w:rsidRPr="1FF6184E">
              <w:rPr>
                <w:rFonts w:ascii="Arial" w:eastAsia="Arial" w:hAnsi="Arial" w:cs="Arial"/>
                <w:color w:val="000000" w:themeColor="text1"/>
              </w:rPr>
              <w:t>. [online] Available at: &lt;https://www.who.int/news-room/fact-sheets/detail/food-safety&gt; [Accessed 29 April 2022].</w:t>
            </w:r>
          </w:p>
          <w:p w14:paraId="47FB6995" w14:textId="77777777" w:rsidR="00375882" w:rsidRPr="003C3341" w:rsidRDefault="00375882" w:rsidP="1FF6184E">
            <w:pPr>
              <w:jc w:val="both"/>
              <w:rPr>
                <w:rFonts w:ascii="Arial" w:eastAsia="Arial" w:hAnsi="Arial" w:cs="Arial"/>
              </w:rPr>
            </w:pPr>
          </w:p>
        </w:tc>
      </w:tr>
    </w:tbl>
    <w:p w14:paraId="3A480543" w14:textId="77777777" w:rsidR="00B00678" w:rsidRDefault="00B00678" w:rsidP="1FF6184E">
      <w:pPr>
        <w:rPr>
          <w:rFonts w:ascii="Arial" w:eastAsia="Arial" w:hAnsi="Arial" w:cs="Arial"/>
          <w:b/>
          <w:bCs/>
        </w:rPr>
      </w:pPr>
    </w:p>
    <w:p w14:paraId="02BE48C6" w14:textId="77777777" w:rsidR="00B00678" w:rsidRDefault="00B00678" w:rsidP="1FF6184E">
      <w:pPr>
        <w:rPr>
          <w:rFonts w:ascii="Arial" w:eastAsia="Arial" w:hAnsi="Arial" w:cs="Arial"/>
          <w:b/>
          <w:bCs/>
        </w:rPr>
      </w:pPr>
    </w:p>
    <w:p w14:paraId="1D4EFC49" w14:textId="77777777" w:rsidR="00B00678" w:rsidRDefault="00B00678" w:rsidP="1FF6184E">
      <w:pPr>
        <w:rPr>
          <w:rFonts w:ascii="Arial" w:eastAsia="Arial" w:hAnsi="Arial" w:cs="Arial"/>
          <w:b/>
          <w:bCs/>
        </w:rPr>
      </w:pPr>
    </w:p>
    <w:p w14:paraId="505DC984" w14:textId="77777777" w:rsidR="00B00678" w:rsidRDefault="00B00678" w:rsidP="1FF6184E">
      <w:pPr>
        <w:rPr>
          <w:rFonts w:ascii="Arial" w:eastAsia="Arial" w:hAnsi="Arial" w:cs="Arial"/>
          <w:b/>
          <w:bCs/>
        </w:rPr>
      </w:pPr>
    </w:p>
    <w:p w14:paraId="1F96E185" w14:textId="77777777" w:rsidR="00B00678" w:rsidRDefault="00B00678" w:rsidP="1FF6184E">
      <w:pPr>
        <w:rPr>
          <w:rFonts w:ascii="Arial" w:eastAsia="Arial" w:hAnsi="Arial" w:cs="Arial"/>
          <w:b/>
          <w:bCs/>
        </w:rPr>
      </w:pPr>
    </w:p>
    <w:p w14:paraId="5F8D9742" w14:textId="77777777" w:rsidR="00B00678" w:rsidRDefault="00B00678" w:rsidP="1FF6184E">
      <w:pPr>
        <w:rPr>
          <w:rFonts w:ascii="Arial" w:eastAsia="Arial" w:hAnsi="Arial" w:cs="Arial"/>
          <w:b/>
          <w:bCs/>
        </w:rPr>
      </w:pPr>
    </w:p>
    <w:p w14:paraId="25B9E4A6" w14:textId="77777777" w:rsidR="00A45D42" w:rsidRDefault="00A45D42" w:rsidP="1FF6184E">
      <w:pPr>
        <w:rPr>
          <w:rFonts w:ascii="Arial" w:eastAsia="Arial" w:hAnsi="Arial" w:cs="Arial"/>
          <w:b/>
          <w:bCs/>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DB8AE1" w14:textId="77777777" w:rsidR="003635AF" w:rsidRDefault="003635AF">
      <w:r>
        <w:separator/>
      </w:r>
    </w:p>
  </w:endnote>
  <w:endnote w:type="continuationSeparator" w:id="0">
    <w:p w14:paraId="6E439D9A" w14:textId="77777777" w:rsidR="003635AF" w:rsidRDefault="003635AF">
      <w:r>
        <w:continuationSeparator/>
      </w:r>
    </w:p>
  </w:endnote>
  <w:endnote w:type="continuationNotice" w:id="1">
    <w:p w14:paraId="6FA434E6" w14:textId="77777777" w:rsidR="003635AF" w:rsidRDefault="003635A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altName w:val="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8B2DB50" w:rsidR="00B44B68" w:rsidRDefault="00B44B68">
        <w:pPr>
          <w:pStyle w:val="Footer"/>
          <w:jc w:val="right"/>
        </w:pPr>
        <w:r>
          <w:fldChar w:fldCharType="begin"/>
        </w:r>
        <w:r>
          <w:instrText xml:space="preserve"> PAGE   \* MERGEFORMAT </w:instrText>
        </w:r>
        <w:r>
          <w:fldChar w:fldCharType="separate"/>
        </w:r>
        <w:r w:rsidR="007E7C00">
          <w:rPr>
            <w:noProof/>
          </w:rPr>
          <w:t>3</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7C98E0" w14:textId="77777777" w:rsidR="003635AF" w:rsidRDefault="003635AF">
      <w:r>
        <w:separator/>
      </w:r>
    </w:p>
  </w:footnote>
  <w:footnote w:type="continuationSeparator" w:id="0">
    <w:p w14:paraId="4EFF67C2" w14:textId="77777777" w:rsidR="003635AF" w:rsidRDefault="003635AF">
      <w:r>
        <w:continuationSeparator/>
      </w:r>
    </w:p>
  </w:footnote>
  <w:footnote w:type="continuationNotice" w:id="1">
    <w:p w14:paraId="23BD2FC5" w14:textId="77777777" w:rsidR="003635AF" w:rsidRDefault="003635A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097FF3"/>
    <w:multiLevelType w:val="hybridMultilevel"/>
    <w:tmpl w:val="A5CE5DFE"/>
    <w:lvl w:ilvl="0" w:tplc="6FFC72BA">
      <w:start w:val="1"/>
      <w:numFmt w:val="decimal"/>
      <w:lvlText w:val="%1."/>
      <w:lvlJc w:val="left"/>
      <w:pPr>
        <w:ind w:left="720" w:hanging="360"/>
      </w:pPr>
    </w:lvl>
    <w:lvl w:ilvl="1" w:tplc="A3F8D430">
      <w:start w:val="1"/>
      <w:numFmt w:val="lowerLetter"/>
      <w:lvlText w:val="%2."/>
      <w:lvlJc w:val="left"/>
      <w:pPr>
        <w:ind w:left="1440" w:hanging="360"/>
      </w:pPr>
    </w:lvl>
    <w:lvl w:ilvl="2" w:tplc="D6483A3E">
      <w:start w:val="1"/>
      <w:numFmt w:val="lowerRoman"/>
      <w:lvlText w:val="%3."/>
      <w:lvlJc w:val="right"/>
      <w:pPr>
        <w:ind w:left="2160" w:hanging="180"/>
      </w:pPr>
    </w:lvl>
    <w:lvl w:ilvl="3" w:tplc="B3346E5E">
      <w:start w:val="1"/>
      <w:numFmt w:val="decimal"/>
      <w:lvlText w:val="%4."/>
      <w:lvlJc w:val="left"/>
      <w:pPr>
        <w:ind w:left="2880" w:hanging="360"/>
      </w:pPr>
    </w:lvl>
    <w:lvl w:ilvl="4" w:tplc="AE5EC474">
      <w:start w:val="1"/>
      <w:numFmt w:val="lowerLetter"/>
      <w:lvlText w:val="%5."/>
      <w:lvlJc w:val="left"/>
      <w:pPr>
        <w:ind w:left="3600" w:hanging="360"/>
      </w:pPr>
    </w:lvl>
    <w:lvl w:ilvl="5" w:tplc="31D66A9E">
      <w:start w:val="1"/>
      <w:numFmt w:val="lowerRoman"/>
      <w:lvlText w:val="%6."/>
      <w:lvlJc w:val="right"/>
      <w:pPr>
        <w:ind w:left="4320" w:hanging="180"/>
      </w:pPr>
    </w:lvl>
    <w:lvl w:ilvl="6" w:tplc="A5F40B00">
      <w:start w:val="1"/>
      <w:numFmt w:val="decimal"/>
      <w:lvlText w:val="%7."/>
      <w:lvlJc w:val="left"/>
      <w:pPr>
        <w:ind w:left="5040" w:hanging="360"/>
      </w:pPr>
    </w:lvl>
    <w:lvl w:ilvl="7" w:tplc="84008C5C">
      <w:start w:val="1"/>
      <w:numFmt w:val="lowerLetter"/>
      <w:lvlText w:val="%8."/>
      <w:lvlJc w:val="left"/>
      <w:pPr>
        <w:ind w:left="5760" w:hanging="360"/>
      </w:pPr>
    </w:lvl>
    <w:lvl w:ilvl="8" w:tplc="2E0C081E">
      <w:start w:val="1"/>
      <w:numFmt w:val="lowerRoman"/>
      <w:lvlText w:val="%9."/>
      <w:lvlJc w:val="right"/>
      <w:pPr>
        <w:ind w:left="6480" w:hanging="180"/>
      </w:p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819228881">
    <w:abstractNumId w:val="14"/>
  </w:num>
  <w:num w:numId="2" w16cid:durableId="1015158064">
    <w:abstractNumId w:val="12"/>
  </w:num>
  <w:num w:numId="3" w16cid:durableId="1445928522">
    <w:abstractNumId w:val="4"/>
  </w:num>
  <w:num w:numId="4" w16cid:durableId="1723410123">
    <w:abstractNumId w:val="28"/>
  </w:num>
  <w:num w:numId="5" w16cid:durableId="1052386748">
    <w:abstractNumId w:val="5"/>
  </w:num>
  <w:num w:numId="6" w16cid:durableId="469523187">
    <w:abstractNumId w:val="24"/>
  </w:num>
  <w:num w:numId="7" w16cid:durableId="957832543">
    <w:abstractNumId w:val="6"/>
  </w:num>
  <w:num w:numId="8" w16cid:durableId="1526745299">
    <w:abstractNumId w:val="0"/>
  </w:num>
  <w:num w:numId="9" w16cid:durableId="1931086298">
    <w:abstractNumId w:val="27"/>
  </w:num>
  <w:num w:numId="10" w16cid:durableId="1442341182">
    <w:abstractNumId w:val="16"/>
  </w:num>
  <w:num w:numId="11" w16cid:durableId="280504477">
    <w:abstractNumId w:val="19"/>
  </w:num>
  <w:num w:numId="12" w16cid:durableId="1879705192">
    <w:abstractNumId w:val="3"/>
  </w:num>
  <w:num w:numId="13" w16cid:durableId="1397587579">
    <w:abstractNumId w:val="13"/>
  </w:num>
  <w:num w:numId="14" w16cid:durableId="916986016">
    <w:abstractNumId w:val="2"/>
  </w:num>
  <w:num w:numId="15" w16cid:durableId="1117945247">
    <w:abstractNumId w:val="9"/>
  </w:num>
  <w:num w:numId="16" w16cid:durableId="671026756">
    <w:abstractNumId w:val="18"/>
  </w:num>
  <w:num w:numId="17" w16cid:durableId="241641713">
    <w:abstractNumId w:val="20"/>
  </w:num>
  <w:num w:numId="18" w16cid:durableId="1761944937">
    <w:abstractNumId w:val="1"/>
  </w:num>
  <w:num w:numId="19" w16cid:durableId="767654331">
    <w:abstractNumId w:val="26"/>
  </w:num>
  <w:num w:numId="20" w16cid:durableId="517735443">
    <w:abstractNumId w:val="8"/>
  </w:num>
  <w:num w:numId="21" w16cid:durableId="1391347130">
    <w:abstractNumId w:val="21"/>
  </w:num>
  <w:num w:numId="22" w16cid:durableId="2097902992">
    <w:abstractNumId w:val="11"/>
  </w:num>
  <w:num w:numId="23" w16cid:durableId="509174105">
    <w:abstractNumId w:val="17"/>
  </w:num>
  <w:num w:numId="24" w16cid:durableId="1952781307">
    <w:abstractNumId w:val="25"/>
  </w:num>
  <w:num w:numId="25" w16cid:durableId="1487473177">
    <w:abstractNumId w:val="10"/>
  </w:num>
  <w:num w:numId="26" w16cid:durableId="501818145">
    <w:abstractNumId w:val="23"/>
  </w:num>
  <w:num w:numId="27" w16cid:durableId="1308895607">
    <w:abstractNumId w:val="7"/>
  </w:num>
  <w:num w:numId="28" w16cid:durableId="902831272">
    <w:abstractNumId w:val="22"/>
  </w:num>
  <w:num w:numId="29" w16cid:durableId="37231014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16889"/>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D547F"/>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35AF"/>
    <w:rsid w:val="00364940"/>
    <w:rsid w:val="00365786"/>
    <w:rsid w:val="00366D9C"/>
    <w:rsid w:val="00375882"/>
    <w:rsid w:val="00382DB9"/>
    <w:rsid w:val="00394E1A"/>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87DDE"/>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13344"/>
    <w:rsid w:val="00725F0E"/>
    <w:rsid w:val="00734189"/>
    <w:rsid w:val="007347B9"/>
    <w:rsid w:val="00735BB1"/>
    <w:rsid w:val="00744482"/>
    <w:rsid w:val="007451E8"/>
    <w:rsid w:val="0078654A"/>
    <w:rsid w:val="0079230B"/>
    <w:rsid w:val="00797115"/>
    <w:rsid w:val="007A5E44"/>
    <w:rsid w:val="007D18CA"/>
    <w:rsid w:val="007E500C"/>
    <w:rsid w:val="007E7BB4"/>
    <w:rsid w:val="007E7C00"/>
    <w:rsid w:val="007F055A"/>
    <w:rsid w:val="007F1658"/>
    <w:rsid w:val="007F418B"/>
    <w:rsid w:val="00814801"/>
    <w:rsid w:val="0082407E"/>
    <w:rsid w:val="00826699"/>
    <w:rsid w:val="008930EB"/>
    <w:rsid w:val="00895843"/>
    <w:rsid w:val="008B4B9C"/>
    <w:rsid w:val="008B534C"/>
    <w:rsid w:val="008E2A5A"/>
    <w:rsid w:val="008F0B0D"/>
    <w:rsid w:val="008F0D83"/>
    <w:rsid w:val="008F417E"/>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9531A"/>
    <w:rsid w:val="00AA11D8"/>
    <w:rsid w:val="00AA1309"/>
    <w:rsid w:val="00AA1380"/>
    <w:rsid w:val="00AC67EF"/>
    <w:rsid w:val="00AD310F"/>
    <w:rsid w:val="00AE467F"/>
    <w:rsid w:val="00AE799D"/>
    <w:rsid w:val="00B00678"/>
    <w:rsid w:val="00B03469"/>
    <w:rsid w:val="00B10EAB"/>
    <w:rsid w:val="00B11E4B"/>
    <w:rsid w:val="00B149D2"/>
    <w:rsid w:val="00B21F2E"/>
    <w:rsid w:val="00B266A5"/>
    <w:rsid w:val="00B44B68"/>
    <w:rsid w:val="00B60FDF"/>
    <w:rsid w:val="00B61256"/>
    <w:rsid w:val="00B70778"/>
    <w:rsid w:val="00B73A1C"/>
    <w:rsid w:val="00B945EA"/>
    <w:rsid w:val="00B949BC"/>
    <w:rsid w:val="00BA53CD"/>
    <w:rsid w:val="00BB5FB3"/>
    <w:rsid w:val="00BC245E"/>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34924"/>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 w:val="127779A8"/>
    <w:rsid w:val="1FF6184E"/>
    <w:rsid w:val="72DC38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686D689B-AEA5-451A-975D-8F5380C21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3</Pages>
  <Words>883</Words>
  <Characters>5036</Characters>
  <Application>Microsoft Office Word</Application>
  <DocSecurity>0</DocSecurity>
  <Lines>41</Lines>
  <Paragraphs>11</Paragraphs>
  <ScaleCrop>false</ScaleCrop>
  <Company>Marriott International</Company>
  <LinksUpToDate>false</LinksUpToDate>
  <CharactersWithSpaces>5908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subject/>
  <dc:creator>lrbal454</dc:creator>
  <cp:keywords/>
  <cp:lastModifiedBy>Sabrina Belcianu</cp:lastModifiedBy>
  <cp:revision>14</cp:revision>
  <cp:lastPrinted>2020-09-29T06:53:00Z</cp:lastPrinted>
  <dcterms:created xsi:type="dcterms:W3CDTF">2022-01-13T02:50:00Z</dcterms:created>
  <dcterms:modified xsi:type="dcterms:W3CDTF">2022-05-17T13:14:00Z</dcterms:modified>
</cp:coreProperties>
</file>