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361E4" w14:textId="77777777" w:rsidR="00C70C9F" w:rsidRPr="00AC4FB3" w:rsidRDefault="00C70C9F" w:rsidP="00AB404B">
      <w:pPr>
        <w:spacing w:line="360" w:lineRule="auto"/>
        <w:rPr>
          <w:rFonts w:ascii="Arial" w:hAnsi="Arial" w:cs="Arial"/>
          <w:sz w:val="22"/>
          <w:szCs w:val="22"/>
        </w:rPr>
      </w:pPr>
      <w:r w:rsidRPr="00AC4FB3">
        <w:rPr>
          <w:rFonts w:ascii="Arial" w:hAnsi="Arial" w:cs="Arial"/>
          <w:noProof/>
          <w:sz w:val="22"/>
          <w:szCs w:val="22"/>
        </w:rPr>
        <w:drawing>
          <wp:inline distT="0" distB="0" distL="0" distR="0" wp14:anchorId="6DC4B6A9" wp14:editId="2EA05114">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42F5707" w14:textId="77777777" w:rsidR="00C70C9F" w:rsidRPr="00AC4FB3" w:rsidRDefault="00C70C9F" w:rsidP="00AB404B">
      <w:pPr>
        <w:spacing w:line="360" w:lineRule="auto"/>
        <w:rPr>
          <w:rFonts w:ascii="Arial" w:hAnsi="Arial" w:cs="Arial"/>
          <w:sz w:val="22"/>
          <w:szCs w:val="22"/>
        </w:rPr>
      </w:pPr>
    </w:p>
    <w:p w14:paraId="272A49F0" w14:textId="77777777" w:rsidR="00C70C9F" w:rsidRPr="00AC4FB3" w:rsidRDefault="00C70C9F" w:rsidP="00AB404B">
      <w:pPr>
        <w:spacing w:line="360" w:lineRule="auto"/>
        <w:rPr>
          <w:rFonts w:ascii="Arial" w:hAnsi="Arial" w:cs="Arial"/>
          <w:sz w:val="22"/>
          <w:szCs w:val="22"/>
        </w:rPr>
      </w:pPr>
    </w:p>
    <w:p w14:paraId="1C633DFA" w14:textId="77777777" w:rsidR="00C70C9F" w:rsidRPr="00AC4FB3" w:rsidRDefault="00C70C9F" w:rsidP="00AB404B">
      <w:pPr>
        <w:spacing w:line="360" w:lineRule="auto"/>
        <w:rPr>
          <w:rFonts w:ascii="Arial" w:hAnsi="Arial" w:cs="Arial"/>
          <w:sz w:val="22"/>
          <w:szCs w:val="22"/>
        </w:rPr>
      </w:pPr>
    </w:p>
    <w:p w14:paraId="264D65BB" w14:textId="77777777" w:rsidR="00C70C9F" w:rsidRPr="00AC4FB3" w:rsidRDefault="00C70C9F" w:rsidP="00AB404B">
      <w:pPr>
        <w:spacing w:line="360" w:lineRule="auto"/>
        <w:rPr>
          <w:rFonts w:ascii="Arial" w:hAnsi="Arial" w:cs="Arial"/>
          <w:sz w:val="22"/>
          <w:szCs w:val="22"/>
        </w:rPr>
      </w:pPr>
    </w:p>
    <w:p w14:paraId="02447C79" w14:textId="77777777" w:rsidR="00C70C9F" w:rsidRPr="00AC4FB3" w:rsidRDefault="00C70C9F" w:rsidP="00AB404B">
      <w:pPr>
        <w:spacing w:line="360" w:lineRule="auto"/>
        <w:rPr>
          <w:rFonts w:ascii="Arial" w:hAnsi="Arial" w:cs="Arial"/>
          <w:sz w:val="22"/>
          <w:szCs w:val="22"/>
        </w:rPr>
      </w:pPr>
    </w:p>
    <w:p w14:paraId="1867D0A7" w14:textId="77777777" w:rsidR="00C70C9F" w:rsidRPr="00AC4FB3" w:rsidRDefault="00C70C9F" w:rsidP="00AB404B">
      <w:pPr>
        <w:spacing w:line="360" w:lineRule="auto"/>
        <w:rPr>
          <w:rFonts w:ascii="Arial" w:hAnsi="Arial" w:cs="Arial"/>
          <w:sz w:val="22"/>
          <w:szCs w:val="22"/>
        </w:rPr>
      </w:pPr>
    </w:p>
    <w:p w14:paraId="61BC4DF7" w14:textId="77777777" w:rsidR="00C70C9F" w:rsidRPr="00AC4FB3" w:rsidRDefault="00C70C9F" w:rsidP="00AB404B">
      <w:pPr>
        <w:spacing w:line="360" w:lineRule="auto"/>
        <w:rPr>
          <w:rFonts w:ascii="Arial" w:hAnsi="Arial" w:cs="Arial"/>
          <w:sz w:val="22"/>
          <w:szCs w:val="22"/>
        </w:rPr>
      </w:pPr>
    </w:p>
    <w:p w14:paraId="1007EF86" w14:textId="7C62ED69"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Name: </w:t>
      </w:r>
      <w:r w:rsidR="00EE5806" w:rsidRPr="00221788">
        <w:rPr>
          <w:rFonts w:ascii="Arial" w:hAnsi="Arial" w:cs="Arial"/>
          <w:sz w:val="22"/>
          <w:szCs w:val="22"/>
        </w:rPr>
        <w:t>Azhda Ali</w:t>
      </w:r>
    </w:p>
    <w:p w14:paraId="1B7CA5A6" w14:textId="5E4CA7CE"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Student ID: </w:t>
      </w:r>
      <w:r w:rsidR="00EE5806" w:rsidRPr="00221788">
        <w:rPr>
          <w:rFonts w:ascii="Arial" w:hAnsi="Arial" w:cs="Arial"/>
          <w:sz w:val="22"/>
          <w:szCs w:val="22"/>
        </w:rPr>
        <w:t>2436859</w:t>
      </w:r>
    </w:p>
    <w:p w14:paraId="17EB8D1A" w14:textId="72A4BF8A"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Module Code:</w:t>
      </w:r>
      <w:r w:rsidR="001831A8" w:rsidRPr="00AC4FB3">
        <w:rPr>
          <w:rFonts w:ascii="Arial" w:hAnsi="Arial" w:cs="Arial"/>
          <w:b/>
          <w:bCs/>
          <w:sz w:val="22"/>
          <w:szCs w:val="22"/>
        </w:rPr>
        <w:t xml:space="preserve"> LCHS4003</w:t>
      </w:r>
    </w:p>
    <w:p w14:paraId="4290CFF9" w14:textId="0DB6453A"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Module: </w:t>
      </w:r>
      <w:r w:rsidR="00402250" w:rsidRPr="00AC4FB3">
        <w:rPr>
          <w:rFonts w:ascii="Arial" w:hAnsi="Arial" w:cs="Arial"/>
          <w:b/>
          <w:bCs/>
          <w:sz w:val="22"/>
          <w:szCs w:val="22"/>
        </w:rPr>
        <w:t>Introduction to Health and Social Care</w:t>
      </w:r>
    </w:p>
    <w:p w14:paraId="46F25691" w14:textId="4E733307" w:rsidR="0068628A" w:rsidRPr="00AC4FB3" w:rsidRDefault="00A27485" w:rsidP="00AB404B">
      <w:pPr>
        <w:spacing w:line="360" w:lineRule="auto"/>
        <w:jc w:val="both"/>
        <w:rPr>
          <w:rFonts w:ascii="Arial" w:hAnsi="Arial" w:cs="Arial"/>
          <w:b/>
          <w:bCs/>
          <w:sz w:val="22"/>
          <w:szCs w:val="22"/>
        </w:rPr>
      </w:pPr>
      <w:r w:rsidRPr="00AC4FB3">
        <w:rPr>
          <w:rFonts w:ascii="Arial" w:hAnsi="Arial" w:cs="Arial"/>
          <w:b/>
          <w:sz w:val="22"/>
          <w:szCs w:val="22"/>
        </w:rPr>
        <w:t>Assignment Title:</w:t>
      </w:r>
      <w:r w:rsidRPr="00AC4FB3">
        <w:rPr>
          <w:rFonts w:ascii="Arial" w:hAnsi="Arial" w:cs="Arial"/>
          <w:b/>
          <w:bCs/>
          <w:sz w:val="22"/>
          <w:szCs w:val="22"/>
        </w:rPr>
        <w:t xml:space="preserve"> </w:t>
      </w:r>
      <w:r w:rsidR="0068628A" w:rsidRPr="00AC4FB3">
        <w:rPr>
          <w:rFonts w:ascii="Arial" w:hAnsi="Arial" w:cs="Arial"/>
          <w:b/>
          <w:bCs/>
          <w:sz w:val="22"/>
          <w:szCs w:val="22"/>
        </w:rPr>
        <w:t>Written Assignment</w:t>
      </w:r>
    </w:p>
    <w:p w14:paraId="48875FC5" w14:textId="057C4D53"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Lecturer: </w:t>
      </w:r>
      <w:r w:rsidRPr="00221788">
        <w:rPr>
          <w:rFonts w:ascii="Arial" w:hAnsi="Arial" w:cs="Arial"/>
          <w:sz w:val="22"/>
          <w:szCs w:val="22"/>
        </w:rPr>
        <w:t>D</w:t>
      </w:r>
      <w:r w:rsidR="00402250" w:rsidRPr="00221788">
        <w:rPr>
          <w:rFonts w:ascii="Arial" w:hAnsi="Arial" w:cs="Arial"/>
          <w:sz w:val="22"/>
          <w:szCs w:val="22"/>
        </w:rPr>
        <w:t>r</w:t>
      </w:r>
      <w:r w:rsidRPr="00221788">
        <w:rPr>
          <w:rFonts w:ascii="Arial" w:hAnsi="Arial" w:cs="Arial"/>
          <w:sz w:val="22"/>
          <w:szCs w:val="22"/>
        </w:rPr>
        <w:t xml:space="preserve"> </w:t>
      </w:r>
      <w:r w:rsidR="00FD6DD7" w:rsidRPr="00221788">
        <w:rPr>
          <w:rFonts w:ascii="Arial" w:hAnsi="Arial" w:cs="Arial"/>
          <w:sz w:val="22"/>
          <w:szCs w:val="22"/>
        </w:rPr>
        <w:t>A</w:t>
      </w:r>
      <w:r w:rsidRPr="00221788">
        <w:rPr>
          <w:rFonts w:ascii="Arial" w:hAnsi="Arial" w:cs="Arial"/>
          <w:sz w:val="22"/>
          <w:szCs w:val="22"/>
        </w:rPr>
        <w:t xml:space="preserve">ishat </w:t>
      </w:r>
      <w:r w:rsidR="00FD6DD7" w:rsidRPr="00221788">
        <w:rPr>
          <w:rFonts w:ascii="Arial" w:hAnsi="Arial" w:cs="Arial"/>
          <w:sz w:val="22"/>
          <w:szCs w:val="22"/>
        </w:rPr>
        <w:t>Bakre</w:t>
      </w:r>
    </w:p>
    <w:p w14:paraId="0C71DA04" w14:textId="77777777" w:rsidR="00C70C9F" w:rsidRPr="00AC4FB3" w:rsidRDefault="00C70C9F" w:rsidP="00AB404B">
      <w:pPr>
        <w:spacing w:line="360" w:lineRule="auto"/>
        <w:jc w:val="both"/>
        <w:rPr>
          <w:rFonts w:ascii="Arial" w:hAnsi="Arial" w:cs="Arial"/>
          <w:b/>
          <w:bCs/>
          <w:sz w:val="22"/>
          <w:szCs w:val="22"/>
        </w:rPr>
      </w:pPr>
    </w:p>
    <w:p w14:paraId="06C58FF1" w14:textId="77777777" w:rsidR="00C70C9F" w:rsidRPr="00AC4FB3" w:rsidRDefault="00C70C9F" w:rsidP="00AB404B">
      <w:pPr>
        <w:spacing w:line="360" w:lineRule="auto"/>
        <w:jc w:val="both"/>
        <w:rPr>
          <w:rFonts w:ascii="Arial" w:hAnsi="Arial" w:cs="Arial"/>
          <w:b/>
          <w:bCs/>
          <w:sz w:val="22"/>
          <w:szCs w:val="22"/>
        </w:rPr>
      </w:pPr>
    </w:p>
    <w:p w14:paraId="642FC4C6" w14:textId="77777777" w:rsidR="00C70C9F" w:rsidRPr="00AC4FB3" w:rsidRDefault="00C70C9F" w:rsidP="00AB404B">
      <w:pPr>
        <w:spacing w:line="360" w:lineRule="auto"/>
        <w:jc w:val="both"/>
        <w:rPr>
          <w:rFonts w:ascii="Arial" w:hAnsi="Arial" w:cs="Arial"/>
          <w:b/>
          <w:bCs/>
          <w:sz w:val="22"/>
          <w:szCs w:val="22"/>
        </w:rPr>
      </w:pPr>
    </w:p>
    <w:p w14:paraId="179CD0ED" w14:textId="77777777" w:rsidR="00C70C9F" w:rsidRPr="00AC4FB3" w:rsidRDefault="00C70C9F" w:rsidP="00AB404B">
      <w:pPr>
        <w:spacing w:line="360" w:lineRule="auto"/>
        <w:jc w:val="both"/>
        <w:rPr>
          <w:rFonts w:ascii="Arial" w:hAnsi="Arial" w:cs="Arial"/>
          <w:b/>
          <w:bCs/>
          <w:sz w:val="22"/>
          <w:szCs w:val="22"/>
        </w:rPr>
      </w:pPr>
    </w:p>
    <w:p w14:paraId="7607C446" w14:textId="77777777" w:rsidR="00C70C9F" w:rsidRPr="00AC4FB3" w:rsidRDefault="00C70C9F" w:rsidP="00AB404B">
      <w:pPr>
        <w:spacing w:line="360" w:lineRule="auto"/>
        <w:jc w:val="both"/>
        <w:rPr>
          <w:rFonts w:ascii="Arial" w:hAnsi="Arial" w:cs="Arial"/>
          <w:b/>
          <w:bCs/>
          <w:sz w:val="22"/>
          <w:szCs w:val="22"/>
        </w:rPr>
      </w:pPr>
    </w:p>
    <w:p w14:paraId="2301A9C4" w14:textId="77777777" w:rsidR="00C70C9F" w:rsidRPr="00AC4FB3" w:rsidRDefault="00C70C9F" w:rsidP="00AB404B">
      <w:pPr>
        <w:spacing w:line="360" w:lineRule="auto"/>
        <w:jc w:val="both"/>
        <w:rPr>
          <w:rFonts w:ascii="Arial" w:hAnsi="Arial" w:cs="Arial"/>
          <w:b/>
          <w:bCs/>
          <w:sz w:val="22"/>
          <w:szCs w:val="22"/>
        </w:rPr>
      </w:pPr>
    </w:p>
    <w:p w14:paraId="670ECC9D" w14:textId="77777777" w:rsidR="00C70C9F" w:rsidRPr="00AC4FB3" w:rsidRDefault="00C70C9F" w:rsidP="00AB404B">
      <w:pPr>
        <w:spacing w:line="360" w:lineRule="auto"/>
        <w:jc w:val="both"/>
        <w:rPr>
          <w:rFonts w:ascii="Arial" w:hAnsi="Arial" w:cs="Arial"/>
          <w:b/>
          <w:bCs/>
          <w:sz w:val="22"/>
          <w:szCs w:val="22"/>
        </w:rPr>
      </w:pPr>
    </w:p>
    <w:p w14:paraId="3DCC9D8B" w14:textId="3D05DAA1"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ab/>
      </w:r>
      <w:r w:rsidRPr="00AC4FB3">
        <w:rPr>
          <w:rFonts w:ascii="Arial" w:hAnsi="Arial" w:cs="Arial"/>
          <w:b/>
          <w:bCs/>
          <w:sz w:val="22"/>
          <w:szCs w:val="22"/>
        </w:rPr>
        <w:tab/>
      </w:r>
      <w:r w:rsidRPr="00AC4FB3">
        <w:rPr>
          <w:rFonts w:ascii="Arial" w:hAnsi="Arial" w:cs="Arial"/>
          <w:b/>
          <w:bCs/>
          <w:sz w:val="22"/>
          <w:szCs w:val="22"/>
        </w:rPr>
        <w:tab/>
      </w:r>
      <w:r w:rsidRPr="00AC4FB3">
        <w:rPr>
          <w:rFonts w:ascii="Arial" w:hAnsi="Arial" w:cs="Arial"/>
          <w:b/>
          <w:bCs/>
          <w:sz w:val="22"/>
          <w:szCs w:val="22"/>
        </w:rPr>
        <w:tab/>
        <w:t xml:space="preserve">Submitted on: </w:t>
      </w:r>
      <w:r w:rsidRPr="00221788">
        <w:rPr>
          <w:rFonts w:ascii="Arial" w:hAnsi="Arial" w:cs="Arial"/>
          <w:sz w:val="22"/>
          <w:szCs w:val="22"/>
        </w:rPr>
        <w:t>21</w:t>
      </w:r>
      <w:r w:rsidR="00EE5806" w:rsidRPr="00221788">
        <w:rPr>
          <w:rFonts w:ascii="Arial" w:hAnsi="Arial" w:cs="Arial"/>
          <w:sz w:val="22"/>
          <w:szCs w:val="22"/>
        </w:rPr>
        <w:t>/11/2025</w:t>
      </w:r>
    </w:p>
    <w:p w14:paraId="5259CBE3" w14:textId="77777777" w:rsidR="00947674" w:rsidRDefault="00947674" w:rsidP="00AB404B">
      <w:pPr>
        <w:spacing w:line="360" w:lineRule="auto"/>
        <w:jc w:val="center"/>
        <w:rPr>
          <w:rFonts w:ascii="Arial" w:hAnsi="Arial" w:cs="Arial"/>
          <w:sz w:val="22"/>
          <w:szCs w:val="22"/>
        </w:rPr>
      </w:pPr>
    </w:p>
    <w:p w14:paraId="042BE0CB" w14:textId="77777777" w:rsidR="00BC3B82" w:rsidRDefault="00BC3B82" w:rsidP="00AB404B">
      <w:pPr>
        <w:spacing w:line="360" w:lineRule="auto"/>
        <w:jc w:val="center"/>
        <w:rPr>
          <w:rFonts w:ascii="Arial" w:hAnsi="Arial" w:cs="Arial"/>
          <w:sz w:val="22"/>
          <w:szCs w:val="22"/>
        </w:rPr>
      </w:pPr>
    </w:p>
    <w:p w14:paraId="61D857D7" w14:textId="77777777" w:rsidR="00B401D1" w:rsidRDefault="00B401D1" w:rsidP="00AB404B">
      <w:pPr>
        <w:spacing w:line="360" w:lineRule="auto"/>
        <w:jc w:val="center"/>
        <w:rPr>
          <w:rFonts w:ascii="Arial" w:hAnsi="Arial" w:cs="Arial"/>
          <w:sz w:val="22"/>
          <w:szCs w:val="22"/>
        </w:rPr>
      </w:pPr>
    </w:p>
    <w:p w14:paraId="28B6FBB4" w14:textId="77777777" w:rsidR="00BC3B82" w:rsidRPr="00AC4FB3" w:rsidRDefault="00BC3B82" w:rsidP="00AB404B">
      <w:pPr>
        <w:spacing w:line="360" w:lineRule="auto"/>
        <w:jc w:val="center"/>
        <w:rPr>
          <w:rFonts w:ascii="Arial" w:hAnsi="Arial" w:cs="Arial"/>
          <w:sz w:val="22"/>
          <w:szCs w:val="22"/>
        </w:rPr>
      </w:pPr>
    </w:p>
    <w:sdt>
      <w:sdtPr>
        <w:rPr>
          <w:rFonts w:asciiTheme="minorHAnsi" w:eastAsiaTheme="minorHAnsi" w:hAnsiTheme="minorHAnsi" w:cstheme="minorBidi"/>
          <w:color w:val="auto"/>
          <w:kern w:val="2"/>
          <w:sz w:val="24"/>
          <w:szCs w:val="24"/>
          <w:lang w:eastAsia="en-US"/>
          <w14:ligatures w14:val="standardContextual"/>
        </w:rPr>
        <w:id w:val="-1784570631"/>
        <w:docPartObj>
          <w:docPartGallery w:val="Table of Contents"/>
          <w:docPartUnique/>
        </w:docPartObj>
      </w:sdtPr>
      <w:sdtEndPr>
        <w:rPr>
          <w:b/>
          <w:bCs/>
        </w:rPr>
      </w:sdtEndPr>
      <w:sdtContent>
        <w:p w14:paraId="57DB840C" w14:textId="0DCBCE3E" w:rsidR="003A5987" w:rsidRPr="00586113" w:rsidRDefault="003A5987" w:rsidP="003A5987">
          <w:pPr>
            <w:pStyle w:val="TOCHeading"/>
            <w:spacing w:line="360" w:lineRule="auto"/>
            <w:rPr>
              <w:rFonts w:ascii="Arial" w:hAnsi="Arial" w:cs="Arial"/>
              <w:b/>
              <w:bCs/>
              <w:color w:val="0D0D0D" w:themeColor="text1" w:themeTint="F2"/>
              <w:sz w:val="22"/>
              <w:szCs w:val="22"/>
            </w:rPr>
          </w:pPr>
          <w:r w:rsidRPr="00586113">
            <w:rPr>
              <w:rFonts w:ascii="Arial" w:hAnsi="Arial" w:cs="Arial"/>
              <w:b/>
              <w:bCs/>
              <w:color w:val="0D0D0D" w:themeColor="text1" w:themeTint="F2"/>
              <w:sz w:val="22"/>
              <w:szCs w:val="22"/>
            </w:rPr>
            <w:t>Table of Contents</w:t>
          </w:r>
        </w:p>
        <w:p w14:paraId="51BB749C" w14:textId="77777777" w:rsidR="003A5987" w:rsidRPr="004E3443" w:rsidRDefault="003A5987" w:rsidP="003A5987">
          <w:pPr>
            <w:rPr>
              <w:rFonts w:ascii="Arial" w:hAnsi="Arial" w:cs="Arial"/>
              <w:sz w:val="22"/>
              <w:szCs w:val="22"/>
              <w:lang w:eastAsia="en-GB"/>
            </w:rPr>
          </w:pPr>
        </w:p>
        <w:p w14:paraId="0600D07C" w14:textId="7349EDD8" w:rsidR="003A5987" w:rsidRPr="004E3443" w:rsidRDefault="003A5987" w:rsidP="003A5987">
          <w:pPr>
            <w:pStyle w:val="TOC1"/>
            <w:tabs>
              <w:tab w:val="right" w:leader="dot" w:pos="9016"/>
            </w:tabs>
            <w:spacing w:line="360" w:lineRule="auto"/>
            <w:rPr>
              <w:rFonts w:ascii="Arial" w:hAnsi="Arial" w:cs="Arial"/>
              <w:noProof/>
              <w:sz w:val="22"/>
              <w:szCs w:val="22"/>
            </w:rPr>
          </w:pPr>
          <w:r w:rsidRPr="004E3443">
            <w:rPr>
              <w:rFonts w:ascii="Arial" w:hAnsi="Arial" w:cs="Arial"/>
              <w:sz w:val="22"/>
              <w:szCs w:val="22"/>
            </w:rPr>
            <w:fldChar w:fldCharType="begin"/>
          </w:r>
          <w:r w:rsidRPr="004E3443">
            <w:rPr>
              <w:rFonts w:ascii="Arial" w:hAnsi="Arial" w:cs="Arial"/>
              <w:sz w:val="22"/>
              <w:szCs w:val="22"/>
            </w:rPr>
            <w:instrText xml:space="preserve"> TOC \o "1-3" \h \z \u </w:instrText>
          </w:r>
          <w:r w:rsidRPr="004E3443">
            <w:rPr>
              <w:rFonts w:ascii="Arial" w:hAnsi="Arial" w:cs="Arial"/>
              <w:sz w:val="22"/>
              <w:szCs w:val="22"/>
            </w:rPr>
            <w:fldChar w:fldCharType="separate"/>
          </w:r>
          <w:hyperlink w:anchor="_Toc214551867" w:history="1">
            <w:r w:rsidRPr="004E3443">
              <w:rPr>
                <w:rStyle w:val="Hyperlink"/>
                <w:rFonts w:ascii="Arial" w:hAnsi="Arial" w:cs="Arial"/>
                <w:noProof/>
                <w:sz w:val="22"/>
                <w:szCs w:val="22"/>
              </w:rPr>
              <w:t>Introduction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_Toc214551867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3</w:t>
            </w:r>
            <w:r w:rsidRPr="004E3443">
              <w:rPr>
                <w:rFonts w:ascii="Arial" w:hAnsi="Arial" w:cs="Arial"/>
                <w:noProof/>
                <w:webHidden/>
                <w:sz w:val="22"/>
                <w:szCs w:val="22"/>
              </w:rPr>
              <w:fldChar w:fldCharType="end"/>
            </w:r>
          </w:hyperlink>
        </w:p>
        <w:p w14:paraId="684AD0CE" w14:textId="74C45DBF"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68" w:history="1">
            <w:r w:rsidRPr="004E3443">
              <w:rPr>
                <w:rStyle w:val="Hyperlink"/>
                <w:rFonts w:ascii="Arial" w:hAnsi="Arial" w:cs="Arial"/>
                <w:noProof/>
                <w:sz w:val="22"/>
                <w:szCs w:val="22"/>
              </w:rPr>
              <w:t>Effective Communication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_Toc214551868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3</w:t>
            </w:r>
            <w:r w:rsidRPr="004E3443">
              <w:rPr>
                <w:rFonts w:ascii="Arial" w:hAnsi="Arial" w:cs="Arial"/>
                <w:noProof/>
                <w:webHidden/>
                <w:sz w:val="22"/>
                <w:szCs w:val="22"/>
              </w:rPr>
              <w:fldChar w:fldCharType="end"/>
            </w:r>
          </w:hyperlink>
        </w:p>
        <w:p w14:paraId="19394BAD" w14:textId="5DB440B2"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69" w:history="1">
            <w:r w:rsidRPr="004E3443">
              <w:rPr>
                <w:rStyle w:val="Hyperlink"/>
                <w:rFonts w:ascii="Arial" w:hAnsi="Arial" w:cs="Arial"/>
                <w:noProof/>
                <w:sz w:val="22"/>
                <w:szCs w:val="22"/>
              </w:rPr>
              <w:t>Administrative Skills &amp; Record Keeping</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_Toc214551869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4</w:t>
            </w:r>
            <w:r w:rsidRPr="004E3443">
              <w:rPr>
                <w:rFonts w:ascii="Arial" w:hAnsi="Arial" w:cs="Arial"/>
                <w:noProof/>
                <w:webHidden/>
                <w:sz w:val="22"/>
                <w:szCs w:val="22"/>
              </w:rPr>
              <w:fldChar w:fldCharType="end"/>
            </w:r>
          </w:hyperlink>
        </w:p>
        <w:p w14:paraId="4618E159" w14:textId="5D24B604"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0" w:history="1">
            <w:r w:rsidRPr="004E3443">
              <w:rPr>
                <w:rStyle w:val="Hyperlink"/>
                <w:rFonts w:ascii="Arial" w:hAnsi="Arial" w:cs="Arial"/>
                <w:noProof/>
                <w:sz w:val="22"/>
                <w:szCs w:val="22"/>
              </w:rPr>
              <w:t>Collaborative Working</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_Toc214551870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6</w:t>
            </w:r>
            <w:r w:rsidRPr="004E3443">
              <w:rPr>
                <w:rFonts w:ascii="Arial" w:hAnsi="Arial" w:cs="Arial"/>
                <w:noProof/>
                <w:webHidden/>
                <w:sz w:val="22"/>
                <w:szCs w:val="22"/>
              </w:rPr>
              <w:fldChar w:fldCharType="end"/>
            </w:r>
          </w:hyperlink>
        </w:p>
        <w:p w14:paraId="4389E155" w14:textId="3F72CD26"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1" w:history="1">
            <w:r w:rsidRPr="004E3443">
              <w:rPr>
                <w:rStyle w:val="Hyperlink"/>
                <w:rFonts w:ascii="Arial" w:hAnsi="Arial" w:cs="Arial"/>
                <w:noProof/>
                <w:sz w:val="22"/>
                <w:szCs w:val="22"/>
              </w:rPr>
              <w:t>Conclusion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_Toc214551871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7</w:t>
            </w:r>
            <w:r w:rsidRPr="004E3443">
              <w:rPr>
                <w:rFonts w:ascii="Arial" w:hAnsi="Arial" w:cs="Arial"/>
                <w:noProof/>
                <w:webHidden/>
                <w:sz w:val="22"/>
                <w:szCs w:val="22"/>
              </w:rPr>
              <w:fldChar w:fldCharType="end"/>
            </w:r>
          </w:hyperlink>
        </w:p>
        <w:p w14:paraId="1B965718" w14:textId="2E1231D9"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2" w:history="1">
            <w:r w:rsidRPr="004E3443">
              <w:rPr>
                <w:rStyle w:val="Hyperlink"/>
                <w:rFonts w:ascii="Arial" w:hAnsi="Arial" w:cs="Arial"/>
                <w:noProof/>
                <w:sz w:val="22"/>
                <w:szCs w:val="22"/>
              </w:rPr>
              <w:t>Reference list</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_Toc214551872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4D6AEF">
              <w:rPr>
                <w:rFonts w:ascii="Arial" w:hAnsi="Arial" w:cs="Arial"/>
                <w:noProof/>
                <w:webHidden/>
                <w:sz w:val="22"/>
                <w:szCs w:val="22"/>
              </w:rPr>
              <w:t>8</w:t>
            </w:r>
            <w:r w:rsidRPr="004E3443">
              <w:rPr>
                <w:rFonts w:ascii="Arial" w:hAnsi="Arial" w:cs="Arial"/>
                <w:noProof/>
                <w:webHidden/>
                <w:sz w:val="22"/>
                <w:szCs w:val="22"/>
              </w:rPr>
              <w:fldChar w:fldCharType="end"/>
            </w:r>
          </w:hyperlink>
        </w:p>
        <w:p w14:paraId="1B65AAD6" w14:textId="0C0AC094" w:rsidR="003A5987" w:rsidRDefault="003A5987" w:rsidP="003A5987">
          <w:pPr>
            <w:spacing w:line="360" w:lineRule="auto"/>
          </w:pPr>
          <w:r w:rsidRPr="004E3443">
            <w:rPr>
              <w:rFonts w:ascii="Arial" w:hAnsi="Arial" w:cs="Arial"/>
              <w:b/>
              <w:bCs/>
              <w:sz w:val="22"/>
              <w:szCs w:val="22"/>
            </w:rPr>
            <w:fldChar w:fldCharType="end"/>
          </w:r>
        </w:p>
      </w:sdtContent>
    </w:sdt>
    <w:p w14:paraId="588F49B7" w14:textId="77777777" w:rsidR="00947674" w:rsidRPr="00AC4FB3" w:rsidRDefault="00947674" w:rsidP="00AB404B">
      <w:pPr>
        <w:spacing w:line="360" w:lineRule="auto"/>
        <w:jc w:val="center"/>
        <w:rPr>
          <w:rFonts w:ascii="Arial" w:hAnsi="Arial" w:cs="Arial"/>
          <w:sz w:val="22"/>
          <w:szCs w:val="22"/>
        </w:rPr>
      </w:pPr>
    </w:p>
    <w:p w14:paraId="3B056027" w14:textId="77777777" w:rsidR="00947674" w:rsidRPr="00AC4FB3" w:rsidRDefault="00947674" w:rsidP="00AB404B">
      <w:pPr>
        <w:spacing w:line="360" w:lineRule="auto"/>
        <w:jc w:val="center"/>
        <w:rPr>
          <w:rFonts w:ascii="Arial" w:hAnsi="Arial" w:cs="Arial"/>
          <w:sz w:val="22"/>
          <w:szCs w:val="22"/>
        </w:rPr>
      </w:pPr>
    </w:p>
    <w:p w14:paraId="24B87B48" w14:textId="77777777" w:rsidR="00947674" w:rsidRPr="00AC4FB3" w:rsidRDefault="00947674" w:rsidP="00AB404B">
      <w:pPr>
        <w:spacing w:line="360" w:lineRule="auto"/>
        <w:jc w:val="center"/>
        <w:rPr>
          <w:rFonts w:ascii="Arial" w:hAnsi="Arial" w:cs="Arial"/>
          <w:sz w:val="22"/>
          <w:szCs w:val="22"/>
        </w:rPr>
      </w:pPr>
    </w:p>
    <w:p w14:paraId="3FBFE809" w14:textId="77777777" w:rsidR="00947674" w:rsidRPr="00AC4FB3" w:rsidRDefault="00947674" w:rsidP="00AB404B">
      <w:pPr>
        <w:spacing w:line="360" w:lineRule="auto"/>
        <w:jc w:val="center"/>
        <w:rPr>
          <w:rFonts w:ascii="Arial" w:hAnsi="Arial" w:cs="Arial"/>
          <w:sz w:val="22"/>
          <w:szCs w:val="22"/>
        </w:rPr>
      </w:pPr>
    </w:p>
    <w:p w14:paraId="5EF47084" w14:textId="77777777" w:rsidR="00947674" w:rsidRPr="00AC4FB3" w:rsidRDefault="00947674" w:rsidP="00AB404B">
      <w:pPr>
        <w:spacing w:line="360" w:lineRule="auto"/>
        <w:jc w:val="center"/>
        <w:rPr>
          <w:rFonts w:ascii="Arial" w:hAnsi="Arial" w:cs="Arial"/>
          <w:sz w:val="22"/>
          <w:szCs w:val="22"/>
        </w:rPr>
      </w:pPr>
    </w:p>
    <w:p w14:paraId="62D826CC" w14:textId="77777777" w:rsidR="00947674" w:rsidRPr="00AC4FB3" w:rsidRDefault="00947674" w:rsidP="00AB404B">
      <w:pPr>
        <w:spacing w:line="360" w:lineRule="auto"/>
        <w:jc w:val="center"/>
        <w:rPr>
          <w:rFonts w:ascii="Arial" w:hAnsi="Arial" w:cs="Arial"/>
          <w:sz w:val="22"/>
          <w:szCs w:val="22"/>
        </w:rPr>
      </w:pPr>
    </w:p>
    <w:p w14:paraId="7580323D" w14:textId="77777777" w:rsidR="00947674" w:rsidRPr="00AC4FB3" w:rsidRDefault="00947674" w:rsidP="00AB404B">
      <w:pPr>
        <w:spacing w:line="360" w:lineRule="auto"/>
        <w:jc w:val="center"/>
        <w:rPr>
          <w:rFonts w:ascii="Arial" w:hAnsi="Arial" w:cs="Arial"/>
          <w:sz w:val="22"/>
          <w:szCs w:val="22"/>
        </w:rPr>
      </w:pPr>
    </w:p>
    <w:p w14:paraId="706B1364" w14:textId="77777777" w:rsidR="00947674" w:rsidRPr="00AC4FB3" w:rsidRDefault="00947674" w:rsidP="00AB404B">
      <w:pPr>
        <w:spacing w:line="360" w:lineRule="auto"/>
        <w:jc w:val="center"/>
        <w:rPr>
          <w:rFonts w:ascii="Arial" w:hAnsi="Arial" w:cs="Arial"/>
          <w:sz w:val="22"/>
          <w:szCs w:val="22"/>
        </w:rPr>
      </w:pPr>
    </w:p>
    <w:p w14:paraId="1842DBF3" w14:textId="77777777" w:rsidR="00947674" w:rsidRPr="00AC4FB3" w:rsidRDefault="00947674" w:rsidP="00AB404B">
      <w:pPr>
        <w:spacing w:line="360" w:lineRule="auto"/>
        <w:jc w:val="center"/>
        <w:rPr>
          <w:rFonts w:ascii="Arial" w:hAnsi="Arial" w:cs="Arial"/>
          <w:sz w:val="22"/>
          <w:szCs w:val="22"/>
        </w:rPr>
      </w:pPr>
    </w:p>
    <w:p w14:paraId="13E0D543" w14:textId="77777777" w:rsidR="00947674" w:rsidRPr="00AC4FB3" w:rsidRDefault="00947674" w:rsidP="00AB404B">
      <w:pPr>
        <w:spacing w:line="360" w:lineRule="auto"/>
        <w:jc w:val="center"/>
        <w:rPr>
          <w:rFonts w:ascii="Arial" w:hAnsi="Arial" w:cs="Arial"/>
          <w:sz w:val="22"/>
          <w:szCs w:val="22"/>
        </w:rPr>
      </w:pPr>
    </w:p>
    <w:p w14:paraId="57955A77" w14:textId="77777777" w:rsidR="00947674" w:rsidRPr="00AC4FB3" w:rsidRDefault="00947674" w:rsidP="00AB404B">
      <w:pPr>
        <w:spacing w:line="360" w:lineRule="auto"/>
        <w:jc w:val="center"/>
        <w:rPr>
          <w:rFonts w:ascii="Arial" w:hAnsi="Arial" w:cs="Arial"/>
          <w:sz w:val="22"/>
          <w:szCs w:val="22"/>
        </w:rPr>
      </w:pPr>
    </w:p>
    <w:p w14:paraId="334EC568" w14:textId="77777777" w:rsidR="00947674" w:rsidRPr="00AC4FB3" w:rsidRDefault="00947674" w:rsidP="00AB404B">
      <w:pPr>
        <w:spacing w:line="360" w:lineRule="auto"/>
        <w:jc w:val="center"/>
        <w:rPr>
          <w:rFonts w:ascii="Arial" w:hAnsi="Arial" w:cs="Arial"/>
          <w:sz w:val="22"/>
          <w:szCs w:val="22"/>
        </w:rPr>
      </w:pPr>
    </w:p>
    <w:p w14:paraId="179E8C8D" w14:textId="77777777" w:rsidR="00947674" w:rsidRPr="00AC4FB3" w:rsidRDefault="00947674" w:rsidP="00AB404B">
      <w:pPr>
        <w:spacing w:line="360" w:lineRule="auto"/>
        <w:jc w:val="center"/>
        <w:rPr>
          <w:rFonts w:ascii="Arial" w:hAnsi="Arial" w:cs="Arial"/>
          <w:sz w:val="22"/>
          <w:szCs w:val="22"/>
        </w:rPr>
      </w:pPr>
    </w:p>
    <w:p w14:paraId="082C1B6E" w14:textId="77777777" w:rsidR="00947674" w:rsidRPr="00AC4FB3" w:rsidRDefault="00947674" w:rsidP="00AB404B">
      <w:pPr>
        <w:spacing w:line="360" w:lineRule="auto"/>
        <w:jc w:val="center"/>
        <w:rPr>
          <w:rFonts w:ascii="Arial" w:hAnsi="Arial" w:cs="Arial"/>
          <w:sz w:val="22"/>
          <w:szCs w:val="22"/>
        </w:rPr>
      </w:pPr>
    </w:p>
    <w:p w14:paraId="5A6B6116" w14:textId="77777777" w:rsidR="00947674" w:rsidRPr="00AC4FB3" w:rsidRDefault="00947674" w:rsidP="00AB404B">
      <w:pPr>
        <w:spacing w:line="360" w:lineRule="auto"/>
        <w:rPr>
          <w:rFonts w:ascii="Arial" w:hAnsi="Arial" w:cs="Arial"/>
          <w:sz w:val="22"/>
          <w:szCs w:val="22"/>
        </w:rPr>
      </w:pPr>
    </w:p>
    <w:p w14:paraId="5DB50180" w14:textId="23AAA0E7" w:rsidR="00083DD5" w:rsidRDefault="000C7341" w:rsidP="000C7341">
      <w:pPr>
        <w:spacing w:line="360" w:lineRule="auto"/>
        <w:jc w:val="center"/>
        <w:rPr>
          <w:rFonts w:ascii="Arial" w:hAnsi="Arial" w:cs="Arial"/>
          <w:b/>
          <w:bCs/>
          <w:sz w:val="28"/>
          <w:szCs w:val="28"/>
        </w:rPr>
      </w:pPr>
      <w:r w:rsidRPr="0024588B">
        <w:rPr>
          <w:rFonts w:ascii="Arial" w:hAnsi="Arial" w:cs="Arial"/>
          <w:b/>
          <w:bCs/>
          <w:sz w:val="28"/>
          <w:szCs w:val="28"/>
        </w:rPr>
        <w:lastRenderedPageBreak/>
        <w:t>A Case Study of Mrs Mann</w:t>
      </w:r>
    </w:p>
    <w:p w14:paraId="71E0AABD" w14:textId="77777777" w:rsidR="00B401D1" w:rsidRPr="0024588B" w:rsidRDefault="00B401D1" w:rsidP="000C7341">
      <w:pPr>
        <w:spacing w:line="360" w:lineRule="auto"/>
        <w:jc w:val="center"/>
        <w:rPr>
          <w:rFonts w:ascii="Arial" w:hAnsi="Arial" w:cs="Arial"/>
          <w:b/>
          <w:bCs/>
          <w:sz w:val="28"/>
          <w:szCs w:val="28"/>
        </w:rPr>
      </w:pPr>
    </w:p>
    <w:p w14:paraId="19BBA2C6" w14:textId="7FA1BF12" w:rsidR="005F4C87" w:rsidRPr="0059368E" w:rsidRDefault="003841A7" w:rsidP="0059368E">
      <w:pPr>
        <w:pStyle w:val="Heading1"/>
      </w:pPr>
      <w:bookmarkStart w:id="0" w:name="_Toc214551867"/>
      <w:r w:rsidRPr="0059368E">
        <w:t>Introduction</w:t>
      </w:r>
      <w:bookmarkEnd w:id="0"/>
      <w:r w:rsidRPr="0059368E">
        <w:t xml:space="preserve"> </w:t>
      </w:r>
      <w:r w:rsidR="005F4C87" w:rsidRPr="0059368E">
        <w:br/>
      </w:r>
    </w:p>
    <w:p w14:paraId="6FB04763" w14:textId="20433F91" w:rsidR="0008184B" w:rsidRPr="000A5694" w:rsidRDefault="003841A7" w:rsidP="00AB404B">
      <w:pPr>
        <w:spacing w:line="360" w:lineRule="auto"/>
        <w:jc w:val="both"/>
        <w:rPr>
          <w:rFonts w:ascii="Arial" w:hAnsi="Arial" w:cs="Arial"/>
          <w:color w:val="EE0000"/>
          <w:sz w:val="22"/>
          <w:szCs w:val="22"/>
        </w:rPr>
      </w:pPr>
      <w:r w:rsidRPr="00AC4FB3">
        <w:rPr>
          <w:rFonts w:ascii="Arial" w:hAnsi="Arial" w:cs="Arial"/>
          <w:sz w:val="22"/>
          <w:szCs w:val="22"/>
        </w:rPr>
        <w:t>Mrs Mann is a 72-year-old woman recently discharged from hospital following hip replacement surgery. Living alone, she receives twice-daily domiciliary care to support her mobility and personal care needs, which highlights the importance of professional support in maintaining independence after surgery.</w:t>
      </w:r>
      <w:r w:rsidR="00DD39B4">
        <w:rPr>
          <w:rFonts w:ascii="Arial" w:hAnsi="Arial" w:cs="Arial"/>
          <w:sz w:val="22"/>
          <w:szCs w:val="22"/>
        </w:rPr>
        <w:t xml:space="preserve"> </w:t>
      </w:r>
      <w:r w:rsidR="00DD39B4" w:rsidRPr="00DD39B4">
        <w:rPr>
          <w:rFonts w:ascii="Arial" w:hAnsi="Arial" w:cs="Arial"/>
          <w:sz w:val="22"/>
          <w:szCs w:val="22"/>
        </w:rPr>
        <w:t>Her first language is Urdu, and she has only basic English proficiency, often supported by her daughter or care professionals in interpretation</w:t>
      </w:r>
      <w:r w:rsidR="00DD39B4">
        <w:rPr>
          <w:rFonts w:ascii="Arial" w:hAnsi="Arial" w:cs="Arial"/>
          <w:sz w:val="22"/>
          <w:szCs w:val="22"/>
        </w:rPr>
        <w:t>.</w:t>
      </w:r>
      <w:r w:rsidR="00053832">
        <w:rPr>
          <w:rFonts w:ascii="Arial" w:hAnsi="Arial" w:cs="Arial"/>
          <w:sz w:val="22"/>
          <w:szCs w:val="22"/>
        </w:rPr>
        <w:t xml:space="preserve"> </w:t>
      </w:r>
    </w:p>
    <w:p w14:paraId="71F26110" w14:textId="394AB1CC" w:rsidR="003841A7" w:rsidRPr="00AC4FB3" w:rsidRDefault="00BD7DD9" w:rsidP="00611337">
      <w:pPr>
        <w:spacing w:line="360" w:lineRule="auto"/>
        <w:jc w:val="both"/>
        <w:rPr>
          <w:rFonts w:ascii="Arial" w:hAnsi="Arial" w:cs="Arial"/>
          <w:sz w:val="22"/>
          <w:szCs w:val="22"/>
        </w:rPr>
      </w:pPr>
      <w:r w:rsidRPr="00BD7DD9">
        <w:rPr>
          <w:rFonts w:ascii="Arial" w:hAnsi="Arial" w:cs="Arial"/>
          <w:sz w:val="22"/>
          <w:szCs w:val="22"/>
        </w:rPr>
        <w:t xml:space="preserve">The discussion highlights three critical dimensions of care </w:t>
      </w:r>
      <w:r>
        <w:rPr>
          <w:rFonts w:ascii="Arial" w:hAnsi="Arial" w:cs="Arial"/>
          <w:sz w:val="22"/>
          <w:szCs w:val="22"/>
        </w:rPr>
        <w:t xml:space="preserve">- </w:t>
      </w:r>
      <w:r w:rsidRPr="00BD7DD9">
        <w:rPr>
          <w:rFonts w:ascii="Arial" w:hAnsi="Arial" w:cs="Arial"/>
          <w:sz w:val="22"/>
          <w:szCs w:val="22"/>
        </w:rPr>
        <w:t>communication, administrative skills, and collaborative working within the context of Mrs Mann’s case.</w:t>
      </w:r>
      <w:r w:rsidR="009D20BF">
        <w:rPr>
          <w:rFonts w:ascii="Arial" w:hAnsi="Arial" w:cs="Arial"/>
          <w:sz w:val="22"/>
          <w:szCs w:val="22"/>
        </w:rPr>
        <w:t xml:space="preserve"> </w:t>
      </w:r>
      <w:r w:rsidR="003841A7" w:rsidRPr="00AC4FB3">
        <w:rPr>
          <w:rFonts w:ascii="Arial" w:hAnsi="Arial" w:cs="Arial"/>
          <w:sz w:val="22"/>
          <w:szCs w:val="22"/>
        </w:rPr>
        <w:t>Each section will examine how legislation and professional frameworks including the Equality Act 2010, the Data Protection Act 2018, and guidance on multi-agency practice - underpin safe and equitable care. By analysing Mrs Mann’s case, the report will demonstrate how adapting professional practice promote dignity, autonomy, and continuity of care.</w:t>
      </w:r>
    </w:p>
    <w:p w14:paraId="51DEC87F" w14:textId="77777777" w:rsidR="003841A7" w:rsidRPr="00AC4FB3" w:rsidRDefault="003841A7" w:rsidP="00AB404B">
      <w:pPr>
        <w:spacing w:line="360" w:lineRule="auto"/>
        <w:jc w:val="both"/>
        <w:rPr>
          <w:rFonts w:ascii="Arial" w:hAnsi="Arial" w:cs="Arial"/>
          <w:sz w:val="22"/>
          <w:szCs w:val="22"/>
        </w:rPr>
      </w:pPr>
    </w:p>
    <w:p w14:paraId="07D9832F" w14:textId="1A4C3CD6" w:rsidR="003841A7" w:rsidRPr="00AC4FB3" w:rsidRDefault="003841A7" w:rsidP="005F4C87">
      <w:pPr>
        <w:pStyle w:val="Heading1"/>
      </w:pPr>
      <w:bookmarkStart w:id="1" w:name="_Toc214551868"/>
      <w:r w:rsidRPr="00AC4FB3">
        <w:t>Effective Communication</w:t>
      </w:r>
      <w:bookmarkEnd w:id="1"/>
      <w:r w:rsidRPr="00AC4FB3">
        <w:t xml:space="preserve"> </w:t>
      </w:r>
      <w:r w:rsidR="005F4C87">
        <w:br/>
      </w:r>
    </w:p>
    <w:p w14:paraId="5AEFC02E" w14:textId="6BEAC91F" w:rsidR="003841A7" w:rsidRPr="00AC4FB3" w:rsidRDefault="00DF4EDC" w:rsidP="00AB404B">
      <w:pPr>
        <w:spacing w:line="360" w:lineRule="auto"/>
        <w:jc w:val="both"/>
        <w:rPr>
          <w:rFonts w:ascii="Arial" w:hAnsi="Arial" w:cs="Arial"/>
          <w:sz w:val="22"/>
          <w:szCs w:val="22"/>
        </w:rPr>
      </w:pPr>
      <w:r w:rsidRPr="00AC4FB3">
        <w:rPr>
          <w:rFonts w:ascii="Arial" w:hAnsi="Arial" w:cs="Arial"/>
          <w:sz w:val="22"/>
          <w:szCs w:val="22"/>
        </w:rPr>
        <w:t>Effective communication is fundamental, especially for those facing language or cultural</w:t>
      </w:r>
      <w:r w:rsidR="005129BA">
        <w:rPr>
          <w:rFonts w:ascii="Arial" w:hAnsi="Arial" w:cs="Arial"/>
          <w:sz w:val="22"/>
          <w:szCs w:val="22"/>
        </w:rPr>
        <w:t xml:space="preserve"> </w:t>
      </w:r>
      <w:r w:rsidR="00625D2C">
        <w:rPr>
          <w:rFonts w:ascii="Arial" w:hAnsi="Arial" w:cs="Arial"/>
          <w:sz w:val="22"/>
          <w:szCs w:val="22"/>
        </w:rPr>
        <w:t>challenges</w:t>
      </w:r>
      <w:r w:rsidR="003841A7" w:rsidRPr="00AC4FB3">
        <w:rPr>
          <w:rFonts w:ascii="Arial" w:hAnsi="Arial" w:cs="Arial"/>
          <w:sz w:val="22"/>
          <w:szCs w:val="22"/>
        </w:rPr>
        <w:t xml:space="preserve">. In Mrs Mann’s case, her </w:t>
      </w:r>
      <w:r w:rsidR="00027455">
        <w:rPr>
          <w:rFonts w:ascii="Arial" w:hAnsi="Arial" w:cs="Arial"/>
          <w:sz w:val="22"/>
          <w:szCs w:val="22"/>
        </w:rPr>
        <w:t>basic</w:t>
      </w:r>
      <w:r w:rsidR="003841A7" w:rsidRPr="00AC4FB3">
        <w:rPr>
          <w:rFonts w:ascii="Arial" w:hAnsi="Arial" w:cs="Arial"/>
          <w:sz w:val="22"/>
          <w:szCs w:val="22"/>
        </w:rPr>
        <w:t xml:space="preserve"> English proficiency and </w:t>
      </w:r>
      <w:r w:rsidR="00C42C6B" w:rsidRPr="00C42C6B">
        <w:rPr>
          <w:rFonts w:ascii="Arial" w:hAnsi="Arial" w:cs="Arial"/>
          <w:sz w:val="22"/>
          <w:szCs w:val="22"/>
        </w:rPr>
        <w:t>dependence</w:t>
      </w:r>
      <w:r w:rsidR="003841A7" w:rsidRPr="00AC4FB3">
        <w:rPr>
          <w:rFonts w:ascii="Arial" w:hAnsi="Arial" w:cs="Arial"/>
          <w:sz w:val="22"/>
          <w:szCs w:val="22"/>
        </w:rPr>
        <w:t xml:space="preserve"> </w:t>
      </w:r>
      <w:r w:rsidR="00C42C6B">
        <w:rPr>
          <w:rFonts w:ascii="Arial" w:hAnsi="Arial" w:cs="Arial"/>
          <w:sz w:val="22"/>
          <w:szCs w:val="22"/>
        </w:rPr>
        <w:t xml:space="preserve">on </w:t>
      </w:r>
      <w:r w:rsidR="003841A7" w:rsidRPr="00AC4FB3">
        <w:rPr>
          <w:rFonts w:ascii="Arial" w:hAnsi="Arial" w:cs="Arial"/>
          <w:sz w:val="22"/>
          <w:szCs w:val="22"/>
        </w:rPr>
        <w:t xml:space="preserve">Urdu as her first language require inclusive and culturally sensitive communication strategies. These circumstances highlight the importance of person-centred communication, which involves adapting information to the service user’s individual language needs, cultural identity, and personal preferences so she can understand her care and participate fully in decision-making (Berlo, 1960; Bokhour, B.G., Fix, G.M., Mueller, N.M. and Haller, V.L., 2019). Health professionals must therefore communicate clearly, respectfully, and </w:t>
      </w:r>
      <w:r w:rsidR="003841A7" w:rsidRPr="00601B51">
        <w:rPr>
          <w:rFonts w:ascii="Arial" w:hAnsi="Arial" w:cs="Arial"/>
          <w:color w:val="0D0D0D" w:themeColor="text1" w:themeTint="F2"/>
          <w:sz w:val="22"/>
          <w:szCs w:val="22"/>
        </w:rPr>
        <w:t xml:space="preserve">in ways that </w:t>
      </w:r>
      <w:r w:rsidR="003841A7" w:rsidRPr="00AC4FB3">
        <w:rPr>
          <w:rFonts w:ascii="Arial" w:hAnsi="Arial" w:cs="Arial"/>
          <w:sz w:val="22"/>
          <w:szCs w:val="22"/>
        </w:rPr>
        <w:t xml:space="preserve">uphold dignity, encourage informed consent, and reduce anxiety (Thompson, 2021). </w:t>
      </w:r>
    </w:p>
    <w:p w14:paraId="2EB6BFD7" w14:textId="2A6C7E75" w:rsidR="003841A7" w:rsidRPr="00AC4FB3" w:rsidRDefault="003841A7" w:rsidP="00AB404B">
      <w:pPr>
        <w:spacing w:line="360" w:lineRule="auto"/>
        <w:jc w:val="both"/>
        <w:rPr>
          <w:rFonts w:ascii="Arial" w:hAnsi="Arial" w:cs="Arial"/>
          <w:sz w:val="22"/>
          <w:szCs w:val="22"/>
        </w:rPr>
      </w:pPr>
      <w:r w:rsidRPr="00601B51">
        <w:rPr>
          <w:rFonts w:ascii="Arial" w:hAnsi="Arial" w:cs="Arial"/>
          <w:sz w:val="22"/>
          <w:szCs w:val="22"/>
        </w:rPr>
        <w:t>Berlo’s SMCR model</w:t>
      </w:r>
      <w:r w:rsidRPr="00AC4FB3">
        <w:rPr>
          <w:rFonts w:ascii="Arial" w:hAnsi="Arial" w:cs="Arial"/>
          <w:sz w:val="22"/>
          <w:szCs w:val="22"/>
        </w:rPr>
        <w:t xml:space="preserve"> (1960) offers a practical framework for understanding how communication works between staff and service users. </w:t>
      </w:r>
      <w:r w:rsidR="00D10702" w:rsidRPr="00AC4FB3">
        <w:rPr>
          <w:rFonts w:ascii="Arial" w:hAnsi="Arial" w:cs="Arial"/>
          <w:sz w:val="22"/>
          <w:szCs w:val="22"/>
        </w:rPr>
        <w:t xml:space="preserve">Berlo highlights </w:t>
      </w:r>
      <w:r w:rsidR="00F5021A" w:rsidRPr="00AC4FB3">
        <w:rPr>
          <w:rFonts w:ascii="Arial" w:hAnsi="Arial" w:cs="Arial"/>
          <w:sz w:val="22"/>
          <w:szCs w:val="22"/>
        </w:rPr>
        <w:t>that the</w:t>
      </w:r>
      <w:r w:rsidR="00D10702" w:rsidRPr="00AC4FB3">
        <w:rPr>
          <w:rFonts w:ascii="Arial" w:hAnsi="Arial" w:cs="Arial"/>
          <w:sz w:val="22"/>
          <w:szCs w:val="22"/>
        </w:rPr>
        <w:t xml:space="preserve"> </w:t>
      </w:r>
      <w:r w:rsidR="0018280F" w:rsidRPr="00AC4FB3">
        <w:rPr>
          <w:rFonts w:ascii="Arial" w:hAnsi="Arial" w:cs="Arial"/>
          <w:sz w:val="22"/>
          <w:szCs w:val="22"/>
        </w:rPr>
        <w:t xml:space="preserve">sender’s </w:t>
      </w:r>
      <w:r w:rsidR="00D10702" w:rsidRPr="00AC4FB3">
        <w:rPr>
          <w:rFonts w:ascii="Arial" w:hAnsi="Arial" w:cs="Arial"/>
          <w:sz w:val="22"/>
          <w:szCs w:val="22"/>
        </w:rPr>
        <w:t xml:space="preserve">and </w:t>
      </w:r>
      <w:r w:rsidR="0018280F" w:rsidRPr="00AC4FB3">
        <w:rPr>
          <w:rFonts w:ascii="Arial" w:hAnsi="Arial" w:cs="Arial"/>
          <w:sz w:val="22"/>
          <w:szCs w:val="22"/>
        </w:rPr>
        <w:t>receiver’s</w:t>
      </w:r>
      <w:r w:rsidR="00D10702" w:rsidRPr="00AC4FB3">
        <w:rPr>
          <w:rFonts w:ascii="Arial" w:hAnsi="Arial" w:cs="Arial"/>
          <w:sz w:val="22"/>
          <w:szCs w:val="22"/>
        </w:rPr>
        <w:t xml:space="preserve"> characteristics</w:t>
      </w:r>
      <w:r w:rsidR="005B5894" w:rsidRPr="00AC4FB3">
        <w:rPr>
          <w:rFonts w:ascii="Arial" w:hAnsi="Arial" w:cs="Arial"/>
          <w:sz w:val="22"/>
          <w:szCs w:val="22"/>
        </w:rPr>
        <w:t xml:space="preserve"> </w:t>
      </w:r>
      <w:r w:rsidR="00FD1A8C" w:rsidRPr="00AC4FB3">
        <w:rPr>
          <w:rFonts w:ascii="Arial" w:hAnsi="Arial" w:cs="Arial"/>
          <w:sz w:val="22"/>
          <w:szCs w:val="22"/>
        </w:rPr>
        <w:t xml:space="preserve">- </w:t>
      </w:r>
      <w:r w:rsidR="00D10702" w:rsidRPr="00AC4FB3">
        <w:rPr>
          <w:rFonts w:ascii="Arial" w:hAnsi="Arial" w:cs="Arial"/>
          <w:sz w:val="22"/>
          <w:szCs w:val="22"/>
        </w:rPr>
        <w:t>attitudes, knowledge, culture, and skills</w:t>
      </w:r>
      <w:r w:rsidR="009A1BBC" w:rsidRPr="00AC4FB3">
        <w:rPr>
          <w:rFonts w:ascii="Arial" w:hAnsi="Arial" w:cs="Arial"/>
          <w:sz w:val="22"/>
          <w:szCs w:val="22"/>
        </w:rPr>
        <w:t xml:space="preserve"> </w:t>
      </w:r>
      <w:r w:rsidR="00E77B4B" w:rsidRPr="00AC4FB3">
        <w:rPr>
          <w:rFonts w:ascii="Arial" w:hAnsi="Arial" w:cs="Arial"/>
          <w:sz w:val="22"/>
          <w:szCs w:val="22"/>
        </w:rPr>
        <w:t xml:space="preserve">directly </w:t>
      </w:r>
      <w:r w:rsidR="00D10702" w:rsidRPr="00AC4FB3">
        <w:rPr>
          <w:rFonts w:ascii="Arial" w:hAnsi="Arial" w:cs="Arial"/>
          <w:sz w:val="22"/>
          <w:szCs w:val="22"/>
        </w:rPr>
        <w:t>shape</w:t>
      </w:r>
      <w:r w:rsidR="00915C00" w:rsidRPr="00AC4FB3">
        <w:rPr>
          <w:rFonts w:ascii="Arial" w:hAnsi="Arial" w:cs="Arial"/>
          <w:sz w:val="22"/>
          <w:szCs w:val="22"/>
        </w:rPr>
        <w:t xml:space="preserve"> </w:t>
      </w:r>
      <w:r w:rsidR="00D10702" w:rsidRPr="00AC4FB3">
        <w:rPr>
          <w:rFonts w:ascii="Arial" w:hAnsi="Arial" w:cs="Arial"/>
          <w:sz w:val="22"/>
          <w:szCs w:val="22"/>
        </w:rPr>
        <w:t>interpretation</w:t>
      </w:r>
      <w:r w:rsidR="00915C00" w:rsidRPr="00AC4FB3">
        <w:rPr>
          <w:rFonts w:ascii="Arial" w:hAnsi="Arial" w:cs="Arial"/>
          <w:sz w:val="22"/>
          <w:szCs w:val="22"/>
        </w:rPr>
        <w:t>.</w:t>
      </w:r>
      <w:r w:rsidRPr="00AC4FB3">
        <w:rPr>
          <w:rFonts w:ascii="Arial" w:hAnsi="Arial" w:cs="Arial"/>
          <w:sz w:val="22"/>
          <w:szCs w:val="22"/>
        </w:rPr>
        <w:t xml:space="preserve"> This reinforces the need for a person-centred and non-discriminatory approach, especially where linguistic and cultural differences may impact health outcomes (White, 2021).</w:t>
      </w:r>
    </w:p>
    <w:p w14:paraId="29F6A711" w14:textId="5077094B" w:rsidR="00E153AC" w:rsidRDefault="00986BA4" w:rsidP="00AB404B">
      <w:pPr>
        <w:spacing w:line="360" w:lineRule="auto"/>
        <w:jc w:val="both"/>
        <w:rPr>
          <w:rFonts w:ascii="Arial" w:hAnsi="Arial" w:cs="Arial"/>
          <w:sz w:val="22"/>
          <w:szCs w:val="22"/>
        </w:rPr>
      </w:pPr>
      <w:r w:rsidRPr="00AC4FB3">
        <w:rPr>
          <w:rFonts w:ascii="Arial" w:hAnsi="Arial" w:cs="Arial"/>
          <w:sz w:val="22"/>
          <w:szCs w:val="22"/>
        </w:rPr>
        <w:lastRenderedPageBreak/>
        <w:t>Regarding Mrs Mann’s case, the care team is the Source of communication. Their cultural competence, attitudes, and ability to adapt information directly affect her understanding and confidence in the care process. Without an interpreter, she may feel confused or unable to express discomfort, delaying recovery. Under the Equality Act 2010, reasonable adjustments such as interpreters or translated information must be made to prevent indirect discrimination and ensure equal access (Legislation.gov.uk, 2025).</w:t>
      </w:r>
      <w:r w:rsidRPr="00AC4FB3">
        <w:rPr>
          <w:rFonts w:ascii="Arial" w:hAnsi="Arial" w:cs="Arial"/>
          <w:b/>
          <w:bCs/>
          <w:sz w:val="22"/>
          <w:szCs w:val="22"/>
        </w:rPr>
        <w:t xml:space="preserve"> </w:t>
      </w:r>
      <w:r w:rsidR="001F443D" w:rsidRPr="00AC740C">
        <w:rPr>
          <w:rFonts w:ascii="Arial" w:hAnsi="Arial" w:cs="Arial"/>
          <w:sz w:val="22"/>
          <w:szCs w:val="22"/>
        </w:rPr>
        <w:t>As highlighted by Hargie (2016) and Kaihlanen et al. (2019</w:t>
      </w:r>
      <w:r w:rsidR="005D1F81">
        <w:rPr>
          <w:rFonts w:ascii="Arial" w:hAnsi="Arial" w:cs="Arial"/>
          <w:sz w:val="22"/>
          <w:szCs w:val="22"/>
        </w:rPr>
        <w:t>a</w:t>
      </w:r>
      <w:r w:rsidR="001F443D" w:rsidRPr="00AC740C">
        <w:rPr>
          <w:rFonts w:ascii="Arial" w:hAnsi="Arial" w:cs="Arial"/>
          <w:sz w:val="22"/>
          <w:szCs w:val="22"/>
        </w:rPr>
        <w:t>), equality in health communication depends on cultural competence and sensitivity.</w:t>
      </w:r>
      <w:r w:rsidR="00E153AC">
        <w:rPr>
          <w:rFonts w:ascii="Arial" w:hAnsi="Arial" w:cs="Arial"/>
          <w:sz w:val="22"/>
          <w:szCs w:val="22"/>
        </w:rPr>
        <w:t xml:space="preserve"> </w:t>
      </w:r>
    </w:p>
    <w:p w14:paraId="5302C96F" w14:textId="07BAF286" w:rsidR="003841A7" w:rsidRPr="00AC4FB3" w:rsidRDefault="003841A7" w:rsidP="00AB404B">
      <w:pPr>
        <w:spacing w:line="360" w:lineRule="auto"/>
        <w:jc w:val="both"/>
        <w:rPr>
          <w:rFonts w:ascii="Arial" w:hAnsi="Arial" w:cs="Arial"/>
          <w:sz w:val="22"/>
          <w:szCs w:val="22"/>
        </w:rPr>
      </w:pPr>
      <w:r w:rsidRPr="00AC740C">
        <w:rPr>
          <w:rFonts w:ascii="Arial" w:hAnsi="Arial" w:cs="Arial"/>
          <w:color w:val="0D0D0D" w:themeColor="text1" w:themeTint="F2"/>
          <w:sz w:val="22"/>
          <w:szCs w:val="22"/>
        </w:rPr>
        <w:t xml:space="preserve">The Message </w:t>
      </w:r>
      <w:r w:rsidRPr="00AC4FB3">
        <w:rPr>
          <w:rFonts w:ascii="Arial" w:hAnsi="Arial" w:cs="Arial"/>
          <w:sz w:val="22"/>
          <w:szCs w:val="22"/>
        </w:rPr>
        <w:t>includes care instructions, medication information, and written documentation. These must be clear, accurate, and adapted to Mrs Mann’s language needs. Her previous experience with inconsistent records contributed to delays in medication changes, demonstrating how unclear communication can negatively affect care outcomes. Translating written materials into Urdu or supplementing them with pictorial aids can improve comprehension, safety, and engagement (NHS England, 2020; Bokhour et al., 2019).</w:t>
      </w:r>
    </w:p>
    <w:p w14:paraId="464BCA4A" w14:textId="0B8F0A2A" w:rsidR="00563EC3" w:rsidRDefault="00A620D8" w:rsidP="00AB404B">
      <w:pPr>
        <w:spacing w:line="360" w:lineRule="auto"/>
        <w:jc w:val="both"/>
        <w:rPr>
          <w:rFonts w:ascii="Arial" w:hAnsi="Arial" w:cs="Arial"/>
          <w:sz w:val="22"/>
          <w:szCs w:val="22"/>
        </w:rPr>
      </w:pPr>
      <w:r w:rsidRPr="00E153AC">
        <w:rPr>
          <w:rFonts w:ascii="Arial" w:hAnsi="Arial" w:cs="Arial"/>
          <w:sz w:val="22"/>
          <w:szCs w:val="22"/>
        </w:rPr>
        <w:t>The Channel</w:t>
      </w:r>
      <w:r w:rsidRPr="00AC4FB3">
        <w:rPr>
          <w:rFonts w:ascii="Arial" w:hAnsi="Arial" w:cs="Arial"/>
          <w:sz w:val="22"/>
          <w:szCs w:val="22"/>
        </w:rPr>
        <w:t xml:space="preserve"> refers to how information is delivered, and in Mrs Mann’s case this often requires professional interpreters or bilingual staff to avoid misunderstandings. Written records must be consistent and accessible, while digital systems such as electronic care records can support accuracy and continuity if staff are trained </w:t>
      </w:r>
      <w:r w:rsidR="00C47F70" w:rsidRPr="00AC4FB3">
        <w:rPr>
          <w:rFonts w:ascii="Arial" w:hAnsi="Arial" w:cs="Arial"/>
          <w:sz w:val="22"/>
          <w:szCs w:val="22"/>
        </w:rPr>
        <w:t>(O’Connor, S., Kennelly, S., Hearn, J. and Devaney, C., 2021).</w:t>
      </w:r>
      <w:r w:rsidR="00A82C6B" w:rsidRPr="00AC4FB3">
        <w:rPr>
          <w:rFonts w:ascii="Arial" w:hAnsi="Arial" w:cs="Arial"/>
          <w:sz w:val="22"/>
          <w:szCs w:val="22"/>
        </w:rPr>
        <w:t xml:space="preserve"> </w:t>
      </w:r>
      <w:r w:rsidRPr="00AC4FB3">
        <w:rPr>
          <w:rFonts w:ascii="Arial" w:hAnsi="Arial" w:cs="Arial"/>
          <w:sz w:val="22"/>
          <w:szCs w:val="22"/>
        </w:rPr>
        <w:t xml:space="preserve">As the </w:t>
      </w:r>
      <w:r w:rsidRPr="00E153AC">
        <w:rPr>
          <w:rFonts w:ascii="Arial" w:hAnsi="Arial" w:cs="Arial"/>
          <w:sz w:val="22"/>
          <w:szCs w:val="22"/>
        </w:rPr>
        <w:t>Receiver</w:t>
      </w:r>
      <w:r w:rsidRPr="00AC4FB3">
        <w:rPr>
          <w:rFonts w:ascii="Arial" w:hAnsi="Arial" w:cs="Arial"/>
          <w:sz w:val="22"/>
          <w:szCs w:val="22"/>
        </w:rPr>
        <w:t xml:space="preserve">, Mrs Mann depends </w:t>
      </w:r>
      <w:r w:rsidR="00520592" w:rsidRPr="00AC4FB3">
        <w:rPr>
          <w:rFonts w:ascii="Arial" w:hAnsi="Arial" w:cs="Arial"/>
          <w:sz w:val="22"/>
          <w:szCs w:val="22"/>
        </w:rPr>
        <w:t>on channels</w:t>
      </w:r>
      <w:r w:rsidRPr="00AC4FB3">
        <w:rPr>
          <w:rFonts w:ascii="Arial" w:hAnsi="Arial" w:cs="Arial"/>
          <w:sz w:val="22"/>
          <w:szCs w:val="22"/>
        </w:rPr>
        <w:t xml:space="preserve"> </w:t>
      </w:r>
      <w:r w:rsidR="00B509D2" w:rsidRPr="00AC4FB3">
        <w:rPr>
          <w:rFonts w:ascii="Arial" w:hAnsi="Arial" w:cs="Arial"/>
          <w:sz w:val="22"/>
          <w:szCs w:val="22"/>
        </w:rPr>
        <w:t>-</w:t>
      </w:r>
      <w:r w:rsidRPr="00AC4FB3">
        <w:rPr>
          <w:rFonts w:ascii="Arial" w:hAnsi="Arial" w:cs="Arial"/>
          <w:sz w:val="22"/>
          <w:szCs w:val="22"/>
        </w:rPr>
        <w:t xml:space="preserve"> particularly interpreters to understand her care. </w:t>
      </w:r>
      <w:r w:rsidR="00680A0B" w:rsidRPr="00680A0B">
        <w:rPr>
          <w:rFonts w:ascii="Arial" w:hAnsi="Arial" w:cs="Arial"/>
          <w:sz w:val="22"/>
          <w:szCs w:val="22"/>
        </w:rPr>
        <w:t>The use of non</w:t>
      </w:r>
      <w:r w:rsidR="00680A0B" w:rsidRPr="00680A0B">
        <w:rPr>
          <w:rFonts w:ascii="Arial" w:hAnsi="Arial" w:cs="Arial"/>
          <w:sz w:val="22"/>
          <w:szCs w:val="22"/>
        </w:rPr>
        <w:noBreakHyphen/>
        <w:t>verbal communication</w:t>
      </w:r>
      <w:r w:rsidR="00680A0B">
        <w:rPr>
          <w:rFonts w:ascii="Arial" w:hAnsi="Arial" w:cs="Arial"/>
          <w:sz w:val="22"/>
          <w:szCs w:val="22"/>
        </w:rPr>
        <w:t xml:space="preserve"> </w:t>
      </w:r>
      <w:r w:rsidR="00680A0B" w:rsidRPr="00680A0B">
        <w:rPr>
          <w:rFonts w:ascii="Arial" w:hAnsi="Arial" w:cs="Arial"/>
          <w:sz w:val="22"/>
          <w:szCs w:val="22"/>
        </w:rPr>
        <w:t>such as eye contact and positive body language plays a vital role in fostering trust within care relationships.</w:t>
      </w:r>
      <w:r w:rsidR="00680A0B">
        <w:rPr>
          <w:rFonts w:ascii="Arial" w:hAnsi="Arial" w:cs="Arial"/>
          <w:sz w:val="22"/>
          <w:szCs w:val="22"/>
        </w:rPr>
        <w:t xml:space="preserve"> </w:t>
      </w:r>
      <w:r w:rsidRPr="00AC4FB3">
        <w:rPr>
          <w:rFonts w:ascii="Arial" w:hAnsi="Arial" w:cs="Arial"/>
          <w:sz w:val="22"/>
          <w:szCs w:val="22"/>
        </w:rPr>
        <w:t>While her daughter can support communication, confidentiality principles require professional interpreters for clinical discussions to ensure accuracy and equality (Lee, 2021; Crawford et al., 2014).</w:t>
      </w:r>
      <w:r w:rsidR="00563EC3">
        <w:rPr>
          <w:rFonts w:ascii="Arial" w:hAnsi="Arial" w:cs="Arial"/>
          <w:sz w:val="22"/>
          <w:szCs w:val="22"/>
        </w:rPr>
        <w:t xml:space="preserve"> </w:t>
      </w:r>
    </w:p>
    <w:p w14:paraId="36CC6299" w14:textId="6143BCFC" w:rsidR="0064649E" w:rsidRPr="00AC4FB3" w:rsidRDefault="0064649E" w:rsidP="00AB404B">
      <w:pPr>
        <w:spacing w:line="360" w:lineRule="auto"/>
        <w:jc w:val="both"/>
        <w:rPr>
          <w:rFonts w:ascii="Arial" w:hAnsi="Arial" w:cs="Arial"/>
          <w:sz w:val="22"/>
          <w:szCs w:val="22"/>
        </w:rPr>
      </w:pPr>
      <w:r w:rsidRPr="00AC4FB3">
        <w:rPr>
          <w:rFonts w:ascii="Arial" w:hAnsi="Arial" w:cs="Arial"/>
          <w:sz w:val="22"/>
          <w:szCs w:val="22"/>
        </w:rPr>
        <w:t>In Mrs Mann’s care, effective communication must be inclusive and culturally competent, using interpreters and visual aids to ensure understanding (Kaihlanen et al., 2019</w:t>
      </w:r>
      <w:r w:rsidR="00F659D7">
        <w:rPr>
          <w:rFonts w:ascii="Arial" w:hAnsi="Arial" w:cs="Arial"/>
          <w:sz w:val="22"/>
          <w:szCs w:val="22"/>
        </w:rPr>
        <w:t>b</w:t>
      </w:r>
      <w:r w:rsidRPr="00AC4FB3">
        <w:rPr>
          <w:rFonts w:ascii="Arial" w:hAnsi="Arial" w:cs="Arial"/>
          <w:sz w:val="22"/>
          <w:szCs w:val="22"/>
        </w:rPr>
        <w:t>).</w:t>
      </w:r>
    </w:p>
    <w:p w14:paraId="44D748E0" w14:textId="77777777" w:rsidR="00872B19" w:rsidRPr="00AC4FB3" w:rsidRDefault="00872B19" w:rsidP="00AB404B">
      <w:pPr>
        <w:spacing w:line="360" w:lineRule="auto"/>
        <w:jc w:val="both"/>
        <w:rPr>
          <w:rFonts w:ascii="Arial" w:hAnsi="Arial" w:cs="Arial"/>
          <w:sz w:val="22"/>
          <w:szCs w:val="22"/>
        </w:rPr>
      </w:pPr>
    </w:p>
    <w:p w14:paraId="027CDE28" w14:textId="0A0C5D5A" w:rsidR="003841A7" w:rsidRPr="00AC4FB3" w:rsidRDefault="003841A7" w:rsidP="0059368E">
      <w:pPr>
        <w:pStyle w:val="Heading1"/>
      </w:pPr>
      <w:bookmarkStart w:id="2" w:name="_Toc214551869"/>
      <w:r w:rsidRPr="00AC4FB3">
        <w:t>Administrative Skills &amp; Record Keeping</w:t>
      </w:r>
      <w:bookmarkEnd w:id="2"/>
      <w:r w:rsidRPr="00AC4FB3">
        <w:t xml:space="preserve"> </w:t>
      </w:r>
      <w:r w:rsidR="0059368E">
        <w:br/>
      </w:r>
    </w:p>
    <w:p w14:paraId="14BE7B47" w14:textId="77777777" w:rsidR="00CA3BCF"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 xml:space="preserve"> Accurate record keeping is a cornerstone of safe and effective health and social care practice. In Mrs Mann’s case, inconsistent documentation and a missed communication regarding her medication adjustment highlight the risks associated with </w:t>
      </w:r>
      <w:r w:rsidRPr="00563EC3">
        <w:rPr>
          <w:rFonts w:ascii="Arial" w:hAnsi="Arial" w:cs="Arial"/>
          <w:color w:val="0D0D0D" w:themeColor="text1" w:themeTint="F2"/>
          <w:sz w:val="22"/>
          <w:szCs w:val="22"/>
        </w:rPr>
        <w:t>poor administrative practices</w:t>
      </w:r>
      <w:r w:rsidRPr="00AC4FB3">
        <w:rPr>
          <w:rFonts w:ascii="Arial" w:hAnsi="Arial" w:cs="Arial"/>
          <w:sz w:val="22"/>
          <w:szCs w:val="22"/>
        </w:rPr>
        <w:t xml:space="preserve">. Reliable records ensure continuity of care, support clinical decision making, and protect both service users and professionals (Thompson and Mathias, 2020). </w:t>
      </w:r>
    </w:p>
    <w:p w14:paraId="2A3D516E" w14:textId="28AF2DEE" w:rsidR="006113C1" w:rsidRPr="00AC4FB3" w:rsidRDefault="004C5DC7" w:rsidP="00AB404B">
      <w:pPr>
        <w:spacing w:line="360" w:lineRule="auto"/>
        <w:jc w:val="both"/>
        <w:rPr>
          <w:rFonts w:ascii="Arial" w:hAnsi="Arial" w:cs="Arial"/>
          <w:sz w:val="22"/>
          <w:szCs w:val="22"/>
        </w:rPr>
      </w:pPr>
      <w:r w:rsidRPr="00AC4FB3">
        <w:rPr>
          <w:rFonts w:ascii="Arial" w:hAnsi="Arial" w:cs="Arial"/>
          <w:sz w:val="22"/>
          <w:szCs w:val="22"/>
        </w:rPr>
        <w:lastRenderedPageBreak/>
        <w:t>Administrative skills include documenting care accurately, managing information securely, and communicating updates promptly</w:t>
      </w:r>
      <w:r w:rsidR="003841A7" w:rsidRPr="00AC4FB3">
        <w:rPr>
          <w:rFonts w:ascii="Arial" w:hAnsi="Arial" w:cs="Arial"/>
          <w:sz w:val="22"/>
          <w:szCs w:val="22"/>
        </w:rPr>
        <w:t xml:space="preserve">. In domiciliary care settings, where multiple professionals interact with a service user, clear and timely records are essential to avoid duplication or errors Royal College of Nursing (RCN, 2023). Mrs Mann’s care involves her GP, physiotherapist, and care workers, making shared documentation vital for coordinated support. The use of digital systems, such as electronic care records, can reduce errors and improve real-time access, </w:t>
      </w:r>
      <w:r w:rsidR="003841A7" w:rsidRPr="00563EC3">
        <w:rPr>
          <w:rFonts w:ascii="Arial" w:hAnsi="Arial" w:cs="Arial"/>
          <w:color w:val="0D0D0D" w:themeColor="text1" w:themeTint="F2"/>
          <w:sz w:val="22"/>
          <w:szCs w:val="22"/>
        </w:rPr>
        <w:t xml:space="preserve">though they require staff training and robust cybersecurity measures </w:t>
      </w:r>
      <w:r w:rsidR="003841A7" w:rsidRPr="00443557">
        <w:rPr>
          <w:rFonts w:ascii="Arial" w:hAnsi="Arial" w:cs="Arial"/>
          <w:sz w:val="22"/>
          <w:szCs w:val="22"/>
        </w:rPr>
        <w:t>(O’Connor et al., 2021).</w:t>
      </w:r>
      <w:r w:rsidR="003841A7" w:rsidRPr="00AC4FB3">
        <w:rPr>
          <w:rFonts w:ascii="Arial" w:hAnsi="Arial" w:cs="Arial"/>
          <w:sz w:val="22"/>
          <w:szCs w:val="22"/>
        </w:rPr>
        <w:t xml:space="preserve"> </w:t>
      </w:r>
    </w:p>
    <w:p w14:paraId="1B3587B1" w14:textId="748194FB" w:rsidR="003841A7"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To structure this analysis, administrative practice can be considered through the key components of information governance: accuracy, confidentiality, accessibility, and accountability (Thompson and Mathias, 2020; RCN, 2023).</w:t>
      </w:r>
    </w:p>
    <w:p w14:paraId="4A2BAF3F" w14:textId="77777777" w:rsidR="009F5F4A" w:rsidRDefault="009314DC" w:rsidP="00AB404B">
      <w:pPr>
        <w:spacing w:line="360" w:lineRule="auto"/>
        <w:jc w:val="both"/>
        <w:rPr>
          <w:rFonts w:ascii="Arial" w:hAnsi="Arial" w:cs="Arial"/>
          <w:sz w:val="22"/>
          <w:szCs w:val="22"/>
        </w:rPr>
      </w:pPr>
      <w:r w:rsidRPr="00AC4FB3">
        <w:rPr>
          <w:rFonts w:ascii="Arial" w:hAnsi="Arial" w:cs="Arial"/>
          <w:sz w:val="22"/>
          <w:szCs w:val="22"/>
        </w:rPr>
        <w:t xml:space="preserve">Inconsistent documentation in Mrs Mann’s care delayed medication adjustments, highlighting the importance of </w:t>
      </w:r>
      <w:r w:rsidRPr="00443557">
        <w:rPr>
          <w:rFonts w:ascii="Arial" w:hAnsi="Arial" w:cs="Arial"/>
          <w:color w:val="0D0D0D" w:themeColor="text1" w:themeTint="F2"/>
          <w:sz w:val="22"/>
          <w:szCs w:val="22"/>
        </w:rPr>
        <w:t xml:space="preserve">accurate, legible, contemporaneous, and promptly updated records </w:t>
      </w:r>
      <w:r w:rsidRPr="00AC4FB3">
        <w:rPr>
          <w:rFonts w:ascii="Arial" w:hAnsi="Arial" w:cs="Arial"/>
          <w:sz w:val="22"/>
          <w:szCs w:val="22"/>
        </w:rPr>
        <w:t>(Thompson and Mathias, 2020; Royal College of Nursing, 2023).</w:t>
      </w:r>
    </w:p>
    <w:p w14:paraId="7D8492C7" w14:textId="08EEE765" w:rsidR="003841A7" w:rsidRPr="00AC4FB3" w:rsidRDefault="005A68B6" w:rsidP="00AB404B">
      <w:pPr>
        <w:spacing w:line="360" w:lineRule="auto"/>
        <w:jc w:val="both"/>
        <w:rPr>
          <w:rFonts w:ascii="Arial" w:hAnsi="Arial" w:cs="Arial"/>
          <w:sz w:val="22"/>
          <w:szCs w:val="22"/>
        </w:rPr>
      </w:pPr>
      <w:r w:rsidRPr="00AC4FB3">
        <w:rPr>
          <w:rFonts w:ascii="Arial" w:hAnsi="Arial" w:cs="Arial"/>
          <w:sz w:val="22"/>
          <w:szCs w:val="22"/>
        </w:rPr>
        <w:t xml:space="preserve">The Data Protection Act 2018 mandates that personal data is handled securely and lawfully (Data Protection Act, 2018). Mrs Mann’s records must be stored safely, with access restricted to relevant professionals. </w:t>
      </w:r>
      <w:r w:rsidRPr="00443557">
        <w:rPr>
          <w:rFonts w:ascii="Arial" w:hAnsi="Arial" w:cs="Arial"/>
          <w:sz w:val="22"/>
          <w:szCs w:val="22"/>
        </w:rPr>
        <w:t>The Caldicott Principles</w:t>
      </w:r>
      <w:r w:rsidRPr="00AC4FB3">
        <w:rPr>
          <w:rFonts w:ascii="Arial" w:hAnsi="Arial" w:cs="Arial"/>
          <w:sz w:val="22"/>
          <w:szCs w:val="22"/>
        </w:rPr>
        <w:t xml:space="preserve"> emphasise minimal disclosure, justifiable access, and accountability in information sharing, </w:t>
      </w:r>
      <w:r w:rsidR="0087185C" w:rsidRPr="00443557">
        <w:rPr>
          <w:rFonts w:ascii="Arial" w:hAnsi="Arial" w:cs="Arial"/>
          <w:sz w:val="22"/>
          <w:szCs w:val="22"/>
        </w:rPr>
        <w:t xml:space="preserve">ensuring that Mrs Mann’s information is shared only when necessary, </w:t>
      </w:r>
      <w:r w:rsidRPr="00443557">
        <w:rPr>
          <w:rFonts w:ascii="Arial" w:hAnsi="Arial" w:cs="Arial"/>
          <w:sz w:val="22"/>
          <w:szCs w:val="22"/>
        </w:rPr>
        <w:t>p</w:t>
      </w:r>
      <w:r w:rsidRPr="00AC4FB3">
        <w:rPr>
          <w:rFonts w:ascii="Arial" w:hAnsi="Arial" w:cs="Arial"/>
          <w:sz w:val="22"/>
          <w:szCs w:val="22"/>
        </w:rPr>
        <w:t>rotecting her privacy while enabling effective care coordination (Caldicott Review, 2013). Without adherence to confidentiality standards, service users may lose trust in care providers, affecting engagement and wellbeing</w:t>
      </w:r>
      <w:r w:rsidR="00672BA9" w:rsidRPr="00AC4FB3">
        <w:rPr>
          <w:rFonts w:ascii="Arial" w:hAnsi="Arial" w:cs="Arial"/>
          <w:sz w:val="22"/>
          <w:szCs w:val="22"/>
        </w:rPr>
        <w:t>,</w:t>
      </w:r>
      <w:r w:rsidR="00521520" w:rsidRPr="00AC4FB3">
        <w:rPr>
          <w:rFonts w:ascii="Arial" w:hAnsi="Arial" w:cs="Arial"/>
          <w:sz w:val="22"/>
          <w:szCs w:val="22"/>
        </w:rPr>
        <w:t xml:space="preserve"> while accessible records reduce duplication and improve coordination.</w:t>
      </w:r>
    </w:p>
    <w:p w14:paraId="6F965E9E" w14:textId="7A8EC793" w:rsidR="005A68B6" w:rsidRPr="00443557" w:rsidRDefault="004516AF" w:rsidP="00AB404B">
      <w:pPr>
        <w:spacing w:line="360" w:lineRule="auto"/>
        <w:jc w:val="both"/>
        <w:rPr>
          <w:rFonts w:ascii="Arial" w:hAnsi="Arial" w:cs="Arial"/>
          <w:color w:val="0D0D0D" w:themeColor="text1" w:themeTint="F2"/>
          <w:sz w:val="22"/>
          <w:szCs w:val="22"/>
        </w:rPr>
      </w:pPr>
      <w:r w:rsidRPr="009F4744">
        <w:rPr>
          <w:rFonts w:ascii="Arial" w:hAnsi="Arial" w:cs="Arial"/>
          <w:sz w:val="22"/>
          <w:szCs w:val="22"/>
        </w:rPr>
        <w:t>Professional frameworks</w:t>
      </w:r>
      <w:r w:rsidRPr="00AC4FB3">
        <w:rPr>
          <w:rFonts w:ascii="Arial" w:hAnsi="Arial" w:cs="Arial"/>
          <w:sz w:val="22"/>
          <w:szCs w:val="22"/>
        </w:rPr>
        <w:t xml:space="preserve"> strengthen accountability in record keeping. The NMC (Nursing and Midwifery Council) Code (2018) emphasises the need for clear and accurate documentation to safeguard practice. In parallel, the Care Quality Commission (CQC) Key Lines of Enquiry (2022) examine providers’ systems for records and information </w:t>
      </w:r>
      <w:r w:rsidRPr="00443557">
        <w:rPr>
          <w:rFonts w:ascii="Arial" w:hAnsi="Arial" w:cs="Arial"/>
          <w:sz w:val="22"/>
          <w:szCs w:val="22"/>
        </w:rPr>
        <w:t xml:space="preserve">governance. Meeting these standards ensures administrative practice is </w:t>
      </w:r>
      <w:r w:rsidRPr="00443557">
        <w:rPr>
          <w:rFonts w:ascii="Arial" w:hAnsi="Arial" w:cs="Arial"/>
          <w:color w:val="0D0D0D" w:themeColor="text1" w:themeTint="F2"/>
          <w:sz w:val="22"/>
          <w:szCs w:val="22"/>
        </w:rPr>
        <w:t>ethical and legally sound.</w:t>
      </w:r>
    </w:p>
    <w:p w14:paraId="189B6DB9" w14:textId="52370DC4" w:rsidR="004516AF" w:rsidRPr="00AC4FB3" w:rsidRDefault="004516AF" w:rsidP="00AB404B">
      <w:pPr>
        <w:spacing w:line="360" w:lineRule="auto"/>
        <w:jc w:val="both"/>
        <w:rPr>
          <w:rFonts w:ascii="Arial" w:hAnsi="Arial" w:cs="Arial"/>
          <w:sz w:val="22"/>
          <w:szCs w:val="22"/>
        </w:rPr>
      </w:pPr>
      <w:r w:rsidRPr="00AC4FB3">
        <w:rPr>
          <w:rFonts w:ascii="Arial" w:hAnsi="Arial" w:cs="Arial"/>
          <w:sz w:val="22"/>
          <w:szCs w:val="22"/>
        </w:rPr>
        <w:t xml:space="preserve">Poor record keeping can lead to medication errors, delayed interventions, and safeguarding failures. In Mrs Mann’s case, delayed medication adjustment could have compromised her recovery and wellbeing. </w:t>
      </w:r>
      <w:r w:rsidRPr="00443557">
        <w:rPr>
          <w:rFonts w:ascii="Arial" w:hAnsi="Arial" w:cs="Arial"/>
          <w:sz w:val="22"/>
          <w:szCs w:val="22"/>
        </w:rPr>
        <w:t>To moderate these risks, care agencies should implement robust documentation protocols, provide staff training, and conduct regular audits.</w:t>
      </w:r>
      <w:r w:rsidRPr="00AC4FB3">
        <w:rPr>
          <w:rFonts w:ascii="Arial" w:hAnsi="Arial" w:cs="Arial"/>
          <w:sz w:val="22"/>
          <w:szCs w:val="22"/>
        </w:rPr>
        <w:t xml:space="preserve"> </w:t>
      </w:r>
      <w:r w:rsidRPr="00443557">
        <w:rPr>
          <w:rFonts w:ascii="Arial" w:hAnsi="Arial" w:cs="Arial"/>
          <w:color w:val="0D0D0D" w:themeColor="text1" w:themeTint="F2"/>
          <w:sz w:val="22"/>
          <w:szCs w:val="22"/>
        </w:rPr>
        <w:t xml:space="preserve">Digital systems, when supported by professional guidance, enhance both accuracy and accessibility. </w:t>
      </w:r>
      <w:r w:rsidRPr="00AC4FB3">
        <w:rPr>
          <w:rFonts w:ascii="Arial" w:hAnsi="Arial" w:cs="Arial"/>
          <w:sz w:val="22"/>
          <w:szCs w:val="22"/>
        </w:rPr>
        <w:t>(Department of Health and Social Care, 2022).</w:t>
      </w:r>
    </w:p>
    <w:p w14:paraId="5A4807B1" w14:textId="7FD91759" w:rsidR="00EF7869" w:rsidRPr="00AC4FB3" w:rsidRDefault="006E71DA" w:rsidP="00AB404B">
      <w:pPr>
        <w:spacing w:line="360" w:lineRule="auto"/>
        <w:jc w:val="both"/>
        <w:rPr>
          <w:rFonts w:ascii="Arial" w:hAnsi="Arial" w:cs="Arial"/>
          <w:sz w:val="22"/>
          <w:szCs w:val="22"/>
        </w:rPr>
      </w:pPr>
      <w:r w:rsidRPr="00AC4FB3">
        <w:rPr>
          <w:rFonts w:ascii="Arial" w:hAnsi="Arial" w:cs="Arial"/>
          <w:sz w:val="22"/>
          <w:szCs w:val="22"/>
        </w:rPr>
        <w:t xml:space="preserve">Effective administrative skills and record keeping in Mrs Mann’s care rely on accuracy, confidentiality, accessibility, and accountability. Applying legislative and professional </w:t>
      </w:r>
      <w:r w:rsidRPr="00AC4FB3">
        <w:rPr>
          <w:rFonts w:ascii="Arial" w:hAnsi="Arial" w:cs="Arial"/>
          <w:sz w:val="22"/>
          <w:szCs w:val="22"/>
        </w:rPr>
        <w:lastRenderedPageBreak/>
        <w:t>frameworks ensures that information is handled responsibly, care is coordinated effectively, and service user needs are met consistently (Thompson and Mathias, 2020;</w:t>
      </w:r>
      <w:r w:rsidR="00BC3DBB" w:rsidRPr="00AC4FB3">
        <w:rPr>
          <w:rFonts w:ascii="Arial" w:hAnsi="Arial" w:cs="Arial"/>
          <w:i/>
          <w:iCs/>
          <w:sz w:val="22"/>
          <w:szCs w:val="22"/>
        </w:rPr>
        <w:t xml:space="preserve"> </w:t>
      </w:r>
      <w:r w:rsidR="009F68C3" w:rsidRPr="00AC4FB3">
        <w:rPr>
          <w:rFonts w:ascii="Arial" w:hAnsi="Arial" w:cs="Arial"/>
          <w:sz w:val="22"/>
          <w:szCs w:val="22"/>
        </w:rPr>
        <w:t>Kaihlanen, A.M., Hietapakka, L. and Kangasniemi, M., 2019</w:t>
      </w:r>
      <w:r w:rsidR="00E2737A">
        <w:rPr>
          <w:rFonts w:ascii="Arial" w:hAnsi="Arial" w:cs="Arial"/>
          <w:sz w:val="22"/>
          <w:szCs w:val="22"/>
        </w:rPr>
        <w:t>b</w:t>
      </w:r>
      <w:r w:rsidR="009F68C3" w:rsidRPr="00AC4FB3">
        <w:rPr>
          <w:rFonts w:ascii="Arial" w:hAnsi="Arial" w:cs="Arial"/>
          <w:sz w:val="22"/>
          <w:szCs w:val="22"/>
        </w:rPr>
        <w:t>)</w:t>
      </w:r>
      <w:r w:rsidRPr="00AC4FB3">
        <w:rPr>
          <w:rFonts w:ascii="Arial" w:hAnsi="Arial" w:cs="Arial"/>
          <w:sz w:val="22"/>
          <w:szCs w:val="22"/>
        </w:rPr>
        <w:t>.</w:t>
      </w:r>
    </w:p>
    <w:p w14:paraId="3822EB3A" w14:textId="510B539E" w:rsidR="006E71DA" w:rsidRPr="00AC4FB3" w:rsidRDefault="006E71DA" w:rsidP="0059368E">
      <w:pPr>
        <w:pStyle w:val="Heading1"/>
      </w:pPr>
      <w:bookmarkStart w:id="3" w:name="_Toc214551870"/>
      <w:r w:rsidRPr="00AC4FB3">
        <w:t>Collaborative Working</w:t>
      </w:r>
      <w:bookmarkEnd w:id="3"/>
      <w:r w:rsidR="0059368E">
        <w:br/>
      </w:r>
    </w:p>
    <w:p w14:paraId="1DCA7B1B" w14:textId="53DDF790" w:rsidR="00F26D84" w:rsidRPr="00AC4FB3" w:rsidRDefault="007F1D7B" w:rsidP="00AB404B">
      <w:pPr>
        <w:spacing w:line="360" w:lineRule="auto"/>
        <w:jc w:val="both"/>
        <w:rPr>
          <w:rFonts w:ascii="Arial" w:hAnsi="Arial" w:cs="Arial"/>
          <w:sz w:val="22"/>
          <w:szCs w:val="22"/>
        </w:rPr>
      </w:pPr>
      <w:r w:rsidRPr="00AC4FB3">
        <w:rPr>
          <w:rFonts w:ascii="Arial" w:hAnsi="Arial" w:cs="Arial"/>
          <w:sz w:val="22"/>
          <w:szCs w:val="22"/>
        </w:rPr>
        <w:t>Collaborative working is essential in health and social care, especially for complex needs like Mrs Mann’s</w:t>
      </w:r>
      <w:r w:rsidR="006E71DA" w:rsidRPr="00AC4FB3">
        <w:rPr>
          <w:rFonts w:ascii="Arial" w:hAnsi="Arial" w:cs="Arial"/>
          <w:sz w:val="22"/>
          <w:szCs w:val="22"/>
        </w:rPr>
        <w:t>.</w:t>
      </w:r>
      <w:r w:rsidR="00C35F3F" w:rsidRPr="00AC4FB3">
        <w:rPr>
          <w:rFonts w:ascii="Arial" w:hAnsi="Arial" w:cs="Arial"/>
          <w:sz w:val="22"/>
          <w:szCs w:val="22"/>
        </w:rPr>
        <w:t xml:space="preserve"> Her care involves domiciliary workers, GP, physiotherapist, and family, who must coordinate to ensure continuity and person</w:t>
      </w:r>
      <w:r w:rsidR="00C35F3F" w:rsidRPr="00AC4FB3">
        <w:rPr>
          <w:rFonts w:ascii="Arial" w:hAnsi="Arial" w:cs="Arial"/>
          <w:sz w:val="22"/>
          <w:szCs w:val="22"/>
        </w:rPr>
        <w:noBreakHyphen/>
        <w:t>centred outcomes (Glasby and Dickinson, 2014).</w:t>
      </w:r>
    </w:p>
    <w:p w14:paraId="657FB3F9" w14:textId="5DCEF6B4" w:rsidR="006E71DA" w:rsidRPr="00AC4FB3" w:rsidRDefault="006E71DA" w:rsidP="00AB404B">
      <w:pPr>
        <w:spacing w:line="360" w:lineRule="auto"/>
        <w:jc w:val="both"/>
        <w:rPr>
          <w:rFonts w:ascii="Arial" w:hAnsi="Arial" w:cs="Arial"/>
          <w:sz w:val="22"/>
          <w:szCs w:val="22"/>
        </w:rPr>
      </w:pPr>
      <w:r w:rsidRPr="00AC4FB3">
        <w:rPr>
          <w:rFonts w:ascii="Arial" w:hAnsi="Arial" w:cs="Arial"/>
          <w:sz w:val="22"/>
          <w:szCs w:val="22"/>
        </w:rPr>
        <w:t xml:space="preserve">Effective collaboration allows professionals to share expertise, monitor progress, and respond promptly to changes in a service user’s condition. In Mrs Mann’s case, shared care plans and regular communication between agencies are vital to manage her rehabilitation and medication safely. The recent delayed medication adjustment illustrates the risks of fragmented communication and poor coordination, highlighting the need to identify and address challenges in collaborative working </w:t>
      </w:r>
      <w:r w:rsidR="00763751" w:rsidRPr="00763751">
        <w:rPr>
          <w:rFonts w:ascii="Arial" w:hAnsi="Arial" w:cs="Arial"/>
          <w:sz w:val="22"/>
          <w:szCs w:val="22"/>
        </w:rPr>
        <w:t>(Social Care Institute for Excellence (SCIE), 2023</w:t>
      </w:r>
      <w:r w:rsidRPr="00AC4FB3">
        <w:rPr>
          <w:rFonts w:ascii="Arial" w:hAnsi="Arial" w:cs="Arial"/>
          <w:sz w:val="22"/>
          <w:szCs w:val="22"/>
        </w:rPr>
        <w:t>).</w:t>
      </w:r>
      <w:r w:rsidR="001B5ED0">
        <w:rPr>
          <w:rFonts w:ascii="Arial" w:hAnsi="Arial" w:cs="Arial"/>
          <w:sz w:val="22"/>
          <w:szCs w:val="22"/>
        </w:rPr>
        <w:br/>
      </w:r>
      <w:r w:rsidRPr="00AF485F">
        <w:rPr>
          <w:rFonts w:ascii="Arial" w:hAnsi="Arial" w:cs="Arial"/>
          <w:color w:val="0D0D0D" w:themeColor="text1" w:themeTint="F2"/>
          <w:sz w:val="22"/>
          <w:szCs w:val="22"/>
        </w:rPr>
        <w:t>Collaboration can be analysed through three key</w:t>
      </w:r>
      <w:r w:rsidR="00FC76CD" w:rsidRPr="00AF485F">
        <w:rPr>
          <w:rFonts w:ascii="Arial" w:hAnsi="Arial" w:cs="Arial"/>
          <w:color w:val="0D0D0D" w:themeColor="text1" w:themeTint="F2"/>
          <w:sz w:val="22"/>
          <w:szCs w:val="22"/>
        </w:rPr>
        <w:t>s</w:t>
      </w:r>
      <w:r w:rsidRPr="00AF485F">
        <w:rPr>
          <w:rFonts w:ascii="Arial" w:hAnsi="Arial" w:cs="Arial"/>
          <w:color w:val="0D0D0D" w:themeColor="text1" w:themeTint="F2"/>
          <w:sz w:val="22"/>
          <w:szCs w:val="22"/>
        </w:rPr>
        <w:t>: communication, accessibility, and accountability, while recognising potential challenges</w:t>
      </w:r>
      <w:r w:rsidRPr="00AF485F">
        <w:rPr>
          <w:rFonts w:ascii="Arial" w:hAnsi="Arial" w:cs="Arial"/>
          <w:sz w:val="22"/>
          <w:szCs w:val="22"/>
        </w:rPr>
        <w:t>.</w:t>
      </w:r>
      <w:r w:rsidR="001563E0" w:rsidRPr="00AC4FB3">
        <w:rPr>
          <w:rFonts w:ascii="Arial" w:hAnsi="Arial" w:cs="Arial"/>
          <w:sz w:val="22"/>
          <w:szCs w:val="22"/>
        </w:rPr>
        <w:t xml:space="preserve"> </w:t>
      </w:r>
    </w:p>
    <w:p w14:paraId="24054D93" w14:textId="65FCF1D9" w:rsidR="00F3645E" w:rsidRPr="00AC4FB3" w:rsidRDefault="00F3645E" w:rsidP="00AB404B">
      <w:pPr>
        <w:spacing w:line="360" w:lineRule="auto"/>
        <w:jc w:val="both"/>
        <w:rPr>
          <w:rFonts w:ascii="Arial" w:hAnsi="Arial" w:cs="Arial"/>
          <w:sz w:val="22"/>
          <w:szCs w:val="22"/>
        </w:rPr>
      </w:pPr>
      <w:r w:rsidRPr="00AC4FB3">
        <w:rPr>
          <w:rFonts w:ascii="Arial" w:hAnsi="Arial" w:cs="Arial"/>
          <w:sz w:val="22"/>
          <w:szCs w:val="22"/>
        </w:rPr>
        <w:t xml:space="preserve">Clear and consistent communication ensures all professionals are aware of Mrs Mann’s needs and updates. Miscommunication or inconsistent updates between agencies can lead to errors, delays, or duplicated interventions. Regular MDT (Multidisciplinary Team) meetings bring together professionals from different disciplines to coordinate care, ensuring consistency and </w:t>
      </w:r>
      <w:r w:rsidR="00872B19" w:rsidRPr="00AC4FB3">
        <w:rPr>
          <w:rFonts w:ascii="Arial" w:hAnsi="Arial" w:cs="Arial"/>
          <w:sz w:val="22"/>
          <w:szCs w:val="22"/>
        </w:rPr>
        <w:t>person-centred</w:t>
      </w:r>
      <w:r w:rsidRPr="00AC4FB3">
        <w:rPr>
          <w:rFonts w:ascii="Arial" w:hAnsi="Arial" w:cs="Arial"/>
          <w:sz w:val="22"/>
          <w:szCs w:val="22"/>
        </w:rPr>
        <w:t xml:space="preserve"> outcomes (NHS England, 2022). Electronic communication systems and involving Mrs Mann and her daughter support transparency, shared decision making, and timely information sharing.</w:t>
      </w:r>
    </w:p>
    <w:p w14:paraId="66896A90" w14:textId="29898492" w:rsidR="003C04D6"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t>Records and care plans must be accessible to all professionals involved.</w:t>
      </w:r>
      <w:r w:rsidR="0005116F" w:rsidRPr="00AC4FB3">
        <w:rPr>
          <w:rFonts w:ascii="Arial" w:hAnsi="Arial" w:cs="Arial"/>
          <w:sz w:val="22"/>
          <w:szCs w:val="22"/>
        </w:rPr>
        <w:t xml:space="preserve"> Duplication, inaccessible systems, and delayed updates compromise coordination.</w:t>
      </w:r>
      <w:r w:rsidR="00EC36BB" w:rsidRPr="00AC4FB3">
        <w:rPr>
          <w:rFonts w:ascii="Arial" w:hAnsi="Arial" w:cs="Arial"/>
          <w:sz w:val="22"/>
          <w:szCs w:val="22"/>
        </w:rPr>
        <w:t xml:space="preserve"> </w:t>
      </w:r>
      <w:r w:rsidRPr="00AC4FB3">
        <w:rPr>
          <w:rFonts w:ascii="Arial" w:hAnsi="Arial" w:cs="Arial"/>
          <w:sz w:val="22"/>
          <w:szCs w:val="22"/>
        </w:rPr>
        <w:t xml:space="preserve">Integrated digital records and secure electronic systems improve access, ensure rapid dissemination of updates, and reduce risks of errors. </w:t>
      </w:r>
    </w:p>
    <w:p w14:paraId="0AF07E0C" w14:textId="65647AFD" w:rsidR="00F3645E"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t>Accountability ensures each professional understands their role and responsibilities</w:t>
      </w:r>
      <w:r w:rsidR="00151290" w:rsidRPr="00AC4FB3">
        <w:rPr>
          <w:rFonts w:ascii="Arial" w:hAnsi="Arial" w:cs="Arial"/>
          <w:sz w:val="22"/>
          <w:szCs w:val="22"/>
        </w:rPr>
        <w:t>. Unclear roles and organisational differences can cause errors, gaps, or delays.</w:t>
      </w:r>
      <w:r w:rsidR="003511A5" w:rsidRPr="00AC4FB3">
        <w:rPr>
          <w:rFonts w:ascii="Arial" w:hAnsi="Arial" w:cs="Arial"/>
          <w:sz w:val="22"/>
          <w:szCs w:val="22"/>
        </w:rPr>
        <w:t xml:space="preserve"> </w:t>
      </w:r>
      <w:r w:rsidRPr="00AC4FB3">
        <w:rPr>
          <w:rFonts w:ascii="Arial" w:hAnsi="Arial" w:cs="Arial"/>
          <w:sz w:val="22"/>
          <w:szCs w:val="22"/>
        </w:rPr>
        <w:t>Clear protocols, defined responsibilities, interprofessional training, and the implementation of Integrated Care Systems (ICS) under the Health and Care Act 2022 promote shared responsibility and reduce risks (NHS England, 2022; Lymbery and Postle, 2015).</w:t>
      </w:r>
    </w:p>
    <w:p w14:paraId="4E50804B" w14:textId="2F000350" w:rsidR="00DD0011"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lastRenderedPageBreak/>
        <w:t xml:space="preserve">Collaborative working is crucial for delivering safe, coordinated, and </w:t>
      </w:r>
      <w:r w:rsidR="00C15BC9" w:rsidRPr="00AC4FB3">
        <w:rPr>
          <w:rFonts w:ascii="Arial" w:hAnsi="Arial" w:cs="Arial"/>
          <w:sz w:val="22"/>
          <w:szCs w:val="22"/>
        </w:rPr>
        <w:t>person-centred</w:t>
      </w:r>
      <w:r w:rsidRPr="00AC4FB3">
        <w:rPr>
          <w:rFonts w:ascii="Arial" w:hAnsi="Arial" w:cs="Arial"/>
          <w:sz w:val="22"/>
          <w:szCs w:val="22"/>
        </w:rPr>
        <w:t xml:space="preserve"> care to Mrs Mann. Strengthening communication, improving accessibility of records, and ensuring accountability across agencies enables professionals to work together effectively to support her recovery, dignity, and wellbeing. The Department of Health and Social Care (2022) emphasises that these components are essential for safeguarding service users and promoting positive outcomes, reducing risks associated with fragmented care.</w:t>
      </w:r>
    </w:p>
    <w:p w14:paraId="480BFE3F" w14:textId="77777777" w:rsidR="00C15BC9" w:rsidRPr="00AC4FB3" w:rsidRDefault="00C15BC9" w:rsidP="00AB404B">
      <w:pPr>
        <w:spacing w:line="360" w:lineRule="auto"/>
        <w:jc w:val="both"/>
        <w:rPr>
          <w:rFonts w:ascii="Arial" w:hAnsi="Arial" w:cs="Arial"/>
          <w:sz w:val="22"/>
          <w:szCs w:val="22"/>
        </w:rPr>
      </w:pPr>
    </w:p>
    <w:p w14:paraId="592FBF3B" w14:textId="5CB5D1E3" w:rsidR="00872B19" w:rsidRPr="00AC4FB3" w:rsidRDefault="008B7091" w:rsidP="0059368E">
      <w:pPr>
        <w:pStyle w:val="Heading1"/>
      </w:pPr>
      <w:bookmarkStart w:id="4" w:name="_Toc214551871"/>
      <w:r w:rsidRPr="00AC4FB3">
        <w:t>Conclusion</w:t>
      </w:r>
      <w:bookmarkEnd w:id="4"/>
      <w:r w:rsidR="006419CB" w:rsidRPr="00AC4FB3">
        <w:t xml:space="preserve"> </w:t>
      </w:r>
      <w:r w:rsidR="0059368E">
        <w:br/>
      </w:r>
    </w:p>
    <w:p w14:paraId="75110575" w14:textId="092C0B9B" w:rsidR="00DD0011" w:rsidRDefault="00826EB6" w:rsidP="00AB404B">
      <w:pPr>
        <w:spacing w:line="360" w:lineRule="auto"/>
        <w:jc w:val="both"/>
        <w:rPr>
          <w:rFonts w:ascii="Arial" w:hAnsi="Arial" w:cs="Arial"/>
          <w:sz w:val="22"/>
          <w:szCs w:val="22"/>
        </w:rPr>
      </w:pPr>
      <w:r w:rsidRPr="00826EB6">
        <w:rPr>
          <w:rFonts w:ascii="Arial" w:hAnsi="Arial" w:cs="Arial"/>
          <w:sz w:val="22"/>
          <w:szCs w:val="22"/>
        </w:rPr>
        <w:t>Through Mrs Mann’s case, the significance of communication, accurate record keeping, and interprofessional collaboration becomes evident in ensuring safe care delivery</w:t>
      </w:r>
      <w:r w:rsidR="008B7091" w:rsidRPr="00AC4FB3">
        <w:rPr>
          <w:rFonts w:ascii="Arial" w:hAnsi="Arial" w:cs="Arial"/>
          <w:sz w:val="22"/>
          <w:szCs w:val="22"/>
        </w:rPr>
        <w:t xml:space="preserve">. Her limited English proficiency illustrates the need for inclusive strategies, supported by Berlo’s SMCR model and reinforced by the Equality Act </w:t>
      </w:r>
      <w:r w:rsidR="005F75C1" w:rsidRPr="00AC4FB3">
        <w:rPr>
          <w:rFonts w:ascii="Arial" w:hAnsi="Arial" w:cs="Arial"/>
          <w:sz w:val="22"/>
          <w:szCs w:val="22"/>
        </w:rPr>
        <w:t>(Legislation.gov.uk, 2025)</w:t>
      </w:r>
      <w:r w:rsidR="008B7091" w:rsidRPr="00AC4FB3">
        <w:rPr>
          <w:rFonts w:ascii="Arial" w:hAnsi="Arial" w:cs="Arial"/>
          <w:sz w:val="22"/>
          <w:szCs w:val="22"/>
        </w:rPr>
        <w:t>. The documentation error demonstrates the importance of precise records, compliance with the Data Protection Act 2018, and the Caldicott Principles. Finally, collaboration between her care team, GP, and physiotherapist through MDT meetings and Integrated Care Systems ensures safe, coordinated practice. Overall, her experience shows how legislation, professional standards, and person-centred approaches combine to protect dignity, promote equality, and deliver individualised outcomes. This case demonstrates how integrating professional knowledge, legislation, and person-centred approaches can enhance practice and inform future care planning.</w:t>
      </w:r>
      <w:r w:rsidR="00D57703" w:rsidRPr="00AC4FB3">
        <w:rPr>
          <w:rFonts w:ascii="Arial" w:hAnsi="Arial" w:cs="Arial"/>
          <w:sz w:val="22"/>
          <w:szCs w:val="22"/>
        </w:rPr>
        <w:t xml:space="preserve"> Lessons from Mrs Mann’s case also highlight how wider practice can be strengthened by </w:t>
      </w:r>
      <w:r w:rsidR="000F6E45" w:rsidRPr="00AC4FB3">
        <w:rPr>
          <w:rFonts w:ascii="Arial" w:hAnsi="Arial" w:cs="Arial"/>
          <w:sz w:val="22"/>
          <w:szCs w:val="22"/>
        </w:rPr>
        <w:t>i</w:t>
      </w:r>
      <w:r w:rsidR="008B1F3B" w:rsidRPr="00AC4FB3">
        <w:rPr>
          <w:rFonts w:ascii="Arial" w:hAnsi="Arial" w:cs="Arial"/>
          <w:sz w:val="22"/>
          <w:szCs w:val="22"/>
        </w:rPr>
        <w:t>ntegrating</w:t>
      </w:r>
      <w:r w:rsidR="00D57703" w:rsidRPr="00AC4FB3">
        <w:rPr>
          <w:rFonts w:ascii="Arial" w:hAnsi="Arial" w:cs="Arial"/>
          <w:sz w:val="22"/>
          <w:szCs w:val="22"/>
        </w:rPr>
        <w:t xml:space="preserve"> these principles across health and social care settings</w:t>
      </w:r>
      <w:r w:rsidR="007C1F85" w:rsidRPr="00AC4FB3">
        <w:rPr>
          <w:rFonts w:ascii="Arial" w:hAnsi="Arial" w:cs="Arial"/>
          <w:sz w:val="22"/>
          <w:szCs w:val="22"/>
        </w:rPr>
        <w:t>.</w:t>
      </w:r>
    </w:p>
    <w:p w14:paraId="445492DB" w14:textId="77777777" w:rsidR="008B7091" w:rsidRPr="00AC4FB3" w:rsidRDefault="008B7091" w:rsidP="00AB404B">
      <w:pPr>
        <w:spacing w:line="360" w:lineRule="auto"/>
        <w:jc w:val="both"/>
        <w:rPr>
          <w:rFonts w:ascii="Arial" w:hAnsi="Arial" w:cs="Arial"/>
          <w:sz w:val="22"/>
          <w:szCs w:val="22"/>
        </w:rPr>
      </w:pPr>
    </w:p>
    <w:p w14:paraId="11FB7F60" w14:textId="77777777" w:rsidR="00AF485F" w:rsidRDefault="00AF485F" w:rsidP="00AB404B">
      <w:pPr>
        <w:spacing w:line="360" w:lineRule="auto"/>
        <w:jc w:val="both"/>
        <w:rPr>
          <w:rFonts w:ascii="Arial" w:hAnsi="Arial" w:cs="Arial"/>
          <w:sz w:val="22"/>
          <w:szCs w:val="22"/>
        </w:rPr>
      </w:pPr>
    </w:p>
    <w:p w14:paraId="05A5AC6A" w14:textId="77777777" w:rsidR="00AF485F" w:rsidRDefault="00AF485F" w:rsidP="00AB404B">
      <w:pPr>
        <w:spacing w:line="360" w:lineRule="auto"/>
        <w:jc w:val="both"/>
        <w:rPr>
          <w:rFonts w:ascii="Arial" w:hAnsi="Arial" w:cs="Arial"/>
          <w:sz w:val="22"/>
          <w:szCs w:val="22"/>
        </w:rPr>
      </w:pPr>
    </w:p>
    <w:p w14:paraId="687F49D8" w14:textId="77777777" w:rsidR="003C1196" w:rsidRDefault="003C1196" w:rsidP="00AB404B">
      <w:pPr>
        <w:spacing w:line="360" w:lineRule="auto"/>
        <w:jc w:val="both"/>
        <w:rPr>
          <w:rFonts w:ascii="Arial" w:hAnsi="Arial" w:cs="Arial"/>
          <w:sz w:val="22"/>
          <w:szCs w:val="22"/>
        </w:rPr>
      </w:pPr>
    </w:p>
    <w:p w14:paraId="30B06313" w14:textId="77777777" w:rsidR="003C1196" w:rsidRDefault="003C1196" w:rsidP="00AB404B">
      <w:pPr>
        <w:spacing w:line="360" w:lineRule="auto"/>
        <w:jc w:val="both"/>
        <w:rPr>
          <w:rFonts w:ascii="Arial" w:hAnsi="Arial" w:cs="Arial"/>
          <w:sz w:val="22"/>
          <w:szCs w:val="22"/>
        </w:rPr>
      </w:pPr>
    </w:p>
    <w:p w14:paraId="59350A36" w14:textId="77777777" w:rsidR="003E4661" w:rsidRDefault="003E4661" w:rsidP="00AB404B">
      <w:pPr>
        <w:spacing w:line="360" w:lineRule="auto"/>
        <w:jc w:val="both"/>
        <w:rPr>
          <w:rFonts w:ascii="Arial" w:hAnsi="Arial" w:cs="Arial"/>
          <w:sz w:val="22"/>
          <w:szCs w:val="22"/>
        </w:rPr>
      </w:pPr>
    </w:p>
    <w:p w14:paraId="3122B5ED" w14:textId="77777777" w:rsidR="003E4661" w:rsidRDefault="003E4661" w:rsidP="00AB404B">
      <w:pPr>
        <w:spacing w:line="360" w:lineRule="auto"/>
        <w:jc w:val="both"/>
        <w:rPr>
          <w:rFonts w:ascii="Arial" w:hAnsi="Arial" w:cs="Arial"/>
          <w:sz w:val="22"/>
          <w:szCs w:val="22"/>
        </w:rPr>
      </w:pPr>
    </w:p>
    <w:p w14:paraId="6821327A" w14:textId="77777777" w:rsidR="003E4661" w:rsidRDefault="003E4661" w:rsidP="00AB404B">
      <w:pPr>
        <w:spacing w:line="360" w:lineRule="auto"/>
        <w:jc w:val="both"/>
        <w:rPr>
          <w:rFonts w:ascii="Arial" w:hAnsi="Arial" w:cs="Arial"/>
          <w:sz w:val="22"/>
          <w:szCs w:val="22"/>
        </w:rPr>
      </w:pPr>
    </w:p>
    <w:p w14:paraId="0AD07178" w14:textId="77777777" w:rsidR="00787911" w:rsidRDefault="00787911" w:rsidP="00AB404B">
      <w:pPr>
        <w:spacing w:line="360" w:lineRule="auto"/>
        <w:jc w:val="both"/>
        <w:rPr>
          <w:rFonts w:ascii="Arial" w:hAnsi="Arial" w:cs="Arial"/>
          <w:sz w:val="22"/>
          <w:szCs w:val="22"/>
        </w:rPr>
      </w:pPr>
    </w:p>
    <w:p w14:paraId="47AB6C3C" w14:textId="4F13B116" w:rsidR="00AF485F" w:rsidRPr="00633EFF" w:rsidRDefault="00AF485F" w:rsidP="0059368E">
      <w:pPr>
        <w:pStyle w:val="Heading1"/>
      </w:pPr>
      <w:bookmarkStart w:id="5" w:name="_Toc214551872"/>
      <w:r w:rsidRPr="00633EFF">
        <w:lastRenderedPageBreak/>
        <w:t>REFERENCE</w:t>
      </w:r>
      <w:r w:rsidR="00633EFF" w:rsidRPr="00633EFF">
        <w:t xml:space="preserve"> LIST:</w:t>
      </w:r>
      <w:bookmarkEnd w:id="5"/>
    </w:p>
    <w:p w14:paraId="073D6970" w14:textId="77777777" w:rsidR="00633EFF" w:rsidRPr="00AC4FB3" w:rsidRDefault="00633EFF" w:rsidP="00AB404B">
      <w:pPr>
        <w:spacing w:line="360" w:lineRule="auto"/>
        <w:jc w:val="both"/>
        <w:rPr>
          <w:rFonts w:ascii="Arial" w:hAnsi="Arial" w:cs="Arial"/>
          <w:sz w:val="22"/>
          <w:szCs w:val="22"/>
        </w:rPr>
      </w:pPr>
    </w:p>
    <w:p w14:paraId="7B4C0BF1" w14:textId="53EBCEE7" w:rsidR="009E32A9" w:rsidRPr="00AC4FB3" w:rsidRDefault="004410D7" w:rsidP="00AB404B">
      <w:pPr>
        <w:spacing w:line="360" w:lineRule="auto"/>
        <w:rPr>
          <w:rFonts w:ascii="Arial" w:hAnsi="Arial" w:cs="Arial"/>
          <w:sz w:val="22"/>
          <w:szCs w:val="22"/>
        </w:rPr>
      </w:pPr>
      <w:r w:rsidRPr="00AC4FB3">
        <w:rPr>
          <w:rFonts w:ascii="Arial" w:hAnsi="Arial" w:cs="Arial"/>
          <w:sz w:val="22"/>
          <w:szCs w:val="22"/>
        </w:rPr>
        <w:t xml:space="preserve">Berlo, D.K. (1960) </w:t>
      </w:r>
      <w:r w:rsidRPr="00AC4FB3">
        <w:rPr>
          <w:rFonts w:ascii="Arial" w:hAnsi="Arial" w:cs="Arial"/>
          <w:i/>
          <w:iCs/>
          <w:sz w:val="22"/>
          <w:szCs w:val="22"/>
        </w:rPr>
        <w:t>The process of communication</w:t>
      </w:r>
      <w:r w:rsidRPr="00AC4FB3">
        <w:rPr>
          <w:rFonts w:ascii="Arial" w:hAnsi="Arial" w:cs="Arial"/>
          <w:sz w:val="22"/>
          <w:szCs w:val="22"/>
        </w:rPr>
        <w:t>. New York: Holt, Rinehart and Winston.</w:t>
      </w:r>
    </w:p>
    <w:p w14:paraId="6E090B19" w14:textId="39A5BC24" w:rsidR="009E32A9" w:rsidRPr="00AC4FB3" w:rsidRDefault="00D85661" w:rsidP="00AB404B">
      <w:pPr>
        <w:spacing w:line="360" w:lineRule="auto"/>
        <w:rPr>
          <w:rFonts w:ascii="Arial" w:hAnsi="Arial" w:cs="Arial"/>
          <w:sz w:val="22"/>
          <w:szCs w:val="22"/>
        </w:rPr>
      </w:pPr>
      <w:r w:rsidRPr="00AC4FB3">
        <w:rPr>
          <w:rFonts w:ascii="Arial" w:hAnsi="Arial" w:cs="Arial"/>
          <w:sz w:val="22"/>
          <w:szCs w:val="22"/>
        </w:rPr>
        <w:t xml:space="preserve">Bokhour, B.G., Fix, G.M., Mueller, N.M. and Haller, V.L. (2019) ‘Communication strategies for healthcare providers to address patient and caregiver language needs’, </w:t>
      </w:r>
      <w:r w:rsidRPr="00AC4FB3">
        <w:rPr>
          <w:rFonts w:ascii="Arial" w:hAnsi="Arial" w:cs="Arial"/>
          <w:i/>
          <w:iCs/>
          <w:sz w:val="22"/>
          <w:szCs w:val="22"/>
        </w:rPr>
        <w:t>Journal of General Internal Medicine</w:t>
      </w:r>
      <w:r w:rsidRPr="00AC4FB3">
        <w:rPr>
          <w:rFonts w:ascii="Arial" w:hAnsi="Arial" w:cs="Arial"/>
          <w:sz w:val="22"/>
          <w:szCs w:val="22"/>
        </w:rPr>
        <w:t>, 34(10), pp. 2101–2108. doi: 10.1007/s11606-019-05187-7.</w:t>
      </w:r>
    </w:p>
    <w:p w14:paraId="23641356" w14:textId="5F0C7B48"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Caldicott Review (2013) </w:t>
      </w:r>
      <w:r w:rsidRPr="00AC4FB3">
        <w:rPr>
          <w:rFonts w:ascii="Arial" w:hAnsi="Arial" w:cs="Arial"/>
          <w:i/>
          <w:iCs/>
          <w:sz w:val="22"/>
          <w:szCs w:val="22"/>
        </w:rPr>
        <w:t>Information: To share or not to share? The Information Governance Review</w:t>
      </w:r>
      <w:r w:rsidRPr="00AC4FB3">
        <w:rPr>
          <w:rFonts w:ascii="Arial" w:hAnsi="Arial" w:cs="Arial"/>
          <w:sz w:val="22"/>
          <w:szCs w:val="22"/>
        </w:rPr>
        <w:t>. London: Department of Health.</w:t>
      </w:r>
      <w:r w:rsidR="00836130">
        <w:rPr>
          <w:rFonts w:ascii="Arial" w:hAnsi="Arial" w:cs="Arial"/>
          <w:sz w:val="22"/>
          <w:szCs w:val="22"/>
        </w:rPr>
        <w:t xml:space="preserve"> </w:t>
      </w:r>
      <w:r w:rsidRPr="00AC4FB3">
        <w:rPr>
          <w:rFonts w:ascii="Arial" w:hAnsi="Arial" w:cs="Arial"/>
          <w:sz w:val="22"/>
          <w:szCs w:val="22"/>
        </w:rPr>
        <w:t>Available at:</w:t>
      </w:r>
      <w:r w:rsidR="00836130">
        <w:rPr>
          <w:rFonts w:ascii="Arial" w:hAnsi="Arial" w:cs="Arial"/>
          <w:sz w:val="22"/>
          <w:szCs w:val="22"/>
        </w:rPr>
        <w:t xml:space="preserve"> </w:t>
      </w:r>
      <w:r w:rsidRPr="00AC4FB3">
        <w:rPr>
          <w:rFonts w:ascii="Arial" w:hAnsi="Arial" w:cs="Arial"/>
          <w:sz w:val="22"/>
          <w:szCs w:val="22"/>
        </w:rPr>
        <w:t>https://www.gov.uk/government/publications/the-caldicott-review-information-to-share-or-not-to-share (Accessed: 19 November 2025).</w:t>
      </w:r>
    </w:p>
    <w:p w14:paraId="19B35D9C" w14:textId="77777777"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Care Quality Commission (CQC) (2022) </w:t>
      </w:r>
      <w:r w:rsidRPr="00AC4FB3">
        <w:rPr>
          <w:rFonts w:ascii="Arial" w:hAnsi="Arial" w:cs="Arial"/>
          <w:i/>
          <w:iCs/>
          <w:sz w:val="22"/>
          <w:szCs w:val="22"/>
        </w:rPr>
        <w:t>Key lines of enquiry (KLOEs)</w:t>
      </w:r>
      <w:r w:rsidRPr="00AC4FB3">
        <w:rPr>
          <w:rFonts w:ascii="Arial" w:hAnsi="Arial" w:cs="Arial"/>
          <w:sz w:val="22"/>
          <w:szCs w:val="22"/>
        </w:rPr>
        <w:t>. Available at: https://www.cqc.org.uk/ (Accessed: 19 November 2025).</w:t>
      </w:r>
    </w:p>
    <w:p w14:paraId="2681F04F" w14:textId="77777777"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Crawford, R., Candlin, S. and Jones, C. (2014) </w:t>
      </w:r>
      <w:r w:rsidRPr="00AC4FB3">
        <w:rPr>
          <w:rFonts w:ascii="Arial" w:hAnsi="Arial" w:cs="Arial"/>
          <w:i/>
          <w:iCs/>
          <w:sz w:val="22"/>
          <w:szCs w:val="22"/>
        </w:rPr>
        <w:t>Health communication: Theoretical and practical perspectives</w:t>
      </w:r>
      <w:r w:rsidRPr="00AC4FB3">
        <w:rPr>
          <w:rFonts w:ascii="Arial" w:hAnsi="Arial" w:cs="Arial"/>
          <w:sz w:val="22"/>
          <w:szCs w:val="22"/>
        </w:rPr>
        <w:t>. London: Sage.</w:t>
      </w:r>
    </w:p>
    <w:p w14:paraId="579F7463"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Data Protection Act 2018 (2018) </w:t>
      </w:r>
      <w:r w:rsidRPr="00AC4FB3">
        <w:rPr>
          <w:rFonts w:ascii="Arial" w:hAnsi="Arial" w:cs="Arial"/>
          <w:i/>
          <w:iCs/>
          <w:sz w:val="22"/>
          <w:szCs w:val="22"/>
        </w:rPr>
        <w:t>Data Protection Act 2018</w:t>
      </w:r>
      <w:r w:rsidRPr="00AC4FB3">
        <w:rPr>
          <w:rFonts w:ascii="Arial" w:hAnsi="Arial" w:cs="Arial"/>
          <w:sz w:val="22"/>
          <w:szCs w:val="22"/>
        </w:rPr>
        <w:t>. London: The Stationery Office. Available at: https://www.legislation.gov.uk/ukpga/2018/12/contents/enacted (Accessed: 19 November 2025).</w:t>
      </w:r>
    </w:p>
    <w:p w14:paraId="543CA41F" w14:textId="7494179A" w:rsidR="00391AEC"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Department of Health and Social Care (2022) </w:t>
      </w:r>
      <w:r w:rsidRPr="00AC4FB3">
        <w:rPr>
          <w:rFonts w:ascii="Arial" w:hAnsi="Arial" w:cs="Arial"/>
          <w:i/>
          <w:iCs/>
          <w:sz w:val="22"/>
          <w:szCs w:val="22"/>
        </w:rPr>
        <w:t>Adult social care guidance</w:t>
      </w:r>
      <w:r w:rsidRPr="00AC4FB3">
        <w:rPr>
          <w:rFonts w:ascii="Arial" w:hAnsi="Arial" w:cs="Arial"/>
          <w:sz w:val="22"/>
          <w:szCs w:val="22"/>
        </w:rPr>
        <w:t>. London: Department of Health and Social Care. Available at</w:t>
      </w:r>
      <w:r w:rsidR="00391AEC" w:rsidRPr="00AC4FB3">
        <w:rPr>
          <w:rFonts w:ascii="Arial" w:hAnsi="Arial" w:cs="Arial"/>
          <w:sz w:val="22"/>
          <w:szCs w:val="22"/>
        </w:rPr>
        <w:t>:</w:t>
      </w:r>
      <w:r w:rsidR="009759C0" w:rsidRPr="00AC4FB3">
        <w:rPr>
          <w:rFonts w:ascii="Arial" w:hAnsi="Arial" w:cs="Arial"/>
          <w:sz w:val="22"/>
          <w:szCs w:val="22"/>
        </w:rPr>
        <w:t xml:space="preserve"> </w:t>
      </w:r>
      <w:r w:rsidRPr="00AC4FB3">
        <w:rPr>
          <w:rFonts w:ascii="Arial" w:hAnsi="Arial" w:cs="Arial"/>
          <w:sz w:val="22"/>
          <w:szCs w:val="22"/>
        </w:rPr>
        <w:t>https://www.gov.uk/government/organisations/department-of-health-and-social-care (Accessed: 19 November 2025).</w:t>
      </w:r>
    </w:p>
    <w:p w14:paraId="236BBC18"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Glasby, J. and Dickinson, H. (2014) </w:t>
      </w:r>
      <w:r w:rsidRPr="00AC4FB3">
        <w:rPr>
          <w:rFonts w:ascii="Arial" w:hAnsi="Arial" w:cs="Arial"/>
          <w:i/>
          <w:iCs/>
          <w:sz w:val="22"/>
          <w:szCs w:val="22"/>
        </w:rPr>
        <w:t>Partnership working in health and social care: What is integrated care and why does it matter?</w:t>
      </w:r>
      <w:r w:rsidRPr="00AC4FB3">
        <w:rPr>
          <w:rFonts w:ascii="Arial" w:hAnsi="Arial" w:cs="Arial"/>
          <w:sz w:val="22"/>
          <w:szCs w:val="22"/>
        </w:rPr>
        <w:t xml:space="preserve"> 2nd edn. Bristol: Policy Press.</w:t>
      </w:r>
    </w:p>
    <w:p w14:paraId="771BA06F"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Hargie, O. (2016) </w:t>
      </w:r>
      <w:r w:rsidRPr="00AC4FB3">
        <w:rPr>
          <w:rFonts w:ascii="Arial" w:hAnsi="Arial" w:cs="Arial"/>
          <w:i/>
          <w:iCs/>
          <w:sz w:val="22"/>
          <w:szCs w:val="22"/>
        </w:rPr>
        <w:t>The skilled communicator in health and social care</w:t>
      </w:r>
      <w:r w:rsidRPr="00AC4FB3">
        <w:rPr>
          <w:rFonts w:ascii="Arial" w:hAnsi="Arial" w:cs="Arial"/>
          <w:sz w:val="22"/>
          <w:szCs w:val="22"/>
        </w:rPr>
        <w:t>. Abingdon: Routledge.</w:t>
      </w:r>
    </w:p>
    <w:p w14:paraId="79E6B99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Heath, M., Hvass, A.M.F. and Wejse, C.M. (2023) ‘Interpreter services and effect on healthcare – a systematic review of the impact of different types of interpreters on patient outcome’, </w:t>
      </w:r>
      <w:r w:rsidRPr="00AC4FB3">
        <w:rPr>
          <w:rFonts w:ascii="Arial" w:hAnsi="Arial" w:cs="Arial"/>
          <w:i/>
          <w:iCs/>
          <w:sz w:val="22"/>
          <w:szCs w:val="22"/>
        </w:rPr>
        <w:t>Journal of Migration Health</w:t>
      </w:r>
      <w:r w:rsidRPr="00AC4FB3">
        <w:rPr>
          <w:rFonts w:ascii="Arial" w:hAnsi="Arial" w:cs="Arial"/>
          <w:sz w:val="22"/>
          <w:szCs w:val="22"/>
        </w:rPr>
        <w:t>, 7, Article 100162. doi: 10.1016/j.jmh.2023.100162.</w:t>
      </w:r>
    </w:p>
    <w:p w14:paraId="236B761B" w14:textId="0BEA4110"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Kaihlanen, A.M., Hietapakka, L. and Heponiemi, T. (2019</w:t>
      </w:r>
      <w:r w:rsidR="00E950B2">
        <w:rPr>
          <w:rFonts w:ascii="Arial" w:hAnsi="Arial" w:cs="Arial"/>
          <w:sz w:val="22"/>
          <w:szCs w:val="22"/>
        </w:rPr>
        <w:t>a</w:t>
      </w:r>
      <w:r w:rsidRPr="00AC4FB3">
        <w:rPr>
          <w:rFonts w:ascii="Arial" w:hAnsi="Arial" w:cs="Arial"/>
          <w:sz w:val="22"/>
          <w:szCs w:val="22"/>
        </w:rPr>
        <w:t xml:space="preserve">) ‘Promoting cultural competence in healthcare: A systematic review of interventions’, </w:t>
      </w:r>
      <w:r w:rsidRPr="00AC4FB3">
        <w:rPr>
          <w:rFonts w:ascii="Arial" w:hAnsi="Arial" w:cs="Arial"/>
          <w:i/>
          <w:iCs/>
          <w:sz w:val="22"/>
          <w:szCs w:val="22"/>
        </w:rPr>
        <w:t>BMC Health Services Research</w:t>
      </w:r>
      <w:r w:rsidRPr="00AC4FB3">
        <w:rPr>
          <w:rFonts w:ascii="Arial" w:hAnsi="Arial" w:cs="Arial"/>
          <w:sz w:val="22"/>
          <w:szCs w:val="22"/>
        </w:rPr>
        <w:t>, 19, Article 566. doi: 10.1186/s12913-019-4410-1.</w:t>
      </w:r>
    </w:p>
    <w:p w14:paraId="6C9EBAF4" w14:textId="37E4685F"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Kaihlanen, A.M., Hietapakka, L. and Kangasniemi, M. (2019</w:t>
      </w:r>
      <w:r w:rsidR="00127A29">
        <w:rPr>
          <w:rFonts w:ascii="Arial" w:hAnsi="Arial" w:cs="Arial"/>
          <w:sz w:val="22"/>
          <w:szCs w:val="22"/>
        </w:rPr>
        <w:t>b</w:t>
      </w:r>
      <w:r w:rsidRPr="00AC4FB3">
        <w:rPr>
          <w:rFonts w:ascii="Arial" w:hAnsi="Arial" w:cs="Arial"/>
          <w:sz w:val="22"/>
          <w:szCs w:val="22"/>
        </w:rPr>
        <w:t xml:space="preserve">) ‘Promoting cultural competence in healthcare’, </w:t>
      </w:r>
      <w:r w:rsidRPr="00AC4FB3">
        <w:rPr>
          <w:rFonts w:ascii="Arial" w:hAnsi="Arial" w:cs="Arial"/>
          <w:i/>
          <w:iCs/>
          <w:sz w:val="22"/>
          <w:szCs w:val="22"/>
        </w:rPr>
        <w:t>Journal of Nursing Scholarship</w:t>
      </w:r>
      <w:r w:rsidRPr="00AC4FB3">
        <w:rPr>
          <w:rFonts w:ascii="Arial" w:hAnsi="Arial" w:cs="Arial"/>
          <w:sz w:val="22"/>
          <w:szCs w:val="22"/>
        </w:rPr>
        <w:t>, 51(5), pp. 521–529.</w:t>
      </w:r>
    </w:p>
    <w:p w14:paraId="207717F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lastRenderedPageBreak/>
        <w:t xml:space="preserve">Kwan, M., Jeemi, Z., Norman, R. and Dantas, J.A.R. (2023) ‘Professional interpreter services and the impact on hospital care outcomes: An integrative review of literature’, </w:t>
      </w:r>
      <w:r w:rsidRPr="00AC4FB3">
        <w:rPr>
          <w:rFonts w:ascii="Arial" w:hAnsi="Arial" w:cs="Arial"/>
          <w:i/>
          <w:iCs/>
          <w:sz w:val="22"/>
          <w:szCs w:val="22"/>
        </w:rPr>
        <w:t>International Journal of Environmental Research and Public Health</w:t>
      </w:r>
      <w:r w:rsidRPr="00AC4FB3">
        <w:rPr>
          <w:rFonts w:ascii="Arial" w:hAnsi="Arial" w:cs="Arial"/>
          <w:sz w:val="22"/>
          <w:szCs w:val="22"/>
        </w:rPr>
        <w:t>, 20(6), Article 5165. doi: 10.3390/ijerph20065165.</w:t>
      </w:r>
    </w:p>
    <w:p w14:paraId="13DFBD0C"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Lee, A. (2021) </w:t>
      </w:r>
      <w:r w:rsidRPr="00AC4FB3">
        <w:rPr>
          <w:rFonts w:ascii="Arial" w:hAnsi="Arial" w:cs="Arial"/>
          <w:i/>
          <w:iCs/>
          <w:sz w:val="22"/>
          <w:szCs w:val="22"/>
        </w:rPr>
        <w:t>Communication in health and social care</w:t>
      </w:r>
      <w:r w:rsidRPr="00AC4FB3">
        <w:rPr>
          <w:rFonts w:ascii="Arial" w:hAnsi="Arial" w:cs="Arial"/>
          <w:sz w:val="22"/>
          <w:szCs w:val="22"/>
        </w:rPr>
        <w:t>. London: Palgrave Macmillan.</w:t>
      </w:r>
    </w:p>
    <w:p w14:paraId="09642611"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Legislation.gov.uk (2025) </w:t>
      </w:r>
      <w:r w:rsidRPr="00AC4FB3">
        <w:rPr>
          <w:rFonts w:ascii="Arial" w:hAnsi="Arial" w:cs="Arial"/>
          <w:i/>
          <w:iCs/>
          <w:sz w:val="22"/>
          <w:szCs w:val="22"/>
        </w:rPr>
        <w:t>Equality Act 2010</w:t>
      </w:r>
      <w:r w:rsidRPr="00AC4FB3">
        <w:rPr>
          <w:rFonts w:ascii="Arial" w:hAnsi="Arial" w:cs="Arial"/>
          <w:sz w:val="22"/>
          <w:szCs w:val="22"/>
        </w:rPr>
        <w:t>. Available at: https://www.legislation.gov.uk/ukpga/2010/15/contents (Accessed: 17 November 2025).</w:t>
      </w:r>
    </w:p>
    <w:p w14:paraId="62151033"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Lymbery, M. and Postle, K. (2015) </w:t>
      </w:r>
      <w:r w:rsidRPr="00AC4FB3">
        <w:rPr>
          <w:rFonts w:ascii="Arial" w:hAnsi="Arial" w:cs="Arial"/>
          <w:i/>
          <w:iCs/>
          <w:sz w:val="22"/>
          <w:szCs w:val="22"/>
        </w:rPr>
        <w:t>Social work and the transformation of adult social care: Perpetuating a distorted vision?</w:t>
      </w:r>
      <w:r w:rsidRPr="00AC4FB3">
        <w:rPr>
          <w:rFonts w:ascii="Arial" w:hAnsi="Arial" w:cs="Arial"/>
          <w:sz w:val="22"/>
          <w:szCs w:val="22"/>
        </w:rPr>
        <w:t xml:space="preserve"> Bristol: Policy Press.</w:t>
      </w:r>
    </w:p>
    <w:p w14:paraId="5D1B4CF1"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NHS England (2020) </w:t>
      </w:r>
      <w:r w:rsidRPr="00AC4FB3">
        <w:rPr>
          <w:rFonts w:ascii="Arial" w:hAnsi="Arial" w:cs="Arial"/>
          <w:i/>
          <w:iCs/>
          <w:sz w:val="22"/>
          <w:szCs w:val="22"/>
        </w:rPr>
        <w:t>Accessible information standard</w:t>
      </w:r>
      <w:r w:rsidRPr="00AC4FB3">
        <w:rPr>
          <w:rFonts w:ascii="Arial" w:hAnsi="Arial" w:cs="Arial"/>
          <w:sz w:val="22"/>
          <w:szCs w:val="22"/>
        </w:rPr>
        <w:t>. Available at: https://www.england.nhs.uk/ourwork/patients/accessibleinfo/ (Accessed: 19 November 2025).</w:t>
      </w:r>
    </w:p>
    <w:p w14:paraId="7B63A046"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NHS England (2022) </w:t>
      </w:r>
      <w:r w:rsidRPr="00AC4FB3">
        <w:rPr>
          <w:rFonts w:ascii="Arial" w:hAnsi="Arial" w:cs="Arial"/>
          <w:i/>
          <w:iCs/>
          <w:sz w:val="22"/>
          <w:szCs w:val="22"/>
        </w:rPr>
        <w:t>Integrated care systems: Guidance for collaborative working</w:t>
      </w:r>
      <w:r w:rsidRPr="00AC4FB3">
        <w:rPr>
          <w:rFonts w:ascii="Arial" w:hAnsi="Arial" w:cs="Arial"/>
          <w:sz w:val="22"/>
          <w:szCs w:val="22"/>
        </w:rPr>
        <w:t>. Available at: https://www.england.nhs.uk/integratedcare/ (Accessed: 19 November 2025).</w:t>
      </w:r>
    </w:p>
    <w:p w14:paraId="38089EC2" w14:textId="0426D4CD" w:rsidR="00E92CD9" w:rsidRPr="00AC4FB3" w:rsidRDefault="005C63F8" w:rsidP="00AB404B">
      <w:pPr>
        <w:spacing w:line="360" w:lineRule="auto"/>
        <w:rPr>
          <w:rFonts w:ascii="Arial" w:hAnsi="Arial" w:cs="Arial"/>
          <w:sz w:val="22"/>
          <w:szCs w:val="22"/>
        </w:rPr>
      </w:pPr>
      <w:r w:rsidRPr="00AC4FB3">
        <w:rPr>
          <w:rFonts w:ascii="Arial" w:hAnsi="Arial" w:cs="Arial"/>
          <w:sz w:val="22"/>
          <w:szCs w:val="22"/>
        </w:rPr>
        <w:t>Nursing and Midwifery Council (NMC)</w:t>
      </w:r>
      <w:r w:rsidR="00E92CD9" w:rsidRPr="00AC4FB3">
        <w:rPr>
          <w:rFonts w:ascii="Arial" w:hAnsi="Arial" w:cs="Arial"/>
          <w:sz w:val="22"/>
          <w:szCs w:val="22"/>
        </w:rPr>
        <w:t xml:space="preserve"> (2018) </w:t>
      </w:r>
      <w:r w:rsidR="00E92CD9" w:rsidRPr="00AC4FB3">
        <w:rPr>
          <w:rFonts w:ascii="Arial" w:hAnsi="Arial" w:cs="Arial"/>
          <w:i/>
          <w:iCs/>
          <w:sz w:val="22"/>
          <w:szCs w:val="22"/>
        </w:rPr>
        <w:t>The Code: Professional standards of practice and behaviour for nurses, midwives and nursing associates</w:t>
      </w:r>
      <w:r w:rsidR="00E92CD9" w:rsidRPr="00AC4FB3">
        <w:rPr>
          <w:rFonts w:ascii="Arial" w:hAnsi="Arial" w:cs="Arial"/>
          <w:sz w:val="22"/>
          <w:szCs w:val="22"/>
        </w:rPr>
        <w:t>. London: Nursing and Midwifery Council. Available at: https://www.nmc.org.uk/standards/code/ (Accessed: 19 November 2025).</w:t>
      </w:r>
    </w:p>
    <w:p w14:paraId="3DBF3FBC"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O’Connor, S., Kennelly, S., Hearn, J. and Devaney, C. (2021) ‘Digital record keeping in domiciliary care: Risks and opportunities’, </w:t>
      </w:r>
      <w:r w:rsidRPr="00AC4FB3">
        <w:rPr>
          <w:rFonts w:ascii="Arial" w:hAnsi="Arial" w:cs="Arial"/>
          <w:i/>
          <w:iCs/>
          <w:sz w:val="22"/>
          <w:szCs w:val="22"/>
        </w:rPr>
        <w:t>Health Informatics Journal</w:t>
      </w:r>
      <w:r w:rsidRPr="00AC4FB3">
        <w:rPr>
          <w:rFonts w:ascii="Arial" w:hAnsi="Arial" w:cs="Arial"/>
          <w:sz w:val="22"/>
          <w:szCs w:val="22"/>
        </w:rPr>
        <w:t>, 27(2), pp. 146–160. doi: 10.1177/14604582211003965.</w:t>
      </w:r>
    </w:p>
    <w:p w14:paraId="6CFCDF2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Royal College of Nursing (RCN) (2023) </w:t>
      </w:r>
      <w:r w:rsidRPr="00AC4FB3">
        <w:rPr>
          <w:rFonts w:ascii="Arial" w:hAnsi="Arial" w:cs="Arial"/>
          <w:i/>
          <w:iCs/>
          <w:sz w:val="22"/>
          <w:szCs w:val="22"/>
        </w:rPr>
        <w:t>Record keeping: Guidance for nurses and midwives</w:t>
      </w:r>
      <w:r w:rsidRPr="00AC4FB3">
        <w:rPr>
          <w:rFonts w:ascii="Arial" w:hAnsi="Arial" w:cs="Arial"/>
          <w:sz w:val="22"/>
          <w:szCs w:val="22"/>
        </w:rPr>
        <w:t>. London: Royal College of Nursing. Available at: https://www.rcn.org.uk/professional-development/publications/pub-007245 (Accessed: 19 November 2025).</w:t>
      </w:r>
    </w:p>
    <w:p w14:paraId="3C0A6696" w14:textId="29CCB761" w:rsidR="00E92CD9" w:rsidRPr="00AC4FB3" w:rsidRDefault="00884ACC" w:rsidP="00AB404B">
      <w:pPr>
        <w:spacing w:line="360" w:lineRule="auto"/>
        <w:rPr>
          <w:rFonts w:ascii="Arial" w:hAnsi="Arial" w:cs="Arial"/>
          <w:sz w:val="22"/>
          <w:szCs w:val="22"/>
        </w:rPr>
      </w:pPr>
      <w:r w:rsidRPr="00AC4FB3">
        <w:rPr>
          <w:rFonts w:ascii="Arial" w:hAnsi="Arial" w:cs="Arial"/>
          <w:sz w:val="22"/>
          <w:szCs w:val="22"/>
        </w:rPr>
        <w:t>Social Care Institute for Excellence (</w:t>
      </w:r>
      <w:r w:rsidR="00E92CD9" w:rsidRPr="00AC4FB3">
        <w:rPr>
          <w:rFonts w:ascii="Arial" w:hAnsi="Arial" w:cs="Arial"/>
          <w:sz w:val="22"/>
          <w:szCs w:val="22"/>
        </w:rPr>
        <w:t>SCIE</w:t>
      </w:r>
      <w:r w:rsidRPr="00AC4FB3">
        <w:rPr>
          <w:rFonts w:ascii="Arial" w:hAnsi="Arial" w:cs="Arial"/>
          <w:sz w:val="22"/>
          <w:szCs w:val="22"/>
        </w:rPr>
        <w:t>)</w:t>
      </w:r>
      <w:r w:rsidR="00E92CD9" w:rsidRPr="00AC4FB3">
        <w:rPr>
          <w:rFonts w:ascii="Arial" w:hAnsi="Arial" w:cs="Arial"/>
          <w:sz w:val="22"/>
          <w:szCs w:val="22"/>
        </w:rPr>
        <w:t xml:space="preserve"> (2023) </w:t>
      </w:r>
      <w:proofErr w:type="gramStart"/>
      <w:r w:rsidR="00E92CD9" w:rsidRPr="00AC4FB3">
        <w:rPr>
          <w:rFonts w:ascii="Arial" w:hAnsi="Arial" w:cs="Arial"/>
          <w:i/>
          <w:iCs/>
          <w:sz w:val="22"/>
          <w:szCs w:val="22"/>
        </w:rPr>
        <w:t>Multi-agency</w:t>
      </w:r>
      <w:proofErr w:type="gramEnd"/>
      <w:r w:rsidR="00E92CD9" w:rsidRPr="00AC4FB3">
        <w:rPr>
          <w:rFonts w:ascii="Arial" w:hAnsi="Arial" w:cs="Arial"/>
          <w:i/>
          <w:iCs/>
          <w:sz w:val="22"/>
          <w:szCs w:val="22"/>
        </w:rPr>
        <w:t xml:space="preserve"> working in adult social care</w:t>
      </w:r>
      <w:r w:rsidR="00E92CD9" w:rsidRPr="00AC4FB3">
        <w:rPr>
          <w:rFonts w:ascii="Arial" w:hAnsi="Arial" w:cs="Arial"/>
          <w:sz w:val="22"/>
          <w:szCs w:val="22"/>
        </w:rPr>
        <w:t>. Available at: https://www.scie.org.uk/ (Accessed: 19 November 2025).</w:t>
      </w:r>
    </w:p>
    <w:p w14:paraId="760E6CF8"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Thompson, N. (2021) </w:t>
      </w:r>
      <w:r w:rsidRPr="00AC4FB3">
        <w:rPr>
          <w:rFonts w:ascii="Arial" w:hAnsi="Arial" w:cs="Arial"/>
          <w:i/>
          <w:iCs/>
          <w:sz w:val="22"/>
          <w:szCs w:val="22"/>
        </w:rPr>
        <w:t>Effective communication: A guide for health and social care practitioners</w:t>
      </w:r>
      <w:r w:rsidRPr="00AC4FB3">
        <w:rPr>
          <w:rFonts w:ascii="Arial" w:hAnsi="Arial" w:cs="Arial"/>
          <w:sz w:val="22"/>
          <w:szCs w:val="22"/>
        </w:rPr>
        <w:t>. 4th edn. Basingstoke: Palgrave Macmillan.</w:t>
      </w:r>
    </w:p>
    <w:p w14:paraId="22775630"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Thompson, N. and Mathias, J. (2020) </w:t>
      </w:r>
      <w:r w:rsidRPr="00AC4FB3">
        <w:rPr>
          <w:rFonts w:ascii="Arial" w:hAnsi="Arial" w:cs="Arial"/>
          <w:i/>
          <w:iCs/>
          <w:sz w:val="22"/>
          <w:szCs w:val="22"/>
        </w:rPr>
        <w:t>Administrative skills in health and social care</w:t>
      </w:r>
      <w:r w:rsidRPr="00AC4FB3">
        <w:rPr>
          <w:rFonts w:ascii="Arial" w:hAnsi="Arial" w:cs="Arial"/>
          <w:sz w:val="22"/>
          <w:szCs w:val="22"/>
        </w:rPr>
        <w:t>. 2nd edn. London: Palgrave Macmillan.</w:t>
      </w:r>
    </w:p>
    <w:p w14:paraId="391D8AD3" w14:textId="688833BF" w:rsidR="00AC4FB3" w:rsidRPr="00AC4FB3" w:rsidRDefault="00E92CD9" w:rsidP="0061780A">
      <w:pPr>
        <w:spacing w:line="360" w:lineRule="auto"/>
        <w:rPr>
          <w:rFonts w:ascii="Arial" w:hAnsi="Arial" w:cs="Arial"/>
          <w:sz w:val="22"/>
          <w:szCs w:val="22"/>
        </w:rPr>
      </w:pPr>
      <w:r w:rsidRPr="00AC4FB3">
        <w:rPr>
          <w:rFonts w:ascii="Arial" w:hAnsi="Arial" w:cs="Arial"/>
          <w:sz w:val="22"/>
          <w:szCs w:val="22"/>
        </w:rPr>
        <w:t xml:space="preserve">White, J. (2021) </w:t>
      </w:r>
      <w:r w:rsidRPr="00AC4FB3">
        <w:rPr>
          <w:rFonts w:ascii="Arial" w:hAnsi="Arial" w:cs="Arial"/>
          <w:i/>
          <w:iCs/>
          <w:sz w:val="22"/>
          <w:szCs w:val="22"/>
        </w:rPr>
        <w:t>Understanding communication in health and social care</w:t>
      </w:r>
      <w:r w:rsidRPr="00AC4FB3">
        <w:rPr>
          <w:rFonts w:ascii="Arial" w:hAnsi="Arial" w:cs="Arial"/>
          <w:sz w:val="22"/>
          <w:szCs w:val="22"/>
        </w:rPr>
        <w:t>. London: Sage.</w:t>
      </w:r>
    </w:p>
    <w:sectPr w:rsidR="00AC4FB3" w:rsidRPr="00AC4FB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4554C" w14:textId="77777777" w:rsidR="00F83BE4" w:rsidRDefault="00F83BE4" w:rsidP="000514E6">
      <w:pPr>
        <w:spacing w:after="0" w:line="240" w:lineRule="auto"/>
      </w:pPr>
      <w:r>
        <w:separator/>
      </w:r>
    </w:p>
  </w:endnote>
  <w:endnote w:type="continuationSeparator" w:id="0">
    <w:p w14:paraId="2A6C03F3" w14:textId="77777777" w:rsidR="00F83BE4" w:rsidRDefault="00F83BE4" w:rsidP="00051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118665"/>
      <w:docPartObj>
        <w:docPartGallery w:val="Page Numbers (Bottom of Page)"/>
        <w:docPartUnique/>
      </w:docPartObj>
    </w:sdtPr>
    <w:sdtContent>
      <w:p w14:paraId="5D4ACD40" w14:textId="6129ABF6" w:rsidR="000514E6" w:rsidRDefault="000514E6">
        <w:pPr>
          <w:pStyle w:val="Footer"/>
          <w:jc w:val="center"/>
        </w:pPr>
        <w:r>
          <w:fldChar w:fldCharType="begin"/>
        </w:r>
        <w:r>
          <w:instrText>PAGE   \* MERGEFORMAT</w:instrText>
        </w:r>
        <w:r>
          <w:fldChar w:fldCharType="separate"/>
        </w:r>
        <w:r>
          <w:t>2</w:t>
        </w:r>
        <w:r>
          <w:fldChar w:fldCharType="end"/>
        </w:r>
      </w:p>
    </w:sdtContent>
  </w:sdt>
  <w:p w14:paraId="3F2E8890" w14:textId="77777777" w:rsidR="000514E6" w:rsidRDefault="00051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7127" w14:textId="77777777" w:rsidR="00F83BE4" w:rsidRDefault="00F83BE4" w:rsidP="000514E6">
      <w:pPr>
        <w:spacing w:after="0" w:line="240" w:lineRule="auto"/>
      </w:pPr>
      <w:r>
        <w:separator/>
      </w:r>
    </w:p>
  </w:footnote>
  <w:footnote w:type="continuationSeparator" w:id="0">
    <w:p w14:paraId="2043B970" w14:textId="77777777" w:rsidR="00F83BE4" w:rsidRDefault="00F83BE4" w:rsidP="00051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12B4"/>
    <w:multiLevelType w:val="hybridMultilevel"/>
    <w:tmpl w:val="A1D018C6"/>
    <w:lvl w:ilvl="0" w:tplc="C0B80058">
      <w:start w:val="1"/>
      <w:numFmt w:val="decimal"/>
      <w:lvlText w:val="%1."/>
      <w:lvlJc w:val="left"/>
      <w:pPr>
        <w:ind w:left="1870" w:hanging="360"/>
      </w:pPr>
      <w:rPr>
        <w:rFonts w:hint="default"/>
      </w:rPr>
    </w:lvl>
    <w:lvl w:ilvl="1" w:tplc="08090019" w:tentative="1">
      <w:start w:val="1"/>
      <w:numFmt w:val="lowerLetter"/>
      <w:lvlText w:val="%2."/>
      <w:lvlJc w:val="left"/>
      <w:pPr>
        <w:ind w:left="2590" w:hanging="360"/>
      </w:pPr>
    </w:lvl>
    <w:lvl w:ilvl="2" w:tplc="0809001B" w:tentative="1">
      <w:start w:val="1"/>
      <w:numFmt w:val="lowerRoman"/>
      <w:lvlText w:val="%3."/>
      <w:lvlJc w:val="right"/>
      <w:pPr>
        <w:ind w:left="3310" w:hanging="180"/>
      </w:pPr>
    </w:lvl>
    <w:lvl w:ilvl="3" w:tplc="0809000F" w:tentative="1">
      <w:start w:val="1"/>
      <w:numFmt w:val="decimal"/>
      <w:lvlText w:val="%4."/>
      <w:lvlJc w:val="left"/>
      <w:pPr>
        <w:ind w:left="4030" w:hanging="360"/>
      </w:pPr>
    </w:lvl>
    <w:lvl w:ilvl="4" w:tplc="08090019" w:tentative="1">
      <w:start w:val="1"/>
      <w:numFmt w:val="lowerLetter"/>
      <w:lvlText w:val="%5."/>
      <w:lvlJc w:val="left"/>
      <w:pPr>
        <w:ind w:left="4750" w:hanging="360"/>
      </w:pPr>
    </w:lvl>
    <w:lvl w:ilvl="5" w:tplc="0809001B" w:tentative="1">
      <w:start w:val="1"/>
      <w:numFmt w:val="lowerRoman"/>
      <w:lvlText w:val="%6."/>
      <w:lvlJc w:val="right"/>
      <w:pPr>
        <w:ind w:left="5470" w:hanging="180"/>
      </w:pPr>
    </w:lvl>
    <w:lvl w:ilvl="6" w:tplc="0809000F" w:tentative="1">
      <w:start w:val="1"/>
      <w:numFmt w:val="decimal"/>
      <w:lvlText w:val="%7."/>
      <w:lvlJc w:val="left"/>
      <w:pPr>
        <w:ind w:left="6190" w:hanging="360"/>
      </w:pPr>
    </w:lvl>
    <w:lvl w:ilvl="7" w:tplc="08090019" w:tentative="1">
      <w:start w:val="1"/>
      <w:numFmt w:val="lowerLetter"/>
      <w:lvlText w:val="%8."/>
      <w:lvlJc w:val="left"/>
      <w:pPr>
        <w:ind w:left="6910" w:hanging="360"/>
      </w:pPr>
    </w:lvl>
    <w:lvl w:ilvl="8" w:tplc="0809001B" w:tentative="1">
      <w:start w:val="1"/>
      <w:numFmt w:val="lowerRoman"/>
      <w:lvlText w:val="%9."/>
      <w:lvlJc w:val="right"/>
      <w:pPr>
        <w:ind w:left="7630" w:hanging="180"/>
      </w:pPr>
    </w:lvl>
  </w:abstractNum>
  <w:abstractNum w:abstractNumId="1" w15:restartNumberingAfterBreak="0">
    <w:nsid w:val="17A71F53"/>
    <w:multiLevelType w:val="multilevel"/>
    <w:tmpl w:val="CF44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D6688"/>
    <w:multiLevelType w:val="multilevel"/>
    <w:tmpl w:val="8EFE2F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F35A5"/>
    <w:multiLevelType w:val="multilevel"/>
    <w:tmpl w:val="9270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FB1C13"/>
    <w:multiLevelType w:val="hybridMultilevel"/>
    <w:tmpl w:val="85EA0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6418"/>
    <w:multiLevelType w:val="multilevel"/>
    <w:tmpl w:val="5B84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787651">
    <w:abstractNumId w:val="5"/>
  </w:num>
  <w:num w:numId="2" w16cid:durableId="1233658845">
    <w:abstractNumId w:val="3"/>
  </w:num>
  <w:num w:numId="3" w16cid:durableId="335813479">
    <w:abstractNumId w:val="1"/>
  </w:num>
  <w:num w:numId="4" w16cid:durableId="2051370850">
    <w:abstractNumId w:val="2"/>
  </w:num>
  <w:num w:numId="5" w16cid:durableId="28729592">
    <w:abstractNumId w:val="0"/>
  </w:num>
  <w:num w:numId="6" w16cid:durableId="957877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A46"/>
    <w:rsid w:val="00012B6A"/>
    <w:rsid w:val="00014491"/>
    <w:rsid w:val="00015F7F"/>
    <w:rsid w:val="00022C53"/>
    <w:rsid w:val="00023151"/>
    <w:rsid w:val="0002339D"/>
    <w:rsid w:val="00027455"/>
    <w:rsid w:val="000327E0"/>
    <w:rsid w:val="0003668A"/>
    <w:rsid w:val="0004146A"/>
    <w:rsid w:val="0005116F"/>
    <w:rsid w:val="000514E6"/>
    <w:rsid w:val="00053832"/>
    <w:rsid w:val="00053957"/>
    <w:rsid w:val="00057FA0"/>
    <w:rsid w:val="00077649"/>
    <w:rsid w:val="0008184B"/>
    <w:rsid w:val="00083DD5"/>
    <w:rsid w:val="00085647"/>
    <w:rsid w:val="000952EC"/>
    <w:rsid w:val="000A0389"/>
    <w:rsid w:val="000A5694"/>
    <w:rsid w:val="000C599C"/>
    <w:rsid w:val="000C7341"/>
    <w:rsid w:val="000F0131"/>
    <w:rsid w:val="000F6E45"/>
    <w:rsid w:val="0010380A"/>
    <w:rsid w:val="00103D6B"/>
    <w:rsid w:val="00121879"/>
    <w:rsid w:val="001222E0"/>
    <w:rsid w:val="00127A29"/>
    <w:rsid w:val="0013318F"/>
    <w:rsid w:val="00136683"/>
    <w:rsid w:val="001504BC"/>
    <w:rsid w:val="00151290"/>
    <w:rsid w:val="00151996"/>
    <w:rsid w:val="00152FAB"/>
    <w:rsid w:val="001540F3"/>
    <w:rsid w:val="001563E0"/>
    <w:rsid w:val="001639E3"/>
    <w:rsid w:val="0018280F"/>
    <w:rsid w:val="001831A8"/>
    <w:rsid w:val="00184D7F"/>
    <w:rsid w:val="00185EFD"/>
    <w:rsid w:val="001B0D48"/>
    <w:rsid w:val="001B11A6"/>
    <w:rsid w:val="001B45ED"/>
    <w:rsid w:val="001B5ED0"/>
    <w:rsid w:val="001C5087"/>
    <w:rsid w:val="001E5E45"/>
    <w:rsid w:val="001F443D"/>
    <w:rsid w:val="001F76EC"/>
    <w:rsid w:val="002040CC"/>
    <w:rsid w:val="002063D2"/>
    <w:rsid w:val="00212B96"/>
    <w:rsid w:val="00213122"/>
    <w:rsid w:val="00221788"/>
    <w:rsid w:val="00225308"/>
    <w:rsid w:val="0024221D"/>
    <w:rsid w:val="0024588B"/>
    <w:rsid w:val="00250A95"/>
    <w:rsid w:val="00283AC6"/>
    <w:rsid w:val="0028529E"/>
    <w:rsid w:val="002A0F96"/>
    <w:rsid w:val="002A356F"/>
    <w:rsid w:val="002A63C8"/>
    <w:rsid w:val="002A7D6F"/>
    <w:rsid w:val="002B7BC1"/>
    <w:rsid w:val="002E0614"/>
    <w:rsid w:val="002E6272"/>
    <w:rsid w:val="002E6929"/>
    <w:rsid w:val="002F7C0B"/>
    <w:rsid w:val="00306D6A"/>
    <w:rsid w:val="00306D79"/>
    <w:rsid w:val="00306F81"/>
    <w:rsid w:val="00324CCF"/>
    <w:rsid w:val="00333050"/>
    <w:rsid w:val="003335AC"/>
    <w:rsid w:val="00337ADD"/>
    <w:rsid w:val="00341ECD"/>
    <w:rsid w:val="0034292E"/>
    <w:rsid w:val="003511A5"/>
    <w:rsid w:val="003649A5"/>
    <w:rsid w:val="00382C6E"/>
    <w:rsid w:val="003841A7"/>
    <w:rsid w:val="003869FA"/>
    <w:rsid w:val="00387EBB"/>
    <w:rsid w:val="00391AEC"/>
    <w:rsid w:val="00392FC8"/>
    <w:rsid w:val="003A39AE"/>
    <w:rsid w:val="003A5987"/>
    <w:rsid w:val="003B7D62"/>
    <w:rsid w:val="003C04D6"/>
    <w:rsid w:val="003C1021"/>
    <w:rsid w:val="003C1196"/>
    <w:rsid w:val="003C31A8"/>
    <w:rsid w:val="003C7E23"/>
    <w:rsid w:val="003D1C05"/>
    <w:rsid w:val="003E4661"/>
    <w:rsid w:val="003F265E"/>
    <w:rsid w:val="00400563"/>
    <w:rsid w:val="00402250"/>
    <w:rsid w:val="00421101"/>
    <w:rsid w:val="00425BB1"/>
    <w:rsid w:val="004324C3"/>
    <w:rsid w:val="0043526C"/>
    <w:rsid w:val="004410D7"/>
    <w:rsid w:val="00441BC3"/>
    <w:rsid w:val="00443557"/>
    <w:rsid w:val="004516AF"/>
    <w:rsid w:val="004530F8"/>
    <w:rsid w:val="00460146"/>
    <w:rsid w:val="00461FF7"/>
    <w:rsid w:val="0047182C"/>
    <w:rsid w:val="00480DE1"/>
    <w:rsid w:val="004A0C4B"/>
    <w:rsid w:val="004C5DC7"/>
    <w:rsid w:val="004D6AEF"/>
    <w:rsid w:val="004E3443"/>
    <w:rsid w:val="004F7CE4"/>
    <w:rsid w:val="005073B3"/>
    <w:rsid w:val="005129BA"/>
    <w:rsid w:val="00512D4F"/>
    <w:rsid w:val="00520592"/>
    <w:rsid w:val="00521520"/>
    <w:rsid w:val="00533A6B"/>
    <w:rsid w:val="005377E1"/>
    <w:rsid w:val="0055517A"/>
    <w:rsid w:val="00563EC3"/>
    <w:rsid w:val="00583139"/>
    <w:rsid w:val="00585474"/>
    <w:rsid w:val="00586113"/>
    <w:rsid w:val="0059368E"/>
    <w:rsid w:val="005A68B6"/>
    <w:rsid w:val="005A759B"/>
    <w:rsid w:val="005B00F9"/>
    <w:rsid w:val="005B5894"/>
    <w:rsid w:val="005C0825"/>
    <w:rsid w:val="005C63F8"/>
    <w:rsid w:val="005D1F81"/>
    <w:rsid w:val="005F4C87"/>
    <w:rsid w:val="005F4C88"/>
    <w:rsid w:val="005F75C1"/>
    <w:rsid w:val="00601B51"/>
    <w:rsid w:val="00604298"/>
    <w:rsid w:val="0061105C"/>
    <w:rsid w:val="00611337"/>
    <w:rsid w:val="006113C1"/>
    <w:rsid w:val="00615F34"/>
    <w:rsid w:val="0061780A"/>
    <w:rsid w:val="00620615"/>
    <w:rsid w:val="006208AB"/>
    <w:rsid w:val="00625D2C"/>
    <w:rsid w:val="00633EFF"/>
    <w:rsid w:val="006419CB"/>
    <w:rsid w:val="00644FA9"/>
    <w:rsid w:val="0064649E"/>
    <w:rsid w:val="0065385A"/>
    <w:rsid w:val="00672BA9"/>
    <w:rsid w:val="00680A0B"/>
    <w:rsid w:val="0068628A"/>
    <w:rsid w:val="00694772"/>
    <w:rsid w:val="00695B82"/>
    <w:rsid w:val="006A4FBF"/>
    <w:rsid w:val="006B0915"/>
    <w:rsid w:val="006B0B33"/>
    <w:rsid w:val="006C0FFF"/>
    <w:rsid w:val="006E699F"/>
    <w:rsid w:val="006E71DA"/>
    <w:rsid w:val="007044E7"/>
    <w:rsid w:val="00705AE6"/>
    <w:rsid w:val="00712C9E"/>
    <w:rsid w:val="00713348"/>
    <w:rsid w:val="00751997"/>
    <w:rsid w:val="00752558"/>
    <w:rsid w:val="007630E6"/>
    <w:rsid w:val="00763751"/>
    <w:rsid w:val="0077167B"/>
    <w:rsid w:val="00787911"/>
    <w:rsid w:val="007A2E7A"/>
    <w:rsid w:val="007A65FF"/>
    <w:rsid w:val="007C1F85"/>
    <w:rsid w:val="007C2382"/>
    <w:rsid w:val="007C6E9E"/>
    <w:rsid w:val="007E1E98"/>
    <w:rsid w:val="007E3100"/>
    <w:rsid w:val="007F1D7B"/>
    <w:rsid w:val="007F4434"/>
    <w:rsid w:val="00800BEE"/>
    <w:rsid w:val="00804E54"/>
    <w:rsid w:val="00826EB6"/>
    <w:rsid w:val="00831E37"/>
    <w:rsid w:val="00836130"/>
    <w:rsid w:val="0084367B"/>
    <w:rsid w:val="0085123A"/>
    <w:rsid w:val="00854CF9"/>
    <w:rsid w:val="0087185C"/>
    <w:rsid w:val="00872B19"/>
    <w:rsid w:val="00884ACC"/>
    <w:rsid w:val="00886524"/>
    <w:rsid w:val="008A642F"/>
    <w:rsid w:val="008B1F3B"/>
    <w:rsid w:val="008B7091"/>
    <w:rsid w:val="008C08DB"/>
    <w:rsid w:val="008D4578"/>
    <w:rsid w:val="008D6DC1"/>
    <w:rsid w:val="008E55D7"/>
    <w:rsid w:val="008E5F57"/>
    <w:rsid w:val="008F2BFC"/>
    <w:rsid w:val="0090700B"/>
    <w:rsid w:val="00914F20"/>
    <w:rsid w:val="00915C00"/>
    <w:rsid w:val="009314DC"/>
    <w:rsid w:val="009358D3"/>
    <w:rsid w:val="0093731A"/>
    <w:rsid w:val="00944AB9"/>
    <w:rsid w:val="00947674"/>
    <w:rsid w:val="00953648"/>
    <w:rsid w:val="009759C0"/>
    <w:rsid w:val="00986413"/>
    <w:rsid w:val="00986BA4"/>
    <w:rsid w:val="009A1BBC"/>
    <w:rsid w:val="009C1E86"/>
    <w:rsid w:val="009D20BF"/>
    <w:rsid w:val="009D262F"/>
    <w:rsid w:val="009E32A9"/>
    <w:rsid w:val="009E5A37"/>
    <w:rsid w:val="009F4744"/>
    <w:rsid w:val="009F5F4A"/>
    <w:rsid w:val="009F68C3"/>
    <w:rsid w:val="00A03770"/>
    <w:rsid w:val="00A27485"/>
    <w:rsid w:val="00A620D8"/>
    <w:rsid w:val="00A66A3B"/>
    <w:rsid w:val="00A66D50"/>
    <w:rsid w:val="00A71AF7"/>
    <w:rsid w:val="00A82C6B"/>
    <w:rsid w:val="00AB3542"/>
    <w:rsid w:val="00AB404B"/>
    <w:rsid w:val="00AC4FB3"/>
    <w:rsid w:val="00AC5044"/>
    <w:rsid w:val="00AC740C"/>
    <w:rsid w:val="00AE68DC"/>
    <w:rsid w:val="00AF4153"/>
    <w:rsid w:val="00AF4377"/>
    <w:rsid w:val="00AF485F"/>
    <w:rsid w:val="00B13D7F"/>
    <w:rsid w:val="00B23A3B"/>
    <w:rsid w:val="00B401D1"/>
    <w:rsid w:val="00B509D2"/>
    <w:rsid w:val="00B83D96"/>
    <w:rsid w:val="00B83DAD"/>
    <w:rsid w:val="00B85ABA"/>
    <w:rsid w:val="00BA3E8B"/>
    <w:rsid w:val="00BA5F76"/>
    <w:rsid w:val="00BB733D"/>
    <w:rsid w:val="00BC3B82"/>
    <w:rsid w:val="00BC3DBB"/>
    <w:rsid w:val="00BC563E"/>
    <w:rsid w:val="00BD75E4"/>
    <w:rsid w:val="00BD7DD9"/>
    <w:rsid w:val="00BD7E3B"/>
    <w:rsid w:val="00BF4987"/>
    <w:rsid w:val="00C15BC9"/>
    <w:rsid w:val="00C20E7B"/>
    <w:rsid w:val="00C35F3F"/>
    <w:rsid w:val="00C42C6B"/>
    <w:rsid w:val="00C47F70"/>
    <w:rsid w:val="00C519E5"/>
    <w:rsid w:val="00C532C6"/>
    <w:rsid w:val="00C57271"/>
    <w:rsid w:val="00C70C9F"/>
    <w:rsid w:val="00C93A06"/>
    <w:rsid w:val="00C94823"/>
    <w:rsid w:val="00CA3BCF"/>
    <w:rsid w:val="00CA5D82"/>
    <w:rsid w:val="00CA6EEB"/>
    <w:rsid w:val="00CB2A6F"/>
    <w:rsid w:val="00CB7967"/>
    <w:rsid w:val="00CC754B"/>
    <w:rsid w:val="00CD3A4C"/>
    <w:rsid w:val="00CD7A85"/>
    <w:rsid w:val="00CE4F49"/>
    <w:rsid w:val="00D0593D"/>
    <w:rsid w:val="00D10702"/>
    <w:rsid w:val="00D1452C"/>
    <w:rsid w:val="00D16557"/>
    <w:rsid w:val="00D22BE0"/>
    <w:rsid w:val="00D46270"/>
    <w:rsid w:val="00D54A3D"/>
    <w:rsid w:val="00D57703"/>
    <w:rsid w:val="00D67F8B"/>
    <w:rsid w:val="00D81CF1"/>
    <w:rsid w:val="00D85661"/>
    <w:rsid w:val="00D937BE"/>
    <w:rsid w:val="00D97AF4"/>
    <w:rsid w:val="00D97BCD"/>
    <w:rsid w:val="00DA70B0"/>
    <w:rsid w:val="00DB13E7"/>
    <w:rsid w:val="00DD0011"/>
    <w:rsid w:val="00DD39B4"/>
    <w:rsid w:val="00DE15E4"/>
    <w:rsid w:val="00DE4D54"/>
    <w:rsid w:val="00DF137E"/>
    <w:rsid w:val="00DF4863"/>
    <w:rsid w:val="00DF4EDC"/>
    <w:rsid w:val="00E07A46"/>
    <w:rsid w:val="00E153AC"/>
    <w:rsid w:val="00E17992"/>
    <w:rsid w:val="00E20DD3"/>
    <w:rsid w:val="00E22566"/>
    <w:rsid w:val="00E2737A"/>
    <w:rsid w:val="00E32975"/>
    <w:rsid w:val="00E624EB"/>
    <w:rsid w:val="00E77B4B"/>
    <w:rsid w:val="00E83D00"/>
    <w:rsid w:val="00E852AF"/>
    <w:rsid w:val="00E92CD9"/>
    <w:rsid w:val="00E94EDD"/>
    <w:rsid w:val="00E950B2"/>
    <w:rsid w:val="00EC36BB"/>
    <w:rsid w:val="00EC62E2"/>
    <w:rsid w:val="00EE5806"/>
    <w:rsid w:val="00EF584D"/>
    <w:rsid w:val="00EF7869"/>
    <w:rsid w:val="00F0328E"/>
    <w:rsid w:val="00F0355B"/>
    <w:rsid w:val="00F13C7F"/>
    <w:rsid w:val="00F231DB"/>
    <w:rsid w:val="00F26050"/>
    <w:rsid w:val="00F26D84"/>
    <w:rsid w:val="00F27FA3"/>
    <w:rsid w:val="00F34881"/>
    <w:rsid w:val="00F3645E"/>
    <w:rsid w:val="00F4430A"/>
    <w:rsid w:val="00F5021A"/>
    <w:rsid w:val="00F659D7"/>
    <w:rsid w:val="00F6602B"/>
    <w:rsid w:val="00F7410B"/>
    <w:rsid w:val="00F83BE4"/>
    <w:rsid w:val="00F91D5C"/>
    <w:rsid w:val="00F93424"/>
    <w:rsid w:val="00F973AE"/>
    <w:rsid w:val="00FC76CD"/>
    <w:rsid w:val="00FD1A8C"/>
    <w:rsid w:val="00FD4C26"/>
    <w:rsid w:val="00FD6599"/>
    <w:rsid w:val="00FD6DD7"/>
    <w:rsid w:val="00FF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89BE0"/>
  <w15:chartTrackingRefBased/>
  <w15:docId w15:val="{60A6A535-BDB9-4420-A9EE-07D92583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68E"/>
    <w:pPr>
      <w:keepNext/>
      <w:keepLines/>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semiHidden/>
    <w:unhideWhenUsed/>
    <w:qFormat/>
    <w:rsid w:val="00E07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A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A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A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68E"/>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E07A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A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A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A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A46"/>
    <w:rPr>
      <w:rFonts w:eastAsiaTheme="majorEastAsia" w:cstheme="majorBidi"/>
      <w:color w:val="272727" w:themeColor="text1" w:themeTint="D8"/>
    </w:rPr>
  </w:style>
  <w:style w:type="paragraph" w:styleId="Title">
    <w:name w:val="Title"/>
    <w:basedOn w:val="Normal"/>
    <w:next w:val="Normal"/>
    <w:link w:val="TitleChar"/>
    <w:uiPriority w:val="10"/>
    <w:qFormat/>
    <w:rsid w:val="00E07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A46"/>
    <w:pPr>
      <w:spacing w:before="160"/>
      <w:jc w:val="center"/>
    </w:pPr>
    <w:rPr>
      <w:i/>
      <w:iCs/>
      <w:color w:val="404040" w:themeColor="text1" w:themeTint="BF"/>
    </w:rPr>
  </w:style>
  <w:style w:type="character" w:customStyle="1" w:styleId="QuoteChar">
    <w:name w:val="Quote Char"/>
    <w:basedOn w:val="DefaultParagraphFont"/>
    <w:link w:val="Quote"/>
    <w:uiPriority w:val="29"/>
    <w:rsid w:val="00E07A46"/>
    <w:rPr>
      <w:i/>
      <w:iCs/>
      <w:color w:val="404040" w:themeColor="text1" w:themeTint="BF"/>
    </w:rPr>
  </w:style>
  <w:style w:type="paragraph" w:styleId="ListParagraph">
    <w:name w:val="List Paragraph"/>
    <w:basedOn w:val="Normal"/>
    <w:uiPriority w:val="34"/>
    <w:qFormat/>
    <w:rsid w:val="00E07A46"/>
    <w:pPr>
      <w:ind w:left="720"/>
      <w:contextualSpacing/>
    </w:pPr>
  </w:style>
  <w:style w:type="character" w:styleId="IntenseEmphasis">
    <w:name w:val="Intense Emphasis"/>
    <w:basedOn w:val="DefaultParagraphFont"/>
    <w:uiPriority w:val="21"/>
    <w:qFormat/>
    <w:rsid w:val="00E07A46"/>
    <w:rPr>
      <w:i/>
      <w:iCs/>
      <w:color w:val="0F4761" w:themeColor="accent1" w:themeShade="BF"/>
    </w:rPr>
  </w:style>
  <w:style w:type="paragraph" w:styleId="IntenseQuote">
    <w:name w:val="Intense Quote"/>
    <w:basedOn w:val="Normal"/>
    <w:next w:val="Normal"/>
    <w:link w:val="IntenseQuoteChar"/>
    <w:uiPriority w:val="30"/>
    <w:qFormat/>
    <w:rsid w:val="00E07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A46"/>
    <w:rPr>
      <w:i/>
      <w:iCs/>
      <w:color w:val="0F4761" w:themeColor="accent1" w:themeShade="BF"/>
    </w:rPr>
  </w:style>
  <w:style w:type="character" w:styleId="IntenseReference">
    <w:name w:val="Intense Reference"/>
    <w:basedOn w:val="DefaultParagraphFont"/>
    <w:uiPriority w:val="32"/>
    <w:qFormat/>
    <w:rsid w:val="00E07A46"/>
    <w:rPr>
      <w:b/>
      <w:bCs/>
      <w:smallCaps/>
      <w:color w:val="0F4761" w:themeColor="accent1" w:themeShade="BF"/>
      <w:spacing w:val="5"/>
    </w:rPr>
  </w:style>
  <w:style w:type="character" w:styleId="Hyperlink">
    <w:name w:val="Hyperlink"/>
    <w:basedOn w:val="DefaultParagraphFont"/>
    <w:uiPriority w:val="99"/>
    <w:unhideWhenUsed/>
    <w:rsid w:val="0008184B"/>
    <w:rPr>
      <w:color w:val="467886" w:themeColor="hyperlink"/>
      <w:u w:val="single"/>
    </w:rPr>
  </w:style>
  <w:style w:type="character" w:styleId="UnresolvedMention">
    <w:name w:val="Unresolved Mention"/>
    <w:basedOn w:val="DefaultParagraphFont"/>
    <w:uiPriority w:val="99"/>
    <w:semiHidden/>
    <w:unhideWhenUsed/>
    <w:rsid w:val="0008184B"/>
    <w:rPr>
      <w:color w:val="605E5C"/>
      <w:shd w:val="clear" w:color="auto" w:fill="E1DFDD"/>
    </w:rPr>
  </w:style>
  <w:style w:type="paragraph" w:styleId="NormalWeb">
    <w:name w:val="Normal (Web)"/>
    <w:basedOn w:val="Normal"/>
    <w:uiPriority w:val="99"/>
    <w:semiHidden/>
    <w:unhideWhenUsed/>
    <w:rsid w:val="00C519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19E5"/>
    <w:rPr>
      <w:i/>
      <w:iCs/>
    </w:rPr>
  </w:style>
  <w:style w:type="paragraph" w:styleId="Header">
    <w:name w:val="header"/>
    <w:basedOn w:val="Normal"/>
    <w:link w:val="HeaderChar"/>
    <w:uiPriority w:val="99"/>
    <w:unhideWhenUsed/>
    <w:rsid w:val="00051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E6"/>
  </w:style>
  <w:style w:type="paragraph" w:styleId="Footer">
    <w:name w:val="footer"/>
    <w:basedOn w:val="Normal"/>
    <w:link w:val="FooterChar"/>
    <w:uiPriority w:val="99"/>
    <w:unhideWhenUsed/>
    <w:rsid w:val="00051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E6"/>
  </w:style>
  <w:style w:type="paragraph" w:styleId="TOCHeading">
    <w:name w:val="TOC Heading"/>
    <w:basedOn w:val="Heading1"/>
    <w:next w:val="Normal"/>
    <w:uiPriority w:val="39"/>
    <w:unhideWhenUsed/>
    <w:qFormat/>
    <w:rsid w:val="003A5987"/>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3A59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0a4f3baaed6bd49d2d2297222b9908d8">
  <xsd:schema xmlns:xsd="http://www.w3.org/2001/XMLSchema" xmlns:xs="http://www.w3.org/2001/XMLSchema" xmlns:p="http://schemas.microsoft.com/office/2006/metadata/properties" xmlns:ns3="f799553d-1ac0-48da-9ae3-fe400ced9c3b" targetNamespace="http://schemas.microsoft.com/office/2006/metadata/properties" ma:root="true" ma:fieldsID="ef6d37f3fc292b8d40c6429dbe4a7d2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8BB0D24F-8249-4E92-A0C4-F0A30E5D780A}">
  <ds:schemaRefs>
    <ds:schemaRef ds:uri="http://schemas.microsoft.com/sharepoint/v3/contenttype/forms"/>
  </ds:schemaRefs>
</ds:datastoreItem>
</file>

<file path=customXml/itemProps2.xml><?xml version="1.0" encoding="utf-8"?>
<ds:datastoreItem xmlns:ds="http://schemas.openxmlformats.org/officeDocument/2006/customXml" ds:itemID="{1F2D7D32-033D-4E84-9E4F-80D3C1A44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00F5DA-0A34-46D3-ADE4-943DE0936F1C}">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2172</Words>
  <Characters>14595</Characters>
  <Application>Microsoft Office Word</Application>
  <DocSecurity>0</DocSecurity>
  <Lines>277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93</cp:revision>
  <dcterms:created xsi:type="dcterms:W3CDTF">2025-11-20T10:34:00Z</dcterms:created>
  <dcterms:modified xsi:type="dcterms:W3CDTF">2025-11-20T19:38:00Z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