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0CA05" w14:textId="77777777" w:rsidR="00310CB9" w:rsidRPr="00310CB9" w:rsidRDefault="00310CB9" w:rsidP="00310CB9">
      <w:pPr>
        <w:spacing w:after="0" w:line="240" w:lineRule="auto"/>
        <w:jc w:val="center"/>
        <w:rPr>
          <w:rFonts w:eastAsia="Times New Roman" w:cs="Times New Roman"/>
          <w:b/>
          <w:bCs/>
          <w:color w:val="auto"/>
          <w:sz w:val="36"/>
          <w:szCs w:val="36"/>
          <w:lang w:eastAsia="en-GB"/>
        </w:rPr>
      </w:pPr>
      <w:r w:rsidRPr="00310CB9">
        <w:rPr>
          <w:rFonts w:ascii="Helvetica Neue" w:eastAsia="Times New Roman" w:hAnsi="Helvetica Neue" w:cs="Times New Roman"/>
          <w:b/>
          <w:bCs/>
          <w:color w:val="1D2228"/>
          <w:sz w:val="36"/>
          <w:szCs w:val="36"/>
          <w:shd w:val="clear" w:color="auto" w:fill="FFFFFF"/>
          <w:lang w:eastAsia="en-GB"/>
        </w:rPr>
        <w:t>Community Engagement - Assessment 1 Essay</w:t>
      </w:r>
    </w:p>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3F9B2B0E" w14:textId="10738A60" w:rsidR="00225B97" w:rsidRDefault="001834FC">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86485609" w:history="1">
            <w:r w:rsidR="00225B97" w:rsidRPr="005C630B">
              <w:rPr>
                <w:rStyle w:val="Hyperlink"/>
                <w:noProof/>
              </w:rPr>
              <w:t>Introduction</w:t>
            </w:r>
            <w:r w:rsidR="00225B97">
              <w:rPr>
                <w:noProof/>
                <w:webHidden/>
              </w:rPr>
              <w:tab/>
            </w:r>
            <w:r w:rsidR="00225B97">
              <w:rPr>
                <w:noProof/>
                <w:webHidden/>
              </w:rPr>
              <w:fldChar w:fldCharType="begin"/>
            </w:r>
            <w:r w:rsidR="00225B97">
              <w:rPr>
                <w:noProof/>
                <w:webHidden/>
              </w:rPr>
              <w:instrText xml:space="preserve"> PAGEREF _Toc86485609 \h </w:instrText>
            </w:r>
            <w:r w:rsidR="00225B97">
              <w:rPr>
                <w:noProof/>
                <w:webHidden/>
              </w:rPr>
            </w:r>
            <w:r w:rsidR="00225B97">
              <w:rPr>
                <w:noProof/>
                <w:webHidden/>
              </w:rPr>
              <w:fldChar w:fldCharType="separate"/>
            </w:r>
            <w:r w:rsidR="00225B97">
              <w:rPr>
                <w:noProof/>
                <w:webHidden/>
              </w:rPr>
              <w:t>1</w:t>
            </w:r>
            <w:r w:rsidR="00225B97">
              <w:rPr>
                <w:noProof/>
                <w:webHidden/>
              </w:rPr>
              <w:fldChar w:fldCharType="end"/>
            </w:r>
          </w:hyperlink>
        </w:p>
        <w:p w14:paraId="3ECF7D8B" w14:textId="039435E7" w:rsidR="00225B97" w:rsidRDefault="00C161CB">
          <w:pPr>
            <w:pStyle w:val="TOC1"/>
            <w:tabs>
              <w:tab w:val="right" w:leader="dot" w:pos="9350"/>
            </w:tabs>
            <w:rPr>
              <w:rFonts w:asciiTheme="minorHAnsi" w:eastAsiaTheme="minorEastAsia" w:hAnsiTheme="minorHAnsi"/>
              <w:noProof/>
              <w:color w:val="auto"/>
              <w:sz w:val="22"/>
              <w:lang w:eastAsia="en-GB"/>
            </w:rPr>
          </w:pPr>
          <w:hyperlink w:anchor="_Toc86485610" w:history="1">
            <w:r w:rsidR="00225B97" w:rsidRPr="005C630B">
              <w:rPr>
                <w:rStyle w:val="Hyperlink"/>
                <w:noProof/>
              </w:rPr>
              <w:t>The Importance of Community Engagement</w:t>
            </w:r>
            <w:r w:rsidR="00225B97">
              <w:rPr>
                <w:noProof/>
                <w:webHidden/>
              </w:rPr>
              <w:tab/>
            </w:r>
            <w:r w:rsidR="00225B97">
              <w:rPr>
                <w:noProof/>
                <w:webHidden/>
              </w:rPr>
              <w:fldChar w:fldCharType="begin"/>
            </w:r>
            <w:r w:rsidR="00225B97">
              <w:rPr>
                <w:noProof/>
                <w:webHidden/>
              </w:rPr>
              <w:instrText xml:space="preserve"> PAGEREF _Toc86485610 \h </w:instrText>
            </w:r>
            <w:r w:rsidR="00225B97">
              <w:rPr>
                <w:noProof/>
                <w:webHidden/>
              </w:rPr>
            </w:r>
            <w:r w:rsidR="00225B97">
              <w:rPr>
                <w:noProof/>
                <w:webHidden/>
              </w:rPr>
              <w:fldChar w:fldCharType="separate"/>
            </w:r>
            <w:r w:rsidR="00225B97">
              <w:rPr>
                <w:noProof/>
                <w:webHidden/>
              </w:rPr>
              <w:t>2</w:t>
            </w:r>
            <w:r w:rsidR="00225B97">
              <w:rPr>
                <w:noProof/>
                <w:webHidden/>
              </w:rPr>
              <w:fldChar w:fldCharType="end"/>
            </w:r>
          </w:hyperlink>
        </w:p>
        <w:p w14:paraId="391025F2" w14:textId="32722960" w:rsidR="00225B97" w:rsidRDefault="00C161CB">
          <w:pPr>
            <w:pStyle w:val="TOC1"/>
            <w:tabs>
              <w:tab w:val="right" w:leader="dot" w:pos="9350"/>
            </w:tabs>
            <w:rPr>
              <w:rFonts w:asciiTheme="minorHAnsi" w:eastAsiaTheme="minorEastAsia" w:hAnsiTheme="minorHAnsi"/>
              <w:noProof/>
              <w:color w:val="auto"/>
              <w:sz w:val="22"/>
              <w:lang w:eastAsia="en-GB"/>
            </w:rPr>
          </w:pPr>
          <w:hyperlink w:anchor="_Toc86485611" w:history="1">
            <w:r w:rsidR="00225B97" w:rsidRPr="005C630B">
              <w:rPr>
                <w:rStyle w:val="Hyperlink"/>
                <w:noProof/>
              </w:rPr>
              <w:t>The Importance of Transferable Skills in Community Engagement</w:t>
            </w:r>
            <w:r w:rsidR="00225B97">
              <w:rPr>
                <w:noProof/>
                <w:webHidden/>
              </w:rPr>
              <w:tab/>
            </w:r>
            <w:r w:rsidR="00225B97">
              <w:rPr>
                <w:noProof/>
                <w:webHidden/>
              </w:rPr>
              <w:fldChar w:fldCharType="begin"/>
            </w:r>
            <w:r w:rsidR="00225B97">
              <w:rPr>
                <w:noProof/>
                <w:webHidden/>
              </w:rPr>
              <w:instrText xml:space="preserve"> PAGEREF _Toc86485611 \h </w:instrText>
            </w:r>
            <w:r w:rsidR="00225B97">
              <w:rPr>
                <w:noProof/>
                <w:webHidden/>
              </w:rPr>
            </w:r>
            <w:r w:rsidR="00225B97">
              <w:rPr>
                <w:noProof/>
                <w:webHidden/>
              </w:rPr>
              <w:fldChar w:fldCharType="separate"/>
            </w:r>
            <w:r w:rsidR="00225B97">
              <w:rPr>
                <w:noProof/>
                <w:webHidden/>
              </w:rPr>
              <w:t>4</w:t>
            </w:r>
            <w:r w:rsidR="00225B97">
              <w:rPr>
                <w:noProof/>
                <w:webHidden/>
              </w:rPr>
              <w:fldChar w:fldCharType="end"/>
            </w:r>
          </w:hyperlink>
        </w:p>
        <w:p w14:paraId="3B8C96B2" w14:textId="7755B7AE" w:rsidR="00225B97" w:rsidRDefault="00C161CB">
          <w:pPr>
            <w:pStyle w:val="TOC1"/>
            <w:tabs>
              <w:tab w:val="right" w:leader="dot" w:pos="9350"/>
            </w:tabs>
            <w:rPr>
              <w:rFonts w:asciiTheme="minorHAnsi" w:eastAsiaTheme="minorEastAsia" w:hAnsiTheme="minorHAnsi"/>
              <w:noProof/>
              <w:color w:val="auto"/>
              <w:sz w:val="22"/>
              <w:lang w:eastAsia="en-GB"/>
            </w:rPr>
          </w:pPr>
          <w:hyperlink w:anchor="_Toc86485612" w:history="1">
            <w:r w:rsidR="00225B97" w:rsidRPr="005C630B">
              <w:rPr>
                <w:rStyle w:val="Hyperlink"/>
                <w:noProof/>
              </w:rPr>
              <w:t>Some Transferable Skills that are Evident in the Case and how can and/or what can Mr Clark’s Employer do to Take Community Engagement to the Next Level</w:t>
            </w:r>
            <w:r w:rsidR="00225B97">
              <w:rPr>
                <w:noProof/>
                <w:webHidden/>
              </w:rPr>
              <w:tab/>
            </w:r>
            <w:r w:rsidR="00225B97">
              <w:rPr>
                <w:noProof/>
                <w:webHidden/>
              </w:rPr>
              <w:fldChar w:fldCharType="begin"/>
            </w:r>
            <w:r w:rsidR="00225B97">
              <w:rPr>
                <w:noProof/>
                <w:webHidden/>
              </w:rPr>
              <w:instrText xml:space="preserve"> PAGEREF _Toc86485612 \h </w:instrText>
            </w:r>
            <w:r w:rsidR="00225B97">
              <w:rPr>
                <w:noProof/>
                <w:webHidden/>
              </w:rPr>
            </w:r>
            <w:r w:rsidR="00225B97">
              <w:rPr>
                <w:noProof/>
                <w:webHidden/>
              </w:rPr>
              <w:fldChar w:fldCharType="separate"/>
            </w:r>
            <w:r w:rsidR="00225B97">
              <w:rPr>
                <w:noProof/>
                <w:webHidden/>
              </w:rPr>
              <w:t>5</w:t>
            </w:r>
            <w:r w:rsidR="00225B97">
              <w:rPr>
                <w:noProof/>
                <w:webHidden/>
              </w:rPr>
              <w:fldChar w:fldCharType="end"/>
            </w:r>
          </w:hyperlink>
        </w:p>
        <w:p w14:paraId="1B7E0614" w14:textId="17E9DA36" w:rsidR="00225B97" w:rsidRDefault="00C161CB">
          <w:pPr>
            <w:pStyle w:val="TOC1"/>
            <w:tabs>
              <w:tab w:val="right" w:leader="dot" w:pos="9350"/>
            </w:tabs>
            <w:rPr>
              <w:rFonts w:asciiTheme="minorHAnsi" w:eastAsiaTheme="minorEastAsia" w:hAnsiTheme="minorHAnsi"/>
              <w:noProof/>
              <w:color w:val="auto"/>
              <w:sz w:val="22"/>
              <w:lang w:eastAsia="en-GB"/>
            </w:rPr>
          </w:pPr>
          <w:hyperlink w:anchor="_Toc86485613" w:history="1">
            <w:r w:rsidR="00225B97" w:rsidRPr="005C630B">
              <w:rPr>
                <w:rStyle w:val="Hyperlink"/>
                <w:noProof/>
              </w:rPr>
              <w:t>Conclusion</w:t>
            </w:r>
            <w:r w:rsidR="00225B97">
              <w:rPr>
                <w:noProof/>
                <w:webHidden/>
              </w:rPr>
              <w:tab/>
            </w:r>
            <w:r w:rsidR="00225B97">
              <w:rPr>
                <w:noProof/>
                <w:webHidden/>
              </w:rPr>
              <w:fldChar w:fldCharType="begin"/>
            </w:r>
            <w:r w:rsidR="00225B97">
              <w:rPr>
                <w:noProof/>
                <w:webHidden/>
              </w:rPr>
              <w:instrText xml:space="preserve"> PAGEREF _Toc86485613 \h </w:instrText>
            </w:r>
            <w:r w:rsidR="00225B97">
              <w:rPr>
                <w:noProof/>
                <w:webHidden/>
              </w:rPr>
            </w:r>
            <w:r w:rsidR="00225B97">
              <w:rPr>
                <w:noProof/>
                <w:webHidden/>
              </w:rPr>
              <w:fldChar w:fldCharType="separate"/>
            </w:r>
            <w:r w:rsidR="00225B97">
              <w:rPr>
                <w:noProof/>
                <w:webHidden/>
              </w:rPr>
              <w:t>7</w:t>
            </w:r>
            <w:r w:rsidR="00225B97">
              <w:rPr>
                <w:noProof/>
                <w:webHidden/>
              </w:rPr>
              <w:fldChar w:fldCharType="end"/>
            </w:r>
          </w:hyperlink>
        </w:p>
        <w:p w14:paraId="4CBBF7D2" w14:textId="45D4B37D" w:rsidR="00225B97" w:rsidRDefault="00C161CB">
          <w:pPr>
            <w:pStyle w:val="TOC1"/>
            <w:tabs>
              <w:tab w:val="right" w:leader="dot" w:pos="9350"/>
            </w:tabs>
            <w:rPr>
              <w:rFonts w:asciiTheme="minorHAnsi" w:eastAsiaTheme="minorEastAsia" w:hAnsiTheme="minorHAnsi"/>
              <w:noProof/>
              <w:color w:val="auto"/>
              <w:sz w:val="22"/>
              <w:lang w:eastAsia="en-GB"/>
            </w:rPr>
          </w:pPr>
          <w:hyperlink w:anchor="_Toc86485614" w:history="1">
            <w:r w:rsidR="00225B97" w:rsidRPr="005C630B">
              <w:rPr>
                <w:rStyle w:val="Hyperlink"/>
                <w:noProof/>
              </w:rPr>
              <w:t>Reference</w:t>
            </w:r>
            <w:r w:rsidR="00225B97">
              <w:rPr>
                <w:noProof/>
                <w:webHidden/>
              </w:rPr>
              <w:tab/>
            </w:r>
            <w:r w:rsidR="00225B97">
              <w:rPr>
                <w:noProof/>
                <w:webHidden/>
              </w:rPr>
              <w:fldChar w:fldCharType="begin"/>
            </w:r>
            <w:r w:rsidR="00225B97">
              <w:rPr>
                <w:noProof/>
                <w:webHidden/>
              </w:rPr>
              <w:instrText xml:space="preserve"> PAGEREF _Toc86485614 \h </w:instrText>
            </w:r>
            <w:r w:rsidR="00225B97">
              <w:rPr>
                <w:noProof/>
                <w:webHidden/>
              </w:rPr>
            </w:r>
            <w:r w:rsidR="00225B97">
              <w:rPr>
                <w:noProof/>
                <w:webHidden/>
              </w:rPr>
              <w:fldChar w:fldCharType="separate"/>
            </w:r>
            <w:r w:rsidR="00225B97">
              <w:rPr>
                <w:noProof/>
                <w:webHidden/>
              </w:rPr>
              <w:t>8</w:t>
            </w:r>
            <w:r w:rsidR="00225B97">
              <w:rPr>
                <w:noProof/>
                <w:webHidden/>
              </w:rPr>
              <w:fldChar w:fldCharType="end"/>
            </w:r>
          </w:hyperlink>
        </w:p>
        <w:p w14:paraId="11FB9FCD" w14:textId="621F02DC" w:rsidR="001834FC" w:rsidRDefault="001834FC">
          <w:r>
            <w:rPr>
              <w:b/>
              <w:bCs/>
              <w:noProof/>
            </w:rPr>
            <w:fldChar w:fldCharType="end"/>
          </w:r>
        </w:p>
      </w:sdtContent>
    </w:sdt>
    <w:p w14:paraId="0E64312A" w14:textId="73F329D3" w:rsidR="001834FC" w:rsidRDefault="001834FC"/>
    <w:p w14:paraId="0BEB37EE" w14:textId="1D81E2A1" w:rsidR="001834FC" w:rsidRDefault="001834FC" w:rsidP="00225B97">
      <w:pPr>
        <w:sectPr w:rsidR="001834FC" w:rsidSect="001834FC">
          <w:footerReference w:type="default" r:id="rId7"/>
          <w:pgSz w:w="12240" w:h="15840"/>
          <w:pgMar w:top="1440" w:right="1440" w:bottom="1440" w:left="1440" w:header="720" w:footer="720" w:gutter="0"/>
          <w:pgNumType w:fmt="lowerRoman"/>
          <w:cols w:space="720"/>
          <w:docGrid w:linePitch="360"/>
        </w:sectPr>
      </w:pPr>
      <w:r>
        <w:br w:type="page"/>
      </w:r>
    </w:p>
    <w:p w14:paraId="194129F4" w14:textId="48758C69" w:rsidR="001834FC" w:rsidRDefault="001834FC" w:rsidP="001834FC">
      <w:pPr>
        <w:pStyle w:val="Heading1"/>
      </w:pPr>
      <w:bookmarkStart w:id="0" w:name="_Toc86485609"/>
      <w:r>
        <w:lastRenderedPageBreak/>
        <w:t>Introduction</w:t>
      </w:r>
      <w:bookmarkEnd w:id="0"/>
      <w:r>
        <w:t xml:space="preserve"> </w:t>
      </w:r>
    </w:p>
    <w:p w14:paraId="52D1B742" w14:textId="49315E68" w:rsidR="00344353" w:rsidRDefault="00225B97" w:rsidP="00225B97">
      <w:pPr>
        <w:rPr>
          <w:rFonts w:asciiTheme="majorHAnsi" w:eastAsiaTheme="majorEastAsia" w:hAnsiTheme="majorHAnsi" w:cstheme="majorBidi"/>
          <w:b/>
          <w:sz w:val="32"/>
          <w:szCs w:val="32"/>
        </w:rPr>
      </w:pPr>
      <w:r w:rsidRPr="00225B97">
        <w:t xml:space="preserve">Community engagement refers to working together on problems that impact the well-being of individuals and groups that are linked by geography, </w:t>
      </w:r>
      <w:r w:rsidR="00074754">
        <w:t xml:space="preserve">a </w:t>
      </w:r>
      <w:r w:rsidRPr="00225B97">
        <w:t>particular interest, or similar circumstances. Psychological and contextual improvements will benefit the community's well</w:t>
      </w:r>
      <w:r w:rsidR="00074754">
        <w:t>-</w:t>
      </w:r>
      <w:r w:rsidRPr="00225B97">
        <w:t>being of its inhabitants. Collaboration and partnerships are important because they help mobilize resources, influence systems, transform partner relationships</w:t>
      </w:r>
      <w:r w:rsidR="00074754">
        <w:t>,</w:t>
      </w:r>
      <w:r w:rsidRPr="00225B97">
        <w:t xml:space="preserve"> and function as catalysts for policy, program</w:t>
      </w:r>
      <w:r w:rsidR="00074754">
        <w:t>,</w:t>
      </w:r>
      <w:r w:rsidRPr="00225B97">
        <w:t xml:space="preserve"> and practice changes. </w:t>
      </w:r>
      <w:r w:rsidR="00074754">
        <w:t>T</w:t>
      </w:r>
      <w:r w:rsidRPr="00225B97">
        <w:t>he significance of community involvement in this project</w:t>
      </w:r>
      <w:r w:rsidR="00074754">
        <w:t xml:space="preserve"> has been discussed</w:t>
      </w:r>
      <w:r w:rsidRPr="00225B97">
        <w:t xml:space="preserve">. </w:t>
      </w:r>
      <w:r w:rsidR="00074754">
        <w:t>Next, W</w:t>
      </w:r>
      <w:r w:rsidRPr="00225B97">
        <w:t xml:space="preserve">hat Mr. Clark's company can do to take community engagement to the next level by evaluating the value of transferable abilities in the case and identifying some transferable talents that are </w:t>
      </w:r>
      <w:r w:rsidR="00074754">
        <w:t>delineated</w:t>
      </w:r>
      <w:r w:rsidRPr="00225B97">
        <w:t>.</w:t>
      </w:r>
      <w:r w:rsidR="00344353">
        <w:br w:type="page"/>
      </w:r>
    </w:p>
    <w:p w14:paraId="5198BD53" w14:textId="7DB3EAC1" w:rsidR="00344353" w:rsidRDefault="00344353" w:rsidP="00344353">
      <w:pPr>
        <w:pStyle w:val="Heading1"/>
      </w:pPr>
      <w:bookmarkStart w:id="1" w:name="_Toc86485610"/>
      <w:r>
        <w:lastRenderedPageBreak/>
        <w:t>The Importance of Community Engagement</w:t>
      </w:r>
      <w:bookmarkEnd w:id="1"/>
    </w:p>
    <w:p w14:paraId="7A41F009" w14:textId="5A047C2A" w:rsidR="00344353" w:rsidRDefault="00344353" w:rsidP="00344353">
      <w:r>
        <w:t>It is so important to understand that community engagement is an approach that is designed to help individuals from different backgrounds and affiliations work together to recognize and assess problems that influence their well-being.</w:t>
      </w:r>
      <w:r w:rsidR="00501C4B">
        <w:t xml:space="preserve"> </w:t>
      </w:r>
      <w:r>
        <w:t>The connection between the terms community and engagement broadens the scope, changing the emphasis from the individual to the community, with the attendant consequences for inclusion to guarantee that the diversity within any community is taken into account.</w:t>
      </w:r>
    </w:p>
    <w:p w14:paraId="39389EF9" w14:textId="0FD9DD4A" w:rsidR="00501C4B" w:rsidRDefault="00501C4B" w:rsidP="00501C4B">
      <w:r>
        <w:t>Participation in the community helps to create and maintain harmonious communities:  Involvement of the community is vital because, basically, organizations and communities may decide to generate social capital via discourse</w:t>
      </w:r>
      <w:r w:rsidR="00F94CA3" w:rsidRPr="00F94CA3">
        <w:t xml:space="preserve"> </w:t>
      </w:r>
      <w:r w:rsidR="00F94CA3">
        <w:t>(</w:t>
      </w:r>
      <w:r w:rsidR="00F94CA3" w:rsidRPr="00F94CA3">
        <w:t>Jones,</w:t>
      </w:r>
      <w:r w:rsidR="00F94CA3">
        <w:t xml:space="preserve"> </w:t>
      </w:r>
      <w:r w:rsidR="00F94CA3" w:rsidRPr="00F94CA3">
        <w:t>2013</w:t>
      </w:r>
      <w:r w:rsidR="00F94CA3">
        <w:t>)</w:t>
      </w:r>
      <w:r>
        <w:t>. Stories about the importance of community engagement range from bringing about changes in local policy initiatives and relevant services that not only enhance the quality of life and quality of living of communities but also help structure and forecast the future of a community, resulting in social and cultural and global impacts.</w:t>
      </w:r>
    </w:p>
    <w:p w14:paraId="0D4297AD" w14:textId="65E7F5F2" w:rsidR="00501C4B" w:rsidRDefault="00501C4B" w:rsidP="00501C4B">
      <w:r>
        <w:t>Improved results are the result of community involvement: Government and public decision-making organizations should seek out the ambitions, worries, and principles of communities, and those communities should then communicate their ambitions, interests, and beliefs with the governmental bodies. Public decision</w:t>
      </w:r>
      <w:r w:rsidR="00074754">
        <w:t>-</w:t>
      </w:r>
      <w:r>
        <w:t xml:space="preserve">makers benefit from improved information and are better equipped to address </w:t>
      </w:r>
      <w:r w:rsidR="00074754">
        <w:t xml:space="preserve">the </w:t>
      </w:r>
      <w:r>
        <w:t>needs of the community when it is included in judgment procedures</w:t>
      </w:r>
      <w:r w:rsidR="00F94CA3" w:rsidRPr="00F94CA3">
        <w:t xml:space="preserve"> </w:t>
      </w:r>
      <w:r w:rsidR="00F94CA3">
        <w:t>(</w:t>
      </w:r>
      <w:r w:rsidR="00F94CA3" w:rsidRPr="00F94CA3">
        <w:t>Barnes, 2016</w:t>
      </w:r>
      <w:r w:rsidR="00F94CA3">
        <w:t>)</w:t>
      </w:r>
      <w:r>
        <w:t>. A stronger feeling of public control and better adoption of services arise from long-term, successful partnerships between governmental organizations and communities.</w:t>
      </w:r>
    </w:p>
    <w:p w14:paraId="3E5E9F03" w14:textId="31152068" w:rsidR="00501C4B" w:rsidRDefault="00501C4B" w:rsidP="00501C4B">
      <w:r>
        <w:t xml:space="preserve">Access and empowerment are ensured through participation in the community: The importance of meaningful, inclusive community involvement cannot be overstated for the sake of a community. Community members who have been educated and informed about current concerns may make important contributions to participation and help influence such activities when seen through the ideals of inclusion. </w:t>
      </w:r>
    </w:p>
    <w:p w14:paraId="30FBE32B" w14:textId="0ED3214E" w:rsidR="00501C4B" w:rsidRDefault="00501C4B" w:rsidP="00501C4B">
      <w:r>
        <w:t xml:space="preserve">Local governments benefit from community participation when it comes to making sustainable choices: Getting citizens involved in the decision-making process helps governments become more efficient, legitimate, and transparent. As involvement is encouraged, policymakers are better </w:t>
      </w:r>
      <w:r>
        <w:lastRenderedPageBreak/>
        <w:t>equipped to make informed judgments by interacting and thoroughly mapping out the needs, views</w:t>
      </w:r>
      <w:r w:rsidR="00074754">
        <w:t>,</w:t>
      </w:r>
      <w:r>
        <w:t xml:space="preserve"> and aspirations of communities on problems that concern them. All participants – especially decision-makers – benefit from sustainable choices when the interests and needs of all stakeholders are recognized and communicated. Community engagement gives an opportunity for individuals and governments to participate in a transformational kind of continuous dialogue. </w:t>
      </w:r>
    </w:p>
    <w:p w14:paraId="01ECADDE" w14:textId="1CA54D55" w:rsidR="00501C4B" w:rsidRDefault="00501C4B" w:rsidP="00501C4B">
      <w:r>
        <w:t>Participation in the community is key to social change: The relevance of community involvement is obvious as it promotes social change because of the focus on cooperation and the promise of impact on decision-making. Communities may have an impact on elections by using their right to vote. Furthermore, elections provide a considerable window of opportunity to affect a shift. Local governments, towns, and councils have the greatest influence on advocacy efforts when they mobilize their citizens around issues that have a direct impact on their daily lives. Community members may have the greatest influence on policy when they work in the local, place-based arena.</w:t>
      </w:r>
    </w:p>
    <w:p w14:paraId="0C947652" w14:textId="624ED005" w:rsidR="00501C4B" w:rsidRDefault="00501C4B" w:rsidP="00501C4B">
      <w:r>
        <w:t>Participation of the local community is essential to strengthening democracies: Deliberative democracy promotes a collaborative discussion on a set of policies or actions depending on the sorts of community participation and the amount of influence provided to communities in the public decision-making process.</w:t>
      </w:r>
    </w:p>
    <w:p w14:paraId="1F9A44DF" w14:textId="54B15F63" w:rsidR="00501C4B" w:rsidRDefault="008C0394" w:rsidP="00501C4B">
      <w:r>
        <w:t xml:space="preserve">Through participation in public decision-making processes, </w:t>
      </w:r>
      <w:r w:rsidR="00074754">
        <w:t xml:space="preserve">the </w:t>
      </w:r>
      <w:r>
        <w:t>local population may learn about and educate themselves on policy problems that affect their day-to-day lives. With the help of feedback from the community, government agencies and other decision-making bodies may better listen to their constituents and see the value of their contributions. As a result, including the community strengthens and improves connections between public organizations and the people they serve.</w:t>
      </w:r>
    </w:p>
    <w:p w14:paraId="6BA3EA72" w14:textId="33B16C0C" w:rsidR="00344353" w:rsidRDefault="00344353" w:rsidP="00344353">
      <w:pPr>
        <w:pStyle w:val="Heading1"/>
      </w:pPr>
      <w:bookmarkStart w:id="2" w:name="_Toc86485611"/>
      <w:r>
        <w:t>The Importance of Transferable Skills in Community Engagement</w:t>
      </w:r>
      <w:bookmarkEnd w:id="2"/>
    </w:p>
    <w:p w14:paraId="4554289C" w14:textId="33A53FB1" w:rsidR="00CC23D3" w:rsidRDefault="00CC23D3" w:rsidP="00CC23D3">
      <w:r>
        <w:t xml:space="preserve">The developed habits, talents, and skills throughout professional and personal life have shaped an individual into the employee they are now and the term for these abilities is transferable skills. The transferable abilities are that they enable to excel in any capacity regardless of the job function. With the ability to switch careers, people may go into new fields and sectors without having to meet all of the prerequisites in advance. Developing transferable abilities, such as coaching and mentoring on an individual basis, takes time, experience, and exposure. </w:t>
      </w:r>
    </w:p>
    <w:p w14:paraId="409D0F95" w14:textId="27280C80" w:rsidR="00CC23D3" w:rsidRDefault="00CC23D3" w:rsidP="00CC23D3">
      <w:r>
        <w:lastRenderedPageBreak/>
        <w:t>Any sense of security or predictability has been shattered after COVID-19. No one had any idea what will happen in the next 24 hours, much alone in the next six months or in the next six years. As a result, individuals that are flexible and resilient will be the ones to keep their companies going ahead even in the face of change and disruption. The ability to think critically at work is evaluating all available trustworthy information to comprehend a situation or problem, and then mak</w:t>
      </w:r>
      <w:r w:rsidR="00074754">
        <w:t>e</w:t>
      </w:r>
      <w:r>
        <w:t xml:space="preserve"> an educated choice or judgment based on that understanding</w:t>
      </w:r>
      <w:r w:rsidR="00856A0F" w:rsidRPr="00856A0F">
        <w:t xml:space="preserve"> </w:t>
      </w:r>
      <w:r w:rsidR="00856A0F">
        <w:t>(</w:t>
      </w:r>
      <w:r w:rsidR="00856A0F" w:rsidRPr="00856A0F">
        <w:t>Collins</w:t>
      </w:r>
      <w:r w:rsidR="00856A0F">
        <w:t xml:space="preserve"> et al.,</w:t>
      </w:r>
      <w:r w:rsidR="00856A0F" w:rsidRPr="00856A0F">
        <w:t>2021</w:t>
      </w:r>
      <w:r w:rsidR="00856A0F">
        <w:t>)</w:t>
      </w:r>
      <w:r>
        <w:t>. Having an innovative employee</w:t>
      </w:r>
      <w:r w:rsidR="00074754">
        <w:t>s</w:t>
      </w:r>
      <w:r>
        <w:t xml:space="preserve"> who can use their time, personnel, technology, or money to accomplish a goal is an asset to any company or department. To be a leader, you must be capable of taking control of circumstances, effectively communicating vision and direction, coaching others, and keeping an eye on the big picture. One of the most valuable transferrable abilities is the ability to communicate effectively with others</w:t>
      </w:r>
      <w:r w:rsidR="00856A0F" w:rsidRPr="00856A0F">
        <w:t xml:space="preserve"> </w:t>
      </w:r>
      <w:r w:rsidR="00856A0F">
        <w:t>(</w:t>
      </w:r>
      <w:r w:rsidR="00856A0F" w:rsidRPr="00856A0F">
        <w:t>Riebe</w:t>
      </w:r>
      <w:r w:rsidR="00856A0F">
        <w:t xml:space="preserve">, </w:t>
      </w:r>
      <w:r w:rsidR="00856A0F" w:rsidRPr="00856A0F">
        <w:t>2010</w:t>
      </w:r>
      <w:r w:rsidR="00856A0F">
        <w:t>)</w:t>
      </w:r>
      <w:r>
        <w:t>. Individuals that are team-oriented and collaborative will be in high demand as this working style becomes more widespread. Transparency and adaptability are critical in today's job market</w:t>
      </w:r>
      <w:r w:rsidR="00856A0F" w:rsidRPr="00856A0F">
        <w:t xml:space="preserve"> </w:t>
      </w:r>
      <w:r w:rsidR="00856A0F">
        <w:t>(</w:t>
      </w:r>
      <w:r w:rsidR="00856A0F" w:rsidRPr="00856A0F">
        <w:t>Sun, 2020</w:t>
      </w:r>
      <w:r w:rsidR="00856A0F">
        <w:t>)</w:t>
      </w:r>
      <w:r>
        <w:t>. They contribute to success as well as the success of a group, client, or company. They also give you more control over your work path and lessen the stress that comes with major life changes like getting a promotion or changing careers.</w:t>
      </w:r>
    </w:p>
    <w:p w14:paraId="2CD7D603" w14:textId="6A8C3ECF" w:rsidR="00CC23D3" w:rsidRDefault="00CC23D3" w:rsidP="00CC23D3">
      <w:r w:rsidRPr="00CC23D3">
        <w:t xml:space="preserve">Every decision that affects the way people live, work, and travel is now expected to include meaningful consultation with the affected communities. In other words, those on the team or in positions of decision-making need to know how community involvement works, why it's essential, and how their contributions fit into the overall process. Project managers must establish a coalition of talents to plan, organize, execute, and </w:t>
      </w:r>
      <w:r w:rsidR="00225B97" w:rsidRPr="00CC23D3">
        <w:t>analyse</w:t>
      </w:r>
      <w:r w:rsidRPr="00CC23D3">
        <w:t xml:space="preserve"> a community outreach project because excellent community involvement requires a wide range of abilities.</w:t>
      </w:r>
    </w:p>
    <w:p w14:paraId="609865D8" w14:textId="46745E58" w:rsidR="00344353" w:rsidRDefault="00344353" w:rsidP="00CC23D3">
      <w:pPr>
        <w:pStyle w:val="Heading1"/>
      </w:pPr>
      <w:bookmarkStart w:id="3" w:name="_Toc86485612"/>
      <w:r>
        <w:t>Some Transferable Skills that are Evident in the Case and how can and/or what can Mr</w:t>
      </w:r>
      <w:r w:rsidR="00074754">
        <w:t>.</w:t>
      </w:r>
      <w:r>
        <w:t xml:space="preserve"> Clark’s Employer do to Take Community Engagement to the Next Level</w:t>
      </w:r>
      <w:bookmarkEnd w:id="3"/>
    </w:p>
    <w:p w14:paraId="7AFBA808" w14:textId="2F3378EE" w:rsidR="00D42001" w:rsidRDefault="00D42001" w:rsidP="00D42001">
      <w:r>
        <w:t xml:space="preserve">The case presents us with an amazing instance of how social leadership can create a substantial impact on the overall well-being of society. Analysing the case of </w:t>
      </w:r>
      <w:r w:rsidR="00074754">
        <w:t xml:space="preserve">a </w:t>
      </w:r>
      <w:r>
        <w:t>community firefighting scheme, a number of transferable skills have been identified. They are discussed as follows;</w:t>
      </w:r>
    </w:p>
    <w:p w14:paraId="236A42E7" w14:textId="29403EED" w:rsidR="00D42001" w:rsidRDefault="00D42001" w:rsidP="00D42001">
      <w:r>
        <w:lastRenderedPageBreak/>
        <w:t xml:space="preserve">Problem-solving:  The case of </w:t>
      </w:r>
      <w:r w:rsidR="00074754">
        <w:t xml:space="preserve">the </w:t>
      </w:r>
      <w:r>
        <w:t>community firefighting scheme is an excellent example of problem-solving. In a world where resources are limited and the stakes are life or death, organizing a group of volunteers to act promptly as first responders in case of emergencies is a great way to resolve the problem</w:t>
      </w:r>
      <w:r w:rsidR="00856A0F" w:rsidRPr="00856A0F">
        <w:t xml:space="preserve"> </w:t>
      </w:r>
      <w:r w:rsidR="00856A0F">
        <w:t>(</w:t>
      </w:r>
      <w:r w:rsidR="00856A0F" w:rsidRPr="00856A0F">
        <w:t>Taber, 2018</w:t>
      </w:r>
      <w:r w:rsidR="00856A0F">
        <w:t>)</w:t>
      </w:r>
      <w:r>
        <w:t xml:space="preserve">. Accidents from </w:t>
      </w:r>
      <w:r w:rsidR="00074754">
        <w:t xml:space="preserve">the </w:t>
      </w:r>
      <w:r>
        <w:t xml:space="preserve">fire can turn fatal very quickly and need </w:t>
      </w:r>
      <w:r w:rsidR="00074754">
        <w:t xml:space="preserve">an </w:t>
      </w:r>
      <w:r>
        <w:t xml:space="preserve">immediate response. In-house volunteers are the perfect people to act as first responders as they have pre-installed ideas about the structure and situation. </w:t>
      </w:r>
    </w:p>
    <w:p w14:paraId="3E956578" w14:textId="0884BA39" w:rsidR="00D42001" w:rsidRDefault="00D42001" w:rsidP="00D42001">
      <w:r>
        <w:t xml:space="preserve">Social Leadership: Mr. Clark’s example of organising a community scheme is a bold instance of social leadership. He stepped up with this idea after he was unable to receive </w:t>
      </w:r>
      <w:r w:rsidR="00074754">
        <w:t xml:space="preserve">an </w:t>
      </w:r>
      <w:r>
        <w:t>immediate fire service response in his workspace. The critical factor here was his sense of empathising with people who might have faced similar problems. He understood the gravity of the situation and took social leadership to solve the problem</w:t>
      </w:r>
      <w:r w:rsidR="00856A0F" w:rsidRPr="00856A0F">
        <w:t xml:space="preserve"> </w:t>
      </w:r>
      <w:r w:rsidR="00856A0F">
        <w:t>(</w:t>
      </w:r>
      <w:r w:rsidR="00856A0F" w:rsidRPr="00856A0F">
        <w:t>Smith, 2016</w:t>
      </w:r>
      <w:r w:rsidR="00856A0F">
        <w:t>)</w:t>
      </w:r>
      <w:r>
        <w:t>. This attitude is exemplary for anyone in order to bring social equality. As an emergency response team on</w:t>
      </w:r>
      <w:r w:rsidR="00074754">
        <w:t>-</w:t>
      </w:r>
      <w:r>
        <w:t xml:space="preserve">site, Mr. Clark’s community volunteers had a better scope to navigate social situations. The fact that volunteers allowed themselves to be engaged as medical support in the evening after work and on weekends shows how socially responsible, they are. </w:t>
      </w:r>
    </w:p>
    <w:p w14:paraId="0462865D" w14:textId="0B9624F3" w:rsidR="00D42001" w:rsidRDefault="00D42001" w:rsidP="00D42001">
      <w:r>
        <w:t>Time management: The solution of Mr. Clark presents us with real-life implications and the necessity of time management. Managing time is critical for any emergency service. Margins of split seconds can turn an avoidable incident into a fatal one. Mr. Clark’s team had a clear idea about the action plan and the priorities of their duty. This led to the remarkable achievement of saving lives.</w:t>
      </w:r>
    </w:p>
    <w:p w14:paraId="42C4C723" w14:textId="6684066C" w:rsidR="00D42001" w:rsidRDefault="00D42001" w:rsidP="00D42001">
      <w:r>
        <w:t>Community firefighting scheme has been successful in avoiding fatal consequences. In my opinion, Mr. Clark’s employer should do the following things:</w:t>
      </w:r>
    </w:p>
    <w:p w14:paraId="121857DE" w14:textId="0D17D558" w:rsidR="00D42001" w:rsidRDefault="00D42001" w:rsidP="00D42001">
      <w:r w:rsidRPr="00D42001">
        <w:rPr>
          <w:b/>
          <w:bCs/>
        </w:rPr>
        <w:t xml:space="preserve">Publicly Disclose the Blueprint of Operation: </w:t>
      </w:r>
      <w:r>
        <w:t>The volunteer team, acting as on-site responders, have developed an efficient and tested approach to train</w:t>
      </w:r>
      <w:r w:rsidR="00074754">
        <w:t>ing</w:t>
      </w:r>
      <w:r>
        <w:t xml:space="preserve"> themselves as capable individuals to respond to such incidents. Mr. Clark’s employer should document the whole process including ways to initiate and manage such community schemes and disclose </w:t>
      </w:r>
      <w:r w:rsidR="00074754">
        <w:t>them</w:t>
      </w:r>
      <w:r>
        <w:t xml:space="preserve"> for public use</w:t>
      </w:r>
      <w:r w:rsidR="00856A0F" w:rsidRPr="00856A0F">
        <w:t xml:space="preserve"> </w:t>
      </w:r>
      <w:r w:rsidR="00856A0F">
        <w:t>(</w:t>
      </w:r>
      <w:r w:rsidR="00856A0F" w:rsidRPr="00856A0F">
        <w:t>Kyriacou</w:t>
      </w:r>
      <w:r w:rsidR="00856A0F">
        <w:t xml:space="preserve"> et al., 2016).</w:t>
      </w:r>
      <w:r>
        <w:t xml:space="preserve"> This will serve two purposes: Anybody willing to adopt such schemes will have a tested reference to follow which will make the process efficient and it will create awareness and remove any relevant confusion regarding such scheme on the part of any other employer. </w:t>
      </w:r>
    </w:p>
    <w:p w14:paraId="1A142F0F" w14:textId="45E2FA27" w:rsidR="00D42001" w:rsidRDefault="00D42001" w:rsidP="00D42001">
      <w:r w:rsidRPr="00D42001">
        <w:rPr>
          <w:b/>
          <w:bCs/>
        </w:rPr>
        <w:lastRenderedPageBreak/>
        <w:t>Allow His Employees to act as Consultant to Other Organisations:</w:t>
      </w:r>
      <w:r>
        <w:t xml:space="preserve"> Employees who have been part of the community scheme have a better and thorough understanding of the responsibilities and attitude needed to make such community schemes successful. Mr. Clark should allow his employees, on an organisational level, </w:t>
      </w:r>
      <w:r w:rsidR="00074754">
        <w:t xml:space="preserve">to </w:t>
      </w:r>
      <w:r>
        <w:t>act as consultant</w:t>
      </w:r>
      <w:r w:rsidR="00074754">
        <w:t>s</w:t>
      </w:r>
      <w:r>
        <w:t xml:space="preserve"> or mentor</w:t>
      </w:r>
      <w:r w:rsidR="00074754">
        <w:t>s</w:t>
      </w:r>
      <w:r>
        <w:t xml:space="preserve"> to other organisations who want to adopt such community practices. This will not only ensure the blueprint (as in idea 1) is followed in its true essence but also make the overall operation of the community scheme in concern more efficient.</w:t>
      </w:r>
    </w:p>
    <w:p w14:paraId="7B3375CB" w14:textId="77777777" w:rsidR="000F340C" w:rsidRDefault="000F340C" w:rsidP="00D42001"/>
    <w:p w14:paraId="0BCD81E3" w14:textId="77777777" w:rsidR="00F94CA3" w:rsidRDefault="00F94CA3">
      <w:pPr>
        <w:spacing w:line="259" w:lineRule="auto"/>
        <w:jc w:val="left"/>
        <w:rPr>
          <w:rFonts w:asciiTheme="majorHAnsi" w:eastAsiaTheme="majorEastAsia" w:hAnsiTheme="majorHAnsi" w:cstheme="majorBidi"/>
          <w:b/>
          <w:sz w:val="32"/>
          <w:szCs w:val="32"/>
        </w:rPr>
      </w:pPr>
      <w:bookmarkStart w:id="4" w:name="_Toc86485613"/>
      <w:r>
        <w:br w:type="page"/>
      </w:r>
    </w:p>
    <w:p w14:paraId="0C5D1297" w14:textId="4D8F416B" w:rsidR="001834FC" w:rsidRDefault="001834FC" w:rsidP="001834FC">
      <w:pPr>
        <w:pStyle w:val="Heading1"/>
      </w:pPr>
      <w:r>
        <w:lastRenderedPageBreak/>
        <w:t>Conclusion</w:t>
      </w:r>
      <w:bookmarkEnd w:id="4"/>
      <w:r>
        <w:t xml:space="preserve"> </w:t>
      </w:r>
    </w:p>
    <w:p w14:paraId="3681A04B" w14:textId="2FA39757" w:rsidR="001834FC" w:rsidRDefault="00F94CA3">
      <w:r>
        <w:t xml:space="preserve">Participation by all members of a community is vital. Improving quality of life and access to key services are just a few of the benefits of community participation. People who are good at working in teams will be sought after. For a community outreach initiative to be successful, project managers must assemble a team of diverse capabilities. </w:t>
      </w:r>
      <w:r w:rsidRPr="00F94CA3">
        <w:t>A variety of transferrable skills have been found via an analysis of the community firefighting initiative. The case demonstrates how social leadership may have a significant influence on the general well-being of society. Mr. Clark's experience exemplifies effective problem-solving. Time management is crucial for any kind of essential service. Mr. Clark's team was well-informed on their mission's action plan and priorities. Volunteers serving as on-site responders have established an effective and time-tested method of self-training.</w:t>
      </w:r>
      <w:r w:rsidR="001834FC">
        <w:br w:type="page"/>
      </w:r>
    </w:p>
    <w:p w14:paraId="17598CB2" w14:textId="61EB02A2" w:rsidR="001834FC" w:rsidRDefault="001834FC" w:rsidP="001834FC">
      <w:pPr>
        <w:pStyle w:val="Heading1"/>
      </w:pPr>
      <w:bookmarkStart w:id="5" w:name="_Toc86485614"/>
      <w:r>
        <w:lastRenderedPageBreak/>
        <w:t>Reference</w:t>
      </w:r>
      <w:bookmarkEnd w:id="5"/>
      <w:r>
        <w:t xml:space="preserve"> </w:t>
      </w:r>
    </w:p>
    <w:p w14:paraId="79BF1820" w14:textId="11CE6C02" w:rsidR="00F94CA3" w:rsidRDefault="00F94CA3" w:rsidP="000F02BF">
      <w:r w:rsidRPr="00F94CA3">
        <w:t>Aslin, H. and Brown, V., 20</w:t>
      </w:r>
      <w:r>
        <w:t>1</w:t>
      </w:r>
      <w:r w:rsidRPr="00F94CA3">
        <w:t>4. Towards whole of community engagement: A practical toolkit. Murray-Darling Basin Commission.</w:t>
      </w:r>
    </w:p>
    <w:p w14:paraId="23B1CC10" w14:textId="2FD6B3CC" w:rsidR="00F94CA3" w:rsidRDefault="00F94CA3" w:rsidP="000F02BF">
      <w:r w:rsidRPr="00F94CA3">
        <w:t>Barnes, M. and Schmitz, P., 2016. Community engagement matters (now more than ever). Stanford Social Innovation Review, 14(2), pp.32-39.</w:t>
      </w:r>
    </w:p>
    <w:p w14:paraId="5ABC5ECB" w14:textId="0DD244E6" w:rsidR="00F94CA3" w:rsidRDefault="00F94CA3" w:rsidP="000F02BF">
      <w:r w:rsidRPr="00F94CA3">
        <w:t>Collins-Nelsen, R., Koziarz, F., Levinson, B., Allard, E., Verkoeyen, S. and Raha, S., 2021. Social context and transferable skill development in experiential learning. Innovations in Education and Teaching International, pp.1-10.</w:t>
      </w:r>
    </w:p>
    <w:p w14:paraId="0FD0F3B8" w14:textId="49849113" w:rsidR="000F02BF" w:rsidRDefault="00F94CA3" w:rsidP="000F02BF">
      <w:r w:rsidRPr="00F94CA3">
        <w:t>Jones, E., 2013. Internationalization and employability: The role of intercultural experiences in the development of transferable skills. Public Money &amp; Management, 33(2), pp.95-104.</w:t>
      </w:r>
    </w:p>
    <w:p w14:paraId="6D0F9631" w14:textId="724BB784" w:rsidR="00856A0F" w:rsidRDefault="00856A0F" w:rsidP="000F02BF">
      <w:r w:rsidRPr="00856A0F">
        <w:t>Kyriacou, E., Nicolaidou, I., Hadjichristofi, G., Kyprianou, S., Christou, S. and Constantinou, R., 2016. Health and rescue services management system during a crisis event. Healthcare technology letters, 3(3), pp.205-211.</w:t>
      </w:r>
    </w:p>
    <w:p w14:paraId="7DBE57F2" w14:textId="0BAC5398" w:rsidR="00856A0F" w:rsidRDefault="00856A0F" w:rsidP="000F02BF">
      <w:r w:rsidRPr="00856A0F">
        <w:t>Riebe, L., Roepen, D., Santarelli, B. and Marchioro, G., 2010. Teamwork: effectively teaching an employability skill. Education+ Training.</w:t>
      </w:r>
    </w:p>
    <w:p w14:paraId="16FA704C" w14:textId="3ACB7F49" w:rsidR="00856A0F" w:rsidRDefault="00856A0F" w:rsidP="000F02BF">
      <w:r w:rsidRPr="00856A0F">
        <w:t>Smith, T.D., Eldridge, F. and DeJoy, D.M., 2016. Safety-specific transformational and passive leadership influences on firefighter safety climate perceptions and safety behavior outcomes. Safety science, 86, pp.92-97.</w:t>
      </w:r>
    </w:p>
    <w:p w14:paraId="3880BB74" w14:textId="3E63D54B" w:rsidR="00856A0F" w:rsidRDefault="00856A0F" w:rsidP="000F02BF">
      <w:r w:rsidRPr="00856A0F">
        <w:t>Sun, J., Adegbosin, A.E., Reher, V., Rehbein, G. and Evans, J., 2020. Validity and reliability of a self‐assessment scale for Dental and Oral Health student's perception of transferable skills in Australia. European Journal of Dental Education, 24(1), pp.42-52.</w:t>
      </w:r>
    </w:p>
    <w:p w14:paraId="59E37160" w14:textId="10698179" w:rsidR="00856A0F" w:rsidRPr="000F02BF" w:rsidRDefault="00856A0F" w:rsidP="000F02BF">
      <w:r w:rsidRPr="00856A0F">
        <w:t>Taber, N., 20</w:t>
      </w:r>
      <w:r>
        <w:t>1</w:t>
      </w:r>
      <w:r w:rsidRPr="00856A0F">
        <w:t>8. Emergency response: Elearning for paramedics and firefighters. Simulation &amp; Gaming, 39(4), pp.515-527.</w:t>
      </w:r>
    </w:p>
    <w:sectPr w:rsidR="00856A0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D416E" w14:textId="77777777" w:rsidR="00C161CB" w:rsidRDefault="00C161CB" w:rsidP="001834FC">
      <w:pPr>
        <w:spacing w:after="0" w:line="240" w:lineRule="auto"/>
      </w:pPr>
      <w:r>
        <w:separator/>
      </w:r>
    </w:p>
  </w:endnote>
  <w:endnote w:type="continuationSeparator" w:id="0">
    <w:p w14:paraId="3D1BC1E9" w14:textId="77777777" w:rsidR="00C161CB" w:rsidRDefault="00C161C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9BD7C" w14:textId="77777777" w:rsidR="00C161CB" w:rsidRDefault="00C161CB" w:rsidP="001834FC">
      <w:pPr>
        <w:spacing w:after="0" w:line="240" w:lineRule="auto"/>
      </w:pPr>
      <w:r>
        <w:separator/>
      </w:r>
    </w:p>
  </w:footnote>
  <w:footnote w:type="continuationSeparator" w:id="0">
    <w:p w14:paraId="4177CFD4" w14:textId="77777777" w:rsidR="00C161CB" w:rsidRDefault="00C161CB"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74754"/>
    <w:rsid w:val="000E047C"/>
    <w:rsid w:val="000F02BF"/>
    <w:rsid w:val="000F340C"/>
    <w:rsid w:val="001834FC"/>
    <w:rsid w:val="001D16F6"/>
    <w:rsid w:val="0022399E"/>
    <w:rsid w:val="00225B97"/>
    <w:rsid w:val="00252195"/>
    <w:rsid w:val="00310CB9"/>
    <w:rsid w:val="00344353"/>
    <w:rsid w:val="003844DC"/>
    <w:rsid w:val="00471E67"/>
    <w:rsid w:val="00472E7C"/>
    <w:rsid w:val="00501C4B"/>
    <w:rsid w:val="00644E20"/>
    <w:rsid w:val="006F3E7B"/>
    <w:rsid w:val="00856A0F"/>
    <w:rsid w:val="008C0394"/>
    <w:rsid w:val="00913C8F"/>
    <w:rsid w:val="00975554"/>
    <w:rsid w:val="00A305DA"/>
    <w:rsid w:val="00A60069"/>
    <w:rsid w:val="00BB6D54"/>
    <w:rsid w:val="00C161CB"/>
    <w:rsid w:val="00CC23D3"/>
    <w:rsid w:val="00D42001"/>
    <w:rsid w:val="00DB3729"/>
    <w:rsid w:val="00E76DB8"/>
    <w:rsid w:val="00EB7A2D"/>
    <w:rsid w:val="00EC16C3"/>
    <w:rsid w:val="00F94CA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0F340C"/>
    <w:pPr>
      <w:spacing w:before="100" w:beforeAutospacing="1" w:after="100" w:afterAutospacing="1" w:line="240" w:lineRule="auto"/>
      <w:jc w:val="left"/>
    </w:pPr>
    <w:rPr>
      <w:rFonts w:eastAsia="Times New Roman" w:cs="Times New Roman"/>
      <w:color w:val="auto"/>
      <w:szCs w:val="24"/>
      <w:lang w:eastAsia="en-GB"/>
    </w:rPr>
  </w:style>
  <w:style w:type="character" w:styleId="FollowedHyperlink">
    <w:name w:val="FollowedHyperlink"/>
    <w:basedOn w:val="DefaultParagraphFont"/>
    <w:uiPriority w:val="99"/>
    <w:semiHidden/>
    <w:unhideWhenUsed/>
    <w:rsid w:val="00225B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328869">
      <w:bodyDiv w:val="1"/>
      <w:marLeft w:val="0"/>
      <w:marRight w:val="0"/>
      <w:marTop w:val="0"/>
      <w:marBottom w:val="0"/>
      <w:divBdr>
        <w:top w:val="none" w:sz="0" w:space="0" w:color="auto"/>
        <w:left w:val="none" w:sz="0" w:space="0" w:color="auto"/>
        <w:bottom w:val="none" w:sz="0" w:space="0" w:color="auto"/>
        <w:right w:val="none" w:sz="0" w:space="0" w:color="auto"/>
      </w:divBdr>
    </w:div>
    <w:div w:id="802161284">
      <w:bodyDiv w:val="1"/>
      <w:marLeft w:val="0"/>
      <w:marRight w:val="0"/>
      <w:marTop w:val="0"/>
      <w:marBottom w:val="0"/>
      <w:divBdr>
        <w:top w:val="none" w:sz="0" w:space="0" w:color="auto"/>
        <w:left w:val="none" w:sz="0" w:space="0" w:color="auto"/>
        <w:bottom w:val="none" w:sz="0" w:space="0" w:color="auto"/>
        <w:right w:val="none" w:sz="0" w:space="0" w:color="auto"/>
      </w:divBdr>
    </w:div>
    <w:div w:id="19501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2021-10-30T06:01:00Z</dcterms:created>
  <dcterms:modified xsi:type="dcterms:W3CDTF">2021-10-30T18:36:00Z</dcterms:modified>
</cp:coreProperties>
</file>