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1D6A0"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bookmarkStart w:id="0" w:name="_Hlk211260892"/>
      <w:bookmarkStart w:id="1" w:name="_Toc212476768"/>
      <w:r w:rsidRPr="003E1E5B">
        <w:rPr>
          <w:rFonts w:ascii="Aptos" w:eastAsiaTheme="minorEastAsia" w:hAnsi="Aptos" w:cstheme="minorBidi"/>
          <w:noProof/>
          <w:kern w:val="2"/>
          <w:sz w:val="22"/>
          <w:szCs w:val="22"/>
          <w:lang w:eastAsia="zh-CN"/>
          <w14:ligatures w14:val="standardContextual"/>
        </w:rPr>
        <w:drawing>
          <wp:anchor distT="0" distB="0" distL="114300" distR="114300" simplePos="0" relativeHeight="251659264" behindDoc="1" locked="0" layoutInCell="1" allowOverlap="1" wp14:anchorId="43D6915A" wp14:editId="1992FE97">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9">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FF357E5"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457FC6A2"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51F4088C"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19F8B894" w14:textId="77777777" w:rsidR="003E1E5B" w:rsidRPr="003E1E5B" w:rsidRDefault="003E1E5B" w:rsidP="003E1E5B">
      <w:pPr>
        <w:spacing w:line="360" w:lineRule="auto"/>
        <w:ind w:right="1229"/>
        <w:jc w:val="both"/>
        <w:rPr>
          <w:rFonts w:ascii="Aptos" w:eastAsiaTheme="minorEastAsia" w:hAnsi="Aptos" w:cstheme="minorBidi"/>
          <w:kern w:val="2"/>
          <w:sz w:val="22"/>
          <w:szCs w:val="22"/>
          <w:lang w:eastAsia="zh-CN"/>
          <w14:ligatures w14:val="standardContextual"/>
        </w:rPr>
      </w:pPr>
    </w:p>
    <w:p w14:paraId="75CDD7CF" w14:textId="77777777" w:rsidR="003E1E5B" w:rsidRPr="003E1E5B" w:rsidRDefault="003E1E5B" w:rsidP="003E1E5B">
      <w:pPr>
        <w:spacing w:line="360" w:lineRule="auto"/>
        <w:ind w:right="1229"/>
        <w:jc w:val="both"/>
        <w:rPr>
          <w:rFonts w:ascii="Aptos" w:eastAsiaTheme="minorEastAsia" w:hAnsi="Aptos" w:cs="Arial"/>
          <w:kern w:val="2"/>
          <w:sz w:val="60"/>
          <w:szCs w:val="60"/>
          <w:lang w:eastAsia="zh-CN"/>
          <w14:ligatures w14:val="standardContextual"/>
        </w:rPr>
      </w:pPr>
      <w:r w:rsidRPr="003E1E5B">
        <w:rPr>
          <w:rFonts w:ascii="Aptos" w:eastAsiaTheme="minorEastAsia" w:hAnsi="Aptos" w:cs="Arial"/>
          <w:kern w:val="2"/>
          <w:sz w:val="60"/>
          <w:szCs w:val="60"/>
          <w:lang w:eastAsia="zh-CN"/>
          <w14:ligatures w14:val="standardContextual"/>
        </w:rPr>
        <w:t>Institute of Inner-City Learning Birmingham Campus</w:t>
      </w:r>
    </w:p>
    <w:p w14:paraId="74DD1C6D" w14:textId="77777777" w:rsidR="003E1E5B" w:rsidRPr="003E1E5B" w:rsidRDefault="003E1E5B" w:rsidP="003E1E5B">
      <w:pPr>
        <w:widowControl w:val="0"/>
        <w:autoSpaceDE w:val="0"/>
        <w:autoSpaceDN w:val="0"/>
        <w:spacing w:after="0" w:line="240" w:lineRule="auto"/>
        <w:jc w:val="center"/>
        <w:rPr>
          <w:rFonts w:ascii="Aptos" w:eastAsia="Calibri Light" w:hAnsi="Aptos" w:cs="Arial"/>
          <w:sz w:val="20"/>
          <w:szCs w:val="22"/>
          <w:lang w:bidi="en-GB"/>
        </w:rPr>
      </w:pPr>
    </w:p>
    <w:p w14:paraId="61988818" w14:textId="77777777" w:rsidR="003E1E5B" w:rsidRPr="003E1E5B" w:rsidRDefault="003E1E5B" w:rsidP="003E1E5B">
      <w:pPr>
        <w:spacing w:line="813" w:lineRule="exact"/>
        <w:jc w:val="both"/>
        <w:rPr>
          <w:rFonts w:ascii="Aptos" w:eastAsiaTheme="minorEastAsia" w:hAnsi="Aptos" w:cs="Arial"/>
          <w:kern w:val="2"/>
          <w:sz w:val="60"/>
          <w:szCs w:val="60"/>
          <w:lang w:eastAsia="zh-CN"/>
          <w14:ligatures w14:val="standardContextual"/>
        </w:rPr>
      </w:pPr>
      <w:r w:rsidRPr="003E1E5B">
        <w:rPr>
          <w:rFonts w:ascii="Aptos" w:eastAsiaTheme="minorEastAsia" w:hAnsi="Aptos" w:cs="Arial"/>
          <w:kern w:val="2"/>
          <w:sz w:val="60"/>
          <w:szCs w:val="60"/>
          <w:lang w:eastAsia="zh-CN"/>
          <w14:ligatures w14:val="standardContextual"/>
        </w:rPr>
        <w:t>BSc (Hons) Health and Social Care</w:t>
      </w:r>
      <w:r w:rsidRPr="003E1E5B">
        <w:rPr>
          <w:rFonts w:ascii="Aptos" w:eastAsiaTheme="minorEastAsia" w:hAnsi="Aptos" w:cs="Arial"/>
          <w:kern w:val="2"/>
          <w:sz w:val="60"/>
          <w:szCs w:val="60"/>
          <w:lang w:eastAsia="zh-CN"/>
          <w14:ligatures w14:val="standardContextual"/>
        </w:rPr>
        <w:br/>
      </w:r>
    </w:p>
    <w:p w14:paraId="7ED7A786" w14:textId="77777777" w:rsidR="003E1E5B" w:rsidRPr="003E1E5B" w:rsidRDefault="003E1E5B" w:rsidP="003E1E5B">
      <w:pPr>
        <w:widowControl w:val="0"/>
        <w:autoSpaceDE w:val="0"/>
        <w:autoSpaceDN w:val="0"/>
        <w:spacing w:after="0" w:line="240" w:lineRule="auto"/>
        <w:outlineLvl w:val="0"/>
        <w:rPr>
          <w:rFonts w:ascii="Aptos" w:eastAsia="Calibri Light" w:hAnsi="Aptos" w:cs="Arial"/>
          <w:b/>
          <w:sz w:val="32"/>
          <w:szCs w:val="32"/>
          <w:lang w:bidi="en-GB"/>
        </w:rPr>
      </w:pPr>
    </w:p>
    <w:p w14:paraId="3242BD43" w14:textId="77777777" w:rsidR="003E1E5B" w:rsidRPr="003E1E5B" w:rsidRDefault="003E1E5B" w:rsidP="003E1E5B">
      <w:pPr>
        <w:widowControl w:val="0"/>
        <w:autoSpaceDE w:val="0"/>
        <w:autoSpaceDN w:val="0"/>
        <w:spacing w:after="0" w:line="240" w:lineRule="auto"/>
        <w:outlineLvl w:val="0"/>
        <w:rPr>
          <w:rFonts w:ascii="Aptos" w:eastAsia="Calibri Light" w:hAnsi="Aptos" w:cs="Arial"/>
          <w:b/>
          <w:sz w:val="32"/>
          <w:szCs w:val="32"/>
          <w:lang w:bidi="en-GB"/>
        </w:rPr>
      </w:pPr>
      <w:r w:rsidRPr="003E1E5B">
        <w:rPr>
          <w:rFonts w:ascii="Aptos" w:eastAsia="Calibri Light" w:hAnsi="Aptos" w:cs="Arial"/>
          <w:b/>
          <w:sz w:val="32"/>
          <w:szCs w:val="32"/>
          <w:lang w:bidi="en-GB"/>
        </w:rPr>
        <w:t>Disclaimer</w:t>
      </w:r>
    </w:p>
    <w:p w14:paraId="4563774D" w14:textId="77777777" w:rsidR="003E1E5B" w:rsidRPr="003E1E5B" w:rsidRDefault="003E1E5B" w:rsidP="003E1E5B">
      <w:pPr>
        <w:spacing w:before="62" w:line="360" w:lineRule="auto"/>
        <w:ind w:right="96"/>
        <w:jc w:val="both"/>
        <w:rPr>
          <w:rFonts w:ascii="Aptos" w:eastAsiaTheme="minorEastAsia" w:hAnsi="Aptos" w:cs="Arial"/>
          <w:kern w:val="2"/>
          <w:sz w:val="20"/>
          <w:szCs w:val="22"/>
          <w:lang w:eastAsia="zh-CN"/>
          <w14:ligatures w14:val="standardContextual"/>
        </w:rPr>
      </w:pPr>
      <w:r w:rsidRPr="003E1E5B">
        <w:rPr>
          <w:rFonts w:ascii="Aptos" w:eastAsiaTheme="minorEastAsia" w:hAnsi="Aptos" w:cs="Arial"/>
          <w:kern w:val="2"/>
          <w:sz w:val="20"/>
          <w:szCs w:val="22"/>
          <w:lang w:eastAsia="zh-CN"/>
          <w14:ligatures w14:val="standardContextual"/>
        </w:rPr>
        <w:t xml:space="preserve">This document was correct at the time of publication. The Module Coordinator reserves the right to modify any </w:t>
      </w:r>
      <w:proofErr w:type="gramStart"/>
      <w:r w:rsidRPr="003E1E5B">
        <w:rPr>
          <w:rFonts w:ascii="Aptos" w:eastAsiaTheme="minorEastAsia" w:hAnsi="Aptos" w:cs="Arial"/>
          <w:kern w:val="2"/>
          <w:sz w:val="20"/>
          <w:szCs w:val="22"/>
          <w:lang w:eastAsia="zh-CN"/>
          <w14:ligatures w14:val="standardContextual"/>
        </w:rPr>
        <w:t>statement</w:t>
      </w:r>
      <w:proofErr w:type="gramEnd"/>
      <w:r w:rsidRPr="003E1E5B">
        <w:rPr>
          <w:rFonts w:ascii="Aptos" w:eastAsiaTheme="minorEastAsia" w:hAnsi="Aptos" w:cs="Arial"/>
          <w:kern w:val="2"/>
          <w:sz w:val="20"/>
          <w:szCs w:val="22"/>
          <w:lang w:eastAsia="zh-CN"/>
          <w14:ligatures w14:val="standardContextual"/>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13E49526" w14:textId="77777777" w:rsidR="003E1E5B" w:rsidRPr="003E1E5B" w:rsidRDefault="003E1E5B" w:rsidP="003E1E5B">
      <w:pPr>
        <w:spacing w:line="360" w:lineRule="auto"/>
        <w:jc w:val="both"/>
        <w:rPr>
          <w:rFonts w:ascii="Aptos" w:hAnsi="Aptos" w:cs="Arial"/>
          <w:b/>
          <w:kern w:val="2"/>
          <w:sz w:val="28"/>
          <w:szCs w:val="28"/>
          <w:lang w:eastAsia="zh-CN"/>
          <w14:ligatures w14:val="standardContextual"/>
        </w:rPr>
      </w:pPr>
    </w:p>
    <w:p w14:paraId="6385AFD5" w14:textId="77777777" w:rsidR="003E1E5B" w:rsidRDefault="003E1E5B">
      <w:pPr>
        <w:rPr>
          <w:rFonts w:ascii="Aptos" w:hAnsi="Aptos" w:cs="Arial"/>
          <w:b/>
          <w:kern w:val="2"/>
          <w:sz w:val="28"/>
          <w:szCs w:val="28"/>
          <w:lang w:eastAsia="zh-CN"/>
          <w14:ligatures w14:val="standardContextual"/>
        </w:rPr>
      </w:pPr>
      <w:r>
        <w:rPr>
          <w:rFonts w:ascii="Aptos" w:hAnsi="Aptos" w:cs="Arial"/>
          <w:b/>
          <w:kern w:val="2"/>
          <w:sz w:val="28"/>
          <w:szCs w:val="28"/>
          <w:lang w:eastAsia="zh-CN"/>
          <w14:ligatures w14:val="standardContextual"/>
        </w:rPr>
        <w:br w:type="page"/>
      </w:r>
    </w:p>
    <w:p w14:paraId="433A93EB" w14:textId="36A498C6" w:rsidR="003E1E5B" w:rsidRPr="003E1E5B" w:rsidRDefault="003E1E5B" w:rsidP="003E1E5B">
      <w:pPr>
        <w:spacing w:line="360" w:lineRule="auto"/>
        <w:jc w:val="both"/>
        <w:rPr>
          <w:rFonts w:ascii="Aptos" w:hAnsi="Aptos" w:cs="Arial"/>
          <w:b/>
          <w:kern w:val="2"/>
          <w:sz w:val="28"/>
          <w:szCs w:val="28"/>
          <w:lang w:eastAsia="zh-CN"/>
          <w14:ligatures w14:val="standardContextual"/>
        </w:rPr>
      </w:pPr>
      <w:r w:rsidRPr="003E1E5B">
        <w:rPr>
          <w:rFonts w:ascii="Aptos" w:hAnsi="Aptos" w:cs="Arial"/>
          <w:b/>
          <w:kern w:val="2"/>
          <w:sz w:val="28"/>
          <w:szCs w:val="28"/>
          <w:lang w:eastAsia="zh-CN"/>
          <w14:ligatures w14:val="standardContextual"/>
        </w:rPr>
        <w:t>DECLARATION</w:t>
      </w:r>
    </w:p>
    <w:p w14:paraId="3949724B"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This work has not previously been accepted in substance for any degree and is not being concurrently submitted in candidature for any degree</w:t>
      </w:r>
    </w:p>
    <w:p w14:paraId="51B26B81" w14:textId="2293611D" w:rsidR="003E1E5B" w:rsidRPr="003E1E5B" w:rsidRDefault="009E5DC6"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Signed</w:t>
      </w:r>
      <w:r>
        <w:rPr>
          <w:rFonts w:ascii="Aptos" w:hAnsi="Aptos" w:cs="Arial"/>
          <w:kern w:val="2"/>
          <w:sz w:val="22"/>
          <w:szCs w:val="22"/>
          <w:lang w:eastAsia="zh-CN"/>
          <w14:ligatures w14:val="standardContextual"/>
        </w:rPr>
        <w:t>:     Michael Ajuyah.</w:t>
      </w:r>
    </w:p>
    <w:p w14:paraId="44D31FE9" w14:textId="4FFB1227" w:rsidR="003E1E5B" w:rsidRPr="003E1E5B" w:rsidRDefault="009E5DC6"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Date</w:t>
      </w:r>
      <w:r>
        <w:rPr>
          <w:rFonts w:ascii="Aptos" w:hAnsi="Aptos" w:cs="Arial"/>
          <w:kern w:val="2"/>
          <w:sz w:val="22"/>
          <w:szCs w:val="22"/>
          <w:lang w:eastAsia="zh-CN"/>
          <w14:ligatures w14:val="standardContextual"/>
        </w:rPr>
        <w:t>: 24/03/2026</w:t>
      </w:r>
    </w:p>
    <w:p w14:paraId="727C04A2" w14:textId="77777777" w:rsidR="003E1E5B" w:rsidRPr="003E1E5B" w:rsidRDefault="003E1E5B" w:rsidP="003E1E5B">
      <w:pPr>
        <w:spacing w:line="360" w:lineRule="auto"/>
        <w:jc w:val="both"/>
        <w:rPr>
          <w:rFonts w:ascii="Aptos" w:hAnsi="Aptos" w:cs="Arial"/>
          <w:bCs/>
          <w:kern w:val="32"/>
          <w:sz w:val="22"/>
          <w:szCs w:val="22"/>
          <w:lang w:eastAsia="zh-CN"/>
          <w14:ligatures w14:val="standardContextual"/>
        </w:rPr>
      </w:pPr>
      <w:r w:rsidRPr="003E1E5B">
        <w:rPr>
          <w:rFonts w:ascii="Aptos" w:hAnsi="Aptos" w:cs="Arial"/>
          <w:b/>
          <w:kern w:val="2"/>
          <w:sz w:val="22"/>
          <w:szCs w:val="22"/>
          <w:lang w:eastAsia="zh-CN"/>
          <w14:ligatures w14:val="standardContextual"/>
        </w:rPr>
        <w:t xml:space="preserve">STATEMENT 1 </w:t>
      </w:r>
    </w:p>
    <w:p w14:paraId="1ACAB6A3"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This dissertation is being submitted in partial fulfilment of the requirements for the degree of BSc.</w:t>
      </w:r>
    </w:p>
    <w:p w14:paraId="6DCD4163" w14:textId="3D2AFCF6"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Signed</w:t>
      </w:r>
      <w:r w:rsidR="009E5DC6">
        <w:rPr>
          <w:rFonts w:ascii="Aptos" w:hAnsi="Aptos" w:cs="Arial"/>
          <w:kern w:val="2"/>
          <w:sz w:val="22"/>
          <w:szCs w:val="22"/>
          <w:lang w:eastAsia="zh-CN"/>
          <w14:ligatures w14:val="standardContextual"/>
        </w:rPr>
        <w:t>:  Michael Ajuyah</w:t>
      </w:r>
    </w:p>
    <w:p w14:paraId="76525950" w14:textId="6EA3F9AF" w:rsidR="003E1E5B" w:rsidRPr="003E1E5B" w:rsidRDefault="009E5DC6"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Date</w:t>
      </w:r>
      <w:r>
        <w:rPr>
          <w:rFonts w:ascii="Aptos" w:hAnsi="Aptos" w:cs="Arial"/>
          <w:kern w:val="2"/>
          <w:sz w:val="22"/>
          <w:szCs w:val="22"/>
          <w:lang w:eastAsia="zh-CN"/>
          <w14:ligatures w14:val="standardContextual"/>
        </w:rPr>
        <w:t>:  24/03/2026</w:t>
      </w:r>
    </w:p>
    <w:p w14:paraId="5039570F"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b/>
          <w:kern w:val="2"/>
          <w:sz w:val="22"/>
          <w:szCs w:val="22"/>
          <w:lang w:eastAsia="zh-CN"/>
          <w14:ligatures w14:val="standardContextual"/>
        </w:rPr>
        <w:t>STATEMENT 2</w:t>
      </w:r>
    </w:p>
    <w:p w14:paraId="42CDC42C"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This dissertation is the result of my own independent work/investigation, except where otherwise stated. Other sources are acknowledged by footnotes giving explicit references.  A bibliography is appended.</w:t>
      </w:r>
    </w:p>
    <w:p w14:paraId="6AEBB123" w14:textId="5DA69C1A"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Signed</w:t>
      </w:r>
      <w:r w:rsidR="009E5DC6">
        <w:rPr>
          <w:rFonts w:ascii="Aptos" w:hAnsi="Aptos" w:cs="Arial"/>
          <w:kern w:val="2"/>
          <w:sz w:val="22"/>
          <w:szCs w:val="22"/>
          <w:lang w:eastAsia="zh-CN"/>
          <w14:ligatures w14:val="standardContextual"/>
        </w:rPr>
        <w:t>:  Michael Ajuyah</w:t>
      </w:r>
    </w:p>
    <w:p w14:paraId="6EF76DCB" w14:textId="2F971368"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Date</w:t>
      </w:r>
      <w:r w:rsidR="009E5DC6">
        <w:rPr>
          <w:rFonts w:ascii="Aptos" w:hAnsi="Aptos" w:cs="Arial"/>
          <w:kern w:val="2"/>
          <w:sz w:val="22"/>
          <w:szCs w:val="22"/>
          <w:lang w:eastAsia="zh-CN"/>
          <w14:ligatures w14:val="standardContextual"/>
        </w:rPr>
        <w:t>:  24/03/2026</w:t>
      </w:r>
      <w:r w:rsidRPr="003E1E5B">
        <w:rPr>
          <w:rFonts w:ascii="Aptos" w:hAnsi="Aptos" w:cs="Arial"/>
          <w:kern w:val="2"/>
          <w:sz w:val="22"/>
          <w:szCs w:val="22"/>
          <w:lang w:eastAsia="zh-CN"/>
          <w14:ligatures w14:val="standardContextual"/>
        </w:rPr>
        <w:t xml:space="preserve"> </w:t>
      </w:r>
    </w:p>
    <w:p w14:paraId="253BFC1C"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b/>
          <w:kern w:val="2"/>
          <w:sz w:val="22"/>
          <w:szCs w:val="22"/>
          <w:lang w:eastAsia="zh-CN"/>
          <w14:ligatures w14:val="standardContextual"/>
        </w:rPr>
        <w:t>STATEMENT 3</w:t>
      </w:r>
    </w:p>
    <w:p w14:paraId="09437F4A"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I hereby give consent for my dissertation, if accepted, to be available for photocopying and for interlibrary loan, and for the title and summary to be made available to outside organisations.</w:t>
      </w:r>
    </w:p>
    <w:p w14:paraId="7D76E770" w14:textId="7767697A"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Signed</w:t>
      </w:r>
      <w:r w:rsidR="009E5DC6">
        <w:rPr>
          <w:rFonts w:ascii="Aptos" w:hAnsi="Aptos" w:cs="Arial"/>
          <w:kern w:val="2"/>
          <w:sz w:val="22"/>
          <w:szCs w:val="22"/>
          <w:lang w:eastAsia="zh-CN"/>
          <w14:ligatures w14:val="standardContextual"/>
        </w:rPr>
        <w:t>:  Michael Ajuyah</w:t>
      </w:r>
    </w:p>
    <w:p w14:paraId="55999E4F" w14:textId="7FC0D091" w:rsidR="003E1E5B" w:rsidRPr="003E1E5B" w:rsidRDefault="003E1E5B" w:rsidP="003E1E5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Date</w:t>
      </w:r>
      <w:r w:rsidR="009E5DC6">
        <w:rPr>
          <w:rFonts w:ascii="Aptos" w:hAnsi="Aptos" w:cs="Arial"/>
          <w:kern w:val="2"/>
          <w:sz w:val="22"/>
          <w:szCs w:val="22"/>
          <w:lang w:eastAsia="zh-CN"/>
          <w14:ligatures w14:val="standardContextual"/>
        </w:rPr>
        <w:t>:  24/03/2026</w:t>
      </w:r>
    </w:p>
    <w:p w14:paraId="015B28D3" w14:textId="77777777" w:rsidR="003E1E5B" w:rsidRPr="003E1E5B" w:rsidRDefault="003E1E5B" w:rsidP="003E1E5B">
      <w:pPr>
        <w:spacing w:line="360" w:lineRule="auto"/>
        <w:jc w:val="both"/>
        <w:rPr>
          <w:rFonts w:ascii="Aptos" w:hAnsi="Aptos" w:cs="Arial"/>
          <w:b/>
          <w:kern w:val="2"/>
          <w:sz w:val="22"/>
          <w:szCs w:val="22"/>
          <w:lang w:eastAsia="zh-CN"/>
          <w14:ligatures w14:val="standardContextual"/>
        </w:rPr>
      </w:pPr>
      <w:r w:rsidRPr="003E1E5B">
        <w:rPr>
          <w:rFonts w:ascii="Aptos" w:hAnsi="Aptos" w:cs="Arial"/>
          <w:b/>
          <w:kern w:val="2"/>
          <w:sz w:val="22"/>
          <w:szCs w:val="22"/>
          <w:lang w:eastAsia="zh-CN"/>
          <w14:ligatures w14:val="standardContextual"/>
        </w:rPr>
        <w:t>STATEMENT 4</w:t>
      </w:r>
    </w:p>
    <w:p w14:paraId="2139DE40" w14:textId="77777777"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I hereby give consent for my dissertation, if accepted, to be available on the university’s IT system to those who have consent to use the system.</w:t>
      </w:r>
    </w:p>
    <w:p w14:paraId="44100E8C" w14:textId="3F2BAAB9" w:rsidR="003E1E5B" w:rsidRPr="003E1E5B" w:rsidRDefault="003E1E5B" w:rsidP="003E1E5B">
      <w:pPr>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Signed</w:t>
      </w:r>
      <w:r w:rsidR="009E5DC6">
        <w:rPr>
          <w:rFonts w:ascii="Aptos" w:hAnsi="Aptos" w:cs="Arial"/>
          <w:kern w:val="2"/>
          <w:sz w:val="22"/>
          <w:szCs w:val="22"/>
          <w:lang w:eastAsia="zh-CN"/>
          <w14:ligatures w14:val="standardContextual"/>
        </w:rPr>
        <w:t>: Michael Ajuyah</w:t>
      </w:r>
    </w:p>
    <w:p w14:paraId="370AF946" w14:textId="62A1F114" w:rsidR="003E1E5B" w:rsidRPr="003E1E5B" w:rsidRDefault="003E1E5B" w:rsidP="003E1E5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ptos" w:hAnsi="Aptos" w:cs="Arial"/>
          <w:kern w:val="2"/>
          <w:sz w:val="22"/>
          <w:szCs w:val="22"/>
          <w:lang w:eastAsia="zh-CN"/>
          <w14:ligatures w14:val="standardContextual"/>
        </w:rPr>
      </w:pPr>
      <w:r w:rsidRPr="003E1E5B">
        <w:rPr>
          <w:rFonts w:ascii="Aptos" w:hAnsi="Aptos" w:cs="Arial"/>
          <w:kern w:val="2"/>
          <w:sz w:val="22"/>
          <w:szCs w:val="22"/>
          <w:lang w:eastAsia="zh-CN"/>
          <w14:ligatures w14:val="standardContextual"/>
        </w:rPr>
        <w:t>Date</w:t>
      </w:r>
      <w:r w:rsidR="009E5DC6">
        <w:rPr>
          <w:rFonts w:ascii="Aptos" w:hAnsi="Aptos" w:cs="Arial"/>
          <w:kern w:val="2"/>
          <w:sz w:val="22"/>
          <w:szCs w:val="22"/>
          <w:lang w:eastAsia="zh-CN"/>
          <w14:ligatures w14:val="standardContextual"/>
        </w:rPr>
        <w:t xml:space="preserve">:   24/06/2026   </w:t>
      </w:r>
    </w:p>
    <w:p w14:paraId="3B09BD82"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7FB7FE36"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34196901" w14:textId="64DF1CE1" w:rsidR="003E1E5B" w:rsidRPr="003E1E5B" w:rsidRDefault="003E1E5B" w:rsidP="003E1E5B">
      <w:pPr>
        <w:spacing w:line="360" w:lineRule="auto"/>
        <w:jc w:val="center"/>
        <w:rPr>
          <w:rFonts w:ascii="Arial" w:eastAsia="Arial Unicode MS" w:hAnsi="Arial" w:cs="Arial"/>
          <w:b/>
          <w:kern w:val="2"/>
          <w:sz w:val="56"/>
          <w:szCs w:val="56"/>
          <w:lang w:eastAsia="zh-CN"/>
          <w14:ligatures w14:val="standardContextual"/>
        </w:rPr>
      </w:pPr>
      <w:r>
        <w:rPr>
          <w:rFonts w:ascii="Arial" w:eastAsia="Arial Unicode MS" w:hAnsi="Arial" w:cs="Arial"/>
          <w:b/>
          <w:kern w:val="2"/>
          <w:sz w:val="56"/>
          <w:szCs w:val="56"/>
          <w:lang w:eastAsia="zh-CN"/>
          <w14:ligatures w14:val="standardContextual"/>
        </w:rPr>
        <w:t>Dissertation Title:</w:t>
      </w:r>
    </w:p>
    <w:p w14:paraId="4DDE1A56" w14:textId="3186AEFB" w:rsidR="003E1E5B" w:rsidRDefault="003E1E5B" w:rsidP="003E1E5B">
      <w:pPr>
        <w:spacing w:line="360" w:lineRule="auto"/>
        <w:jc w:val="center"/>
        <w:rPr>
          <w:rFonts w:ascii="Aptos" w:eastAsia="Arial Unicode MS" w:hAnsi="Aptos" w:cs="Arial"/>
          <w:b/>
          <w:kern w:val="2"/>
          <w:sz w:val="56"/>
          <w:szCs w:val="56"/>
          <w:lang w:eastAsia="zh-CN"/>
          <w14:ligatures w14:val="standardContextual"/>
        </w:rPr>
      </w:pPr>
      <w:r w:rsidRPr="003E1E5B">
        <w:rPr>
          <w:rFonts w:ascii="Aptos" w:eastAsia="Arial Unicode MS" w:hAnsi="Aptos" w:cs="Arial"/>
          <w:b/>
          <w:kern w:val="2"/>
          <w:sz w:val="56"/>
          <w:szCs w:val="56"/>
          <w:lang w:eastAsia="zh-CN"/>
          <w14:ligatures w14:val="standardContextual"/>
        </w:rPr>
        <w:t>Exploring the Impact of the COVID-19 Pandemic in the Mental Health and Coping Strategies Among Healthcare Workers in the UK</w:t>
      </w:r>
    </w:p>
    <w:p w14:paraId="187F64D6" w14:textId="77777777" w:rsidR="00C01475" w:rsidRDefault="00C01475" w:rsidP="003E1E5B">
      <w:pPr>
        <w:spacing w:line="360" w:lineRule="auto"/>
        <w:jc w:val="center"/>
        <w:rPr>
          <w:rFonts w:ascii="Aptos" w:eastAsia="Arial Unicode MS" w:hAnsi="Aptos" w:cs="Arial"/>
          <w:b/>
          <w:kern w:val="2"/>
          <w:sz w:val="56"/>
          <w:szCs w:val="56"/>
          <w:lang w:eastAsia="zh-CN"/>
          <w14:ligatures w14:val="standardContextual"/>
        </w:rPr>
      </w:pPr>
    </w:p>
    <w:p w14:paraId="0439AD7A" w14:textId="77777777" w:rsidR="00C01475" w:rsidRPr="003E1E5B" w:rsidRDefault="00C01475" w:rsidP="00C01475">
      <w:pPr>
        <w:rPr>
          <w:lang w:eastAsia="zh-CN"/>
        </w:rPr>
      </w:pPr>
    </w:p>
    <w:p w14:paraId="23A36496" w14:textId="74FD2CEB" w:rsidR="00C01475" w:rsidRDefault="00C01475" w:rsidP="00C0147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Arial"/>
          <w:b/>
          <w:kern w:val="2"/>
          <w:sz w:val="56"/>
          <w:szCs w:val="56"/>
          <w:lang w:eastAsia="zh-CN"/>
          <w14:ligatures w14:val="standardContextual"/>
        </w:rPr>
      </w:pPr>
      <w:r>
        <w:rPr>
          <w:rFonts w:ascii="Aptos" w:eastAsia="Arial Unicode MS" w:hAnsi="Aptos" w:cs="Arial"/>
          <w:b/>
          <w:kern w:val="2"/>
          <w:sz w:val="56"/>
          <w:szCs w:val="56"/>
          <w:lang w:eastAsia="zh-CN"/>
          <w14:ligatures w14:val="standardContextual"/>
        </w:rPr>
        <w:t xml:space="preserve">                                               Student </w:t>
      </w:r>
      <w:r w:rsidR="003E1E5B" w:rsidRPr="003E1E5B">
        <w:rPr>
          <w:rFonts w:ascii="Aptos" w:eastAsia="Arial Unicode MS" w:hAnsi="Aptos" w:cs="Arial"/>
          <w:b/>
          <w:kern w:val="2"/>
          <w:sz w:val="56"/>
          <w:szCs w:val="56"/>
          <w:lang w:eastAsia="zh-CN"/>
          <w14:ligatures w14:val="standardContextual"/>
        </w:rPr>
        <w:t>Name</w:t>
      </w:r>
      <w:r>
        <w:rPr>
          <w:rFonts w:ascii="Aptos" w:eastAsia="Arial Unicode MS" w:hAnsi="Aptos" w:cs="Arial"/>
          <w:b/>
          <w:kern w:val="2"/>
          <w:sz w:val="56"/>
          <w:szCs w:val="56"/>
          <w:lang w:eastAsia="zh-CN"/>
          <w14:ligatures w14:val="standardContextual"/>
        </w:rPr>
        <w:t>: Michael Ajuyah</w:t>
      </w:r>
    </w:p>
    <w:p w14:paraId="4AA12C8E" w14:textId="589B159D" w:rsidR="003E1E5B" w:rsidRPr="00C01475" w:rsidRDefault="00C01475" w:rsidP="00C0147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Arial"/>
          <w:b/>
          <w:kern w:val="2"/>
          <w:sz w:val="56"/>
          <w:szCs w:val="56"/>
          <w:lang w:eastAsia="zh-CN"/>
          <w14:ligatures w14:val="standardContextual"/>
        </w:rPr>
      </w:pPr>
      <w:r>
        <w:rPr>
          <w:rFonts w:ascii="Aptos" w:eastAsia="Arial Unicode MS" w:hAnsi="Aptos" w:cs="Arial"/>
          <w:b/>
          <w:kern w:val="2"/>
          <w:sz w:val="56"/>
          <w:szCs w:val="56"/>
          <w:lang w:eastAsia="zh-CN"/>
          <w14:ligatures w14:val="standardContextual"/>
        </w:rPr>
        <w:t xml:space="preserve">                                               </w:t>
      </w:r>
      <w:r w:rsidR="003E1E5B" w:rsidRPr="003E1E5B">
        <w:rPr>
          <w:rFonts w:ascii="Aptos" w:eastAsia="Arial Unicode MS" w:hAnsi="Aptos" w:cs="Arial"/>
          <w:b/>
          <w:kern w:val="2"/>
          <w:sz w:val="56"/>
          <w:szCs w:val="56"/>
          <w:lang w:eastAsia="zh-CN"/>
          <w14:ligatures w14:val="standardContextual"/>
        </w:rPr>
        <w:t>Student Number</w:t>
      </w:r>
      <w:r>
        <w:rPr>
          <w:rFonts w:ascii="Aptos" w:eastAsia="Arial Unicode MS" w:hAnsi="Aptos" w:cs="Arial"/>
          <w:b/>
          <w:kern w:val="2"/>
          <w:sz w:val="56"/>
          <w:szCs w:val="56"/>
          <w:lang w:eastAsia="zh-CN"/>
          <w14:ligatures w14:val="standardContextual"/>
        </w:rPr>
        <w:t>: 2245019</w:t>
      </w:r>
    </w:p>
    <w:p w14:paraId="12C2B0B7" w14:textId="77777777" w:rsidR="003E1E5B" w:rsidRPr="003E1E5B" w:rsidRDefault="003E1E5B" w:rsidP="003E1E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ptos" w:eastAsia="Arial Unicode MS" w:hAnsi="Aptos" w:cs="Arial Unicode MS"/>
          <w:kern w:val="2"/>
          <w:sz w:val="40"/>
          <w:szCs w:val="40"/>
          <w:lang w:eastAsia="zh-CN"/>
          <w14:ligatures w14:val="standardContextual"/>
        </w:rPr>
      </w:pPr>
    </w:p>
    <w:p w14:paraId="52021400" w14:textId="77777777" w:rsidR="003E1E5B" w:rsidRPr="003E1E5B" w:rsidRDefault="003E1E5B" w:rsidP="003E1E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ptos" w:eastAsia="Arial Unicode MS" w:hAnsi="Aptos" w:cs="Arial"/>
          <w:kern w:val="2"/>
          <w:sz w:val="40"/>
          <w:szCs w:val="40"/>
          <w:lang w:eastAsia="zh-CN"/>
          <w14:ligatures w14:val="standardContextual"/>
        </w:rPr>
      </w:pPr>
    </w:p>
    <w:p w14:paraId="34C634B1" w14:textId="77777777" w:rsidR="003E1E5B" w:rsidRPr="003E1E5B" w:rsidRDefault="003E1E5B" w:rsidP="003E1E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ptos" w:eastAsia="Arial Unicode MS" w:hAnsi="Aptos" w:cs="Arial"/>
          <w:kern w:val="2"/>
          <w:sz w:val="40"/>
          <w:szCs w:val="40"/>
          <w:lang w:eastAsia="zh-CN"/>
          <w14:ligatures w14:val="standardContextual"/>
        </w:rPr>
      </w:pPr>
      <w:r w:rsidRPr="003E1E5B">
        <w:rPr>
          <w:rFonts w:ascii="Aptos" w:eastAsia="Arial Unicode MS" w:hAnsi="Aptos" w:cs="Arial"/>
          <w:kern w:val="2"/>
          <w:sz w:val="40"/>
          <w:szCs w:val="40"/>
          <w:lang w:eastAsia="zh-CN"/>
          <w14:ligatures w14:val="standardContextual"/>
        </w:rPr>
        <w:t>Dissertation submitted as part of the requirements for the award BSc (Hons) Health and Social Care</w:t>
      </w:r>
    </w:p>
    <w:p w14:paraId="32E04B56"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61B6DE55" w14:textId="77777777" w:rsidR="003E1E5B" w:rsidRPr="003E1E5B" w:rsidRDefault="003E1E5B" w:rsidP="003E1E5B">
      <w:pPr>
        <w:spacing w:line="360" w:lineRule="auto"/>
        <w:jc w:val="both"/>
        <w:rPr>
          <w:rFonts w:ascii="Aptos" w:eastAsiaTheme="minorEastAsia" w:hAnsi="Aptos" w:cstheme="minorBidi"/>
          <w:kern w:val="2"/>
          <w:sz w:val="22"/>
          <w:szCs w:val="22"/>
          <w:lang w:eastAsia="zh-CN"/>
          <w14:ligatures w14:val="standardContextual"/>
        </w:rPr>
      </w:pPr>
    </w:p>
    <w:p w14:paraId="3F7C56A5" w14:textId="497F3F72" w:rsidR="003E1E5B" w:rsidRPr="003E1E5B" w:rsidRDefault="003E1E5B" w:rsidP="003E1E5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ptos" w:eastAsia="Arial Unicode MS" w:hAnsi="Aptos" w:cs="Arial"/>
          <w:bCs/>
          <w:kern w:val="2"/>
          <w:sz w:val="22"/>
          <w:szCs w:val="22"/>
          <w:lang w:eastAsia="zh-CN"/>
          <w14:ligatures w14:val="standardContextual"/>
        </w:rPr>
      </w:pPr>
      <w:r w:rsidRPr="003E1E5B">
        <w:rPr>
          <w:rFonts w:ascii="Aptos" w:eastAsia="Arial Unicode MS" w:hAnsi="Aptos" w:cs="Arial"/>
          <w:b/>
          <w:kern w:val="2"/>
          <w:sz w:val="28"/>
          <w:szCs w:val="28"/>
          <w:lang w:eastAsia="zh-CN"/>
          <w14:ligatures w14:val="standardContextual"/>
        </w:rPr>
        <w:t>ACKNOWLEDGEMENTS</w:t>
      </w:r>
      <w:r w:rsidRPr="003E1E5B">
        <w:rPr>
          <w:rFonts w:ascii="Aptos" w:eastAsia="Arial Unicode MS" w:hAnsi="Aptos" w:cs="Arial"/>
          <w:b/>
          <w:kern w:val="2"/>
          <w:sz w:val="22"/>
          <w:szCs w:val="22"/>
          <w:lang w:eastAsia="zh-CN"/>
          <w14:ligatures w14:val="standardContextual"/>
        </w:rPr>
        <w:t xml:space="preserve"> </w:t>
      </w:r>
    </w:p>
    <w:p w14:paraId="500FAADC" w14:textId="58FC4DCD" w:rsidR="003E1E5B" w:rsidRDefault="003E1E5B" w:rsidP="003E1E5B">
      <w:pPr>
        <w:shd w:val="clear" w:color="auto" w:fill="FFFFFF"/>
        <w:spacing w:after="150" w:line="360" w:lineRule="auto"/>
        <w:jc w:val="both"/>
        <w:rPr>
          <w:rFonts w:ascii="Aptos" w:hAnsi="Aptos" w:cs="Arial"/>
          <w:color w:val="333333"/>
          <w:sz w:val="22"/>
          <w:szCs w:val="22"/>
        </w:rPr>
      </w:pPr>
      <w:r>
        <w:rPr>
          <w:rFonts w:ascii="Aptos" w:hAnsi="Aptos" w:cs="Arial"/>
          <w:color w:val="333333"/>
          <w:sz w:val="22"/>
          <w:szCs w:val="22"/>
        </w:rPr>
        <w:t xml:space="preserve">The successful completion of this research project has been realised through contribution of several partners. I firstly thank God for giving me strength and blessings throughout the course. I also thank my supervisor for his helpful guidance during this project. Finally, special thanks to my family for the continuous support, patience and encouragement they have given me. </w:t>
      </w:r>
    </w:p>
    <w:p w14:paraId="57A72F83" w14:textId="007ED6EB" w:rsidR="003E1E5B" w:rsidRPr="003E1E5B" w:rsidRDefault="003E1E5B" w:rsidP="003E1E5B">
      <w:pPr>
        <w:shd w:val="clear" w:color="auto" w:fill="FFFFFF"/>
        <w:spacing w:after="150" w:line="360" w:lineRule="auto"/>
        <w:jc w:val="both"/>
        <w:rPr>
          <w:rFonts w:ascii="Aptos" w:hAnsi="Aptos" w:cs="Arial"/>
          <w:color w:val="333333"/>
          <w:sz w:val="22"/>
          <w:szCs w:val="22"/>
        </w:rPr>
      </w:pPr>
    </w:p>
    <w:p w14:paraId="73311A7C" w14:textId="77777777" w:rsidR="00D449EF" w:rsidRDefault="00D449EF" w:rsidP="00D449EF">
      <w:pPr>
        <w:spacing w:before="240" w:line="360" w:lineRule="auto"/>
        <w:jc w:val="center"/>
        <w:rPr>
          <w:rFonts w:ascii="Arial" w:eastAsia="Arial Unicode MS" w:hAnsi="Arial" w:cs="Arial"/>
          <w:b/>
          <w:kern w:val="2"/>
          <w:lang w:eastAsia="zh-CN"/>
          <w14:ligatures w14:val="standardContextual"/>
        </w:rPr>
      </w:pPr>
    </w:p>
    <w:p w14:paraId="3962228E" w14:textId="77777777" w:rsidR="00D449EF" w:rsidRDefault="00D449EF" w:rsidP="00D449EF">
      <w:pPr>
        <w:spacing w:before="240" w:line="360" w:lineRule="auto"/>
        <w:jc w:val="center"/>
        <w:rPr>
          <w:rFonts w:ascii="Arial" w:eastAsia="Arial Unicode MS" w:hAnsi="Arial" w:cs="Arial"/>
          <w:b/>
          <w:kern w:val="2"/>
          <w:lang w:eastAsia="zh-CN"/>
          <w14:ligatures w14:val="standardContextual"/>
        </w:rPr>
      </w:pPr>
    </w:p>
    <w:p w14:paraId="65A700BE" w14:textId="77777777" w:rsidR="00D449EF" w:rsidRDefault="00D449EF" w:rsidP="00D449EF">
      <w:pPr>
        <w:spacing w:before="240" w:line="360" w:lineRule="auto"/>
        <w:jc w:val="center"/>
        <w:rPr>
          <w:rFonts w:ascii="Arial" w:eastAsia="Arial Unicode MS" w:hAnsi="Arial" w:cs="Arial"/>
          <w:b/>
          <w:kern w:val="2"/>
          <w:lang w:eastAsia="zh-CN"/>
          <w14:ligatures w14:val="standardContextual"/>
        </w:rPr>
      </w:pPr>
    </w:p>
    <w:p w14:paraId="3A726C4E" w14:textId="77777777" w:rsidR="00D449EF" w:rsidRDefault="00D449EF" w:rsidP="00D449EF">
      <w:pPr>
        <w:spacing w:before="240" w:line="360" w:lineRule="auto"/>
        <w:jc w:val="center"/>
        <w:rPr>
          <w:rFonts w:ascii="Arial" w:eastAsia="Arial Unicode MS" w:hAnsi="Arial" w:cs="Arial"/>
          <w:b/>
          <w:kern w:val="2"/>
          <w:lang w:eastAsia="zh-CN"/>
          <w14:ligatures w14:val="standardContextual"/>
        </w:rPr>
      </w:pPr>
    </w:p>
    <w:p w14:paraId="3EE25C88" w14:textId="08F2A4CF" w:rsidR="00D449EF" w:rsidRPr="00D449EF" w:rsidRDefault="00D449EF" w:rsidP="00D449EF">
      <w:pPr>
        <w:spacing w:before="240" w:line="360" w:lineRule="auto"/>
        <w:jc w:val="center"/>
        <w:rPr>
          <w:rFonts w:ascii="Arial" w:hAnsi="Arial" w:cs="Arial"/>
          <w:kern w:val="2"/>
          <w:lang w:eastAsia="zh-CN"/>
          <w14:ligatures w14:val="standardContextual"/>
        </w:rPr>
      </w:pPr>
    </w:p>
    <w:bookmarkEnd w:id="0"/>
    <w:p w14:paraId="15B561A9" w14:textId="77777777" w:rsidR="00D449EF" w:rsidRPr="00D449EF" w:rsidRDefault="00D449EF" w:rsidP="00D449EF">
      <w:pPr>
        <w:widowControl w:val="0"/>
        <w:autoSpaceDE w:val="0"/>
        <w:autoSpaceDN w:val="0"/>
        <w:spacing w:before="240" w:line="360" w:lineRule="auto"/>
        <w:jc w:val="center"/>
        <w:outlineLvl w:val="0"/>
        <w:rPr>
          <w:rFonts w:ascii="Arial" w:eastAsia="Calibri Light" w:hAnsi="Arial" w:cs="Arial"/>
          <w:b/>
          <w:lang w:bidi="en-GB"/>
        </w:rPr>
      </w:pPr>
    </w:p>
    <w:p w14:paraId="0971197F" w14:textId="2A39A12B" w:rsidR="00D449EF" w:rsidRDefault="00D449EF" w:rsidP="001B20A3">
      <w:pPr>
        <w:widowControl w:val="0"/>
        <w:autoSpaceDE w:val="0"/>
        <w:autoSpaceDN w:val="0"/>
        <w:spacing w:before="240" w:line="360" w:lineRule="auto"/>
        <w:jc w:val="center"/>
        <w:outlineLvl w:val="0"/>
        <w:rPr>
          <w:rFonts w:ascii="Arial" w:eastAsia="Calibri Light" w:hAnsi="Arial" w:cs="Arial"/>
          <w:b/>
          <w:lang w:bidi="en-GB"/>
        </w:rPr>
      </w:pPr>
      <w:r>
        <w:rPr>
          <w:rFonts w:ascii="Arial" w:eastAsia="Calibri Light" w:hAnsi="Arial" w:cs="Arial"/>
          <w:b/>
          <w:lang w:bidi="en-GB"/>
        </w:rPr>
        <w:br w:type="page"/>
      </w:r>
      <w:bookmarkStart w:id="2" w:name="_Toc223453128"/>
      <w:r w:rsidR="00AF1642">
        <w:rPr>
          <w:rFonts w:ascii="Arial" w:eastAsia="Calibri Light" w:hAnsi="Arial" w:cs="Arial"/>
          <w:b/>
          <w:lang w:bidi="en-GB"/>
        </w:rPr>
        <w:t>Abstract</w:t>
      </w:r>
      <w:bookmarkEnd w:id="2"/>
    </w:p>
    <w:p w14:paraId="31543D99" w14:textId="72DFCBCE" w:rsidR="00CD6981" w:rsidRPr="00D449EF" w:rsidRDefault="00CD6981" w:rsidP="00CD6981">
      <w:pPr>
        <w:spacing w:before="240" w:line="360" w:lineRule="auto"/>
        <w:jc w:val="both"/>
        <w:rPr>
          <w:rFonts w:ascii="Arial" w:eastAsia="Aptos" w:hAnsi="Arial" w:cs="Arial"/>
          <w:bCs/>
          <w:kern w:val="2"/>
          <w:lang w:eastAsia="en-US"/>
          <w14:ligatures w14:val="standardContextual"/>
        </w:rPr>
      </w:pPr>
      <w:r w:rsidRPr="001B20A3">
        <w:rPr>
          <w:rFonts w:ascii="Arial" w:eastAsiaTheme="majorEastAsia" w:hAnsi="Arial" w:cs="Arial"/>
          <w:b/>
          <w:bCs/>
          <w:kern w:val="2"/>
          <w:lang w:eastAsia="zh-CN"/>
          <w14:ligatures w14:val="standardContextual"/>
        </w:rPr>
        <w:t>Purpose:</w:t>
      </w:r>
      <w:r>
        <w:rPr>
          <w:rFonts w:ascii="Arial" w:eastAsiaTheme="majorEastAsia" w:hAnsi="Arial" w:cs="Arial"/>
          <w:kern w:val="2"/>
          <w:lang w:eastAsia="zh-CN"/>
          <w14:ligatures w14:val="standardContextual"/>
        </w:rPr>
        <w:t xml:space="preserve"> </w:t>
      </w:r>
      <w:r>
        <w:rPr>
          <w:rFonts w:ascii="Arial" w:eastAsia="Aptos" w:hAnsi="Arial" w:cs="Arial"/>
          <w:bCs/>
          <w:kern w:val="2"/>
          <w:lang w:eastAsia="en-US"/>
          <w14:ligatures w14:val="standardContextual"/>
        </w:rPr>
        <w:t>This study</w:t>
      </w:r>
      <w:r w:rsidRPr="00D449EF">
        <w:rPr>
          <w:rFonts w:ascii="Arial" w:eastAsia="Aptos" w:hAnsi="Arial" w:cs="Arial"/>
          <w:bCs/>
          <w:kern w:val="2"/>
          <w:lang w:eastAsia="en-US"/>
          <w14:ligatures w14:val="standardContextual"/>
        </w:rPr>
        <w:t xml:space="preserve"> explore</w:t>
      </w:r>
      <w:r>
        <w:rPr>
          <w:rFonts w:ascii="Arial" w:eastAsia="Aptos" w:hAnsi="Arial" w:cs="Arial"/>
          <w:bCs/>
          <w:kern w:val="2"/>
          <w:lang w:eastAsia="en-US"/>
          <w14:ligatures w14:val="standardContextual"/>
        </w:rPr>
        <w:t>s</w:t>
      </w:r>
      <w:r w:rsidRPr="00D449EF">
        <w:rPr>
          <w:rFonts w:ascii="Arial" w:eastAsia="Aptos" w:hAnsi="Arial" w:cs="Arial"/>
          <w:bCs/>
          <w:kern w:val="2"/>
          <w:lang w:eastAsia="en-US"/>
          <w14:ligatures w14:val="standardContextual"/>
        </w:rPr>
        <w:t xml:space="preserve"> the psychological impact of the COVID-19 pandemic on</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healthcare workers in the UK and critically evaluate</w:t>
      </w:r>
      <w:r>
        <w:rPr>
          <w:rFonts w:ascii="Arial" w:eastAsia="Aptos" w:hAnsi="Arial" w:cs="Arial"/>
          <w:bCs/>
          <w:kern w:val="2"/>
          <w:lang w:eastAsia="en-US"/>
          <w14:ligatures w14:val="standardContextual"/>
        </w:rPr>
        <w:t>s</w:t>
      </w:r>
      <w:r w:rsidRPr="00D449EF">
        <w:rPr>
          <w:rFonts w:ascii="Arial" w:eastAsia="Aptos" w:hAnsi="Arial" w:cs="Arial"/>
          <w:bCs/>
          <w:kern w:val="2"/>
          <w:lang w:eastAsia="en-US"/>
          <w14:ligatures w14:val="standardContextual"/>
        </w:rPr>
        <w:t xml:space="preserve"> the coping mechanisms used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support their mental health and wellbeing. Moreover, the study provide</w:t>
      </w:r>
      <w:r w:rsidR="001916D3">
        <w:rPr>
          <w:rFonts w:ascii="Arial" w:eastAsia="Aptos" w:hAnsi="Arial" w:cs="Arial"/>
          <w:bCs/>
          <w:kern w:val="2"/>
          <w:lang w:eastAsia="en-US"/>
          <w14:ligatures w14:val="standardContextual"/>
        </w:rPr>
        <w:t>s</w:t>
      </w:r>
      <w:r w:rsidRPr="00D449EF">
        <w:rPr>
          <w:rFonts w:ascii="Arial" w:eastAsia="Aptos" w:hAnsi="Arial" w:cs="Arial"/>
          <w:bCs/>
          <w:kern w:val="2"/>
          <w:lang w:eastAsia="en-US"/>
          <w14:ligatures w14:val="standardContextual"/>
        </w:rPr>
        <w:t xml:space="preserve"> evidence-based recommendations for improving mental health support</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strategies within healthcare.</w:t>
      </w:r>
    </w:p>
    <w:p w14:paraId="1DCEDAC4" w14:textId="5D79021E" w:rsidR="00CD6981" w:rsidRDefault="001916D3" w:rsidP="00CD6981">
      <w:pPr>
        <w:spacing w:before="240" w:line="360" w:lineRule="auto"/>
        <w:rPr>
          <w:rFonts w:ascii="Arial" w:eastAsia="Aptos" w:hAnsi="Arial" w:cs="Arial"/>
          <w:bCs/>
          <w:kern w:val="2"/>
          <w:lang w:eastAsia="en-US"/>
          <w14:ligatures w14:val="standardContextual"/>
        </w:rPr>
      </w:pPr>
      <w:r w:rsidRPr="001B20A3">
        <w:rPr>
          <w:rFonts w:ascii="Arial" w:eastAsiaTheme="majorEastAsia" w:hAnsi="Arial" w:cs="Arial"/>
          <w:b/>
          <w:bCs/>
          <w:kern w:val="2"/>
          <w:lang w:eastAsia="zh-CN"/>
          <w14:ligatures w14:val="standardContextual"/>
        </w:rPr>
        <w:t>Methods:</w:t>
      </w:r>
      <w:r>
        <w:rPr>
          <w:rFonts w:ascii="Arial" w:eastAsiaTheme="majorEastAsia" w:hAnsi="Arial" w:cs="Arial"/>
          <w:kern w:val="2"/>
          <w:lang w:eastAsia="zh-CN"/>
          <w14:ligatures w14:val="standardContextual"/>
        </w:rPr>
        <w:t xml:space="preserve"> </w:t>
      </w:r>
      <w:r>
        <w:rPr>
          <w:rFonts w:ascii="Arial" w:eastAsia="Aptos" w:hAnsi="Arial" w:cs="Arial"/>
          <w:bCs/>
          <w:kern w:val="2"/>
          <w:lang w:eastAsia="en-US"/>
          <w14:ligatures w14:val="standardContextual"/>
        </w:rPr>
        <w:t>A</w:t>
      </w:r>
      <w:r w:rsidRPr="00CB0435">
        <w:rPr>
          <w:rFonts w:ascii="Arial" w:eastAsia="Aptos" w:hAnsi="Arial" w:cs="Arial"/>
          <w:bCs/>
          <w:kern w:val="2"/>
          <w:lang w:eastAsia="en-US"/>
          <w14:ligatures w14:val="standardContextual"/>
        </w:rPr>
        <w:t xml:space="preserve"> desk-based, literature-based approach </w:t>
      </w:r>
      <w:r>
        <w:rPr>
          <w:rFonts w:ascii="Arial" w:eastAsia="Aptos" w:hAnsi="Arial" w:cs="Arial"/>
          <w:bCs/>
          <w:kern w:val="2"/>
          <w:lang w:eastAsia="en-US"/>
          <w14:ligatures w14:val="standardContextual"/>
        </w:rPr>
        <w:t xml:space="preserve">was used in this study, which explicitly sought literature published between </w:t>
      </w:r>
      <w:r w:rsidRPr="00CB0435">
        <w:rPr>
          <w:rFonts w:ascii="Arial" w:eastAsia="Aptos" w:hAnsi="Arial" w:cs="Arial"/>
          <w:bCs/>
          <w:kern w:val="2"/>
          <w:lang w:eastAsia="en-US"/>
          <w14:ligatures w14:val="standardContextual"/>
        </w:rPr>
        <w:t>2019</w:t>
      </w:r>
      <w:r>
        <w:rPr>
          <w:rFonts w:ascii="Arial" w:eastAsia="Aptos" w:hAnsi="Arial" w:cs="Arial"/>
          <w:bCs/>
          <w:kern w:val="2"/>
          <w:lang w:eastAsia="en-US"/>
          <w14:ligatures w14:val="standardContextual"/>
        </w:rPr>
        <w:t xml:space="preserve"> and </w:t>
      </w:r>
      <w:r w:rsidRPr="00CB0435">
        <w:rPr>
          <w:rFonts w:ascii="Arial" w:eastAsia="Aptos" w:hAnsi="Arial" w:cs="Arial"/>
          <w:bCs/>
          <w:kern w:val="2"/>
          <w:lang w:eastAsia="en-US"/>
          <w14:ligatures w14:val="standardContextual"/>
        </w:rPr>
        <w:t xml:space="preserve">2025 to capture </w:t>
      </w:r>
      <w:r>
        <w:rPr>
          <w:rFonts w:ascii="Arial" w:eastAsia="Aptos" w:hAnsi="Arial" w:cs="Arial"/>
          <w:bCs/>
          <w:kern w:val="2"/>
          <w:lang w:eastAsia="en-US"/>
          <w14:ligatures w14:val="standardContextual"/>
        </w:rPr>
        <w:t>information gathered</w:t>
      </w:r>
      <w:r w:rsidRPr="00CB0435">
        <w:rPr>
          <w:rFonts w:ascii="Arial" w:eastAsia="Aptos" w:hAnsi="Arial" w:cs="Arial"/>
          <w:bCs/>
          <w:kern w:val="2"/>
          <w:lang w:eastAsia="en-US"/>
          <w14:ligatures w14:val="standardContextual"/>
        </w:rPr>
        <w:t xml:space="preserve"> during and immediately after the pandemic</w:t>
      </w:r>
      <w:r>
        <w:rPr>
          <w:rFonts w:ascii="Arial" w:eastAsia="Aptos" w:hAnsi="Arial" w:cs="Arial"/>
          <w:bCs/>
          <w:kern w:val="2"/>
          <w:lang w:eastAsia="en-US"/>
          <w14:ligatures w14:val="standardContextual"/>
        </w:rPr>
        <w:t>.</w:t>
      </w:r>
    </w:p>
    <w:p w14:paraId="3E4A3414" w14:textId="27983A3E" w:rsidR="001916D3" w:rsidRDefault="001916D3" w:rsidP="00CD6981">
      <w:pPr>
        <w:spacing w:before="240" w:line="360" w:lineRule="auto"/>
        <w:rPr>
          <w:rFonts w:ascii="Arial" w:eastAsia="Aptos" w:hAnsi="Arial" w:cs="Arial"/>
          <w:bCs/>
          <w:kern w:val="2"/>
          <w:lang w:eastAsia="en-US"/>
          <w14:ligatures w14:val="standardContextual"/>
        </w:rPr>
      </w:pPr>
      <w:r w:rsidRPr="001B20A3">
        <w:rPr>
          <w:rFonts w:ascii="Arial" w:eastAsia="Aptos" w:hAnsi="Arial" w:cs="Arial"/>
          <w:b/>
          <w:kern w:val="2"/>
          <w:lang w:eastAsia="en-US"/>
          <w14:ligatures w14:val="standardContextual"/>
        </w:rPr>
        <w:t>Main Findings:</w:t>
      </w:r>
      <w:r>
        <w:rPr>
          <w:rFonts w:ascii="Arial" w:eastAsia="Aptos" w:hAnsi="Arial" w:cs="Arial"/>
          <w:bCs/>
          <w:kern w:val="2"/>
          <w:lang w:eastAsia="en-US"/>
          <w14:ligatures w14:val="standardContextual"/>
        </w:rPr>
        <w:t xml:space="preserve"> Three</w:t>
      </w:r>
      <w:r w:rsidRPr="00973F68">
        <w:rPr>
          <w:rFonts w:ascii="Arial" w:eastAsia="Aptos" w:hAnsi="Arial" w:cs="Arial"/>
          <w:bCs/>
          <w:kern w:val="2"/>
          <w:lang w:eastAsia="en-US"/>
          <w14:ligatures w14:val="standardContextual"/>
        </w:rPr>
        <w:t xml:space="preserve"> themes</w:t>
      </w:r>
      <w:r>
        <w:rPr>
          <w:rFonts w:ascii="Arial" w:eastAsia="Aptos" w:hAnsi="Arial" w:cs="Arial"/>
          <w:bCs/>
          <w:kern w:val="2"/>
          <w:lang w:eastAsia="en-US"/>
          <w14:ligatures w14:val="standardContextual"/>
        </w:rPr>
        <w:t xml:space="preserve"> were identified and</w:t>
      </w:r>
      <w:r w:rsidRPr="00973F68">
        <w:rPr>
          <w:rFonts w:ascii="Arial" w:eastAsia="Aptos" w:hAnsi="Arial" w:cs="Arial"/>
          <w:bCs/>
          <w:kern w:val="2"/>
          <w:lang w:eastAsia="en-US"/>
          <w14:ligatures w14:val="standardContextual"/>
        </w:rPr>
        <w:t xml:space="preserve"> form</w:t>
      </w:r>
      <w:r>
        <w:rPr>
          <w:rFonts w:ascii="Arial" w:eastAsia="Aptos" w:hAnsi="Arial" w:cs="Arial"/>
          <w:bCs/>
          <w:kern w:val="2"/>
          <w:lang w:eastAsia="en-US"/>
          <w14:ligatures w14:val="standardContextual"/>
        </w:rPr>
        <w:t>ed</w:t>
      </w:r>
      <w:r w:rsidRPr="00973F68">
        <w:rPr>
          <w:rFonts w:ascii="Arial" w:eastAsia="Aptos" w:hAnsi="Arial" w:cs="Arial"/>
          <w:bCs/>
          <w:kern w:val="2"/>
          <w:lang w:eastAsia="en-US"/>
          <w14:ligatures w14:val="standardContextual"/>
        </w:rPr>
        <w:t xml:space="preserve"> a comprehensive narrative</w:t>
      </w:r>
      <w:r>
        <w:rPr>
          <w:rFonts w:ascii="Arial" w:eastAsia="Aptos" w:hAnsi="Arial" w:cs="Arial"/>
          <w:bCs/>
          <w:kern w:val="2"/>
          <w:lang w:eastAsia="en-US"/>
          <w14:ligatures w14:val="standardContextual"/>
        </w:rPr>
        <w:t xml:space="preserve"> that</w:t>
      </w:r>
      <w:r w:rsidRPr="00973F68">
        <w:rPr>
          <w:rFonts w:ascii="Arial" w:eastAsia="Aptos" w:hAnsi="Arial" w:cs="Arial"/>
          <w:bCs/>
          <w:kern w:val="2"/>
          <w:lang w:eastAsia="en-US"/>
          <w14:ligatures w14:val="standardContextual"/>
        </w:rPr>
        <w:t xml:space="preserve"> the pandemic created widespread distress among healthcare workers, who responded with a range of coping strategies, but the effectiveness of these strategies was undermined by systemic barriers and the overwhelming nature of the crisis</w:t>
      </w:r>
      <w:r>
        <w:rPr>
          <w:rFonts w:ascii="Arial" w:eastAsia="Aptos" w:hAnsi="Arial" w:cs="Arial"/>
          <w:bCs/>
          <w:kern w:val="2"/>
          <w:lang w:eastAsia="en-US"/>
          <w14:ligatures w14:val="standardContextual"/>
        </w:rPr>
        <w:t>.</w:t>
      </w:r>
    </w:p>
    <w:p w14:paraId="0A901662" w14:textId="1FBCE991" w:rsidR="001B20A3" w:rsidRDefault="001B20A3" w:rsidP="00CD6981">
      <w:pPr>
        <w:spacing w:before="240" w:line="360" w:lineRule="auto"/>
        <w:rPr>
          <w:rFonts w:ascii="Arial" w:eastAsia="Aptos" w:hAnsi="Arial" w:cs="Arial"/>
          <w:bCs/>
          <w:kern w:val="2"/>
          <w:lang w:eastAsia="en-US"/>
          <w14:ligatures w14:val="standardContextual"/>
        </w:rPr>
      </w:pPr>
      <w:r w:rsidRPr="001B20A3">
        <w:rPr>
          <w:rFonts w:ascii="Arial" w:eastAsia="Aptos" w:hAnsi="Arial" w:cs="Arial"/>
          <w:b/>
          <w:kern w:val="2"/>
          <w:lang w:eastAsia="en-US"/>
          <w14:ligatures w14:val="standardContextual"/>
        </w:rPr>
        <w:t>Limitations and Barriers:</w:t>
      </w:r>
      <w:r>
        <w:rPr>
          <w:rFonts w:ascii="Arial" w:eastAsia="Aptos" w:hAnsi="Arial" w:cs="Arial"/>
          <w:bCs/>
          <w:kern w:val="2"/>
          <w:lang w:eastAsia="en-US"/>
          <w14:ligatures w14:val="standardContextual"/>
        </w:rPr>
        <w:t xml:space="preserve"> </w:t>
      </w:r>
      <w:r w:rsidRPr="00973F68">
        <w:rPr>
          <w:rFonts w:ascii="Arial" w:eastAsiaTheme="majorEastAsia" w:hAnsi="Arial" w:cs="Arial"/>
          <w:kern w:val="2"/>
          <w:lang w:eastAsia="zh-CN"/>
          <w14:ligatures w14:val="standardContextual"/>
        </w:rPr>
        <w:t>The</w:t>
      </w:r>
      <w:r>
        <w:rPr>
          <w:rFonts w:ascii="Arial" w:eastAsiaTheme="majorEastAsia" w:hAnsi="Arial" w:cs="Arial"/>
          <w:kern w:val="2"/>
          <w:lang w:eastAsia="zh-CN"/>
          <w14:ligatures w14:val="standardContextual"/>
        </w:rPr>
        <w:t xml:space="preserve"> dissertation identified</w:t>
      </w:r>
      <w:r w:rsidRPr="00973F68">
        <w:rPr>
          <w:rFonts w:ascii="Arial" w:eastAsiaTheme="majorEastAsia" w:hAnsi="Arial" w:cs="Arial"/>
          <w:kern w:val="2"/>
          <w:lang w:eastAsia="zh-CN"/>
          <w14:ligatures w14:val="standardContextual"/>
        </w:rPr>
        <w:t xml:space="preserve"> the need for accessible support, the importance of practical interventions, and the requirement for targeted outreach to at-risk groups.</w:t>
      </w:r>
    </w:p>
    <w:p w14:paraId="61AEC01F" w14:textId="51D27C34" w:rsidR="00CD6981" w:rsidRPr="00973F68" w:rsidRDefault="001B20A3" w:rsidP="00CD6981">
      <w:pPr>
        <w:spacing w:before="240" w:line="360" w:lineRule="auto"/>
        <w:rPr>
          <w:rFonts w:ascii="Arial" w:eastAsiaTheme="majorEastAsia" w:hAnsi="Arial" w:cs="Arial"/>
          <w:kern w:val="2"/>
          <w:lang w:eastAsia="zh-CN"/>
          <w14:ligatures w14:val="standardContextual"/>
        </w:rPr>
      </w:pPr>
      <w:r w:rsidRPr="001B20A3">
        <w:rPr>
          <w:rFonts w:ascii="Arial" w:eastAsia="Aptos" w:hAnsi="Arial" w:cs="Arial"/>
          <w:b/>
          <w:kern w:val="2"/>
          <w:lang w:eastAsia="en-US"/>
          <w14:ligatures w14:val="standardContextual"/>
        </w:rPr>
        <w:t>Recommendations:</w:t>
      </w:r>
      <w:r>
        <w:rPr>
          <w:rFonts w:ascii="Arial" w:eastAsiaTheme="majorEastAsia" w:hAnsi="Arial" w:cs="Arial"/>
          <w:kern w:val="2"/>
          <w:lang w:eastAsia="zh-CN"/>
          <w14:ligatures w14:val="standardContextual"/>
        </w:rPr>
        <w:t xml:space="preserve"> </w:t>
      </w:r>
      <w:r w:rsidR="00CD6981" w:rsidRPr="00973F68">
        <w:rPr>
          <w:rFonts w:ascii="Arial" w:eastAsiaTheme="majorEastAsia" w:hAnsi="Arial" w:cs="Arial"/>
          <w:kern w:val="2"/>
          <w:lang w:eastAsia="zh-CN"/>
          <w14:ligatures w14:val="standardContextual"/>
        </w:rPr>
        <w:t>By co-designing services with staff, embedding practical supports into operational policy, and proactively reaching out to those who may not seek help, healthcare organisations can move towards a more effective and equitable approach to workforce wellbeing</w:t>
      </w:r>
      <w:r>
        <w:rPr>
          <w:rFonts w:ascii="Arial" w:eastAsiaTheme="majorEastAsia" w:hAnsi="Arial" w:cs="Arial"/>
          <w:kern w:val="2"/>
          <w:lang w:eastAsia="zh-CN"/>
          <w14:ligatures w14:val="standardContextual"/>
        </w:rPr>
        <w:t>.</w:t>
      </w:r>
    </w:p>
    <w:p w14:paraId="70B4C321" w14:textId="77777777" w:rsidR="00CD6981" w:rsidRPr="00CD6981" w:rsidRDefault="00CD6981">
      <w:pPr>
        <w:rPr>
          <w:rFonts w:ascii="Arial" w:eastAsia="Calibri Light" w:hAnsi="Arial" w:cs="Arial"/>
          <w:bCs/>
          <w:lang w:bidi="en-GB"/>
        </w:rPr>
      </w:pPr>
    </w:p>
    <w:p w14:paraId="2B5995E4" w14:textId="77777777" w:rsidR="001B20A3" w:rsidRDefault="001B20A3">
      <w:pPr>
        <w:rPr>
          <w:rFonts w:ascii="Arial" w:eastAsia="Calibri Light" w:hAnsi="Arial" w:cs="Arial"/>
          <w:b/>
          <w:lang w:bidi="en-GB"/>
        </w:rPr>
      </w:pPr>
      <w:r>
        <w:rPr>
          <w:rFonts w:ascii="Arial" w:eastAsia="Calibri Light" w:hAnsi="Arial" w:cs="Arial"/>
          <w:b/>
          <w:lang w:bidi="en-GB"/>
        </w:rPr>
        <w:br w:type="page"/>
      </w:r>
    </w:p>
    <w:sdt>
      <w:sdtPr>
        <w:rPr>
          <w:rFonts w:ascii="Times New Roman" w:eastAsia="Times New Roman" w:hAnsi="Times New Roman" w:cs="Times New Roman"/>
          <w:color w:val="auto"/>
          <w:sz w:val="24"/>
          <w:szCs w:val="24"/>
        </w:rPr>
        <w:id w:val="706915681"/>
        <w:docPartObj>
          <w:docPartGallery w:val="Table of Contents"/>
          <w:docPartUnique/>
        </w:docPartObj>
      </w:sdtPr>
      <w:sdtEndPr>
        <w:rPr>
          <w:b/>
          <w:bCs/>
        </w:rPr>
      </w:sdtEndPr>
      <w:sdtContent>
        <w:p w14:paraId="2903E410" w14:textId="49EA2644" w:rsidR="001B20A3" w:rsidRDefault="001B20A3">
          <w:pPr>
            <w:pStyle w:val="TOCHeading"/>
          </w:pPr>
          <w:r>
            <w:t>Table of Contents</w:t>
          </w:r>
        </w:p>
        <w:p w14:paraId="12F01425" w14:textId="0F813796" w:rsidR="00644375" w:rsidRDefault="001B20A3">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3453128" w:history="1">
            <w:r w:rsidR="00644375" w:rsidRPr="00416E98">
              <w:rPr>
                <w:rStyle w:val="Hyperlink"/>
                <w:rFonts w:ascii="Arial" w:eastAsia="Calibri Light" w:hAnsi="Arial" w:cs="Arial"/>
                <w:b/>
                <w:noProof/>
                <w:lang w:bidi="en-GB"/>
              </w:rPr>
              <w:t>Abstract</w:t>
            </w:r>
            <w:r w:rsidR="00644375">
              <w:rPr>
                <w:noProof/>
                <w:webHidden/>
              </w:rPr>
              <w:tab/>
            </w:r>
            <w:r w:rsidR="00644375">
              <w:rPr>
                <w:noProof/>
                <w:webHidden/>
              </w:rPr>
              <w:fldChar w:fldCharType="begin"/>
            </w:r>
            <w:r w:rsidR="00644375">
              <w:rPr>
                <w:noProof/>
                <w:webHidden/>
              </w:rPr>
              <w:instrText xml:space="preserve"> PAGEREF _Toc223453128 \h </w:instrText>
            </w:r>
            <w:r w:rsidR="00644375">
              <w:rPr>
                <w:noProof/>
                <w:webHidden/>
              </w:rPr>
            </w:r>
            <w:r w:rsidR="00644375">
              <w:rPr>
                <w:noProof/>
                <w:webHidden/>
              </w:rPr>
              <w:fldChar w:fldCharType="separate"/>
            </w:r>
            <w:r w:rsidR="00644375">
              <w:rPr>
                <w:noProof/>
                <w:webHidden/>
              </w:rPr>
              <w:t>2</w:t>
            </w:r>
            <w:r w:rsidR="00644375">
              <w:rPr>
                <w:noProof/>
                <w:webHidden/>
              </w:rPr>
              <w:fldChar w:fldCharType="end"/>
            </w:r>
          </w:hyperlink>
        </w:p>
        <w:p w14:paraId="1F417A61" w14:textId="4A6BC721"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29" w:history="1">
            <w:r w:rsidRPr="00416E98">
              <w:rPr>
                <w:rStyle w:val="Hyperlink"/>
                <w:rFonts w:ascii="Arial" w:eastAsia="Calibri Light" w:hAnsi="Arial" w:cs="Arial"/>
                <w:b/>
                <w:noProof/>
                <w:lang w:bidi="en-GB"/>
              </w:rPr>
              <w:t>CHAPTER 1: Introduction</w:t>
            </w:r>
            <w:r>
              <w:rPr>
                <w:noProof/>
                <w:webHidden/>
              </w:rPr>
              <w:tab/>
            </w:r>
            <w:r>
              <w:rPr>
                <w:noProof/>
                <w:webHidden/>
              </w:rPr>
              <w:fldChar w:fldCharType="begin"/>
            </w:r>
            <w:r>
              <w:rPr>
                <w:noProof/>
                <w:webHidden/>
              </w:rPr>
              <w:instrText xml:space="preserve"> PAGEREF _Toc223453129 \h </w:instrText>
            </w:r>
            <w:r>
              <w:rPr>
                <w:noProof/>
                <w:webHidden/>
              </w:rPr>
            </w:r>
            <w:r>
              <w:rPr>
                <w:noProof/>
                <w:webHidden/>
              </w:rPr>
              <w:fldChar w:fldCharType="separate"/>
            </w:r>
            <w:r>
              <w:rPr>
                <w:noProof/>
                <w:webHidden/>
              </w:rPr>
              <w:t>5</w:t>
            </w:r>
            <w:r>
              <w:rPr>
                <w:noProof/>
                <w:webHidden/>
              </w:rPr>
              <w:fldChar w:fldCharType="end"/>
            </w:r>
          </w:hyperlink>
        </w:p>
        <w:p w14:paraId="2E0091CA" w14:textId="0D0DA32D"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0" w:history="1">
            <w:r w:rsidRPr="00416E98">
              <w:rPr>
                <w:rStyle w:val="Hyperlink"/>
                <w:rFonts w:ascii="Arial" w:eastAsiaTheme="majorEastAsia" w:hAnsi="Arial" w:cs="Arial"/>
                <w:b/>
                <w:bCs/>
                <w:noProof/>
                <w:lang w:eastAsia="zh-CN"/>
              </w:rPr>
              <w:t>1.1 Introduction</w:t>
            </w:r>
            <w:r>
              <w:rPr>
                <w:noProof/>
                <w:webHidden/>
              </w:rPr>
              <w:tab/>
            </w:r>
            <w:r>
              <w:rPr>
                <w:noProof/>
                <w:webHidden/>
              </w:rPr>
              <w:fldChar w:fldCharType="begin"/>
            </w:r>
            <w:r>
              <w:rPr>
                <w:noProof/>
                <w:webHidden/>
              </w:rPr>
              <w:instrText xml:space="preserve"> PAGEREF _Toc223453130 \h </w:instrText>
            </w:r>
            <w:r>
              <w:rPr>
                <w:noProof/>
                <w:webHidden/>
              </w:rPr>
            </w:r>
            <w:r>
              <w:rPr>
                <w:noProof/>
                <w:webHidden/>
              </w:rPr>
              <w:fldChar w:fldCharType="separate"/>
            </w:r>
            <w:r>
              <w:rPr>
                <w:noProof/>
                <w:webHidden/>
              </w:rPr>
              <w:t>5</w:t>
            </w:r>
            <w:r>
              <w:rPr>
                <w:noProof/>
                <w:webHidden/>
              </w:rPr>
              <w:fldChar w:fldCharType="end"/>
            </w:r>
          </w:hyperlink>
        </w:p>
        <w:p w14:paraId="66E5AED9" w14:textId="422B3708"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1" w:history="1">
            <w:r w:rsidRPr="00416E98">
              <w:rPr>
                <w:rStyle w:val="Hyperlink"/>
                <w:rFonts w:ascii="Arial" w:eastAsiaTheme="majorEastAsia" w:hAnsi="Arial" w:cs="Arial"/>
                <w:b/>
                <w:bCs/>
                <w:noProof/>
                <w:lang w:eastAsia="zh-CN"/>
              </w:rPr>
              <w:t>1.2 Definitions and Terminology</w:t>
            </w:r>
            <w:r>
              <w:rPr>
                <w:noProof/>
                <w:webHidden/>
              </w:rPr>
              <w:tab/>
            </w:r>
            <w:r>
              <w:rPr>
                <w:noProof/>
                <w:webHidden/>
              </w:rPr>
              <w:fldChar w:fldCharType="begin"/>
            </w:r>
            <w:r>
              <w:rPr>
                <w:noProof/>
                <w:webHidden/>
              </w:rPr>
              <w:instrText xml:space="preserve"> PAGEREF _Toc223453131 \h </w:instrText>
            </w:r>
            <w:r>
              <w:rPr>
                <w:noProof/>
                <w:webHidden/>
              </w:rPr>
            </w:r>
            <w:r>
              <w:rPr>
                <w:noProof/>
                <w:webHidden/>
              </w:rPr>
              <w:fldChar w:fldCharType="separate"/>
            </w:r>
            <w:r>
              <w:rPr>
                <w:noProof/>
                <w:webHidden/>
              </w:rPr>
              <w:t>5</w:t>
            </w:r>
            <w:r>
              <w:rPr>
                <w:noProof/>
                <w:webHidden/>
              </w:rPr>
              <w:fldChar w:fldCharType="end"/>
            </w:r>
          </w:hyperlink>
        </w:p>
        <w:p w14:paraId="1471AB14" w14:textId="691681BF"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2" w:history="1">
            <w:r w:rsidRPr="00416E98">
              <w:rPr>
                <w:rStyle w:val="Hyperlink"/>
                <w:rFonts w:ascii="Arial" w:eastAsiaTheme="majorEastAsia" w:hAnsi="Arial" w:cs="Arial"/>
                <w:b/>
                <w:bCs/>
                <w:noProof/>
                <w:lang w:eastAsia="zh-CN"/>
              </w:rPr>
              <w:t>1.3 Rationale for Research</w:t>
            </w:r>
            <w:r>
              <w:rPr>
                <w:noProof/>
                <w:webHidden/>
              </w:rPr>
              <w:tab/>
            </w:r>
            <w:r>
              <w:rPr>
                <w:noProof/>
                <w:webHidden/>
              </w:rPr>
              <w:fldChar w:fldCharType="begin"/>
            </w:r>
            <w:r>
              <w:rPr>
                <w:noProof/>
                <w:webHidden/>
              </w:rPr>
              <w:instrText xml:space="preserve"> PAGEREF _Toc223453132 \h </w:instrText>
            </w:r>
            <w:r>
              <w:rPr>
                <w:noProof/>
                <w:webHidden/>
              </w:rPr>
            </w:r>
            <w:r>
              <w:rPr>
                <w:noProof/>
                <w:webHidden/>
              </w:rPr>
              <w:fldChar w:fldCharType="separate"/>
            </w:r>
            <w:r>
              <w:rPr>
                <w:noProof/>
                <w:webHidden/>
              </w:rPr>
              <w:t>6</w:t>
            </w:r>
            <w:r>
              <w:rPr>
                <w:noProof/>
                <w:webHidden/>
              </w:rPr>
              <w:fldChar w:fldCharType="end"/>
            </w:r>
          </w:hyperlink>
        </w:p>
        <w:p w14:paraId="67BCD57C" w14:textId="0420D16A"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3" w:history="1">
            <w:r w:rsidRPr="00416E98">
              <w:rPr>
                <w:rStyle w:val="Hyperlink"/>
                <w:rFonts w:ascii="Arial" w:eastAsiaTheme="majorEastAsia" w:hAnsi="Arial" w:cs="Arial"/>
                <w:b/>
                <w:bCs/>
                <w:noProof/>
                <w:lang w:eastAsia="zh-CN"/>
              </w:rPr>
              <w:t>1.4 Aim and Objectives</w:t>
            </w:r>
            <w:r>
              <w:rPr>
                <w:noProof/>
                <w:webHidden/>
              </w:rPr>
              <w:tab/>
            </w:r>
            <w:r>
              <w:rPr>
                <w:noProof/>
                <w:webHidden/>
              </w:rPr>
              <w:fldChar w:fldCharType="begin"/>
            </w:r>
            <w:r>
              <w:rPr>
                <w:noProof/>
                <w:webHidden/>
              </w:rPr>
              <w:instrText xml:space="preserve"> PAGEREF _Toc223453133 \h </w:instrText>
            </w:r>
            <w:r>
              <w:rPr>
                <w:noProof/>
                <w:webHidden/>
              </w:rPr>
            </w:r>
            <w:r>
              <w:rPr>
                <w:noProof/>
                <w:webHidden/>
              </w:rPr>
              <w:fldChar w:fldCharType="separate"/>
            </w:r>
            <w:r>
              <w:rPr>
                <w:noProof/>
                <w:webHidden/>
              </w:rPr>
              <w:t>7</w:t>
            </w:r>
            <w:r>
              <w:rPr>
                <w:noProof/>
                <w:webHidden/>
              </w:rPr>
              <w:fldChar w:fldCharType="end"/>
            </w:r>
          </w:hyperlink>
        </w:p>
        <w:p w14:paraId="5256F13A" w14:textId="17E0E4F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4" w:history="1">
            <w:r w:rsidRPr="00416E98">
              <w:rPr>
                <w:rStyle w:val="Hyperlink"/>
                <w:rFonts w:ascii="Arial" w:eastAsiaTheme="majorEastAsia" w:hAnsi="Arial" w:cs="Arial"/>
                <w:b/>
                <w:bCs/>
                <w:noProof/>
                <w:lang w:eastAsia="zh-CN"/>
              </w:rPr>
              <w:t>1.5 Conclusion</w:t>
            </w:r>
            <w:r>
              <w:rPr>
                <w:noProof/>
                <w:webHidden/>
              </w:rPr>
              <w:tab/>
            </w:r>
            <w:r>
              <w:rPr>
                <w:noProof/>
                <w:webHidden/>
              </w:rPr>
              <w:fldChar w:fldCharType="begin"/>
            </w:r>
            <w:r>
              <w:rPr>
                <w:noProof/>
                <w:webHidden/>
              </w:rPr>
              <w:instrText xml:space="preserve"> PAGEREF _Toc223453134 \h </w:instrText>
            </w:r>
            <w:r>
              <w:rPr>
                <w:noProof/>
                <w:webHidden/>
              </w:rPr>
            </w:r>
            <w:r>
              <w:rPr>
                <w:noProof/>
                <w:webHidden/>
              </w:rPr>
              <w:fldChar w:fldCharType="separate"/>
            </w:r>
            <w:r>
              <w:rPr>
                <w:noProof/>
                <w:webHidden/>
              </w:rPr>
              <w:t>7</w:t>
            </w:r>
            <w:r>
              <w:rPr>
                <w:noProof/>
                <w:webHidden/>
              </w:rPr>
              <w:fldChar w:fldCharType="end"/>
            </w:r>
          </w:hyperlink>
        </w:p>
        <w:p w14:paraId="6C712F96" w14:textId="2A6FC833"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35" w:history="1">
            <w:r w:rsidRPr="00416E98">
              <w:rPr>
                <w:rStyle w:val="Hyperlink"/>
                <w:rFonts w:ascii="Arial" w:eastAsia="Calibri Light" w:hAnsi="Arial" w:cs="Arial"/>
                <w:b/>
                <w:noProof/>
                <w:lang w:bidi="en-GB"/>
              </w:rPr>
              <w:t>Chapter 2 – Background Information and Analysis</w:t>
            </w:r>
            <w:r>
              <w:rPr>
                <w:noProof/>
                <w:webHidden/>
              </w:rPr>
              <w:tab/>
            </w:r>
            <w:r>
              <w:rPr>
                <w:noProof/>
                <w:webHidden/>
              </w:rPr>
              <w:fldChar w:fldCharType="begin"/>
            </w:r>
            <w:r>
              <w:rPr>
                <w:noProof/>
                <w:webHidden/>
              </w:rPr>
              <w:instrText xml:space="preserve"> PAGEREF _Toc223453135 \h </w:instrText>
            </w:r>
            <w:r>
              <w:rPr>
                <w:noProof/>
                <w:webHidden/>
              </w:rPr>
            </w:r>
            <w:r>
              <w:rPr>
                <w:noProof/>
                <w:webHidden/>
              </w:rPr>
              <w:fldChar w:fldCharType="separate"/>
            </w:r>
            <w:r>
              <w:rPr>
                <w:noProof/>
                <w:webHidden/>
              </w:rPr>
              <w:t>9</w:t>
            </w:r>
            <w:r>
              <w:rPr>
                <w:noProof/>
                <w:webHidden/>
              </w:rPr>
              <w:fldChar w:fldCharType="end"/>
            </w:r>
          </w:hyperlink>
        </w:p>
        <w:p w14:paraId="4D3B6E73" w14:textId="0BC1006E"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6" w:history="1">
            <w:r w:rsidRPr="00416E98">
              <w:rPr>
                <w:rStyle w:val="Hyperlink"/>
                <w:rFonts w:ascii="Arial" w:eastAsiaTheme="majorEastAsia" w:hAnsi="Arial" w:cs="Arial"/>
                <w:b/>
                <w:bCs/>
                <w:noProof/>
                <w:lang w:eastAsia="zh-CN"/>
              </w:rPr>
              <w:t>2.1 Introduction</w:t>
            </w:r>
            <w:r>
              <w:rPr>
                <w:noProof/>
                <w:webHidden/>
              </w:rPr>
              <w:tab/>
            </w:r>
            <w:r>
              <w:rPr>
                <w:noProof/>
                <w:webHidden/>
              </w:rPr>
              <w:fldChar w:fldCharType="begin"/>
            </w:r>
            <w:r>
              <w:rPr>
                <w:noProof/>
                <w:webHidden/>
              </w:rPr>
              <w:instrText xml:space="preserve"> PAGEREF _Toc223453136 \h </w:instrText>
            </w:r>
            <w:r>
              <w:rPr>
                <w:noProof/>
                <w:webHidden/>
              </w:rPr>
            </w:r>
            <w:r>
              <w:rPr>
                <w:noProof/>
                <w:webHidden/>
              </w:rPr>
              <w:fldChar w:fldCharType="separate"/>
            </w:r>
            <w:r>
              <w:rPr>
                <w:noProof/>
                <w:webHidden/>
              </w:rPr>
              <w:t>9</w:t>
            </w:r>
            <w:r>
              <w:rPr>
                <w:noProof/>
                <w:webHidden/>
              </w:rPr>
              <w:fldChar w:fldCharType="end"/>
            </w:r>
          </w:hyperlink>
        </w:p>
        <w:p w14:paraId="7C090D69" w14:textId="000FBAD0"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7" w:history="1">
            <w:r w:rsidRPr="00416E98">
              <w:rPr>
                <w:rStyle w:val="Hyperlink"/>
                <w:rFonts w:ascii="Arial" w:eastAsiaTheme="majorEastAsia" w:hAnsi="Arial" w:cs="Arial"/>
                <w:b/>
                <w:bCs/>
                <w:noProof/>
                <w:lang w:eastAsia="zh-CN"/>
              </w:rPr>
              <w:t>2.2 Historical Background</w:t>
            </w:r>
            <w:r>
              <w:rPr>
                <w:noProof/>
                <w:webHidden/>
              </w:rPr>
              <w:tab/>
            </w:r>
            <w:r>
              <w:rPr>
                <w:noProof/>
                <w:webHidden/>
              </w:rPr>
              <w:fldChar w:fldCharType="begin"/>
            </w:r>
            <w:r>
              <w:rPr>
                <w:noProof/>
                <w:webHidden/>
              </w:rPr>
              <w:instrText xml:space="preserve"> PAGEREF _Toc223453137 \h </w:instrText>
            </w:r>
            <w:r>
              <w:rPr>
                <w:noProof/>
                <w:webHidden/>
              </w:rPr>
            </w:r>
            <w:r>
              <w:rPr>
                <w:noProof/>
                <w:webHidden/>
              </w:rPr>
              <w:fldChar w:fldCharType="separate"/>
            </w:r>
            <w:r>
              <w:rPr>
                <w:noProof/>
                <w:webHidden/>
              </w:rPr>
              <w:t>9</w:t>
            </w:r>
            <w:r>
              <w:rPr>
                <w:noProof/>
                <w:webHidden/>
              </w:rPr>
              <w:fldChar w:fldCharType="end"/>
            </w:r>
          </w:hyperlink>
        </w:p>
        <w:p w14:paraId="02547AF8" w14:textId="6CAF13B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8" w:history="1">
            <w:r w:rsidRPr="00416E98">
              <w:rPr>
                <w:rStyle w:val="Hyperlink"/>
                <w:rFonts w:ascii="Arial" w:eastAsiaTheme="majorEastAsia" w:hAnsi="Arial" w:cs="Arial"/>
                <w:b/>
                <w:bCs/>
                <w:noProof/>
                <w:lang w:eastAsia="zh-CN"/>
              </w:rPr>
              <w:t>2.3 Theoretical Background</w:t>
            </w:r>
            <w:r>
              <w:rPr>
                <w:noProof/>
                <w:webHidden/>
              </w:rPr>
              <w:tab/>
            </w:r>
            <w:r>
              <w:rPr>
                <w:noProof/>
                <w:webHidden/>
              </w:rPr>
              <w:fldChar w:fldCharType="begin"/>
            </w:r>
            <w:r>
              <w:rPr>
                <w:noProof/>
                <w:webHidden/>
              </w:rPr>
              <w:instrText xml:space="preserve"> PAGEREF _Toc223453138 \h </w:instrText>
            </w:r>
            <w:r>
              <w:rPr>
                <w:noProof/>
                <w:webHidden/>
              </w:rPr>
            </w:r>
            <w:r>
              <w:rPr>
                <w:noProof/>
                <w:webHidden/>
              </w:rPr>
              <w:fldChar w:fldCharType="separate"/>
            </w:r>
            <w:r>
              <w:rPr>
                <w:noProof/>
                <w:webHidden/>
              </w:rPr>
              <w:t>10</w:t>
            </w:r>
            <w:r>
              <w:rPr>
                <w:noProof/>
                <w:webHidden/>
              </w:rPr>
              <w:fldChar w:fldCharType="end"/>
            </w:r>
          </w:hyperlink>
        </w:p>
        <w:p w14:paraId="7DFE3F73" w14:textId="22B5D9B4"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39" w:history="1">
            <w:r w:rsidRPr="00416E98">
              <w:rPr>
                <w:rStyle w:val="Hyperlink"/>
                <w:rFonts w:ascii="Arial" w:eastAsiaTheme="majorEastAsia" w:hAnsi="Arial" w:cs="Arial"/>
                <w:b/>
                <w:bCs/>
                <w:noProof/>
                <w:lang w:eastAsia="zh-CN"/>
              </w:rPr>
              <w:t>2.4 International Context</w:t>
            </w:r>
            <w:r>
              <w:rPr>
                <w:noProof/>
                <w:webHidden/>
              </w:rPr>
              <w:tab/>
            </w:r>
            <w:r>
              <w:rPr>
                <w:noProof/>
                <w:webHidden/>
              </w:rPr>
              <w:fldChar w:fldCharType="begin"/>
            </w:r>
            <w:r>
              <w:rPr>
                <w:noProof/>
                <w:webHidden/>
              </w:rPr>
              <w:instrText xml:space="preserve"> PAGEREF _Toc223453139 \h </w:instrText>
            </w:r>
            <w:r>
              <w:rPr>
                <w:noProof/>
                <w:webHidden/>
              </w:rPr>
            </w:r>
            <w:r>
              <w:rPr>
                <w:noProof/>
                <w:webHidden/>
              </w:rPr>
              <w:fldChar w:fldCharType="separate"/>
            </w:r>
            <w:r>
              <w:rPr>
                <w:noProof/>
                <w:webHidden/>
              </w:rPr>
              <w:t>12</w:t>
            </w:r>
            <w:r>
              <w:rPr>
                <w:noProof/>
                <w:webHidden/>
              </w:rPr>
              <w:fldChar w:fldCharType="end"/>
            </w:r>
          </w:hyperlink>
        </w:p>
        <w:p w14:paraId="1DD52A4C" w14:textId="481B70CA"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0" w:history="1">
            <w:r w:rsidRPr="00416E98">
              <w:rPr>
                <w:rStyle w:val="Hyperlink"/>
                <w:rFonts w:ascii="Arial" w:eastAsiaTheme="majorEastAsia" w:hAnsi="Arial" w:cs="Arial"/>
                <w:b/>
                <w:bCs/>
                <w:noProof/>
                <w:lang w:eastAsia="zh-CN"/>
              </w:rPr>
              <w:t>2.5 National/Local UK Context</w:t>
            </w:r>
            <w:r>
              <w:rPr>
                <w:noProof/>
                <w:webHidden/>
              </w:rPr>
              <w:tab/>
            </w:r>
            <w:r>
              <w:rPr>
                <w:noProof/>
                <w:webHidden/>
              </w:rPr>
              <w:fldChar w:fldCharType="begin"/>
            </w:r>
            <w:r>
              <w:rPr>
                <w:noProof/>
                <w:webHidden/>
              </w:rPr>
              <w:instrText xml:space="preserve"> PAGEREF _Toc223453140 \h </w:instrText>
            </w:r>
            <w:r>
              <w:rPr>
                <w:noProof/>
                <w:webHidden/>
              </w:rPr>
            </w:r>
            <w:r>
              <w:rPr>
                <w:noProof/>
                <w:webHidden/>
              </w:rPr>
              <w:fldChar w:fldCharType="separate"/>
            </w:r>
            <w:r>
              <w:rPr>
                <w:noProof/>
                <w:webHidden/>
              </w:rPr>
              <w:t>13</w:t>
            </w:r>
            <w:r>
              <w:rPr>
                <w:noProof/>
                <w:webHidden/>
              </w:rPr>
              <w:fldChar w:fldCharType="end"/>
            </w:r>
          </w:hyperlink>
        </w:p>
        <w:p w14:paraId="15C47868" w14:textId="5157DB1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1" w:history="1">
            <w:r w:rsidRPr="00416E98">
              <w:rPr>
                <w:rStyle w:val="Hyperlink"/>
                <w:rFonts w:ascii="Arial" w:eastAsiaTheme="majorEastAsia" w:hAnsi="Arial" w:cs="Arial"/>
                <w:b/>
                <w:bCs/>
                <w:noProof/>
                <w:lang w:eastAsia="zh-CN"/>
              </w:rPr>
              <w:t>2.6 Conclusion</w:t>
            </w:r>
            <w:r>
              <w:rPr>
                <w:noProof/>
                <w:webHidden/>
              </w:rPr>
              <w:tab/>
            </w:r>
            <w:r>
              <w:rPr>
                <w:noProof/>
                <w:webHidden/>
              </w:rPr>
              <w:fldChar w:fldCharType="begin"/>
            </w:r>
            <w:r>
              <w:rPr>
                <w:noProof/>
                <w:webHidden/>
              </w:rPr>
              <w:instrText xml:space="preserve"> PAGEREF _Toc223453141 \h </w:instrText>
            </w:r>
            <w:r>
              <w:rPr>
                <w:noProof/>
                <w:webHidden/>
              </w:rPr>
            </w:r>
            <w:r>
              <w:rPr>
                <w:noProof/>
                <w:webHidden/>
              </w:rPr>
              <w:fldChar w:fldCharType="separate"/>
            </w:r>
            <w:r>
              <w:rPr>
                <w:noProof/>
                <w:webHidden/>
              </w:rPr>
              <w:t>14</w:t>
            </w:r>
            <w:r>
              <w:rPr>
                <w:noProof/>
                <w:webHidden/>
              </w:rPr>
              <w:fldChar w:fldCharType="end"/>
            </w:r>
          </w:hyperlink>
        </w:p>
        <w:p w14:paraId="2D4BFC9B" w14:textId="64A7FF8C"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42" w:history="1">
            <w:r w:rsidRPr="00416E98">
              <w:rPr>
                <w:rStyle w:val="Hyperlink"/>
                <w:rFonts w:ascii="Arial" w:eastAsia="Calibri Light" w:hAnsi="Arial" w:cs="Arial"/>
                <w:b/>
                <w:noProof/>
                <w:lang w:bidi="en-GB"/>
              </w:rPr>
              <w:t>Chapter 3 – Methods</w:t>
            </w:r>
            <w:r>
              <w:rPr>
                <w:noProof/>
                <w:webHidden/>
              </w:rPr>
              <w:tab/>
            </w:r>
            <w:r>
              <w:rPr>
                <w:noProof/>
                <w:webHidden/>
              </w:rPr>
              <w:fldChar w:fldCharType="begin"/>
            </w:r>
            <w:r>
              <w:rPr>
                <w:noProof/>
                <w:webHidden/>
              </w:rPr>
              <w:instrText xml:space="preserve"> PAGEREF _Toc223453142 \h </w:instrText>
            </w:r>
            <w:r>
              <w:rPr>
                <w:noProof/>
                <w:webHidden/>
              </w:rPr>
            </w:r>
            <w:r>
              <w:rPr>
                <w:noProof/>
                <w:webHidden/>
              </w:rPr>
              <w:fldChar w:fldCharType="separate"/>
            </w:r>
            <w:r>
              <w:rPr>
                <w:noProof/>
                <w:webHidden/>
              </w:rPr>
              <w:t>15</w:t>
            </w:r>
            <w:r>
              <w:rPr>
                <w:noProof/>
                <w:webHidden/>
              </w:rPr>
              <w:fldChar w:fldCharType="end"/>
            </w:r>
          </w:hyperlink>
        </w:p>
        <w:p w14:paraId="5726A372" w14:textId="4D58B116"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3" w:history="1">
            <w:r w:rsidRPr="00416E98">
              <w:rPr>
                <w:rStyle w:val="Hyperlink"/>
                <w:rFonts w:ascii="Arial" w:eastAsiaTheme="majorEastAsia" w:hAnsi="Arial" w:cs="Arial"/>
                <w:b/>
                <w:bCs/>
                <w:noProof/>
                <w:lang w:eastAsia="zh-CN"/>
              </w:rPr>
              <w:t>3.1 Introduction</w:t>
            </w:r>
            <w:r>
              <w:rPr>
                <w:noProof/>
                <w:webHidden/>
              </w:rPr>
              <w:tab/>
            </w:r>
            <w:r>
              <w:rPr>
                <w:noProof/>
                <w:webHidden/>
              </w:rPr>
              <w:fldChar w:fldCharType="begin"/>
            </w:r>
            <w:r>
              <w:rPr>
                <w:noProof/>
                <w:webHidden/>
              </w:rPr>
              <w:instrText xml:space="preserve"> PAGEREF _Toc223453143 \h </w:instrText>
            </w:r>
            <w:r>
              <w:rPr>
                <w:noProof/>
                <w:webHidden/>
              </w:rPr>
            </w:r>
            <w:r>
              <w:rPr>
                <w:noProof/>
                <w:webHidden/>
              </w:rPr>
              <w:fldChar w:fldCharType="separate"/>
            </w:r>
            <w:r>
              <w:rPr>
                <w:noProof/>
                <w:webHidden/>
              </w:rPr>
              <w:t>15</w:t>
            </w:r>
            <w:r>
              <w:rPr>
                <w:noProof/>
                <w:webHidden/>
              </w:rPr>
              <w:fldChar w:fldCharType="end"/>
            </w:r>
          </w:hyperlink>
        </w:p>
        <w:p w14:paraId="00591DCA" w14:textId="18FAD10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4" w:history="1">
            <w:r w:rsidRPr="00416E98">
              <w:rPr>
                <w:rStyle w:val="Hyperlink"/>
                <w:rFonts w:ascii="Arial" w:eastAsiaTheme="majorEastAsia" w:hAnsi="Arial" w:cs="Arial"/>
                <w:b/>
                <w:bCs/>
                <w:noProof/>
                <w:lang w:eastAsia="zh-CN"/>
              </w:rPr>
              <w:t>3.2 Search Strategy</w:t>
            </w:r>
            <w:r>
              <w:rPr>
                <w:noProof/>
                <w:webHidden/>
              </w:rPr>
              <w:tab/>
            </w:r>
            <w:r>
              <w:rPr>
                <w:noProof/>
                <w:webHidden/>
              </w:rPr>
              <w:fldChar w:fldCharType="begin"/>
            </w:r>
            <w:r>
              <w:rPr>
                <w:noProof/>
                <w:webHidden/>
              </w:rPr>
              <w:instrText xml:space="preserve"> PAGEREF _Toc223453144 \h </w:instrText>
            </w:r>
            <w:r>
              <w:rPr>
                <w:noProof/>
                <w:webHidden/>
              </w:rPr>
            </w:r>
            <w:r>
              <w:rPr>
                <w:noProof/>
                <w:webHidden/>
              </w:rPr>
              <w:fldChar w:fldCharType="separate"/>
            </w:r>
            <w:r>
              <w:rPr>
                <w:noProof/>
                <w:webHidden/>
              </w:rPr>
              <w:t>15</w:t>
            </w:r>
            <w:r>
              <w:rPr>
                <w:noProof/>
                <w:webHidden/>
              </w:rPr>
              <w:fldChar w:fldCharType="end"/>
            </w:r>
          </w:hyperlink>
        </w:p>
        <w:p w14:paraId="75D88BE5" w14:textId="1C46C226"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5" w:history="1">
            <w:r w:rsidRPr="00416E98">
              <w:rPr>
                <w:rStyle w:val="Hyperlink"/>
                <w:rFonts w:ascii="Arial" w:eastAsiaTheme="majorEastAsia" w:hAnsi="Arial" w:cs="Arial"/>
                <w:b/>
                <w:bCs/>
                <w:noProof/>
                <w:lang w:eastAsia="zh-CN"/>
              </w:rPr>
              <w:t>3.3 Searching for Information</w:t>
            </w:r>
            <w:r>
              <w:rPr>
                <w:noProof/>
                <w:webHidden/>
              </w:rPr>
              <w:tab/>
            </w:r>
            <w:r>
              <w:rPr>
                <w:noProof/>
                <w:webHidden/>
              </w:rPr>
              <w:fldChar w:fldCharType="begin"/>
            </w:r>
            <w:r>
              <w:rPr>
                <w:noProof/>
                <w:webHidden/>
              </w:rPr>
              <w:instrText xml:space="preserve"> PAGEREF _Toc223453145 \h </w:instrText>
            </w:r>
            <w:r>
              <w:rPr>
                <w:noProof/>
                <w:webHidden/>
              </w:rPr>
            </w:r>
            <w:r>
              <w:rPr>
                <w:noProof/>
                <w:webHidden/>
              </w:rPr>
              <w:fldChar w:fldCharType="separate"/>
            </w:r>
            <w:r>
              <w:rPr>
                <w:noProof/>
                <w:webHidden/>
              </w:rPr>
              <w:t>15</w:t>
            </w:r>
            <w:r>
              <w:rPr>
                <w:noProof/>
                <w:webHidden/>
              </w:rPr>
              <w:fldChar w:fldCharType="end"/>
            </w:r>
          </w:hyperlink>
        </w:p>
        <w:p w14:paraId="0F7BD545" w14:textId="5E949066"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6" w:history="1">
            <w:r w:rsidRPr="00416E98">
              <w:rPr>
                <w:rStyle w:val="Hyperlink"/>
                <w:rFonts w:ascii="Arial" w:eastAsiaTheme="majorEastAsia" w:hAnsi="Arial" w:cs="Arial"/>
                <w:b/>
                <w:bCs/>
                <w:noProof/>
                <w:lang w:eastAsia="zh-CN"/>
              </w:rPr>
              <w:t>3.4 Research Validation</w:t>
            </w:r>
            <w:r>
              <w:rPr>
                <w:noProof/>
                <w:webHidden/>
              </w:rPr>
              <w:tab/>
            </w:r>
            <w:r>
              <w:rPr>
                <w:noProof/>
                <w:webHidden/>
              </w:rPr>
              <w:fldChar w:fldCharType="begin"/>
            </w:r>
            <w:r>
              <w:rPr>
                <w:noProof/>
                <w:webHidden/>
              </w:rPr>
              <w:instrText xml:space="preserve"> PAGEREF _Toc223453146 \h </w:instrText>
            </w:r>
            <w:r>
              <w:rPr>
                <w:noProof/>
                <w:webHidden/>
              </w:rPr>
            </w:r>
            <w:r>
              <w:rPr>
                <w:noProof/>
                <w:webHidden/>
              </w:rPr>
              <w:fldChar w:fldCharType="separate"/>
            </w:r>
            <w:r>
              <w:rPr>
                <w:noProof/>
                <w:webHidden/>
              </w:rPr>
              <w:t>16</w:t>
            </w:r>
            <w:r>
              <w:rPr>
                <w:noProof/>
                <w:webHidden/>
              </w:rPr>
              <w:fldChar w:fldCharType="end"/>
            </w:r>
          </w:hyperlink>
        </w:p>
        <w:p w14:paraId="1CB16A59" w14:textId="04D850CE"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7" w:history="1">
            <w:r w:rsidRPr="00416E98">
              <w:rPr>
                <w:rStyle w:val="Hyperlink"/>
                <w:rFonts w:ascii="Arial" w:eastAsiaTheme="majorEastAsia" w:hAnsi="Arial" w:cs="Arial"/>
                <w:b/>
                <w:bCs/>
                <w:noProof/>
                <w:lang w:eastAsia="zh-CN"/>
              </w:rPr>
              <w:t>3.5 Inclusion and Exclusion Criteria</w:t>
            </w:r>
            <w:r>
              <w:rPr>
                <w:noProof/>
                <w:webHidden/>
              </w:rPr>
              <w:tab/>
            </w:r>
            <w:r>
              <w:rPr>
                <w:noProof/>
                <w:webHidden/>
              </w:rPr>
              <w:fldChar w:fldCharType="begin"/>
            </w:r>
            <w:r>
              <w:rPr>
                <w:noProof/>
                <w:webHidden/>
              </w:rPr>
              <w:instrText xml:space="preserve"> PAGEREF _Toc223453147 \h </w:instrText>
            </w:r>
            <w:r>
              <w:rPr>
                <w:noProof/>
                <w:webHidden/>
              </w:rPr>
            </w:r>
            <w:r>
              <w:rPr>
                <w:noProof/>
                <w:webHidden/>
              </w:rPr>
              <w:fldChar w:fldCharType="separate"/>
            </w:r>
            <w:r>
              <w:rPr>
                <w:noProof/>
                <w:webHidden/>
              </w:rPr>
              <w:t>16</w:t>
            </w:r>
            <w:r>
              <w:rPr>
                <w:noProof/>
                <w:webHidden/>
              </w:rPr>
              <w:fldChar w:fldCharType="end"/>
            </w:r>
          </w:hyperlink>
        </w:p>
        <w:p w14:paraId="5D49873C" w14:textId="20A55E1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8" w:history="1">
            <w:r w:rsidRPr="00416E98">
              <w:rPr>
                <w:rStyle w:val="Hyperlink"/>
                <w:rFonts w:ascii="Arial" w:eastAsiaTheme="majorEastAsia" w:hAnsi="Arial" w:cs="Arial"/>
                <w:b/>
                <w:bCs/>
                <w:noProof/>
                <w:lang w:eastAsia="zh-CN"/>
              </w:rPr>
              <w:t>3.6 Analysing Research</w:t>
            </w:r>
            <w:r>
              <w:rPr>
                <w:noProof/>
                <w:webHidden/>
              </w:rPr>
              <w:tab/>
            </w:r>
            <w:r>
              <w:rPr>
                <w:noProof/>
                <w:webHidden/>
              </w:rPr>
              <w:fldChar w:fldCharType="begin"/>
            </w:r>
            <w:r>
              <w:rPr>
                <w:noProof/>
                <w:webHidden/>
              </w:rPr>
              <w:instrText xml:space="preserve"> PAGEREF _Toc223453148 \h </w:instrText>
            </w:r>
            <w:r>
              <w:rPr>
                <w:noProof/>
                <w:webHidden/>
              </w:rPr>
            </w:r>
            <w:r>
              <w:rPr>
                <w:noProof/>
                <w:webHidden/>
              </w:rPr>
              <w:fldChar w:fldCharType="separate"/>
            </w:r>
            <w:r>
              <w:rPr>
                <w:noProof/>
                <w:webHidden/>
              </w:rPr>
              <w:t>17</w:t>
            </w:r>
            <w:r>
              <w:rPr>
                <w:noProof/>
                <w:webHidden/>
              </w:rPr>
              <w:fldChar w:fldCharType="end"/>
            </w:r>
          </w:hyperlink>
        </w:p>
        <w:p w14:paraId="68D5FDC2" w14:textId="1CE21594"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49" w:history="1">
            <w:r w:rsidRPr="00416E98">
              <w:rPr>
                <w:rStyle w:val="Hyperlink"/>
                <w:rFonts w:ascii="Arial" w:eastAsiaTheme="majorEastAsia" w:hAnsi="Arial" w:cs="Arial"/>
                <w:b/>
                <w:bCs/>
                <w:noProof/>
                <w:lang w:eastAsia="zh-CN"/>
              </w:rPr>
              <w:t>3.7 Ethical Considerations</w:t>
            </w:r>
            <w:r>
              <w:rPr>
                <w:noProof/>
                <w:webHidden/>
              </w:rPr>
              <w:tab/>
            </w:r>
            <w:r>
              <w:rPr>
                <w:noProof/>
                <w:webHidden/>
              </w:rPr>
              <w:fldChar w:fldCharType="begin"/>
            </w:r>
            <w:r>
              <w:rPr>
                <w:noProof/>
                <w:webHidden/>
              </w:rPr>
              <w:instrText xml:space="preserve"> PAGEREF _Toc223453149 \h </w:instrText>
            </w:r>
            <w:r>
              <w:rPr>
                <w:noProof/>
                <w:webHidden/>
              </w:rPr>
            </w:r>
            <w:r>
              <w:rPr>
                <w:noProof/>
                <w:webHidden/>
              </w:rPr>
              <w:fldChar w:fldCharType="separate"/>
            </w:r>
            <w:r>
              <w:rPr>
                <w:noProof/>
                <w:webHidden/>
              </w:rPr>
              <w:t>17</w:t>
            </w:r>
            <w:r>
              <w:rPr>
                <w:noProof/>
                <w:webHidden/>
              </w:rPr>
              <w:fldChar w:fldCharType="end"/>
            </w:r>
          </w:hyperlink>
        </w:p>
        <w:p w14:paraId="7474EA11" w14:textId="6A0840B5"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0" w:history="1">
            <w:r w:rsidRPr="00416E98">
              <w:rPr>
                <w:rStyle w:val="Hyperlink"/>
                <w:rFonts w:ascii="Arial" w:eastAsiaTheme="majorEastAsia" w:hAnsi="Arial" w:cs="Arial"/>
                <w:b/>
                <w:bCs/>
                <w:noProof/>
                <w:lang w:eastAsia="zh-CN"/>
              </w:rPr>
              <w:t>3.8 Chapter Conclusion</w:t>
            </w:r>
            <w:r>
              <w:rPr>
                <w:noProof/>
                <w:webHidden/>
              </w:rPr>
              <w:tab/>
            </w:r>
            <w:r>
              <w:rPr>
                <w:noProof/>
                <w:webHidden/>
              </w:rPr>
              <w:fldChar w:fldCharType="begin"/>
            </w:r>
            <w:r>
              <w:rPr>
                <w:noProof/>
                <w:webHidden/>
              </w:rPr>
              <w:instrText xml:space="preserve"> PAGEREF _Toc223453150 \h </w:instrText>
            </w:r>
            <w:r>
              <w:rPr>
                <w:noProof/>
                <w:webHidden/>
              </w:rPr>
            </w:r>
            <w:r>
              <w:rPr>
                <w:noProof/>
                <w:webHidden/>
              </w:rPr>
              <w:fldChar w:fldCharType="separate"/>
            </w:r>
            <w:r>
              <w:rPr>
                <w:noProof/>
                <w:webHidden/>
              </w:rPr>
              <w:t>18</w:t>
            </w:r>
            <w:r>
              <w:rPr>
                <w:noProof/>
                <w:webHidden/>
              </w:rPr>
              <w:fldChar w:fldCharType="end"/>
            </w:r>
          </w:hyperlink>
        </w:p>
        <w:p w14:paraId="44449246" w14:textId="03F0F900"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51" w:history="1">
            <w:r w:rsidRPr="00416E98">
              <w:rPr>
                <w:rStyle w:val="Hyperlink"/>
                <w:rFonts w:ascii="Arial" w:eastAsia="Calibri Light" w:hAnsi="Arial" w:cs="Arial"/>
                <w:b/>
                <w:noProof/>
                <w:lang w:bidi="en-GB"/>
              </w:rPr>
              <w:t>Chapter 4 – Findings and Discussion</w:t>
            </w:r>
            <w:r>
              <w:rPr>
                <w:noProof/>
                <w:webHidden/>
              </w:rPr>
              <w:tab/>
            </w:r>
            <w:r>
              <w:rPr>
                <w:noProof/>
                <w:webHidden/>
              </w:rPr>
              <w:fldChar w:fldCharType="begin"/>
            </w:r>
            <w:r>
              <w:rPr>
                <w:noProof/>
                <w:webHidden/>
              </w:rPr>
              <w:instrText xml:space="preserve"> PAGEREF _Toc223453151 \h </w:instrText>
            </w:r>
            <w:r>
              <w:rPr>
                <w:noProof/>
                <w:webHidden/>
              </w:rPr>
            </w:r>
            <w:r>
              <w:rPr>
                <w:noProof/>
                <w:webHidden/>
              </w:rPr>
              <w:fldChar w:fldCharType="separate"/>
            </w:r>
            <w:r>
              <w:rPr>
                <w:noProof/>
                <w:webHidden/>
              </w:rPr>
              <w:t>19</w:t>
            </w:r>
            <w:r>
              <w:rPr>
                <w:noProof/>
                <w:webHidden/>
              </w:rPr>
              <w:fldChar w:fldCharType="end"/>
            </w:r>
          </w:hyperlink>
        </w:p>
        <w:p w14:paraId="15AC6A43" w14:textId="18A43E81"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2" w:history="1">
            <w:r w:rsidRPr="00416E98">
              <w:rPr>
                <w:rStyle w:val="Hyperlink"/>
                <w:rFonts w:ascii="Arial" w:eastAsiaTheme="majorEastAsia" w:hAnsi="Arial" w:cs="Arial"/>
                <w:b/>
                <w:bCs/>
                <w:noProof/>
                <w:lang w:eastAsia="zh-CN"/>
              </w:rPr>
              <w:t>4.1 Introduction</w:t>
            </w:r>
            <w:r>
              <w:rPr>
                <w:noProof/>
                <w:webHidden/>
              </w:rPr>
              <w:tab/>
            </w:r>
            <w:r>
              <w:rPr>
                <w:noProof/>
                <w:webHidden/>
              </w:rPr>
              <w:fldChar w:fldCharType="begin"/>
            </w:r>
            <w:r>
              <w:rPr>
                <w:noProof/>
                <w:webHidden/>
              </w:rPr>
              <w:instrText xml:space="preserve"> PAGEREF _Toc223453152 \h </w:instrText>
            </w:r>
            <w:r>
              <w:rPr>
                <w:noProof/>
                <w:webHidden/>
              </w:rPr>
            </w:r>
            <w:r>
              <w:rPr>
                <w:noProof/>
                <w:webHidden/>
              </w:rPr>
              <w:fldChar w:fldCharType="separate"/>
            </w:r>
            <w:r>
              <w:rPr>
                <w:noProof/>
                <w:webHidden/>
              </w:rPr>
              <w:t>19</w:t>
            </w:r>
            <w:r>
              <w:rPr>
                <w:noProof/>
                <w:webHidden/>
              </w:rPr>
              <w:fldChar w:fldCharType="end"/>
            </w:r>
          </w:hyperlink>
        </w:p>
        <w:p w14:paraId="12755639" w14:textId="1428CB76"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3" w:history="1">
            <w:r w:rsidRPr="00416E98">
              <w:rPr>
                <w:rStyle w:val="Hyperlink"/>
                <w:rFonts w:ascii="Arial" w:eastAsiaTheme="majorEastAsia" w:hAnsi="Arial" w:cs="Arial"/>
                <w:b/>
                <w:bCs/>
                <w:noProof/>
                <w:lang w:eastAsia="zh-CN"/>
              </w:rPr>
              <w:t>4.2 Thematic Analysis</w:t>
            </w:r>
            <w:r>
              <w:rPr>
                <w:noProof/>
                <w:webHidden/>
              </w:rPr>
              <w:tab/>
            </w:r>
            <w:r>
              <w:rPr>
                <w:noProof/>
                <w:webHidden/>
              </w:rPr>
              <w:fldChar w:fldCharType="begin"/>
            </w:r>
            <w:r>
              <w:rPr>
                <w:noProof/>
                <w:webHidden/>
              </w:rPr>
              <w:instrText xml:space="preserve"> PAGEREF _Toc223453153 \h </w:instrText>
            </w:r>
            <w:r>
              <w:rPr>
                <w:noProof/>
                <w:webHidden/>
              </w:rPr>
            </w:r>
            <w:r>
              <w:rPr>
                <w:noProof/>
                <w:webHidden/>
              </w:rPr>
              <w:fldChar w:fldCharType="separate"/>
            </w:r>
            <w:r>
              <w:rPr>
                <w:noProof/>
                <w:webHidden/>
              </w:rPr>
              <w:t>19</w:t>
            </w:r>
            <w:r>
              <w:rPr>
                <w:noProof/>
                <w:webHidden/>
              </w:rPr>
              <w:fldChar w:fldCharType="end"/>
            </w:r>
          </w:hyperlink>
        </w:p>
        <w:p w14:paraId="3A797FEE" w14:textId="5F7BF44B"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4" w:history="1">
            <w:r w:rsidRPr="00416E98">
              <w:rPr>
                <w:rStyle w:val="Hyperlink"/>
                <w:rFonts w:ascii="Arial" w:eastAsiaTheme="majorEastAsia" w:hAnsi="Arial" w:cs="Arial"/>
                <w:b/>
                <w:bCs/>
                <w:noProof/>
                <w:lang w:eastAsia="zh-CN"/>
              </w:rPr>
              <w:t>4.3 Theme 1: Prevalence of Mental Health Difficulties</w:t>
            </w:r>
            <w:r>
              <w:rPr>
                <w:noProof/>
                <w:webHidden/>
              </w:rPr>
              <w:tab/>
            </w:r>
            <w:r>
              <w:rPr>
                <w:noProof/>
                <w:webHidden/>
              </w:rPr>
              <w:fldChar w:fldCharType="begin"/>
            </w:r>
            <w:r>
              <w:rPr>
                <w:noProof/>
                <w:webHidden/>
              </w:rPr>
              <w:instrText xml:space="preserve"> PAGEREF _Toc223453154 \h </w:instrText>
            </w:r>
            <w:r>
              <w:rPr>
                <w:noProof/>
                <w:webHidden/>
              </w:rPr>
            </w:r>
            <w:r>
              <w:rPr>
                <w:noProof/>
                <w:webHidden/>
              </w:rPr>
              <w:fldChar w:fldCharType="separate"/>
            </w:r>
            <w:r>
              <w:rPr>
                <w:noProof/>
                <w:webHidden/>
              </w:rPr>
              <w:t>20</w:t>
            </w:r>
            <w:r>
              <w:rPr>
                <w:noProof/>
                <w:webHidden/>
              </w:rPr>
              <w:fldChar w:fldCharType="end"/>
            </w:r>
          </w:hyperlink>
        </w:p>
        <w:p w14:paraId="622DA247" w14:textId="0FFB7249"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5" w:history="1">
            <w:r w:rsidRPr="00416E98">
              <w:rPr>
                <w:rStyle w:val="Hyperlink"/>
                <w:rFonts w:ascii="Arial" w:eastAsiaTheme="majorEastAsia" w:hAnsi="Arial" w:cs="Arial"/>
                <w:b/>
                <w:bCs/>
                <w:noProof/>
                <w:lang w:eastAsia="zh-CN"/>
              </w:rPr>
              <w:t>4.4 Theme 2: Coping Strategies Utilised by Healthcare Workers to Manage Pandemic-related Stress</w:t>
            </w:r>
            <w:r>
              <w:rPr>
                <w:noProof/>
                <w:webHidden/>
              </w:rPr>
              <w:tab/>
            </w:r>
            <w:r>
              <w:rPr>
                <w:noProof/>
                <w:webHidden/>
              </w:rPr>
              <w:fldChar w:fldCharType="begin"/>
            </w:r>
            <w:r>
              <w:rPr>
                <w:noProof/>
                <w:webHidden/>
              </w:rPr>
              <w:instrText xml:space="preserve"> PAGEREF _Toc223453155 \h </w:instrText>
            </w:r>
            <w:r>
              <w:rPr>
                <w:noProof/>
                <w:webHidden/>
              </w:rPr>
            </w:r>
            <w:r>
              <w:rPr>
                <w:noProof/>
                <w:webHidden/>
              </w:rPr>
              <w:fldChar w:fldCharType="separate"/>
            </w:r>
            <w:r>
              <w:rPr>
                <w:noProof/>
                <w:webHidden/>
              </w:rPr>
              <w:t>23</w:t>
            </w:r>
            <w:r>
              <w:rPr>
                <w:noProof/>
                <w:webHidden/>
              </w:rPr>
              <w:fldChar w:fldCharType="end"/>
            </w:r>
          </w:hyperlink>
        </w:p>
        <w:p w14:paraId="0BB76F50" w14:textId="32FEFC65"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6" w:history="1">
            <w:r w:rsidRPr="00416E98">
              <w:rPr>
                <w:rStyle w:val="Hyperlink"/>
                <w:rFonts w:ascii="Arial" w:eastAsiaTheme="majorEastAsia" w:hAnsi="Arial" w:cs="Arial"/>
                <w:b/>
                <w:bCs/>
                <w:noProof/>
                <w:lang w:eastAsia="zh-CN"/>
              </w:rPr>
              <w:t>4.5 Theme 3: Effectiveness and Success Factors of the Coping Strategies Adopted</w:t>
            </w:r>
            <w:r>
              <w:rPr>
                <w:noProof/>
                <w:webHidden/>
              </w:rPr>
              <w:tab/>
            </w:r>
            <w:r>
              <w:rPr>
                <w:noProof/>
                <w:webHidden/>
              </w:rPr>
              <w:fldChar w:fldCharType="begin"/>
            </w:r>
            <w:r>
              <w:rPr>
                <w:noProof/>
                <w:webHidden/>
              </w:rPr>
              <w:instrText xml:space="preserve"> PAGEREF _Toc223453156 \h </w:instrText>
            </w:r>
            <w:r>
              <w:rPr>
                <w:noProof/>
                <w:webHidden/>
              </w:rPr>
            </w:r>
            <w:r>
              <w:rPr>
                <w:noProof/>
                <w:webHidden/>
              </w:rPr>
              <w:fldChar w:fldCharType="separate"/>
            </w:r>
            <w:r>
              <w:rPr>
                <w:noProof/>
                <w:webHidden/>
              </w:rPr>
              <w:t>27</w:t>
            </w:r>
            <w:r>
              <w:rPr>
                <w:noProof/>
                <w:webHidden/>
              </w:rPr>
              <w:fldChar w:fldCharType="end"/>
            </w:r>
          </w:hyperlink>
        </w:p>
        <w:p w14:paraId="17360AA9" w14:textId="6969A149"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7" w:history="1">
            <w:r w:rsidRPr="00416E98">
              <w:rPr>
                <w:rStyle w:val="Hyperlink"/>
                <w:rFonts w:ascii="Arial" w:eastAsiaTheme="majorEastAsia" w:hAnsi="Arial" w:cs="Arial"/>
                <w:b/>
                <w:bCs/>
                <w:noProof/>
                <w:lang w:eastAsia="zh-CN"/>
              </w:rPr>
              <w:t>4.6 Chapter Conclusion</w:t>
            </w:r>
            <w:r>
              <w:rPr>
                <w:noProof/>
                <w:webHidden/>
              </w:rPr>
              <w:tab/>
            </w:r>
            <w:r>
              <w:rPr>
                <w:noProof/>
                <w:webHidden/>
              </w:rPr>
              <w:fldChar w:fldCharType="begin"/>
            </w:r>
            <w:r>
              <w:rPr>
                <w:noProof/>
                <w:webHidden/>
              </w:rPr>
              <w:instrText xml:space="preserve"> PAGEREF _Toc223453157 \h </w:instrText>
            </w:r>
            <w:r>
              <w:rPr>
                <w:noProof/>
                <w:webHidden/>
              </w:rPr>
            </w:r>
            <w:r>
              <w:rPr>
                <w:noProof/>
                <w:webHidden/>
              </w:rPr>
              <w:fldChar w:fldCharType="separate"/>
            </w:r>
            <w:r>
              <w:rPr>
                <w:noProof/>
                <w:webHidden/>
              </w:rPr>
              <w:t>30</w:t>
            </w:r>
            <w:r>
              <w:rPr>
                <w:noProof/>
                <w:webHidden/>
              </w:rPr>
              <w:fldChar w:fldCharType="end"/>
            </w:r>
          </w:hyperlink>
        </w:p>
        <w:p w14:paraId="0F43AA86" w14:textId="5A61DC43"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58" w:history="1">
            <w:r w:rsidRPr="00416E98">
              <w:rPr>
                <w:rStyle w:val="Hyperlink"/>
                <w:rFonts w:ascii="Arial" w:eastAsia="Calibri Light" w:hAnsi="Arial" w:cs="Arial"/>
                <w:b/>
                <w:noProof/>
                <w:lang w:bidi="en-GB"/>
              </w:rPr>
              <w:t>Chapter 5 – Conclusion and Recommendations</w:t>
            </w:r>
            <w:r>
              <w:rPr>
                <w:noProof/>
                <w:webHidden/>
              </w:rPr>
              <w:tab/>
            </w:r>
            <w:r>
              <w:rPr>
                <w:noProof/>
                <w:webHidden/>
              </w:rPr>
              <w:fldChar w:fldCharType="begin"/>
            </w:r>
            <w:r>
              <w:rPr>
                <w:noProof/>
                <w:webHidden/>
              </w:rPr>
              <w:instrText xml:space="preserve"> PAGEREF _Toc223453158 \h </w:instrText>
            </w:r>
            <w:r>
              <w:rPr>
                <w:noProof/>
                <w:webHidden/>
              </w:rPr>
            </w:r>
            <w:r>
              <w:rPr>
                <w:noProof/>
                <w:webHidden/>
              </w:rPr>
              <w:fldChar w:fldCharType="separate"/>
            </w:r>
            <w:r>
              <w:rPr>
                <w:noProof/>
                <w:webHidden/>
              </w:rPr>
              <w:t>32</w:t>
            </w:r>
            <w:r>
              <w:rPr>
                <w:noProof/>
                <w:webHidden/>
              </w:rPr>
              <w:fldChar w:fldCharType="end"/>
            </w:r>
          </w:hyperlink>
        </w:p>
        <w:p w14:paraId="31F181D7" w14:textId="373B4FCF"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59" w:history="1">
            <w:r w:rsidRPr="00416E98">
              <w:rPr>
                <w:rStyle w:val="Hyperlink"/>
                <w:rFonts w:ascii="Arial" w:eastAsiaTheme="majorEastAsia" w:hAnsi="Arial" w:cs="Arial"/>
                <w:b/>
                <w:bCs/>
                <w:noProof/>
                <w:lang w:eastAsia="zh-CN"/>
              </w:rPr>
              <w:t>5.1 Overall Conclusion</w:t>
            </w:r>
            <w:r>
              <w:rPr>
                <w:noProof/>
                <w:webHidden/>
              </w:rPr>
              <w:tab/>
            </w:r>
            <w:r>
              <w:rPr>
                <w:noProof/>
                <w:webHidden/>
              </w:rPr>
              <w:fldChar w:fldCharType="begin"/>
            </w:r>
            <w:r>
              <w:rPr>
                <w:noProof/>
                <w:webHidden/>
              </w:rPr>
              <w:instrText xml:space="preserve"> PAGEREF _Toc223453159 \h </w:instrText>
            </w:r>
            <w:r>
              <w:rPr>
                <w:noProof/>
                <w:webHidden/>
              </w:rPr>
            </w:r>
            <w:r>
              <w:rPr>
                <w:noProof/>
                <w:webHidden/>
              </w:rPr>
              <w:fldChar w:fldCharType="separate"/>
            </w:r>
            <w:r>
              <w:rPr>
                <w:noProof/>
                <w:webHidden/>
              </w:rPr>
              <w:t>32</w:t>
            </w:r>
            <w:r>
              <w:rPr>
                <w:noProof/>
                <w:webHidden/>
              </w:rPr>
              <w:fldChar w:fldCharType="end"/>
            </w:r>
          </w:hyperlink>
        </w:p>
        <w:p w14:paraId="190EE090" w14:textId="13027212"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60" w:history="1">
            <w:r w:rsidRPr="00416E98">
              <w:rPr>
                <w:rStyle w:val="Hyperlink"/>
                <w:rFonts w:ascii="Arial" w:eastAsiaTheme="majorEastAsia" w:hAnsi="Arial" w:cs="Arial"/>
                <w:b/>
                <w:bCs/>
                <w:noProof/>
                <w:lang w:eastAsia="zh-CN"/>
              </w:rPr>
              <w:t>5.2 Recommendations</w:t>
            </w:r>
            <w:r>
              <w:rPr>
                <w:noProof/>
                <w:webHidden/>
              </w:rPr>
              <w:tab/>
            </w:r>
            <w:r>
              <w:rPr>
                <w:noProof/>
                <w:webHidden/>
              </w:rPr>
              <w:fldChar w:fldCharType="begin"/>
            </w:r>
            <w:r>
              <w:rPr>
                <w:noProof/>
                <w:webHidden/>
              </w:rPr>
              <w:instrText xml:space="preserve"> PAGEREF _Toc223453160 \h </w:instrText>
            </w:r>
            <w:r>
              <w:rPr>
                <w:noProof/>
                <w:webHidden/>
              </w:rPr>
            </w:r>
            <w:r>
              <w:rPr>
                <w:noProof/>
                <w:webHidden/>
              </w:rPr>
              <w:fldChar w:fldCharType="separate"/>
            </w:r>
            <w:r>
              <w:rPr>
                <w:noProof/>
                <w:webHidden/>
              </w:rPr>
              <w:t>32</w:t>
            </w:r>
            <w:r>
              <w:rPr>
                <w:noProof/>
                <w:webHidden/>
              </w:rPr>
              <w:fldChar w:fldCharType="end"/>
            </w:r>
          </w:hyperlink>
        </w:p>
        <w:p w14:paraId="6AC9A46A" w14:textId="014981DB"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61" w:history="1">
            <w:r w:rsidRPr="00416E98">
              <w:rPr>
                <w:rStyle w:val="Hyperlink"/>
                <w:iCs/>
                <w:noProof/>
                <w:lang w:eastAsia="zh-CN"/>
              </w:rPr>
              <w:t>5.2.1 Recommendation 1</w:t>
            </w:r>
            <w:r>
              <w:rPr>
                <w:noProof/>
                <w:webHidden/>
              </w:rPr>
              <w:tab/>
            </w:r>
            <w:r>
              <w:rPr>
                <w:noProof/>
                <w:webHidden/>
              </w:rPr>
              <w:fldChar w:fldCharType="begin"/>
            </w:r>
            <w:r>
              <w:rPr>
                <w:noProof/>
                <w:webHidden/>
              </w:rPr>
              <w:instrText xml:space="preserve"> PAGEREF _Toc223453161 \h </w:instrText>
            </w:r>
            <w:r>
              <w:rPr>
                <w:noProof/>
                <w:webHidden/>
              </w:rPr>
            </w:r>
            <w:r>
              <w:rPr>
                <w:noProof/>
                <w:webHidden/>
              </w:rPr>
              <w:fldChar w:fldCharType="separate"/>
            </w:r>
            <w:r>
              <w:rPr>
                <w:noProof/>
                <w:webHidden/>
              </w:rPr>
              <w:t>32</w:t>
            </w:r>
            <w:r>
              <w:rPr>
                <w:noProof/>
                <w:webHidden/>
              </w:rPr>
              <w:fldChar w:fldCharType="end"/>
            </w:r>
          </w:hyperlink>
        </w:p>
        <w:p w14:paraId="54B567E0" w14:textId="3FD62123"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62" w:history="1">
            <w:r w:rsidRPr="00416E98">
              <w:rPr>
                <w:rStyle w:val="Hyperlink"/>
                <w:iCs/>
                <w:noProof/>
                <w:lang w:eastAsia="zh-CN"/>
              </w:rPr>
              <w:t>5.2.2 Recommendation 2</w:t>
            </w:r>
            <w:r>
              <w:rPr>
                <w:noProof/>
                <w:webHidden/>
              </w:rPr>
              <w:tab/>
            </w:r>
            <w:r>
              <w:rPr>
                <w:noProof/>
                <w:webHidden/>
              </w:rPr>
              <w:fldChar w:fldCharType="begin"/>
            </w:r>
            <w:r>
              <w:rPr>
                <w:noProof/>
                <w:webHidden/>
              </w:rPr>
              <w:instrText xml:space="preserve"> PAGEREF _Toc223453162 \h </w:instrText>
            </w:r>
            <w:r>
              <w:rPr>
                <w:noProof/>
                <w:webHidden/>
              </w:rPr>
            </w:r>
            <w:r>
              <w:rPr>
                <w:noProof/>
                <w:webHidden/>
              </w:rPr>
              <w:fldChar w:fldCharType="separate"/>
            </w:r>
            <w:r>
              <w:rPr>
                <w:noProof/>
                <w:webHidden/>
              </w:rPr>
              <w:t>33</w:t>
            </w:r>
            <w:r>
              <w:rPr>
                <w:noProof/>
                <w:webHidden/>
              </w:rPr>
              <w:fldChar w:fldCharType="end"/>
            </w:r>
          </w:hyperlink>
        </w:p>
        <w:p w14:paraId="4E5ECF78" w14:textId="73128DA7" w:rsidR="00644375" w:rsidRDefault="00644375">
          <w:pPr>
            <w:pStyle w:val="TOC2"/>
            <w:tabs>
              <w:tab w:val="right" w:leader="dot" w:pos="9016"/>
            </w:tabs>
            <w:rPr>
              <w:rFonts w:asciiTheme="minorHAnsi" w:eastAsiaTheme="minorEastAsia" w:hAnsiTheme="minorHAnsi" w:cstheme="minorBidi"/>
              <w:noProof/>
              <w:kern w:val="2"/>
              <w14:ligatures w14:val="standardContextual"/>
            </w:rPr>
          </w:pPr>
          <w:hyperlink w:anchor="_Toc223453163" w:history="1">
            <w:r w:rsidRPr="00416E98">
              <w:rPr>
                <w:rStyle w:val="Hyperlink"/>
                <w:iCs/>
                <w:noProof/>
                <w:lang w:eastAsia="zh-CN"/>
              </w:rPr>
              <w:t>5.2.3 Recommendation 3</w:t>
            </w:r>
            <w:r>
              <w:rPr>
                <w:noProof/>
                <w:webHidden/>
              </w:rPr>
              <w:tab/>
            </w:r>
            <w:r>
              <w:rPr>
                <w:noProof/>
                <w:webHidden/>
              </w:rPr>
              <w:fldChar w:fldCharType="begin"/>
            </w:r>
            <w:r>
              <w:rPr>
                <w:noProof/>
                <w:webHidden/>
              </w:rPr>
              <w:instrText xml:space="preserve"> PAGEREF _Toc223453163 \h </w:instrText>
            </w:r>
            <w:r>
              <w:rPr>
                <w:noProof/>
                <w:webHidden/>
              </w:rPr>
            </w:r>
            <w:r>
              <w:rPr>
                <w:noProof/>
                <w:webHidden/>
              </w:rPr>
              <w:fldChar w:fldCharType="separate"/>
            </w:r>
            <w:r>
              <w:rPr>
                <w:noProof/>
                <w:webHidden/>
              </w:rPr>
              <w:t>34</w:t>
            </w:r>
            <w:r>
              <w:rPr>
                <w:noProof/>
                <w:webHidden/>
              </w:rPr>
              <w:fldChar w:fldCharType="end"/>
            </w:r>
          </w:hyperlink>
        </w:p>
        <w:p w14:paraId="264A194B" w14:textId="5C219908" w:rsidR="00644375" w:rsidRDefault="00644375">
          <w:pPr>
            <w:pStyle w:val="TOC1"/>
            <w:tabs>
              <w:tab w:val="right" w:leader="dot" w:pos="9016"/>
            </w:tabs>
            <w:rPr>
              <w:rFonts w:asciiTheme="minorHAnsi" w:eastAsiaTheme="minorEastAsia" w:hAnsiTheme="minorHAnsi" w:cstheme="minorBidi"/>
              <w:noProof/>
              <w:kern w:val="2"/>
              <w14:ligatures w14:val="standardContextual"/>
            </w:rPr>
          </w:pPr>
          <w:hyperlink w:anchor="_Toc223453164" w:history="1">
            <w:r w:rsidRPr="00416E98">
              <w:rPr>
                <w:rStyle w:val="Hyperlink"/>
                <w:rFonts w:ascii="Arial" w:eastAsia="Calibri Light" w:hAnsi="Arial" w:cs="Arial"/>
                <w:b/>
                <w:noProof/>
                <w:lang w:bidi="en-GB"/>
              </w:rPr>
              <w:t>References</w:t>
            </w:r>
            <w:r>
              <w:rPr>
                <w:noProof/>
                <w:webHidden/>
              </w:rPr>
              <w:tab/>
            </w:r>
            <w:r>
              <w:rPr>
                <w:noProof/>
                <w:webHidden/>
              </w:rPr>
              <w:fldChar w:fldCharType="begin"/>
            </w:r>
            <w:r>
              <w:rPr>
                <w:noProof/>
                <w:webHidden/>
              </w:rPr>
              <w:instrText xml:space="preserve"> PAGEREF _Toc223453164 \h </w:instrText>
            </w:r>
            <w:r>
              <w:rPr>
                <w:noProof/>
                <w:webHidden/>
              </w:rPr>
            </w:r>
            <w:r>
              <w:rPr>
                <w:noProof/>
                <w:webHidden/>
              </w:rPr>
              <w:fldChar w:fldCharType="separate"/>
            </w:r>
            <w:r>
              <w:rPr>
                <w:noProof/>
                <w:webHidden/>
              </w:rPr>
              <w:t>35</w:t>
            </w:r>
            <w:r>
              <w:rPr>
                <w:noProof/>
                <w:webHidden/>
              </w:rPr>
              <w:fldChar w:fldCharType="end"/>
            </w:r>
          </w:hyperlink>
        </w:p>
        <w:p w14:paraId="1550FA41" w14:textId="03B91EE7" w:rsidR="001B20A3" w:rsidRDefault="001B20A3">
          <w:r>
            <w:rPr>
              <w:b/>
              <w:bCs/>
            </w:rPr>
            <w:fldChar w:fldCharType="end"/>
          </w:r>
        </w:p>
      </w:sdtContent>
    </w:sdt>
    <w:p w14:paraId="1F8D51FB" w14:textId="38790FAB" w:rsidR="00AF1642" w:rsidRDefault="00AF1642">
      <w:pPr>
        <w:rPr>
          <w:rFonts w:ascii="Arial" w:eastAsia="Calibri Light" w:hAnsi="Arial" w:cs="Arial"/>
          <w:b/>
          <w:lang w:bidi="en-GB"/>
        </w:rPr>
      </w:pPr>
    </w:p>
    <w:p w14:paraId="48F9B308" w14:textId="77777777" w:rsidR="001B20A3" w:rsidRDefault="001B20A3">
      <w:pPr>
        <w:rPr>
          <w:rFonts w:ascii="Arial" w:eastAsia="Calibri Light" w:hAnsi="Arial" w:cs="Arial"/>
          <w:b/>
          <w:lang w:bidi="en-GB"/>
        </w:rPr>
      </w:pPr>
      <w:r>
        <w:rPr>
          <w:rFonts w:ascii="Arial" w:eastAsia="Calibri Light" w:hAnsi="Arial" w:cs="Arial"/>
          <w:b/>
          <w:lang w:bidi="en-GB"/>
        </w:rPr>
        <w:br w:type="page"/>
      </w:r>
    </w:p>
    <w:p w14:paraId="73DBD967" w14:textId="26D809B9" w:rsidR="00D449EF" w:rsidRPr="00D449EF" w:rsidRDefault="00D449EF" w:rsidP="00D449EF">
      <w:pPr>
        <w:widowControl w:val="0"/>
        <w:autoSpaceDE w:val="0"/>
        <w:autoSpaceDN w:val="0"/>
        <w:spacing w:before="240" w:line="360" w:lineRule="auto"/>
        <w:jc w:val="center"/>
        <w:outlineLvl w:val="0"/>
        <w:rPr>
          <w:rFonts w:ascii="Arial" w:eastAsia="Calibri Light" w:hAnsi="Arial" w:cs="Arial"/>
          <w:lang w:bidi="en-GB"/>
        </w:rPr>
      </w:pPr>
      <w:bookmarkStart w:id="3" w:name="_Toc223453129"/>
      <w:r w:rsidRPr="00D449EF">
        <w:rPr>
          <w:rFonts w:ascii="Arial" w:eastAsia="Calibri Light" w:hAnsi="Arial" w:cs="Arial"/>
          <w:b/>
          <w:lang w:bidi="en-GB"/>
        </w:rPr>
        <w:t>CHAPTER 1: Introduction</w:t>
      </w:r>
      <w:bookmarkEnd w:id="1"/>
      <w:bookmarkEnd w:id="3"/>
    </w:p>
    <w:p w14:paraId="543032D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4" w:name="_Toc212476769"/>
      <w:bookmarkStart w:id="5" w:name="_Toc223453130"/>
      <w:r w:rsidRPr="00D449EF">
        <w:rPr>
          <w:rFonts w:ascii="Arial" w:eastAsiaTheme="majorEastAsia" w:hAnsi="Arial" w:cs="Arial"/>
          <w:b/>
          <w:bCs/>
          <w:color w:val="0F4761"/>
          <w:kern w:val="2"/>
          <w:lang w:eastAsia="zh-CN"/>
          <w14:ligatures w14:val="standardContextual"/>
        </w:rPr>
        <w:t>1.1 Introduction</w:t>
      </w:r>
      <w:bookmarkEnd w:id="4"/>
      <w:bookmarkEnd w:id="5"/>
      <w:r w:rsidRPr="00D449EF">
        <w:rPr>
          <w:rFonts w:ascii="Arial" w:eastAsiaTheme="majorEastAsia" w:hAnsi="Arial" w:cs="Arial"/>
          <w:b/>
          <w:bCs/>
          <w:color w:val="0F4761"/>
          <w:kern w:val="2"/>
          <w:lang w:eastAsia="zh-CN"/>
          <w14:ligatures w14:val="standardContextual"/>
        </w:rPr>
        <w:t> </w:t>
      </w:r>
    </w:p>
    <w:p w14:paraId="581C183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On January 30</w:t>
      </w:r>
      <w:r w:rsidRPr="00D449EF">
        <w:rPr>
          <w:rFonts w:ascii="Arial" w:eastAsia="Aptos" w:hAnsi="Arial" w:cs="Arial"/>
          <w:bCs/>
          <w:kern w:val="2"/>
          <w:vertAlign w:val="superscript"/>
          <w:lang w:eastAsia="en-US"/>
          <w14:ligatures w14:val="standardContextual"/>
        </w:rPr>
        <w:t>th</w:t>
      </w:r>
      <w:r w:rsidRPr="00D449EF">
        <w:rPr>
          <w:rFonts w:ascii="Arial" w:eastAsia="Aptos" w:hAnsi="Arial" w:cs="Arial"/>
          <w:bCs/>
          <w:kern w:val="2"/>
          <w:lang w:eastAsia="en-US"/>
          <w14:ligatures w14:val="standardContextual"/>
        </w:rPr>
        <w:t>, 2020, the World Health Organization reported the emergence of the novel coronavirus and consequently declared it a public health emergency of international concern under the International Health Regulation (Hao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The resulting COVID-19 pandemic culminated in a high percentage of viral infection associated deaths and emotional and psychological consequences.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xml:space="preserve"> (2022) note that healthcare workers were obligated to respond to the pandemic by assuming active roles in the diagnosis and treatment of COVID-19 patients. This means that they risked exposure to the virus and resulted in their bearing the brunt of psychological, physical, and behavioural health issues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w:t>
      </w:r>
    </w:p>
    <w:p w14:paraId="48DA885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Exploring the pandemic's impact on UK healthcare workers' mental health is crucial as this group faced unprecedented pressures. </w:t>
      </w:r>
      <w:bookmarkStart w:id="6" w:name="_Hlk212471367"/>
      <w:r w:rsidRPr="00D449EF">
        <w:rPr>
          <w:rFonts w:ascii="Arial" w:eastAsia="Aptos" w:hAnsi="Arial" w:cs="Arial"/>
          <w:bCs/>
          <w:kern w:val="2"/>
          <w:lang w:eastAsia="en-US"/>
          <w14:ligatures w14:val="standardContextual"/>
        </w:rPr>
        <w:t>Delaney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xml:space="preserve"> (2021)</w:t>
      </w:r>
      <w:bookmarkEnd w:id="6"/>
      <w:r w:rsidRPr="00D449EF">
        <w:rPr>
          <w:rFonts w:ascii="Arial" w:eastAsia="Aptos" w:hAnsi="Arial" w:cs="Arial"/>
          <w:bCs/>
          <w:kern w:val="2"/>
          <w:lang w:eastAsia="en-US"/>
          <w14:ligatures w14:val="standardContextual"/>
        </w:rPr>
        <w:t xml:space="preserve"> highlight that this led to burnout, trauma, and stress. Understanding the scale of this psychological burden is the first step in addressing a potential workforce crisis and fulfilling a moral duty to support those who sustained national health services (World Health Organization, 2019). This dissertation aims to systematically identify the specific mental health challenges faced and the coping strategies employed, which should provide an evidence-based analysis of what protective factors were effective. The broader contribution lies in generating actionable insights to inform the development of targeted psychological support systems and resilience-building protocols. This should help strengthen the healthcare sector's preparedness for future crises and safeguard its most vital asset, which is its personnel.</w:t>
      </w:r>
    </w:p>
    <w:p w14:paraId="02AE5E6F"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7" w:name="_Toc212476770"/>
      <w:bookmarkStart w:id="8" w:name="_Toc223453131"/>
      <w:r w:rsidRPr="00D449EF">
        <w:rPr>
          <w:rFonts w:ascii="Arial" w:eastAsiaTheme="majorEastAsia" w:hAnsi="Arial" w:cs="Arial"/>
          <w:b/>
          <w:bCs/>
          <w:color w:val="0F4761"/>
          <w:kern w:val="2"/>
          <w:lang w:eastAsia="zh-CN"/>
          <w14:ligatures w14:val="standardContextual"/>
        </w:rPr>
        <w:t>1.2 Definitions and Terminology</w:t>
      </w:r>
      <w:bookmarkEnd w:id="7"/>
      <w:bookmarkEnd w:id="8"/>
      <w:r w:rsidRPr="00D449EF">
        <w:rPr>
          <w:rFonts w:ascii="Arial" w:eastAsiaTheme="majorEastAsia" w:hAnsi="Arial" w:cs="Arial"/>
          <w:b/>
          <w:bCs/>
          <w:color w:val="2F5496" w:themeColor="accent1" w:themeShade="BF"/>
          <w:kern w:val="2"/>
          <w:lang w:eastAsia="zh-CN"/>
          <w14:ligatures w14:val="standardContextual"/>
        </w:rPr>
        <w:t> </w:t>
      </w:r>
    </w:p>
    <w:p w14:paraId="76698B75"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In this research, some of the key concepts require precise definition to ensure that they are clear. In this regard, </w:t>
      </w:r>
      <w:r w:rsidRPr="00D449EF">
        <w:rPr>
          <w:rFonts w:ascii="Arial" w:eastAsia="Aptos" w:hAnsi="Arial" w:cs="Arial"/>
          <w:kern w:val="2"/>
          <w:lang w:eastAsia="en-US"/>
          <w14:ligatures w14:val="standardContextual"/>
        </w:rPr>
        <w:t>mental Health </w:t>
      </w:r>
      <w:r w:rsidRPr="00D449EF">
        <w:rPr>
          <w:rFonts w:ascii="Arial" w:eastAsia="Aptos" w:hAnsi="Arial" w:cs="Arial"/>
          <w:bCs/>
          <w:kern w:val="2"/>
          <w:lang w:eastAsia="en-US"/>
          <w14:ligatures w14:val="standardContextual"/>
        </w:rPr>
        <w:t>refers not merely to the absence of illness but to a state of psychological and emotional well-being where an individual can realize their potential and cope with normal stresses (World Health Organization, 2019). In the context of this study, it specifically encompasses adverse outcomes such as anxiety, depression, post-traumatic stress disorder (PTSD), and burnout. </w:t>
      </w:r>
      <w:r w:rsidRPr="00D449EF">
        <w:rPr>
          <w:rFonts w:ascii="Arial" w:eastAsia="Aptos" w:hAnsi="Arial" w:cs="Arial"/>
          <w:kern w:val="2"/>
          <w:lang w:eastAsia="en-US"/>
          <w14:ligatures w14:val="standardContextual"/>
        </w:rPr>
        <w:t>Burnout</w:t>
      </w:r>
      <w:r w:rsidRPr="00D449EF">
        <w:rPr>
          <w:rFonts w:ascii="Arial" w:eastAsia="Aptos" w:hAnsi="Arial" w:cs="Arial"/>
          <w:bCs/>
          <w:kern w:val="2"/>
          <w:lang w:eastAsia="en-US"/>
          <w14:ligatures w14:val="standardContextual"/>
        </w:rPr>
        <w:t> itself is a syndrome of emotional exhaustion, depersonalization, and reduced personal accomplishment resulting from chronic workplace stress (Delaney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w:t>
      </w:r>
    </w:p>
    <w:p w14:paraId="4A17FE1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Furthermore, </w:t>
      </w:r>
      <w:r w:rsidRPr="00D449EF">
        <w:rPr>
          <w:rFonts w:ascii="Arial" w:eastAsia="Aptos" w:hAnsi="Arial" w:cs="Arial"/>
          <w:kern w:val="2"/>
          <w:lang w:eastAsia="en-US"/>
          <w14:ligatures w14:val="standardContextual"/>
        </w:rPr>
        <w:t>Coping Strategies</w:t>
      </w:r>
      <w:r w:rsidRPr="00D449EF">
        <w:rPr>
          <w:rFonts w:ascii="Arial" w:eastAsia="Aptos" w:hAnsi="Arial" w:cs="Arial"/>
          <w:bCs/>
          <w:kern w:val="2"/>
          <w:lang w:eastAsia="en-US"/>
          <w14:ligatures w14:val="standardContextual"/>
        </w:rPr>
        <w:t> are defined as the cognitive and behavioural efforts individuals employ to manage specific external and/or internal demands perceived as taxing or exceeding their resources (Walton, Murray and Christian, 2020). These are often categorized as problem-focused (addressing the stressor) or emotion-focused (regulating the emotional response). The relevance of these terms is paramount as the research seeks to measure the deterioration in mental health and then identify which coping strategies served as protective or risk factors. The study focuses specifically on </w:t>
      </w:r>
      <w:r w:rsidRPr="00D449EF">
        <w:rPr>
          <w:rFonts w:ascii="Arial" w:eastAsia="Aptos" w:hAnsi="Arial" w:cs="Arial"/>
          <w:kern w:val="2"/>
          <w:lang w:eastAsia="en-US"/>
          <w14:ligatures w14:val="standardContextual"/>
        </w:rPr>
        <w:t>Healthcare Workers (HCWs)</w:t>
      </w:r>
      <w:r w:rsidRPr="00D449EF">
        <w:rPr>
          <w:rFonts w:ascii="Arial" w:eastAsia="Aptos" w:hAnsi="Arial" w:cs="Arial"/>
          <w:bCs/>
          <w:kern w:val="2"/>
          <w:lang w:eastAsia="en-US"/>
          <w14:ligatures w14:val="standardContextual"/>
        </w:rPr>
        <w:t>, which is a broad term encompassing clinical staff (doctors, nurses) and non-clinical support staff within the </w:t>
      </w:r>
      <w:r w:rsidRPr="00D449EF">
        <w:rPr>
          <w:rFonts w:ascii="Arial" w:eastAsia="Aptos" w:hAnsi="Arial" w:cs="Arial"/>
          <w:kern w:val="2"/>
          <w:lang w:eastAsia="en-US"/>
          <w14:ligatures w14:val="standardContextual"/>
        </w:rPr>
        <w:t>National Health Service (NHS)</w:t>
      </w:r>
      <w:r w:rsidRPr="00D449EF">
        <w:rPr>
          <w:rFonts w:ascii="Arial" w:eastAsia="Aptos" w:hAnsi="Arial" w:cs="Arial"/>
          <w:bCs/>
          <w:kern w:val="2"/>
          <w:lang w:eastAsia="en-US"/>
          <w14:ligatures w14:val="standardContextual"/>
        </w:rPr>
        <w:t xml:space="preserve"> (NHS Professionals, 2025), which is the UK's publicly funded healthcare system. Understanding their experiences is critical for developing targeted support within this vital institution.</w:t>
      </w:r>
      <w:r w:rsidRPr="00D449EF">
        <w:rPr>
          <w:rFonts w:ascii="Arial" w:eastAsiaTheme="minorEastAsia" w:hAnsi="Arial" w:cs="Arial"/>
          <w:kern w:val="2"/>
          <w:lang w:eastAsia="zh-CN"/>
          <w14:ligatures w14:val="standardContextual"/>
        </w:rPr>
        <w:t>  </w:t>
      </w:r>
    </w:p>
    <w:p w14:paraId="157CA3F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9" w:name="_Toc212476771"/>
      <w:bookmarkStart w:id="10" w:name="_Toc223453132"/>
      <w:r w:rsidRPr="00D449EF">
        <w:rPr>
          <w:rFonts w:ascii="Arial" w:eastAsiaTheme="majorEastAsia" w:hAnsi="Arial" w:cs="Arial"/>
          <w:b/>
          <w:bCs/>
          <w:color w:val="0F4761"/>
          <w:kern w:val="2"/>
          <w:lang w:eastAsia="zh-CN"/>
          <w14:ligatures w14:val="standardContextual"/>
        </w:rPr>
        <w:t>1.3 Rationale for Research</w:t>
      </w:r>
      <w:bookmarkEnd w:id="9"/>
      <w:bookmarkEnd w:id="10"/>
      <w:r w:rsidRPr="00D449EF">
        <w:rPr>
          <w:rFonts w:ascii="Arial" w:eastAsiaTheme="majorEastAsia" w:hAnsi="Arial" w:cs="Arial"/>
          <w:b/>
          <w:bCs/>
          <w:color w:val="2F5496" w:themeColor="accent1" w:themeShade="BF"/>
          <w:kern w:val="2"/>
          <w:lang w:eastAsia="zh-CN"/>
          <w14:ligatures w14:val="standardContextual"/>
        </w:rPr>
        <w:t> </w:t>
      </w:r>
    </w:p>
    <w:p w14:paraId="69ABC147"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 xml:space="preserve">The purpose of this study is to critically investigate the psychological aftermath of the COVID-19 pandemic on the UK's healthcare workforce. This topic is chosen due to the unprecedented and sustained pressure placed on the NHS by the COVID-19 pandemic, which created a natural experiment in occupational stress </w:t>
      </w:r>
      <w:bookmarkStart w:id="11" w:name="_Hlk212471334"/>
      <w:r w:rsidRPr="00D449EF">
        <w:rPr>
          <w:rFonts w:ascii="Arial" w:eastAsia="Aptos" w:hAnsi="Arial" w:cs="Arial"/>
          <w:bCs/>
          <w:kern w:val="2"/>
          <w:lang w:eastAsia="en-US"/>
          <w14:ligatures w14:val="standardContextual"/>
        </w:rPr>
        <w:t>(</w:t>
      </w:r>
      <w:proofErr w:type="spellStart"/>
      <w:r w:rsidRPr="00D449EF">
        <w:rPr>
          <w:rFonts w:ascii="Arial" w:eastAsia="Aptos" w:hAnsi="Arial" w:cs="Arial"/>
          <w:bCs/>
          <w:kern w:val="2"/>
          <w:lang w:eastAsia="en-US"/>
          <w14:ligatures w14:val="standardContextual"/>
        </w:rPr>
        <w:t>Llop-Gironés</w:t>
      </w:r>
      <w:proofErr w:type="spellEnd"/>
      <w:r w:rsidRPr="00D449EF">
        <w:rPr>
          <w:rFonts w:ascii="Arial" w:eastAsia="Aptos" w:hAnsi="Arial" w:cs="Arial"/>
          <w:bCs/>
          <w:kern w:val="2"/>
          <w:lang w:eastAsia="en-US"/>
          <w14:ligatures w14:val="standardContextual"/>
        </w:rPr>
        <w:t>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w:t>
      </w:r>
      <w:bookmarkEnd w:id="11"/>
      <w:r w:rsidRPr="00D449EF">
        <w:rPr>
          <w:rFonts w:ascii="Arial" w:eastAsia="Aptos" w:hAnsi="Arial" w:cs="Arial"/>
          <w:bCs/>
          <w:kern w:val="2"/>
          <w:lang w:eastAsia="en-US"/>
          <w14:ligatures w14:val="standardContextual"/>
        </w:rPr>
        <w:t>. The broader significance lies in addressing a pressing public health concern, which is the well-being of those tasked with national care during a crisis. Existing literature has established that healthcare workers globally faced significant mental health challenges during the pandemic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However, much of this research has focused on the acute phase of the crisis or has been conducted in international contexts. This left a gap in understanding the specific, longer-term repercussions for the unique and publicly funded NHS system and its diverse workforce.</w:t>
      </w:r>
    </w:p>
    <w:p w14:paraId="7D22AC9D"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This research aims to identify and address several key problems and gaps in the current literature. Firstly, many studies have homogenised "healthcare workers" (</w:t>
      </w:r>
      <w:proofErr w:type="spellStart"/>
      <w:r w:rsidRPr="00D449EF">
        <w:rPr>
          <w:rFonts w:ascii="Arial" w:eastAsia="Aptos" w:hAnsi="Arial" w:cs="Arial"/>
          <w:bCs/>
          <w:kern w:val="2"/>
          <w:lang w:eastAsia="en-US"/>
          <w14:ligatures w14:val="standardContextual"/>
        </w:rPr>
        <w:t>Falatah</w:t>
      </w:r>
      <w:proofErr w:type="spellEnd"/>
      <w:r w:rsidRPr="00D449EF">
        <w:rPr>
          <w:rFonts w:ascii="Arial" w:eastAsia="Aptos" w:hAnsi="Arial" w:cs="Arial"/>
          <w:bCs/>
          <w:kern w:val="2"/>
          <w:lang w:eastAsia="en-US"/>
          <w14:ligatures w14:val="standardContextual"/>
        </w:rPr>
        <w:t>, 2021). This fails to distinguish between the experiences of different professional groups (e.g., nurses versus porters) or geographical regions within the UK. Secondly, there is a scarcity of qualitative, in-depth research exploring the </w:t>
      </w:r>
      <w:r w:rsidRPr="00D449EF">
        <w:rPr>
          <w:rFonts w:ascii="Arial" w:eastAsia="Aptos" w:hAnsi="Arial" w:cs="Arial"/>
          <w:bCs/>
          <w:i/>
          <w:iCs/>
          <w:kern w:val="2"/>
          <w:lang w:eastAsia="en-US"/>
          <w14:ligatures w14:val="standardContextual"/>
        </w:rPr>
        <w:t>lived experience</w:t>
      </w:r>
      <w:r w:rsidRPr="00D449EF">
        <w:rPr>
          <w:rFonts w:ascii="Arial" w:eastAsia="Aptos" w:hAnsi="Arial" w:cs="Arial"/>
          <w:bCs/>
          <w:kern w:val="2"/>
          <w:lang w:eastAsia="en-US"/>
          <w14:ligatures w14:val="standardContextual"/>
        </w:rPr>
        <w:t> of these workers, which is crucial for understanding the nuanced reasons why certain coping strategies were adopted and how effective they were perceived to be (Côté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 Finally, a significant gap exists in translating identified coping mechanisms into actionable, evidence-based support frameworks tailored for the NHS.</w:t>
      </w:r>
    </w:p>
    <w:p w14:paraId="3644EB7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2" w:name="_Toc212476772"/>
      <w:bookmarkStart w:id="13" w:name="_Toc223453133"/>
      <w:r w:rsidRPr="00D449EF">
        <w:rPr>
          <w:rFonts w:ascii="Arial" w:eastAsiaTheme="majorEastAsia" w:hAnsi="Arial" w:cs="Arial"/>
          <w:b/>
          <w:bCs/>
          <w:color w:val="0F4761"/>
          <w:kern w:val="2"/>
          <w:lang w:eastAsia="zh-CN"/>
          <w14:ligatures w14:val="standardContextual"/>
        </w:rPr>
        <w:t>1.4 Aim and Objectives</w:t>
      </w:r>
      <w:bookmarkEnd w:id="12"/>
      <w:bookmarkEnd w:id="13"/>
      <w:r w:rsidRPr="00D449EF">
        <w:rPr>
          <w:rFonts w:ascii="Arial" w:eastAsiaTheme="majorEastAsia" w:hAnsi="Arial" w:cs="Arial"/>
          <w:b/>
          <w:bCs/>
          <w:color w:val="2F5496" w:themeColor="accent1" w:themeShade="BF"/>
          <w:kern w:val="2"/>
          <w:lang w:eastAsia="zh-CN"/>
          <w14:ligatures w14:val="standardContextual"/>
        </w:rPr>
        <w:t> </w:t>
      </w:r>
    </w:p>
    <w:p w14:paraId="0D0AD5FB" w14:textId="41F9513E"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The overarching aim of this research is to comprehensively explore the psychological impact of the COVID-19 pandemic on</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healthcare workers in the UK and critically evaluate the coping mechanisms used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support their mental health and wellbeing. Moreover, the study endeavours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provide evidence-based recommendations for improving mental health support</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strategies within healthcare.</w:t>
      </w:r>
    </w:p>
    <w:p w14:paraId="73BFC12B"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To achieve this aim, the study will pursue the following four specific objectives:</w:t>
      </w:r>
    </w:p>
    <w:p w14:paraId="1E62774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1:</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explore the prevalence and severity of specific mental health conditions, including anxiety, depression, post-traumatic stress, and burnout, among a diverse sample of NHS healthcare workers in the post-acute pandemic period.</w:t>
      </w:r>
    </w:p>
    <w:p w14:paraId="42876F0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2:</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identify and categorise the range of coping strategies, both adaptive and maladaptive, that were utilised by healthcare workers to manage pandemic-related stress.</w:t>
      </w:r>
    </w:p>
    <w:p w14:paraId="60BA75B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3:</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explore the perceived effectiveness of these identified coping strategies from the perspective of the healthcare workers themselves and thus investigating factors that influenced their success or failure.</w:t>
      </w:r>
    </w:p>
    <w:p w14:paraId="6C43E7F1"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4:</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develop evidence-based recommendations for targeted mental health support interventions and resilience-building protocols that can be integrated into NHS institutional practice to safeguard staff well-being in future crises.</w:t>
      </w:r>
    </w:p>
    <w:p w14:paraId="0425F44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4" w:name="_Toc212476773"/>
      <w:bookmarkStart w:id="15" w:name="_Toc223453134"/>
      <w:r w:rsidRPr="00D449EF">
        <w:rPr>
          <w:rFonts w:ascii="Arial" w:eastAsiaTheme="majorEastAsia" w:hAnsi="Arial" w:cs="Arial"/>
          <w:b/>
          <w:bCs/>
          <w:color w:val="0F4761"/>
          <w:kern w:val="2"/>
          <w:lang w:eastAsia="zh-CN"/>
          <w14:ligatures w14:val="standardContextual"/>
        </w:rPr>
        <w:t>1.5 Conclusion</w:t>
      </w:r>
      <w:bookmarkEnd w:id="14"/>
      <w:bookmarkEnd w:id="15"/>
      <w:r w:rsidRPr="00D449EF">
        <w:rPr>
          <w:rFonts w:ascii="Arial" w:eastAsiaTheme="majorEastAsia" w:hAnsi="Arial" w:cs="Arial"/>
          <w:b/>
          <w:bCs/>
          <w:color w:val="2F5496" w:themeColor="accent1" w:themeShade="BF"/>
          <w:kern w:val="2"/>
          <w:lang w:eastAsia="zh-CN"/>
          <w14:ligatures w14:val="standardContextual"/>
        </w:rPr>
        <w:t> </w:t>
      </w:r>
    </w:p>
    <w:p w14:paraId="3F19E93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In summary, this chapter introduced the general area of the research, its relevance, and the expectations of this dissertation. Some of the key definitions and terminologies were also presented, as well as the rationale for research. A few problems and gaps in existing literature were outlined based on the preliminary literature review, which facilitated the development of the overarching aim of this research. Four specific objectives were developed and outlined to facilitate the realisation of the research aim.  </w:t>
      </w:r>
    </w:p>
    <w:p w14:paraId="6015BCFF"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The next chapter will provide a comprehensive description of the background information and analysis. This will entail a review of historical context of the topic, as well as the underlying theoretical background. The chapter will also explore the international context of the topic and later narrow the scope to the local UK context.</w:t>
      </w:r>
    </w:p>
    <w:p w14:paraId="3D007BCC"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569A0FEF"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6F6220F5"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2974EBE"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1B48CB1"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6862896"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03CFC482" w14:textId="77777777" w:rsidR="00D449EF" w:rsidRPr="00D449EF" w:rsidRDefault="00D449EF" w:rsidP="00D449EF">
      <w:pPr>
        <w:spacing w:before="240" w:line="360" w:lineRule="auto"/>
        <w:rPr>
          <w:rFonts w:ascii="Arial" w:eastAsia="Calibri Light" w:hAnsi="Arial" w:cs="Arial"/>
          <w:b/>
          <w:lang w:bidi="en-GB"/>
        </w:rPr>
      </w:pPr>
      <w:r w:rsidRPr="00D449EF">
        <w:rPr>
          <w:rFonts w:ascii="Arial" w:eastAsiaTheme="minorEastAsia" w:hAnsi="Arial" w:cs="Arial"/>
          <w:kern w:val="2"/>
          <w:lang w:eastAsia="zh-CN"/>
          <w14:ligatures w14:val="standardContextual"/>
        </w:rPr>
        <w:br w:type="page"/>
      </w:r>
    </w:p>
    <w:p w14:paraId="54B263AD" w14:textId="5FCD94C3" w:rsidR="00D449EF" w:rsidRPr="00D449EF" w:rsidRDefault="00D449EF" w:rsidP="00D449EF">
      <w:pPr>
        <w:widowControl w:val="0"/>
        <w:autoSpaceDE w:val="0"/>
        <w:autoSpaceDN w:val="0"/>
        <w:spacing w:before="240" w:line="360" w:lineRule="auto"/>
        <w:jc w:val="center"/>
        <w:outlineLvl w:val="0"/>
        <w:rPr>
          <w:rFonts w:ascii="Arial" w:eastAsia="Calibri Light" w:hAnsi="Arial" w:cs="Arial"/>
          <w:b/>
          <w:lang w:bidi="en-GB"/>
        </w:rPr>
      </w:pPr>
      <w:bookmarkStart w:id="16" w:name="_Toc212476774"/>
      <w:bookmarkStart w:id="17" w:name="_Toc223453135"/>
      <w:r w:rsidRPr="00D449EF">
        <w:rPr>
          <w:rFonts w:ascii="Arial" w:eastAsia="Calibri Light" w:hAnsi="Arial" w:cs="Arial"/>
          <w:b/>
          <w:lang w:bidi="en-GB"/>
        </w:rPr>
        <w:t>C</w:t>
      </w:r>
      <w:r w:rsidR="00644375">
        <w:rPr>
          <w:rFonts w:ascii="Arial" w:eastAsia="Calibri Light" w:hAnsi="Arial" w:cs="Arial"/>
          <w:b/>
          <w:lang w:bidi="en-GB"/>
        </w:rPr>
        <w:t>hapter</w:t>
      </w:r>
      <w:r w:rsidRPr="00D449EF">
        <w:rPr>
          <w:rFonts w:ascii="Arial" w:eastAsia="Calibri Light" w:hAnsi="Arial" w:cs="Arial"/>
          <w:b/>
          <w:lang w:bidi="en-GB"/>
        </w:rPr>
        <w:t xml:space="preserve"> 2 – Background Information and Analysis</w:t>
      </w:r>
      <w:bookmarkEnd w:id="16"/>
      <w:bookmarkEnd w:id="17"/>
    </w:p>
    <w:p w14:paraId="5AA6C361"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8" w:name="_Toc212476775"/>
      <w:bookmarkStart w:id="19" w:name="_Toc223453136"/>
      <w:r w:rsidRPr="00D449EF">
        <w:rPr>
          <w:rFonts w:ascii="Arial" w:eastAsiaTheme="majorEastAsia" w:hAnsi="Arial" w:cs="Arial"/>
          <w:b/>
          <w:bCs/>
          <w:color w:val="0F4761"/>
          <w:kern w:val="2"/>
          <w:lang w:eastAsia="zh-CN"/>
          <w14:ligatures w14:val="standardContextual"/>
        </w:rPr>
        <w:t>2.1 Introduction</w:t>
      </w:r>
      <w:bookmarkEnd w:id="18"/>
      <w:bookmarkEnd w:id="19"/>
      <w:r w:rsidRPr="00D449EF">
        <w:rPr>
          <w:rFonts w:ascii="Arial" w:eastAsiaTheme="majorEastAsia" w:hAnsi="Arial" w:cs="Arial"/>
          <w:b/>
          <w:bCs/>
          <w:color w:val="0F4761"/>
          <w:kern w:val="2"/>
          <w:lang w:eastAsia="zh-CN"/>
          <w14:ligatures w14:val="standardContextual"/>
        </w:rPr>
        <w:t xml:space="preserve"> </w:t>
      </w:r>
    </w:p>
    <w:p w14:paraId="4AA250C8" w14:textId="77777777" w:rsidR="00D449EF" w:rsidRPr="00D449EF" w:rsidRDefault="00D449EF" w:rsidP="00D449EF">
      <w:pPr>
        <w:spacing w:before="240" w:line="360" w:lineRule="auto"/>
        <w:jc w:val="both"/>
        <w:rPr>
          <w:rFonts w:ascii="Arial" w:eastAsia="Aptos" w:hAnsi="Arial" w:cs="Arial"/>
          <w:kern w:val="2"/>
          <w:lang w:eastAsia="en-US"/>
          <w14:ligatures w14:val="standardContextual"/>
        </w:rPr>
      </w:pPr>
      <w:r w:rsidRPr="00D449EF">
        <w:rPr>
          <w:rFonts w:ascii="Arial" w:eastAsia="Aptos" w:hAnsi="Arial" w:cs="Arial"/>
          <w:bCs/>
          <w:kern w:val="2"/>
          <w:lang w:eastAsia="en-US"/>
          <w14:ligatures w14:val="standardContextual"/>
        </w:rPr>
        <w:t>The purpose of this chapter is to provide a broad, foundational understanding of the topic of this research. This will entail an exploration of the historical context of the issue, which includes the response to earlier global pandemics. Following this, a critical examination of several foundational theories that underpin the research area will feature in this chapter. This will include their application in existing research, and a critical appraisal of their effectiveness in this research area. A discussion the global context will follow, which will entail a review of the approaches taken by different regions or countries. Finally, this chapter will narrow the focus on the UK context to highlight how policy and regulation approached the issue.</w:t>
      </w:r>
    </w:p>
    <w:p w14:paraId="5001DBC0"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20" w:name="_Toc212476776"/>
      <w:bookmarkStart w:id="21" w:name="_Toc223453137"/>
      <w:r w:rsidRPr="00D449EF">
        <w:rPr>
          <w:rFonts w:ascii="Arial" w:eastAsiaTheme="majorEastAsia" w:hAnsi="Arial" w:cs="Arial"/>
          <w:b/>
          <w:bCs/>
          <w:color w:val="0F4761"/>
          <w:kern w:val="2"/>
          <w:lang w:eastAsia="zh-CN"/>
          <w14:ligatures w14:val="standardContextual"/>
        </w:rPr>
        <w:t>2.2 Historical Background</w:t>
      </w:r>
      <w:bookmarkEnd w:id="20"/>
      <w:bookmarkEnd w:id="21"/>
    </w:p>
    <w:p w14:paraId="72583F7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A recent systematic review by Preti et al. (2020) highlights that the psychological impact of pandemics on healthcare workers is not a novel phenomenon, though its systematic study is a relatively recent development in the field of occupational health. Historical accounts from the plague outbreaks to the 1918 influenza pandemic describe instances of profound distress and burnout among caregivers (Pollock et al., 2020). However, they were often viewed as an inevitable cost of duty rather than a condition that required formal intervention. The modern conceptualisation of this issue began to take shape following the </w:t>
      </w:r>
      <w:proofErr w:type="gramStart"/>
      <w:r w:rsidRPr="00D449EF">
        <w:rPr>
          <w:rFonts w:ascii="Arial" w:eastAsia="Aptos" w:hAnsi="Arial" w:cs="Arial"/>
          <w:bCs/>
          <w:kern w:val="2"/>
          <w:lang w:eastAsia="en-US"/>
          <w14:ligatures w14:val="standardContextual"/>
        </w:rPr>
        <w:t>Severe Acute Respiratory Syndrome</w:t>
      </w:r>
      <w:proofErr w:type="gramEnd"/>
      <w:r w:rsidRPr="00D449EF">
        <w:rPr>
          <w:rFonts w:ascii="Arial" w:eastAsia="Aptos" w:hAnsi="Arial" w:cs="Arial"/>
          <w:bCs/>
          <w:kern w:val="2"/>
          <w:lang w:eastAsia="en-US"/>
          <w14:ligatures w14:val="standardContextual"/>
        </w:rPr>
        <w:t xml:space="preserve"> (SARS) outbreak in 2003. According to Robins-Browne et al. (2022), it was detected as early as November 2002 in China, which was ultimately identified as a coronavirus at the end of February 2003. The disease would result in about 8,000 confirmed cases and 774 deaths by its end in 2004 (Robins-Browne et al., 2022). This event served as a critical milestone, as research from Canada and Hong Kong provided the first robust evidence of high rates of post-traumatic stress disorder (PTSD), depression, and anxiety among frontline staff (Zhu et al., 2020). Consequently, this established a clear link between infectious disease outbreaks and severe psychological sequelae.</w:t>
      </w:r>
    </w:p>
    <w:p w14:paraId="3E86EB6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The contributions of key organisations have been pivotal in shaping the response. The World Health Organization (WHO) coordinated the global investigation of the SARS outbreak with the help of the Global Outbreak Alert and Response Network (GOARN) and collaborated with health authorities in affected states to offer clinical, epidemiological, and logistical support (Robins-Browne et al., 2022). WHO (2025) later moved beyond purely clinical guidance and began to frame healthcare worker wellbeing as a fundamental component of pandemic preparedness. Their work emphasised that a mentally resilient health workforce was essential for an effective health system response (World Health Organization, 2025). In the UK, the National Health Service (NHS) began to develop its own internal frameworks, which was heavily influenced by the evidence from SARS (Pollock et al., 2020). The experience of the 2014-2016 Ebola outbreak in West Africa further solidified this understanding, with organisations like Public Health England and the Royal College of Psychiatrists highlighting the long-term psychological needs of returning aid workers (Rietveld et al., 2024). These events collectively shifted the paradigm, which demonstrated that the psychological impact of a pandemic could be as debilitating as the physical disease itself. This historical trajectory, from anecdotal reports to empirical research, laid the essential groundwork for anticipating and, to some extent, preparing for the mental health crisis among healthcare workers that would be unleashed by the COVID-19 pandemic. </w:t>
      </w:r>
    </w:p>
    <w:p w14:paraId="5902ADE8"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22" w:name="_Toc212476777"/>
      <w:bookmarkStart w:id="23" w:name="_Toc223453138"/>
      <w:r w:rsidRPr="00D449EF">
        <w:rPr>
          <w:rFonts w:ascii="Arial" w:eastAsiaTheme="majorEastAsia" w:hAnsi="Arial" w:cs="Arial"/>
          <w:b/>
          <w:bCs/>
          <w:color w:val="0F4761"/>
          <w:kern w:val="2"/>
          <w:lang w:eastAsia="zh-CN"/>
          <w14:ligatures w14:val="standardContextual"/>
        </w:rPr>
        <w:t>2.3 Theoretical Background</w:t>
      </w:r>
      <w:bookmarkEnd w:id="22"/>
      <w:bookmarkEnd w:id="23"/>
      <w:r w:rsidRPr="00D449EF">
        <w:rPr>
          <w:rFonts w:ascii="Arial" w:eastAsiaTheme="majorEastAsia" w:hAnsi="Arial" w:cs="Arial"/>
          <w:b/>
          <w:bCs/>
          <w:color w:val="0F4761"/>
          <w:kern w:val="2"/>
          <w:lang w:eastAsia="zh-CN"/>
          <w14:ligatures w14:val="standardContextual"/>
        </w:rPr>
        <w:t xml:space="preserve"> </w:t>
      </w:r>
    </w:p>
    <w:p w14:paraId="56D67A0B"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bookmarkStart w:id="24" w:name="_Hlk212467646"/>
      <w:r w:rsidRPr="00D449EF">
        <w:rPr>
          <w:rFonts w:ascii="Arial" w:eastAsia="Aptos" w:hAnsi="Arial" w:cs="Arial"/>
          <w:bCs/>
          <w:kern w:val="2"/>
          <w:lang w:eastAsia="en-US"/>
          <w14:ligatures w14:val="standardContextual"/>
        </w:rPr>
        <w:t>Several key theories can facilitate a better understanding of the psychological impact of the COVID-19 pandemic on healthcare workers and their subsequent coping. One of these is the Job Demands-Resources (JD-R) model, which was introduced in 2001 (Li, Chen and Yuan, 2025). This theory posits that every occupation has its own specific risk factors associated with job strain, which can be categorised into job demands and job resources. The former refers to aspects of a job that demand sustained psychological or physical effort, while the latter are aspects that help reduce demands or achieve certain goals (Schaufeli and Taris, 2013). In the context of the pandemic, demands skyrocketed and included excessive workload, emotional burden of patient death, and fear of infection (Rietveld et al., 2024). Resources, such as organisational support, autonomy, and companionship, were often depleted. The JD-R model helps explain the burnout process, wherein chronic job demands exhaust employees’ mental and physical capacity, which leads to health impairments (Schaufeli and Taris, 2013).</w:t>
      </w:r>
    </w:p>
    <w:p w14:paraId="7D14CCE3"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Complementing this, the Conservation of Resources (COR) theory offers a powerful explanation for stress. COR theory suggests that individuals strive to obtain, retain, and protect their valued resources (Holmgreen et al., 2017). Stress occurs when these resources are threatened, lost, or when investment of resources does not yield the expected gains. In this regard, stress is perceived as a response to the threat or loss of resources, while the gain of resources can facilitate increased resilience and wellbeing (Holmgreen et al., 2017). For healthcare workers during COVID-19, resources such as time, energy, and a sense of safety were rapidly depleted, which created a cycle of loss spirals that led to significant psychological distress (Preti et al., 2020). Furthermore, the Social Support Theory, which is a middle-range theory that focuses on interactions and relationships and how they enhance health and wellbeing, is critical for understanding coping (Feeney and Collins, 2014). It posits that perceived and received support from supervisors, colleagues, friends, and family can buffer the negative effects of stress and promote resilience. Previous research, such as the study by Zhu et al. (2020) comparing severe acute respiratory infections caused by highly pathogenic human coronaviruses, has successfully applied these theories. This demonstrates that high social support is a key protective factor against PTSD and depression.</w:t>
      </w:r>
    </w:p>
    <w:p w14:paraId="220518F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However, these theories are undermined by unique limitations. The JD-R model, while comprehensive, can be critiqued for being overly broad (Li, Chen and Yuan, 2025). This makes it difficult to pinpoint which specific demands or resources are most critical in a crisis context. COR theory, whilst compelling, may underemphasise individual differences in resilience and the appraisal of resource loss (Holmgreen et al., 2017). A key debate in the literature surrounds the extent to which coping is an individual versus an organisational responsibility. Some models focus on building individual psychological resilience, while others argue this can lead to victim-blaming and that the primary onus must be on creating supportive systems and reducing pathogenic job demands (Rodríguez et al., 2019). This dissertation will critically engage with these debates and use these theories to analyse both the structural failures and the individual adaptive processes observed during the pandemic.</w:t>
      </w:r>
      <w:bookmarkEnd w:id="24"/>
    </w:p>
    <w:p w14:paraId="389AFF1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25" w:name="_Toc212476778"/>
      <w:bookmarkStart w:id="26" w:name="_Toc223453139"/>
      <w:r w:rsidRPr="00D449EF">
        <w:rPr>
          <w:rFonts w:ascii="Arial" w:eastAsiaTheme="majorEastAsia" w:hAnsi="Arial" w:cs="Arial"/>
          <w:b/>
          <w:bCs/>
          <w:color w:val="0F4761"/>
          <w:kern w:val="2"/>
          <w:lang w:eastAsia="zh-CN"/>
          <w14:ligatures w14:val="standardContextual"/>
        </w:rPr>
        <w:t>2.4 International Context</w:t>
      </w:r>
      <w:bookmarkEnd w:id="25"/>
      <w:bookmarkEnd w:id="26"/>
    </w:p>
    <w:p w14:paraId="2D39D766"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The global response to the psychological wellbeing of healthcare workers during the COVID-19 pandemic revealed significant variation in approaches, which were shaped by cultural attitudes towards mental health, pre-existing health system structures, and state capacity. According to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the global prevalence of depression and anxiety rose by approximately 25% in the first year of the pandemic. </w:t>
      </w:r>
      <w:proofErr w:type="gramStart"/>
      <w:r w:rsidRPr="00D449EF">
        <w:rPr>
          <w:rFonts w:ascii="Arial" w:eastAsia="Aptos" w:hAnsi="Arial" w:cs="Arial"/>
          <w:bCs/>
          <w:kern w:val="2"/>
          <w:lang w:eastAsia="en-US"/>
          <w14:ligatures w14:val="standardContextual"/>
        </w:rPr>
        <w:t>In an effort to</w:t>
      </w:r>
      <w:proofErr w:type="gramEnd"/>
      <w:r w:rsidRPr="00D449EF">
        <w:rPr>
          <w:rFonts w:ascii="Arial" w:eastAsia="Aptos" w:hAnsi="Arial" w:cs="Arial"/>
          <w:bCs/>
          <w:kern w:val="2"/>
          <w:lang w:eastAsia="en-US"/>
          <w14:ligatures w14:val="standardContextual"/>
        </w:rPr>
        <w:t xml:space="preserve"> address the adverse impacts of existing health systems, a prominent international trend was the rapid deployment of digital mental health interventions (Reddy, 2022). Many countries, including the United States and China, established national helplines and online counselling platforms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They aimed to provide accessible and remote support, which represented a significant shift in mental healthcare delivery. According to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concerns about potential rises in mental health conditions had caused several countries to integrate mental health and psychosocial support in their COVID-19 response plans. However, its efficacy and reach remain a subject of ongoing evaluation.</w:t>
      </w:r>
    </w:p>
    <w:p w14:paraId="1F09320F"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A comparative analysis highlights distinct regional approaches. In many East Asian societies, such as Singapore and South Korea, a collectivist cultural ethos translated into top-down, government-led initiatives that provided systemic support (United Nations, 2020). This included mandatory rest periods and state-sponsored accommodation to protect healthcare workers’ families. Conversely, in some Western nations like the United States, responses were often more fragmented, with reliance on individual healthcare institutions and private insurance, which led to inconsistent support and highlighted pre-existing inequities in the system (United Nations, 2020). Italy’s experience serves as a particularly poignant case study. </w:t>
      </w:r>
      <w:proofErr w:type="spellStart"/>
      <w:r w:rsidRPr="00D449EF">
        <w:rPr>
          <w:rFonts w:ascii="Arial" w:eastAsia="Aptos" w:hAnsi="Arial" w:cs="Arial"/>
          <w:bCs/>
          <w:kern w:val="2"/>
          <w:lang w:eastAsia="en-US"/>
          <w14:ligatures w14:val="standardContextual"/>
        </w:rPr>
        <w:t>Vicarelli</w:t>
      </w:r>
      <w:proofErr w:type="spellEnd"/>
      <w:r w:rsidRPr="00D449EF">
        <w:rPr>
          <w:rFonts w:ascii="Arial" w:eastAsia="Aptos" w:hAnsi="Arial" w:cs="Arial"/>
          <w:bCs/>
          <w:kern w:val="2"/>
          <w:lang w:eastAsia="en-US"/>
          <w14:ligatures w14:val="standardContextual"/>
        </w:rPr>
        <w:t xml:space="preserve"> (2024) notes that as the first European epicentre, its health system was overwhelmed, and the profound psychological distress reported by its healthcare workers underscored the catastrophic consequences of being underprepared. Global initiatives, such as those coordinated by the World Health Organization, sought to foster international collaboration by sharing guidelines and resources (Reddy, 2022). However, the primary challenge encountered universally was the gap between policy and implementation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While many governments recognised the problem, the sustained, on-the-ground support often failed to match the scale of the need. This was particularly pronounced in low- and middle-income countries where health systems were already strained.</w:t>
      </w:r>
      <w:bookmarkStart w:id="27" w:name="_Hlk212467708"/>
    </w:p>
    <w:p w14:paraId="3ED2204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28" w:name="_Toc212476779"/>
      <w:bookmarkStart w:id="29" w:name="_Toc223453140"/>
      <w:bookmarkEnd w:id="27"/>
      <w:r w:rsidRPr="00D449EF">
        <w:rPr>
          <w:rFonts w:ascii="Arial" w:eastAsiaTheme="majorEastAsia" w:hAnsi="Arial" w:cs="Arial"/>
          <w:b/>
          <w:bCs/>
          <w:color w:val="0F4761"/>
          <w:kern w:val="2"/>
          <w:lang w:eastAsia="zh-CN"/>
          <w14:ligatures w14:val="standardContextual"/>
        </w:rPr>
        <w:t>2.5 National/Local UK Context</w:t>
      </w:r>
      <w:bookmarkEnd w:id="28"/>
      <w:bookmarkEnd w:id="29"/>
    </w:p>
    <w:p w14:paraId="1E2DDBF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Within the United Kingdom, the psychological impact of COVID-19 on healthcare workers became a subject of intense public and political discourse, which placed an unprecedented focus on the mental wellbeing of the NHS workforce. At the national level, the response was spearheaded by NHS England and the Department of Health and Social Care, operating within the overarching framework of the NHS Long Term Plan, which had already committed to improving staff mental health (</w:t>
      </w:r>
      <w:proofErr w:type="spellStart"/>
      <w:r w:rsidRPr="00D449EF">
        <w:rPr>
          <w:rFonts w:ascii="Arial" w:eastAsia="Aptos" w:hAnsi="Arial" w:cs="Arial"/>
          <w:bCs/>
          <w:kern w:val="2"/>
          <w:lang w:eastAsia="en-US"/>
          <w14:ligatures w14:val="standardContextual"/>
        </w:rPr>
        <w:t>Llop-Gironés</w:t>
      </w:r>
      <w:proofErr w:type="spellEnd"/>
      <w:r w:rsidRPr="00D449EF">
        <w:rPr>
          <w:rFonts w:ascii="Arial" w:eastAsia="Aptos" w:hAnsi="Arial" w:cs="Arial"/>
          <w:bCs/>
          <w:kern w:val="2"/>
          <w:lang w:eastAsia="en-US"/>
          <w14:ligatures w14:val="standardContextual"/>
        </w:rPr>
        <w:t> et al., 2021). Key national initiatives included the establishment of the NHS People Plan and the rapid rollout of a comprehensive mental health support service, which incorporated a dedicated helpline and text service, alongside the creation of specialist mental health hubs across England (Delaney et al., 2021). These policies were designed to provide a structured, national-level safety net for all NHS staff.</w:t>
      </w:r>
    </w:p>
    <w:p w14:paraId="605BD909"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However, the implementation and experience of these supports revealed significant variations at the local level. The devolved administrations in Scotland, Wales, and Northern Ireland operated their own slightly differentiated strategies, which reflected local priorities. For instance, Scotland’s ‘National Wellbeing Hub’ was launched as a centralised resource for all health and social care staff (British Medical Association, 2022). At the trust level, the picture was even more diverse. Some NHS trusts developed robust, in-house psychological support teams and proactive wellbeing programmes, while others, often those in regions hardest hit by the pandemic or with pre-existing resource constraints, struggled to provide more than the basic national offer (British Medical Association, 2022). Local initiatives also flourished, which were often driven by third-sector organisations and professional bodies like the British Medical Association and the Royal College of Nursing, which provided additional resources and advocacy (Pollock et al., 2020). A key challenge across the UK has been the stigma associated with seeking mental health support, which was a significant barrier that national campaigns sought to overcome (British Medical Association, 2022). The enduring legacy is a complex mix of national policy intent and variable local delivery against a backdrop of regional disparities in both pandemic pressure and pre-existing mental health service provision.</w:t>
      </w:r>
    </w:p>
    <w:p w14:paraId="3EA20D5B"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30" w:name="_Toc212476780"/>
      <w:bookmarkStart w:id="31" w:name="_Toc223453141"/>
      <w:r w:rsidRPr="00D449EF">
        <w:rPr>
          <w:rFonts w:ascii="Arial" w:eastAsiaTheme="majorEastAsia" w:hAnsi="Arial" w:cs="Arial"/>
          <w:b/>
          <w:bCs/>
          <w:color w:val="0F4761"/>
          <w:kern w:val="2"/>
          <w:lang w:eastAsia="zh-CN"/>
          <w14:ligatures w14:val="standardContextual"/>
        </w:rPr>
        <w:t>2.6 Conclusion</w:t>
      </w:r>
      <w:bookmarkEnd w:id="30"/>
      <w:bookmarkEnd w:id="31"/>
    </w:p>
    <w:p w14:paraId="69E722CA" w14:textId="77777777" w:rsidR="00D449EF" w:rsidRPr="00D449EF" w:rsidRDefault="00D449EF" w:rsidP="00D449EF">
      <w:pPr>
        <w:spacing w:before="240" w:line="360" w:lineRule="auto"/>
        <w:textAlignment w:val="baseline"/>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This chapter has established the foundational contexts for exploring the psychological impact of COVID-19 on UK healthcare workers. Historically, the psychological toll of pandemics has evolved from an accepted occupational hazard to a formally recognised issue, which was shaped crucially by prior outbreaks like SARS and Ebola. Theoretically, frameworks such as the Job Demands-Resources and Conservation of Resources theories provide critical lenses for understanding the stressors and coping mechanisms involved, while also revealing debates on individual versus organisational responsibility. Internationally, responses varied significantly, from the collectivist, state-led approaches in East Asia to the more fragmented systems in the United States. This highlights a universal challenge in translating policy into effective support. Within the UK, a complex interplay of national initiatives, such as the NHS People Plan, and variable local implementation revealed regional disparities and the persistent barrier of stigma.</w:t>
      </w:r>
    </w:p>
    <w:p w14:paraId="632E8B34" w14:textId="77777777" w:rsidR="00D449EF" w:rsidRDefault="00D449EF" w:rsidP="00D449EF">
      <w:pPr>
        <w:spacing w:before="240" w:line="360" w:lineRule="auto"/>
        <w:textAlignment w:val="baseline"/>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Having established this comprehensive background, the subsequent chapter will detail the Methods and Search Strategy. It will outline the systematic approach undertaken to identify, select, and critically appraise the relevant academic literature that informs this dissertation's analysis.</w:t>
      </w:r>
    </w:p>
    <w:p w14:paraId="5A5DD1E5" w14:textId="77777777" w:rsidR="00CB0435" w:rsidRDefault="00CB0435">
      <w:pPr>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br w:type="page"/>
      </w:r>
    </w:p>
    <w:p w14:paraId="6A6B8BAB" w14:textId="47F69924" w:rsidR="00CB0435" w:rsidRPr="00CB0435" w:rsidRDefault="00CB0435" w:rsidP="00CB0435">
      <w:pPr>
        <w:widowControl w:val="0"/>
        <w:autoSpaceDE w:val="0"/>
        <w:autoSpaceDN w:val="0"/>
        <w:spacing w:before="240" w:line="360" w:lineRule="auto"/>
        <w:jc w:val="center"/>
        <w:outlineLvl w:val="0"/>
        <w:rPr>
          <w:rFonts w:ascii="Arial" w:eastAsia="Calibri Light" w:hAnsi="Arial" w:cs="Arial"/>
          <w:b/>
          <w:lang w:bidi="en-GB"/>
        </w:rPr>
      </w:pPr>
      <w:bookmarkStart w:id="32" w:name="_Toc223453142"/>
      <w:r w:rsidRPr="00CB0435">
        <w:rPr>
          <w:rFonts w:ascii="Arial" w:eastAsia="Calibri Light" w:hAnsi="Arial" w:cs="Arial"/>
          <w:b/>
          <w:lang w:bidi="en-GB"/>
        </w:rPr>
        <w:t>Chapter 3 – Methods</w:t>
      </w:r>
      <w:bookmarkEnd w:id="32"/>
    </w:p>
    <w:p w14:paraId="2B584813"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3" w:name="_Toc223453143"/>
      <w:r w:rsidRPr="00CB0435">
        <w:rPr>
          <w:rFonts w:ascii="Arial" w:eastAsiaTheme="majorEastAsia" w:hAnsi="Arial" w:cs="Arial"/>
          <w:b/>
          <w:bCs/>
          <w:color w:val="0F4761"/>
          <w:kern w:val="2"/>
          <w:lang w:eastAsia="zh-CN"/>
          <w14:ligatures w14:val="standardContextual"/>
        </w:rPr>
        <w:t>3.1 Introduction</w:t>
      </w:r>
      <w:bookmarkEnd w:id="33"/>
    </w:p>
    <w:p w14:paraId="74D1D80B"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 xml:space="preserve">This chapter is structured to describe the research methods utilised in the exploration of the psychological impact of the COVID-19 pandemic on healthcare workers in the UK and to critically evaluate the coping mechanisms used to support their mental health and wellbeing. This entailed a desk-based, literature-based approach to this inquiry. A separate academic poster provided a visual summary of the research </w:t>
      </w:r>
      <w:proofErr w:type="gramStart"/>
      <w:r w:rsidRPr="00CB0435">
        <w:rPr>
          <w:rFonts w:ascii="Arial" w:eastAsia="Aptos" w:hAnsi="Arial" w:cs="Arial"/>
          <w:bCs/>
          <w:kern w:val="2"/>
          <w:lang w:eastAsia="en-US"/>
          <w14:ligatures w14:val="standardContextual"/>
        </w:rPr>
        <w:t>methodology</w:t>
      </w:r>
      <w:proofErr w:type="gramEnd"/>
      <w:r w:rsidRPr="00CB0435">
        <w:rPr>
          <w:rFonts w:ascii="Arial" w:eastAsia="Aptos" w:hAnsi="Arial" w:cs="Arial"/>
          <w:bCs/>
          <w:kern w:val="2"/>
          <w:lang w:eastAsia="en-US"/>
          <w14:ligatures w14:val="standardContextual"/>
        </w:rPr>
        <w:t xml:space="preserve"> and this chapter expands on each section of the poster. Consequently, it consists of the search strategy, search process, research validation, inclusion and exclusion criteria, analysis of research, and ethical considerations.</w:t>
      </w:r>
    </w:p>
    <w:p w14:paraId="315A015A"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4" w:name="_Toc223453144"/>
      <w:r w:rsidRPr="00CB0435">
        <w:rPr>
          <w:rFonts w:ascii="Arial" w:eastAsiaTheme="majorEastAsia" w:hAnsi="Arial" w:cs="Arial"/>
          <w:b/>
          <w:bCs/>
          <w:color w:val="0F4761"/>
          <w:kern w:val="2"/>
          <w:lang w:eastAsia="zh-CN"/>
          <w14:ligatures w14:val="standardContextual"/>
        </w:rPr>
        <w:t>3.2 Search Strategy</w:t>
      </w:r>
      <w:bookmarkEnd w:id="34"/>
    </w:p>
    <w:p w14:paraId="64F2AE23"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The initial keywords for the search strategy were generated from the research aim, which included “healthcare workers,” “psychological impact,” “mental health,” “wellbeing,” “coping mechanisms,” and “support.” To ensure maximum reach, these terms were further expanded to include related terms and synonyms such as “NHS staff,” “psychological distress,” “burnout,” “resilience,” “interventions,” and “wellbeing support.” To further enhance the search, Boolean operators were used to combine these terms effectively. In this regard AND was used to narrow searches ("healthcare workers" AND "burnout") OR was used to broaden them by including synonyms ("psychological impact" OR "mental health") and NOT was used to exclude irrelevant results ("staff" NOT "patients"). The search process was planned and recorded in a structured log that facilitated meticulous detailing of the combinations used in each database to ensure transparency and replicability.</w:t>
      </w:r>
    </w:p>
    <w:p w14:paraId="4D0F69C1"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5" w:name="_Toc223453145"/>
      <w:r w:rsidRPr="00CB0435">
        <w:rPr>
          <w:rFonts w:ascii="Arial" w:eastAsiaTheme="majorEastAsia" w:hAnsi="Arial" w:cs="Arial"/>
          <w:b/>
          <w:bCs/>
          <w:color w:val="0F4761"/>
          <w:kern w:val="2"/>
          <w:lang w:eastAsia="zh-CN"/>
          <w14:ligatures w14:val="standardContextual"/>
        </w:rPr>
        <w:t>3.3 Searching for Information</w:t>
      </w:r>
      <w:bookmarkEnd w:id="35"/>
    </w:p>
    <w:p w14:paraId="6358E050"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To locate relevant literature, searches were conducted across several key academic platforms. PubMed, CINAHL, and PsycINFO were chosen for their comprehensive coverage of peer-reviewed medical and psychological research, which consequently ensured high credibility. Google Scholar and NHS Digital were used for their broad, cross-disciplinary reach, while the UWTSD Library catalogue provided access to specific full-text journals and e-books. Filters were applied consistently to further maintain quality and focus. The date range was limited to 2019-2025 to capture literature published during and immediately after the pandemic. Results were filtered to include only peer-reviewed articles, systematic reviews, government policy documents, and National Health Service reports. Furthermore, the country filter was often used to prioritise studies based in the United Kingdom. Initial searches sometimes yielded results from other countries or focused on patient experiences, so the search strings were adjusted, for example, by adding "UK" or "NHS" as a required term. All searches and their outcomes were documented, and a source tracking table was created to record key details of selected studies.</w:t>
      </w:r>
    </w:p>
    <w:p w14:paraId="63A236AD"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6" w:name="_Toc223453146"/>
      <w:r w:rsidRPr="00CB0435">
        <w:rPr>
          <w:rFonts w:ascii="Arial" w:eastAsiaTheme="majorEastAsia" w:hAnsi="Arial" w:cs="Arial"/>
          <w:b/>
          <w:bCs/>
          <w:color w:val="0F4761"/>
          <w:kern w:val="2"/>
          <w:lang w:eastAsia="zh-CN"/>
          <w14:ligatures w14:val="standardContextual"/>
        </w:rPr>
        <w:t>3.4 Research Validation</w:t>
      </w:r>
      <w:bookmarkEnd w:id="36"/>
    </w:p>
    <w:p w14:paraId="61186DFA"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To efficiently assess the relevance of a large volume of results, a systematic skimming technique was employed. This involved initially reading the title to assess broad relevance and then reviewing the abstract to understand the study's aim, methods, and key findings. If the abstract indicated potential relevance, the introduction and conclusion were reviewed to confirm the article's focus and contribution. Following this initial selection, the CRAAP test was applied to evaluate the quality and validity of each source. Liu (2021) posits that this systematic test helps challenge biased information and formulate sound decisions and judgement. Consequently, currency was ensured by the 2019-2025 date filter. Relevance was confirmed by checking that the study population and context matched the research aim. Authority was assessed by examining the author's affiliations and the journal's reputation. For example, a peer-reviewed study on NHS staff burnout published in the CINAHL database would be deemed highly authoritative. Accuracy was supported by a clear methodology and peer-review status. While most selected sources met all criteria, Currency, Relevance, and Authority were prioritised to ensure the findings were both timely and trustworthy for answering the research question.</w:t>
      </w:r>
    </w:p>
    <w:p w14:paraId="013FF594"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7" w:name="_Toc223453147"/>
      <w:r w:rsidRPr="00CB0435">
        <w:rPr>
          <w:rFonts w:ascii="Arial" w:eastAsiaTheme="majorEastAsia" w:hAnsi="Arial" w:cs="Arial"/>
          <w:b/>
          <w:bCs/>
          <w:color w:val="0F4761"/>
          <w:kern w:val="2"/>
          <w:lang w:eastAsia="zh-CN"/>
          <w14:ligatures w14:val="standardContextual"/>
        </w:rPr>
        <w:t>3.5 Inclusion and Exclusion Criteria</w:t>
      </w:r>
      <w:bookmarkEnd w:id="37"/>
    </w:p>
    <w:p w14:paraId="0DBCD582"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 xml:space="preserve">Clear inclusion and exclusion criteria were established to ensure the selection of high-quality, relevant literature. Inclusion criteria required sources to </w:t>
      </w:r>
      <w:proofErr w:type="gramStart"/>
      <w:r w:rsidRPr="00CB0435">
        <w:rPr>
          <w:rFonts w:ascii="Arial" w:eastAsia="Aptos" w:hAnsi="Arial" w:cs="Arial"/>
          <w:bCs/>
          <w:kern w:val="2"/>
          <w:lang w:eastAsia="en-US"/>
          <w14:ligatures w14:val="standardContextual"/>
        </w:rPr>
        <w:t>be:</w:t>
      </w:r>
      <w:proofErr w:type="gramEnd"/>
      <w:r w:rsidRPr="00CB0435">
        <w:rPr>
          <w:rFonts w:ascii="Arial" w:eastAsia="Aptos" w:hAnsi="Arial" w:cs="Arial"/>
          <w:bCs/>
          <w:kern w:val="2"/>
          <w:lang w:eastAsia="en-US"/>
          <w14:ligatures w14:val="standardContextual"/>
        </w:rPr>
        <w:t xml:space="preserve"> peer-reviewed journal articles or official reports from the NHS or UK Government; published between 2019 and 2025; focused on healthcare workers, nurses, or doctors; based in the United Kingdom; and written in the English language. </w:t>
      </w:r>
    </w:p>
    <w:p w14:paraId="20578C2F"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 xml:space="preserve">Exclusion criteria were applied to </w:t>
      </w:r>
      <w:proofErr w:type="gramStart"/>
      <w:r w:rsidRPr="00CB0435">
        <w:rPr>
          <w:rFonts w:ascii="Arial" w:eastAsia="Aptos" w:hAnsi="Arial" w:cs="Arial"/>
          <w:bCs/>
          <w:kern w:val="2"/>
          <w:lang w:eastAsia="en-US"/>
          <w14:ligatures w14:val="standardContextual"/>
        </w:rPr>
        <w:t>omit:</w:t>
      </w:r>
      <w:proofErr w:type="gramEnd"/>
      <w:r w:rsidRPr="00CB0435">
        <w:rPr>
          <w:rFonts w:ascii="Arial" w:eastAsia="Aptos" w:hAnsi="Arial" w:cs="Arial"/>
          <w:bCs/>
          <w:kern w:val="2"/>
          <w:lang w:eastAsia="en-US"/>
          <w14:ligatures w14:val="standardContextual"/>
        </w:rPr>
        <w:t xml:space="preserve"> opinion pieces, letters, editorials, and blog posts; studies not focused on the COVID-19 pandemic; research conducted exclusively in non-UK healthcare settings; and articles not available in English. These criteria were essential for maintaining a sharp focus on the specific UK context during the pandemic. This consequently ensured that the findings would be directly applicable to the research aim and would be based on robust, evidence-based sources.</w:t>
      </w:r>
    </w:p>
    <w:p w14:paraId="59A9AFA4"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8" w:name="_Toc223453148"/>
      <w:r w:rsidRPr="00CB0435">
        <w:rPr>
          <w:rFonts w:ascii="Arial" w:eastAsiaTheme="majorEastAsia" w:hAnsi="Arial" w:cs="Arial"/>
          <w:b/>
          <w:bCs/>
          <w:color w:val="0F4761"/>
          <w:kern w:val="2"/>
          <w:lang w:eastAsia="zh-CN"/>
          <w14:ligatures w14:val="standardContextual"/>
        </w:rPr>
        <w:t>3.6 Analysing Research</w:t>
      </w:r>
      <w:bookmarkEnd w:id="38"/>
    </w:p>
    <w:p w14:paraId="5DC4107D"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 xml:space="preserve">The selected literature was analysed using a thematic coding approach to identify patterns related to the psychological impact on healthcare workers and the coping mechanisms used. This entailed meticulously following the six-phase thematic analysis postulated by Braun and Clarke (Ahmed et al. 2025). The analysis began with a detailed reading of each source, during which initial codes were generated by highlighting recurring keywords, concepts, and findings. Examples of initial codes included "anxiety," "moral injury," "social support," and "resilience training." These codes were then reviewed and grouped together to form broader, overarching themes that directly addressed the research objectives. For instance, codes such as "anxiety," "insomnia," and "PTSD" were grouped under the theme "Prevalence of Mental Health Difficulties." </w:t>
      </w:r>
    </w:p>
    <w:p w14:paraId="45B96EC4"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39" w:name="_Toc223453149"/>
      <w:r w:rsidRPr="00CB0435">
        <w:rPr>
          <w:rFonts w:ascii="Arial" w:eastAsiaTheme="majorEastAsia" w:hAnsi="Arial" w:cs="Arial"/>
          <w:b/>
          <w:bCs/>
          <w:color w:val="0F4761"/>
          <w:kern w:val="2"/>
          <w:lang w:eastAsia="zh-CN"/>
          <w14:ligatures w14:val="standardContextual"/>
        </w:rPr>
        <w:t>3.7 Ethical Considerations</w:t>
      </w:r>
      <w:bookmarkEnd w:id="39"/>
    </w:p>
    <w:p w14:paraId="75DB297F" w14:textId="77777777"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As this dissertation is based entirely on secondary research, no primary data collection was undertaken. Therefore, ethical approval was not required. However, stringent ethical practices were maintained throughout the research process to uphold academic integrity. All sources have been accurately cited and referenced in accordance with the Harvard referencing style to ensure original authors receive appropriate credit and to avoid plagiarism. Furthermore, a conscious effort was made to present the literature fairly and without bias. This involved including studies with diverse findings and representing the data accurately, without selective reporting or misrepresentation, to ensure the credibility and transparency of the research conclusions.</w:t>
      </w:r>
    </w:p>
    <w:p w14:paraId="73D3D43C" w14:textId="77777777" w:rsidR="00CB0435" w:rsidRPr="00CB0435" w:rsidRDefault="00CB0435" w:rsidP="00CB0435">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0" w:name="_Toc223453150"/>
      <w:r w:rsidRPr="00CB0435">
        <w:rPr>
          <w:rFonts w:ascii="Arial" w:eastAsiaTheme="majorEastAsia" w:hAnsi="Arial" w:cs="Arial"/>
          <w:b/>
          <w:bCs/>
          <w:color w:val="0F4761"/>
          <w:kern w:val="2"/>
          <w:lang w:eastAsia="zh-CN"/>
          <w14:ligatures w14:val="standardContextual"/>
        </w:rPr>
        <w:t>3.8 Chapter Conclusion</w:t>
      </w:r>
      <w:bookmarkEnd w:id="40"/>
    </w:p>
    <w:p w14:paraId="2081FF9B" w14:textId="227E528C" w:rsidR="00CB0435" w:rsidRPr="00CB0435" w:rsidRDefault="00CB0435" w:rsidP="00CB0435">
      <w:pPr>
        <w:spacing w:before="240" w:line="360" w:lineRule="auto"/>
        <w:textAlignment w:val="baseline"/>
        <w:rPr>
          <w:rFonts w:ascii="Arial" w:eastAsia="Aptos" w:hAnsi="Arial" w:cs="Arial"/>
          <w:bCs/>
          <w:kern w:val="2"/>
          <w:lang w:eastAsia="en-US"/>
          <w14:ligatures w14:val="standardContextual"/>
        </w:rPr>
      </w:pPr>
      <w:r w:rsidRPr="00CB0435">
        <w:rPr>
          <w:rFonts w:ascii="Arial" w:eastAsia="Aptos" w:hAnsi="Arial" w:cs="Arial"/>
          <w:bCs/>
          <w:kern w:val="2"/>
          <w:lang w:eastAsia="en-US"/>
          <w14:ligatures w14:val="standardContextual"/>
        </w:rPr>
        <w:t xml:space="preserve">This chapter has outlined the systematic methodology employed to conduct this research. It detailed the structured search strategy, the use of academic databases with specific filters, and the rigorous validation of sources using skimming techniques and the CRAAP test. The application of clear inclusion and exclusion criteria ensured a focused and high-quality literature base, which was then analysed using a thematic coding approach to identify key patterns. This methodical process provides a robust and transparent foundation for the research findings. The following chapter will present the results of this thematic analysis, </w:t>
      </w:r>
      <w:r w:rsidR="00607CE7">
        <w:rPr>
          <w:rFonts w:ascii="Arial" w:eastAsia="Aptos" w:hAnsi="Arial" w:cs="Arial"/>
          <w:bCs/>
          <w:kern w:val="2"/>
          <w:lang w:eastAsia="en-US"/>
          <w14:ligatures w14:val="standardContextual"/>
        </w:rPr>
        <w:t xml:space="preserve">which is </w:t>
      </w:r>
      <w:r w:rsidRPr="00CB0435">
        <w:rPr>
          <w:rFonts w:ascii="Arial" w:eastAsia="Aptos" w:hAnsi="Arial" w:cs="Arial"/>
          <w:bCs/>
          <w:kern w:val="2"/>
          <w:lang w:eastAsia="en-US"/>
          <w14:ligatures w14:val="standardContextual"/>
        </w:rPr>
        <w:t>organised into key themes that explore the psychological impact of the pandemic on UK healthcare workers and the coping mechanisms used.</w:t>
      </w:r>
    </w:p>
    <w:p w14:paraId="77148F4B" w14:textId="77777777" w:rsidR="00AF1642" w:rsidRDefault="00AF1642">
      <w:pPr>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br w:type="page"/>
      </w:r>
    </w:p>
    <w:p w14:paraId="43D3F288" w14:textId="16954213" w:rsidR="00CB0435" w:rsidRPr="001B20A3" w:rsidRDefault="00AF1642" w:rsidP="001B20A3">
      <w:pPr>
        <w:widowControl w:val="0"/>
        <w:autoSpaceDE w:val="0"/>
        <w:autoSpaceDN w:val="0"/>
        <w:spacing w:before="240" w:line="360" w:lineRule="auto"/>
        <w:jc w:val="center"/>
        <w:outlineLvl w:val="0"/>
        <w:rPr>
          <w:rFonts w:ascii="Arial" w:eastAsia="Calibri Light" w:hAnsi="Arial" w:cs="Arial"/>
          <w:b/>
          <w:lang w:bidi="en-GB"/>
        </w:rPr>
      </w:pPr>
      <w:bookmarkStart w:id="41" w:name="_Toc223453151"/>
      <w:r w:rsidRPr="001B20A3">
        <w:rPr>
          <w:rFonts w:ascii="Arial" w:eastAsia="Calibri Light" w:hAnsi="Arial" w:cs="Arial"/>
          <w:b/>
          <w:lang w:bidi="en-GB"/>
        </w:rPr>
        <w:t>Chapter 4 – Findings and Discussion</w:t>
      </w:r>
      <w:bookmarkEnd w:id="41"/>
    </w:p>
    <w:p w14:paraId="6641E519" w14:textId="19729F72"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2" w:name="_Toc223453152"/>
      <w:r w:rsidRPr="001B20A3">
        <w:rPr>
          <w:rFonts w:ascii="Arial" w:eastAsiaTheme="majorEastAsia" w:hAnsi="Arial" w:cs="Arial"/>
          <w:b/>
          <w:bCs/>
          <w:color w:val="0F4761"/>
          <w:kern w:val="2"/>
          <w:lang w:eastAsia="zh-CN"/>
          <w14:ligatures w14:val="standardContextual"/>
        </w:rPr>
        <w:t>4.1 Introduction</w:t>
      </w:r>
      <w:bookmarkEnd w:id="42"/>
    </w:p>
    <w:p w14:paraId="55AC6A4C" w14:textId="051AE7FA" w:rsidR="00CA2A9D" w:rsidRDefault="00CA2A9D" w:rsidP="00D449EF">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This chapter includes a detailed report of the findings from the previous chapter, which consequently facilitate a critical discussion of the psychological impact of the COVID-19 pandemic on healthcare workers and the coping mechanisms used to support their mental health and wellbeing in the UK.</w:t>
      </w:r>
      <w:r w:rsidR="00A949ED">
        <w:rPr>
          <w:rFonts w:ascii="Arial" w:eastAsia="Aptos" w:hAnsi="Arial" w:cs="Arial"/>
          <w:bCs/>
          <w:kern w:val="2"/>
          <w:lang w:eastAsia="en-US"/>
          <w14:ligatures w14:val="standardContextual"/>
        </w:rPr>
        <w:t xml:space="preserve"> To facilita</w:t>
      </w:r>
      <w:r w:rsidR="00D43204">
        <w:rPr>
          <w:rFonts w:ascii="Arial" w:eastAsia="Aptos" w:hAnsi="Arial" w:cs="Arial"/>
          <w:bCs/>
          <w:kern w:val="2"/>
          <w:lang w:eastAsia="en-US"/>
          <w14:ligatures w14:val="standardContextual"/>
        </w:rPr>
        <w:t>te a structured discussion, this chapter will begin with a clear definition of thematic analysis in the context of secondary research. This will format the discussion across three distinct themes identified from the literature</w:t>
      </w:r>
      <w:r w:rsidR="00B42232">
        <w:rPr>
          <w:rFonts w:ascii="Arial" w:eastAsia="Aptos" w:hAnsi="Arial" w:cs="Arial"/>
          <w:bCs/>
          <w:kern w:val="2"/>
          <w:lang w:eastAsia="en-US"/>
          <w14:ligatures w14:val="standardContextual"/>
        </w:rPr>
        <w:t>, as detailed in the previous chapter</w:t>
      </w:r>
      <w:r w:rsidR="00D43204">
        <w:rPr>
          <w:rFonts w:ascii="Arial" w:eastAsia="Aptos" w:hAnsi="Arial" w:cs="Arial"/>
          <w:bCs/>
          <w:kern w:val="2"/>
          <w:lang w:eastAsia="en-US"/>
          <w14:ligatures w14:val="standardContextual"/>
        </w:rPr>
        <w:t>. Each of these themes will consist of a succinct definition, contextual/historical background, relevance to the research question, statistical information, theoretical framework, policy</w:t>
      </w:r>
      <w:r w:rsidR="0057643F">
        <w:rPr>
          <w:rFonts w:ascii="Arial" w:eastAsia="Aptos" w:hAnsi="Arial" w:cs="Arial"/>
          <w:bCs/>
          <w:kern w:val="2"/>
          <w:lang w:eastAsia="en-US"/>
          <w14:ligatures w14:val="standardContextual"/>
        </w:rPr>
        <w:t xml:space="preserve"> and legislation, implications, examples from the articles, and connections to other themes.</w:t>
      </w:r>
    </w:p>
    <w:p w14:paraId="20178D34" w14:textId="53304B79"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3" w:name="_Toc223453153"/>
      <w:r w:rsidRPr="001B20A3">
        <w:rPr>
          <w:rFonts w:ascii="Arial" w:eastAsiaTheme="majorEastAsia" w:hAnsi="Arial" w:cs="Arial"/>
          <w:b/>
          <w:bCs/>
          <w:color w:val="0F4761"/>
          <w:kern w:val="2"/>
          <w:lang w:eastAsia="zh-CN"/>
          <w14:ligatures w14:val="standardContextual"/>
        </w:rPr>
        <w:t>4.2 Thematic Analysis</w:t>
      </w:r>
      <w:bookmarkEnd w:id="43"/>
    </w:p>
    <w:p w14:paraId="458DF952" w14:textId="77777777" w:rsidR="00361810" w:rsidRDefault="004B29A7" w:rsidP="00D449EF">
      <w:pPr>
        <w:spacing w:before="240" w:line="360" w:lineRule="auto"/>
        <w:textAlignment w:val="baseline"/>
        <w:rPr>
          <w:rFonts w:ascii="Arial" w:eastAsia="Aptos" w:hAnsi="Arial" w:cs="Arial"/>
          <w:bCs/>
          <w:kern w:val="2"/>
          <w:lang w:eastAsia="en-US"/>
          <w14:ligatures w14:val="standardContextual"/>
        </w:rPr>
      </w:pPr>
      <w:r w:rsidRPr="004B29A7">
        <w:rPr>
          <w:rFonts w:ascii="Arial" w:eastAsia="Aptos" w:hAnsi="Arial" w:cs="Arial"/>
          <w:bCs/>
          <w:kern w:val="2"/>
          <w:lang w:eastAsia="en-US"/>
          <w14:ligatures w14:val="standardContextual"/>
        </w:rPr>
        <w:t xml:space="preserve">Majumdar </w:t>
      </w:r>
      <w:r>
        <w:rPr>
          <w:rFonts w:ascii="Arial" w:eastAsia="Aptos" w:hAnsi="Arial" w:cs="Arial"/>
          <w:bCs/>
          <w:kern w:val="2"/>
          <w:lang w:eastAsia="en-US"/>
          <w14:ligatures w14:val="standardContextual"/>
        </w:rPr>
        <w:t>(</w:t>
      </w:r>
      <w:r w:rsidRPr="004B29A7">
        <w:rPr>
          <w:rFonts w:ascii="Arial" w:eastAsia="Aptos" w:hAnsi="Arial" w:cs="Arial"/>
          <w:bCs/>
          <w:kern w:val="2"/>
          <w:lang w:eastAsia="en-US"/>
          <w14:ligatures w14:val="standardContextual"/>
        </w:rPr>
        <w:t>2022)</w:t>
      </w:r>
      <w:r>
        <w:rPr>
          <w:rFonts w:ascii="Arial" w:eastAsia="Aptos" w:hAnsi="Arial" w:cs="Arial"/>
          <w:bCs/>
          <w:kern w:val="2"/>
          <w:lang w:eastAsia="en-US"/>
          <w14:ligatures w14:val="standardContextual"/>
        </w:rPr>
        <w:t xml:space="preserve"> defines thematic analysis in secondary research as a qualitative method for systematically identifying, synthesising, and reporting patterns or themes within existing data. In this regard, </w:t>
      </w:r>
      <w:r w:rsidRPr="004B29A7">
        <w:rPr>
          <w:rFonts w:ascii="Arial" w:eastAsia="Aptos" w:hAnsi="Arial" w:cs="Arial"/>
          <w:bCs/>
          <w:kern w:val="2"/>
          <w:lang w:eastAsia="en-US"/>
          <w14:ligatures w14:val="standardContextual"/>
        </w:rPr>
        <w:t xml:space="preserve">Fife and Gossner </w:t>
      </w:r>
      <w:r>
        <w:rPr>
          <w:rFonts w:ascii="Arial" w:eastAsia="Aptos" w:hAnsi="Arial" w:cs="Arial"/>
          <w:bCs/>
          <w:kern w:val="2"/>
          <w:lang w:eastAsia="en-US"/>
          <w14:ligatures w14:val="standardContextual"/>
        </w:rPr>
        <w:t>(</w:t>
      </w:r>
      <w:r w:rsidRPr="004B29A7">
        <w:rPr>
          <w:rFonts w:ascii="Arial" w:eastAsia="Aptos" w:hAnsi="Arial" w:cs="Arial"/>
          <w:bCs/>
          <w:kern w:val="2"/>
          <w:lang w:eastAsia="en-US"/>
          <w14:ligatures w14:val="standardContextual"/>
        </w:rPr>
        <w:t>2024)</w:t>
      </w:r>
      <w:r>
        <w:rPr>
          <w:rFonts w:ascii="Arial" w:eastAsia="Aptos" w:hAnsi="Arial" w:cs="Arial"/>
          <w:bCs/>
          <w:kern w:val="2"/>
          <w:lang w:eastAsia="en-US"/>
          <w14:ligatures w14:val="standardContextual"/>
        </w:rPr>
        <w:t xml:space="preserve"> elucidate that it is widely used because it offers a theoretically free and flexible method that provides a detailed and robust yet complex analytical account of the data. It consists of multiple steps, which include </w:t>
      </w:r>
      <w:r w:rsidR="00B42232">
        <w:rPr>
          <w:rFonts w:ascii="Arial" w:eastAsia="Aptos" w:hAnsi="Arial" w:cs="Arial"/>
          <w:bCs/>
          <w:kern w:val="2"/>
          <w:lang w:eastAsia="en-US"/>
          <w14:ligatures w14:val="standardContextual"/>
        </w:rPr>
        <w:t>familiarising</w:t>
      </w:r>
      <w:r>
        <w:rPr>
          <w:rFonts w:ascii="Arial" w:eastAsia="Aptos" w:hAnsi="Arial" w:cs="Arial"/>
          <w:bCs/>
          <w:kern w:val="2"/>
          <w:lang w:eastAsia="en-US"/>
          <w14:ligatures w14:val="standardContextual"/>
        </w:rPr>
        <w:t xml:space="preserve"> with the data, formulating initial codes, exploring for themes, reviewing identified themes, naming and defining themes, and writing</w:t>
      </w:r>
      <w:r w:rsidR="00B42232">
        <w:rPr>
          <w:rFonts w:ascii="Arial" w:eastAsia="Aptos" w:hAnsi="Arial" w:cs="Arial"/>
          <w:bCs/>
          <w:kern w:val="2"/>
          <w:lang w:eastAsia="en-US"/>
          <w14:ligatures w14:val="standardContextual"/>
        </w:rPr>
        <w:t xml:space="preserve"> </w:t>
      </w:r>
      <w:r w:rsidR="00B42232" w:rsidRPr="00B42232">
        <w:rPr>
          <w:rFonts w:ascii="Arial" w:eastAsia="Aptos" w:hAnsi="Arial" w:cs="Arial"/>
          <w:bCs/>
          <w:kern w:val="2"/>
          <w:lang w:eastAsia="en-US"/>
          <w14:ligatures w14:val="standardContextual"/>
        </w:rPr>
        <w:t>(Lin, 2018)</w:t>
      </w:r>
      <w:r w:rsidR="00B42232">
        <w:rPr>
          <w:rFonts w:ascii="Arial" w:eastAsia="Aptos" w:hAnsi="Arial" w:cs="Arial"/>
          <w:bCs/>
          <w:kern w:val="2"/>
          <w:lang w:eastAsia="en-US"/>
          <w14:ligatures w14:val="standardContextual"/>
        </w:rPr>
        <w:t xml:space="preserve">. </w:t>
      </w:r>
    </w:p>
    <w:p w14:paraId="5A785884" w14:textId="0593D7A9" w:rsidR="00361810" w:rsidRDefault="00B42232" w:rsidP="00D449EF">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 xml:space="preserve">For this </w:t>
      </w:r>
      <w:proofErr w:type="gramStart"/>
      <w:r>
        <w:rPr>
          <w:rFonts w:ascii="Arial" w:eastAsia="Aptos" w:hAnsi="Arial" w:cs="Arial"/>
          <w:bCs/>
          <w:kern w:val="2"/>
          <w:lang w:eastAsia="en-US"/>
          <w14:ligatures w14:val="standardContextual"/>
        </w:rPr>
        <w:t>particular study</w:t>
      </w:r>
      <w:proofErr w:type="gramEnd"/>
      <w:r>
        <w:rPr>
          <w:rFonts w:ascii="Arial" w:eastAsia="Aptos" w:hAnsi="Arial" w:cs="Arial"/>
          <w:bCs/>
          <w:kern w:val="2"/>
          <w:lang w:eastAsia="en-US"/>
          <w14:ligatures w14:val="standardContextual"/>
        </w:rPr>
        <w:t>, t</w:t>
      </w:r>
      <w:r w:rsidRPr="00CB0435">
        <w:rPr>
          <w:rFonts w:ascii="Arial" w:eastAsia="Aptos" w:hAnsi="Arial" w:cs="Arial"/>
          <w:bCs/>
          <w:kern w:val="2"/>
          <w:lang w:eastAsia="en-US"/>
          <w14:ligatures w14:val="standardContextual"/>
        </w:rPr>
        <w:t>his entailed meticulously following the six-phase thematic analysis postulated by Braun and Clarke (Ahmed et al. 2025). The analysis began with a detailed reading of each source, during which initial codes were generated by highlighting recurring keywords, concepts, and findings.</w:t>
      </w:r>
      <w:r w:rsidR="00361810">
        <w:rPr>
          <w:rFonts w:ascii="Arial" w:eastAsia="Aptos" w:hAnsi="Arial" w:cs="Arial"/>
          <w:bCs/>
          <w:kern w:val="2"/>
          <w:lang w:eastAsia="en-US"/>
          <w14:ligatures w14:val="standardContextual"/>
        </w:rPr>
        <w:t xml:space="preserve"> </w:t>
      </w:r>
      <w:r w:rsidR="00361810" w:rsidRPr="00CB0435">
        <w:rPr>
          <w:rFonts w:ascii="Arial" w:eastAsia="Aptos" w:hAnsi="Arial" w:cs="Arial"/>
          <w:bCs/>
          <w:kern w:val="2"/>
          <w:lang w:eastAsia="en-US"/>
          <w14:ligatures w14:val="standardContextual"/>
        </w:rPr>
        <w:t xml:space="preserve">These codes were then reviewed and grouped together to form broader, overarching themes that directly addressed the research objectives. For instance, codes such as "anxiety," "insomnia," and "PTSD" were grouped under the </w:t>
      </w:r>
      <w:r w:rsidR="00361810">
        <w:rPr>
          <w:rFonts w:ascii="Arial" w:eastAsia="Aptos" w:hAnsi="Arial" w:cs="Arial"/>
          <w:bCs/>
          <w:kern w:val="2"/>
          <w:lang w:eastAsia="en-US"/>
          <w14:ligatures w14:val="standardContextual"/>
        </w:rPr>
        <w:t xml:space="preserve">first </w:t>
      </w:r>
      <w:r w:rsidR="00361810" w:rsidRPr="00CB0435">
        <w:rPr>
          <w:rFonts w:ascii="Arial" w:eastAsia="Aptos" w:hAnsi="Arial" w:cs="Arial"/>
          <w:bCs/>
          <w:kern w:val="2"/>
          <w:lang w:eastAsia="en-US"/>
          <w14:ligatures w14:val="standardContextual"/>
        </w:rPr>
        <w:t>theme</w:t>
      </w:r>
      <w:r w:rsidR="00361810">
        <w:rPr>
          <w:rFonts w:ascii="Arial" w:eastAsia="Aptos" w:hAnsi="Arial" w:cs="Arial"/>
          <w:bCs/>
          <w:kern w:val="2"/>
          <w:lang w:eastAsia="en-US"/>
          <w14:ligatures w14:val="standardContextual"/>
        </w:rPr>
        <w:t xml:space="preserve"> titled</w:t>
      </w:r>
      <w:r w:rsidR="00361810" w:rsidRPr="00CB0435">
        <w:rPr>
          <w:rFonts w:ascii="Arial" w:eastAsia="Aptos" w:hAnsi="Arial" w:cs="Arial"/>
          <w:bCs/>
          <w:kern w:val="2"/>
          <w:lang w:eastAsia="en-US"/>
          <w14:ligatures w14:val="standardContextual"/>
        </w:rPr>
        <w:t xml:space="preserve"> "Prevalence of Mental Health Difficulties." </w:t>
      </w:r>
      <w:r w:rsidR="00361810">
        <w:rPr>
          <w:rFonts w:ascii="Arial" w:eastAsia="Aptos" w:hAnsi="Arial" w:cs="Arial"/>
          <w:bCs/>
          <w:kern w:val="2"/>
          <w:lang w:eastAsia="en-US"/>
          <w14:ligatures w14:val="standardContextual"/>
        </w:rPr>
        <w:t>The second theme titled “Coping Strategies Utilised by Healthcare Workers to Manage Pandemic-related Stress” was developed from codes such as “adaptive” and “maladaptive.” The final theme, “Effectiveness and Success Factors of the Coping Strategies Adopted”, consisted of a critical review of the information obtained throughout the study</w:t>
      </w:r>
      <w:r w:rsidR="008C307B">
        <w:rPr>
          <w:rFonts w:ascii="Arial" w:eastAsia="Aptos" w:hAnsi="Arial" w:cs="Arial"/>
          <w:bCs/>
          <w:kern w:val="2"/>
          <w:lang w:eastAsia="en-US"/>
          <w14:ligatures w14:val="standardContextual"/>
        </w:rPr>
        <w:t xml:space="preserve"> and encapsulated the overreaching aim of this research. A detailed discussion of each of these themes is presented in the subsequent sections.</w:t>
      </w:r>
    </w:p>
    <w:p w14:paraId="7C15347C" w14:textId="302D6A32"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4" w:name="_Toc223453154"/>
      <w:r w:rsidRPr="001B20A3">
        <w:rPr>
          <w:rFonts w:ascii="Arial" w:eastAsiaTheme="majorEastAsia" w:hAnsi="Arial" w:cs="Arial"/>
          <w:b/>
          <w:bCs/>
          <w:color w:val="0F4761"/>
          <w:kern w:val="2"/>
          <w:lang w:eastAsia="zh-CN"/>
          <w14:ligatures w14:val="standardContextual"/>
        </w:rPr>
        <w:t>4.3 Theme 1:</w:t>
      </w:r>
      <w:r w:rsidR="00A33605" w:rsidRPr="001B20A3">
        <w:rPr>
          <w:rFonts w:ascii="Arial" w:eastAsiaTheme="majorEastAsia" w:hAnsi="Arial" w:cs="Arial"/>
          <w:b/>
          <w:bCs/>
          <w:color w:val="0F4761"/>
          <w:kern w:val="2"/>
          <w:lang w:eastAsia="zh-CN"/>
          <w14:ligatures w14:val="standardContextual"/>
        </w:rPr>
        <w:t xml:space="preserve"> Prevalence of Mental Health Difficulties</w:t>
      </w:r>
      <w:bookmarkEnd w:id="44"/>
    </w:p>
    <w:p w14:paraId="784BF953" w14:textId="1288671A" w:rsidR="0084115F" w:rsidRPr="0084115F" w:rsidRDefault="0084115F" w:rsidP="0084115F">
      <w:pPr>
        <w:spacing w:before="240" w:line="360" w:lineRule="auto"/>
        <w:textAlignment w:val="baseline"/>
        <w:rPr>
          <w:rFonts w:ascii="Arial" w:eastAsia="Aptos" w:hAnsi="Arial" w:cs="Arial"/>
          <w:bCs/>
          <w:kern w:val="2"/>
          <w:lang w:eastAsia="en-US"/>
          <w14:ligatures w14:val="standardContextual"/>
        </w:rPr>
      </w:pPr>
      <w:r w:rsidRPr="0084115F">
        <w:rPr>
          <w:rFonts w:ascii="Arial" w:eastAsia="Aptos" w:hAnsi="Arial" w:cs="Arial"/>
          <w:bCs/>
          <w:kern w:val="2"/>
          <w:lang w:eastAsia="en-US"/>
          <w14:ligatures w14:val="standardContextual"/>
        </w:rPr>
        <w:t xml:space="preserve">In the context of this research, </w:t>
      </w:r>
      <w:r w:rsidR="005B1D5A">
        <w:rPr>
          <w:rFonts w:ascii="Arial" w:eastAsia="Aptos" w:hAnsi="Arial" w:cs="Arial"/>
          <w:bCs/>
          <w:kern w:val="2"/>
          <w:lang w:eastAsia="en-US"/>
          <w14:ligatures w14:val="standardContextual"/>
        </w:rPr>
        <w:t>this theme</w:t>
      </w:r>
      <w:r w:rsidRPr="0084115F">
        <w:rPr>
          <w:rFonts w:ascii="Arial" w:eastAsia="Aptos" w:hAnsi="Arial" w:cs="Arial"/>
          <w:bCs/>
          <w:kern w:val="2"/>
          <w:lang w:eastAsia="en-US"/>
          <w14:ligatures w14:val="standardContextual"/>
        </w:rPr>
        <w:t xml:space="preserve"> quantifies the extent to which UK healthcare workers experienced conditions such as depression, anxiety, and</w:t>
      </w:r>
      <w:r w:rsidR="0012398F">
        <w:rPr>
          <w:rFonts w:ascii="Arial" w:eastAsia="Aptos" w:hAnsi="Arial" w:cs="Arial"/>
          <w:bCs/>
          <w:kern w:val="2"/>
          <w:lang w:eastAsia="en-US"/>
          <w14:ligatures w14:val="standardContextual"/>
        </w:rPr>
        <w:t xml:space="preserve"> </w:t>
      </w:r>
      <w:r w:rsidRPr="0084115F">
        <w:rPr>
          <w:rFonts w:ascii="Arial" w:eastAsia="Aptos" w:hAnsi="Arial" w:cs="Arial"/>
          <w:bCs/>
          <w:kern w:val="2"/>
          <w:lang w:eastAsia="en-US"/>
          <w14:ligatures w14:val="standardContextual"/>
        </w:rPr>
        <w:t xml:space="preserve">PTSD </w:t>
      </w:r>
      <w:r w:rsidR="00644375" w:rsidRPr="0084115F">
        <w:rPr>
          <w:rFonts w:ascii="Arial" w:eastAsia="Aptos" w:hAnsi="Arial" w:cs="Arial"/>
          <w:bCs/>
          <w:kern w:val="2"/>
          <w:lang w:eastAsia="en-US"/>
          <w14:ligatures w14:val="standardContextual"/>
        </w:rPr>
        <w:t>because of</w:t>
      </w:r>
      <w:r w:rsidRPr="0084115F">
        <w:rPr>
          <w:rFonts w:ascii="Arial" w:eastAsia="Aptos" w:hAnsi="Arial" w:cs="Arial"/>
          <w:bCs/>
          <w:kern w:val="2"/>
          <w:lang w:eastAsia="en-US"/>
          <w14:ligatures w14:val="standardContextual"/>
        </w:rPr>
        <w:t xml:space="preserve"> their work during the COVID-19 pandemic. Key terminology within this theme includes 'screening tools'</w:t>
      </w:r>
      <w:r w:rsidR="0012398F">
        <w:rPr>
          <w:rFonts w:ascii="Arial" w:eastAsia="Aptos" w:hAnsi="Arial" w:cs="Arial"/>
          <w:bCs/>
          <w:kern w:val="2"/>
          <w:lang w:eastAsia="en-US"/>
          <w14:ligatures w14:val="standardContextual"/>
        </w:rPr>
        <w:t xml:space="preserve">, which refer to the </w:t>
      </w:r>
      <w:r w:rsidRPr="0084115F">
        <w:rPr>
          <w:rFonts w:ascii="Arial" w:eastAsia="Aptos" w:hAnsi="Arial" w:cs="Arial"/>
          <w:bCs/>
          <w:kern w:val="2"/>
          <w:lang w:eastAsia="en-US"/>
          <w14:ligatures w14:val="standardContextual"/>
        </w:rPr>
        <w:t>brief, self-report questionnaires designed to identify individuals with probable mental health conditions based on symptom scores</w:t>
      </w:r>
      <w:r w:rsidR="0012398F">
        <w:rPr>
          <w:rFonts w:ascii="Arial" w:eastAsia="Aptos" w:hAnsi="Arial" w:cs="Arial"/>
          <w:bCs/>
          <w:kern w:val="2"/>
          <w:lang w:eastAsia="en-US"/>
          <w14:ligatures w14:val="standardContextual"/>
        </w:rPr>
        <w:t xml:space="preserve">, </w:t>
      </w:r>
      <w:r w:rsidRPr="0084115F">
        <w:rPr>
          <w:rFonts w:ascii="Arial" w:eastAsia="Aptos" w:hAnsi="Arial" w:cs="Arial"/>
          <w:bCs/>
          <w:kern w:val="2"/>
          <w:lang w:eastAsia="en-US"/>
          <w14:ligatures w14:val="standardContextual"/>
        </w:rPr>
        <w:t>and 'diagnostic interviews'</w:t>
      </w:r>
      <w:r w:rsidR="0012398F">
        <w:rPr>
          <w:rFonts w:ascii="Arial" w:eastAsia="Aptos" w:hAnsi="Arial" w:cs="Arial"/>
          <w:bCs/>
          <w:kern w:val="2"/>
          <w:lang w:eastAsia="en-US"/>
          <w14:ligatures w14:val="standardContextual"/>
        </w:rPr>
        <w:t xml:space="preserve">, which entail </w:t>
      </w:r>
      <w:r w:rsidRPr="0084115F">
        <w:rPr>
          <w:rFonts w:ascii="Arial" w:eastAsia="Aptos" w:hAnsi="Arial" w:cs="Arial"/>
          <w:bCs/>
          <w:kern w:val="2"/>
          <w:lang w:eastAsia="en-US"/>
          <w14:ligatures w14:val="standardContextual"/>
        </w:rPr>
        <w:t>comprehensive, clinician-administered assessments that confirm the presence of a disorder according to established criteria like the DSM-5 or ICD-10</w:t>
      </w:r>
      <w:r w:rsidR="0012398F">
        <w:rPr>
          <w:rFonts w:ascii="Arial" w:eastAsia="Aptos" w:hAnsi="Arial" w:cs="Arial"/>
          <w:bCs/>
          <w:kern w:val="2"/>
          <w:lang w:eastAsia="en-US"/>
          <w14:ligatures w14:val="standardContextual"/>
        </w:rPr>
        <w:t xml:space="preserve"> </w:t>
      </w:r>
      <w:r w:rsidR="0012398F" w:rsidRPr="0012398F">
        <w:rPr>
          <w:rFonts w:ascii="Arial" w:eastAsia="Aptos" w:hAnsi="Arial" w:cs="Arial"/>
          <w:bCs/>
          <w:kern w:val="2"/>
          <w:lang w:eastAsia="en-US"/>
          <w14:ligatures w14:val="standardContextual"/>
        </w:rPr>
        <w:t>(</w:t>
      </w:r>
      <w:proofErr w:type="spellStart"/>
      <w:r w:rsidR="0012398F" w:rsidRPr="0012398F">
        <w:rPr>
          <w:rFonts w:ascii="Arial" w:eastAsia="Aptos" w:hAnsi="Arial" w:cs="Arial"/>
          <w:bCs/>
          <w:kern w:val="2"/>
          <w:lang w:eastAsia="en-US"/>
          <w14:ligatures w14:val="standardContextual"/>
        </w:rPr>
        <w:t>Umbetkulova</w:t>
      </w:r>
      <w:proofErr w:type="spellEnd"/>
      <w:r w:rsidR="0012398F" w:rsidRPr="0012398F">
        <w:rPr>
          <w:rFonts w:ascii="Arial" w:eastAsia="Aptos" w:hAnsi="Arial" w:cs="Arial"/>
          <w:bCs/>
          <w:kern w:val="2"/>
          <w:lang w:eastAsia="en-US"/>
          <w14:ligatures w14:val="standardContextual"/>
        </w:rPr>
        <w:t> </w:t>
      </w:r>
      <w:r w:rsidR="0012398F" w:rsidRPr="0012398F">
        <w:rPr>
          <w:rFonts w:ascii="Arial" w:eastAsia="Aptos" w:hAnsi="Arial" w:cs="Arial"/>
          <w:bCs/>
          <w:i/>
          <w:iCs/>
          <w:kern w:val="2"/>
          <w:lang w:eastAsia="en-US"/>
          <w14:ligatures w14:val="standardContextual"/>
        </w:rPr>
        <w:t>et al.</w:t>
      </w:r>
      <w:r w:rsidR="0012398F" w:rsidRPr="0012398F">
        <w:rPr>
          <w:rFonts w:ascii="Arial" w:eastAsia="Aptos" w:hAnsi="Arial" w:cs="Arial"/>
          <w:bCs/>
          <w:kern w:val="2"/>
          <w:lang w:eastAsia="en-US"/>
          <w14:ligatures w14:val="standardContextual"/>
        </w:rPr>
        <w:t>, 2023)</w:t>
      </w:r>
      <w:r w:rsidRPr="0084115F">
        <w:rPr>
          <w:rFonts w:ascii="Arial" w:eastAsia="Aptos" w:hAnsi="Arial" w:cs="Arial"/>
          <w:bCs/>
          <w:kern w:val="2"/>
          <w:lang w:eastAsia="en-US"/>
          <w14:ligatures w14:val="standardContextual"/>
        </w:rPr>
        <w:t xml:space="preserve">. </w:t>
      </w:r>
    </w:p>
    <w:p w14:paraId="4DDB16AE" w14:textId="77C71746" w:rsidR="0084115F" w:rsidRPr="0084115F" w:rsidRDefault="0084115F" w:rsidP="0084115F">
      <w:pPr>
        <w:spacing w:before="240" w:line="360" w:lineRule="auto"/>
        <w:textAlignment w:val="baseline"/>
        <w:rPr>
          <w:rFonts w:ascii="Arial" w:eastAsia="Aptos" w:hAnsi="Arial" w:cs="Arial"/>
          <w:bCs/>
          <w:kern w:val="2"/>
          <w:lang w:eastAsia="en-US"/>
          <w14:ligatures w14:val="standardContextual"/>
        </w:rPr>
      </w:pPr>
      <w:r w:rsidRPr="0084115F">
        <w:rPr>
          <w:rFonts w:ascii="Arial" w:eastAsia="Aptos" w:hAnsi="Arial" w:cs="Arial"/>
          <w:bCs/>
          <w:kern w:val="2"/>
          <w:lang w:eastAsia="en-US"/>
          <w14:ligatures w14:val="standardContextual"/>
        </w:rPr>
        <w:t xml:space="preserve">Historically, </w:t>
      </w:r>
      <w:proofErr w:type="spellStart"/>
      <w:r w:rsidR="0012398F" w:rsidRPr="0012398F">
        <w:rPr>
          <w:rFonts w:ascii="Arial" w:eastAsia="Aptos" w:hAnsi="Arial" w:cs="Arial"/>
          <w:bCs/>
          <w:kern w:val="2"/>
          <w:lang w:eastAsia="en-US"/>
          <w14:ligatures w14:val="standardContextual"/>
        </w:rPr>
        <w:t>Umbetkulova</w:t>
      </w:r>
      <w:proofErr w:type="spellEnd"/>
      <w:r w:rsidR="0012398F" w:rsidRPr="0012398F">
        <w:rPr>
          <w:rFonts w:ascii="Arial" w:eastAsia="Aptos" w:hAnsi="Arial" w:cs="Arial"/>
          <w:bCs/>
          <w:kern w:val="2"/>
          <w:lang w:eastAsia="en-US"/>
          <w14:ligatures w14:val="standardContextual"/>
        </w:rPr>
        <w:t> </w:t>
      </w:r>
      <w:r w:rsidR="0012398F" w:rsidRPr="0012398F">
        <w:rPr>
          <w:rFonts w:ascii="Arial" w:eastAsia="Aptos" w:hAnsi="Arial" w:cs="Arial"/>
          <w:bCs/>
          <w:i/>
          <w:iCs/>
          <w:kern w:val="2"/>
          <w:lang w:eastAsia="en-US"/>
          <w14:ligatures w14:val="standardContextual"/>
        </w:rPr>
        <w:t>et al.</w:t>
      </w:r>
      <w:r w:rsidR="0012398F" w:rsidRPr="0012398F">
        <w:rPr>
          <w:rFonts w:ascii="Arial" w:eastAsia="Aptos" w:hAnsi="Arial" w:cs="Arial"/>
          <w:bCs/>
          <w:kern w:val="2"/>
          <w:lang w:eastAsia="en-US"/>
          <w14:ligatures w14:val="standardContextual"/>
        </w:rPr>
        <w:t xml:space="preserve"> </w:t>
      </w:r>
      <w:r w:rsidR="0012398F">
        <w:rPr>
          <w:rFonts w:ascii="Arial" w:eastAsia="Aptos" w:hAnsi="Arial" w:cs="Arial"/>
          <w:bCs/>
          <w:kern w:val="2"/>
          <w:lang w:eastAsia="en-US"/>
          <w14:ligatures w14:val="standardContextual"/>
        </w:rPr>
        <w:t>(</w:t>
      </w:r>
      <w:r w:rsidR="0012398F" w:rsidRPr="0012398F">
        <w:rPr>
          <w:rFonts w:ascii="Arial" w:eastAsia="Aptos" w:hAnsi="Arial" w:cs="Arial"/>
          <w:bCs/>
          <w:kern w:val="2"/>
          <w:lang w:eastAsia="en-US"/>
          <w14:ligatures w14:val="standardContextual"/>
        </w:rPr>
        <w:t>2023)</w:t>
      </w:r>
      <w:r w:rsidR="0012398F">
        <w:rPr>
          <w:rFonts w:ascii="Arial" w:eastAsia="Aptos" w:hAnsi="Arial" w:cs="Arial"/>
          <w:bCs/>
          <w:kern w:val="2"/>
          <w:lang w:eastAsia="en-US"/>
          <w14:ligatures w14:val="standardContextual"/>
        </w:rPr>
        <w:t xml:space="preserve"> elucidate that </w:t>
      </w:r>
      <w:r w:rsidRPr="0084115F">
        <w:rPr>
          <w:rFonts w:ascii="Arial" w:eastAsia="Aptos" w:hAnsi="Arial" w:cs="Arial"/>
          <w:bCs/>
          <w:kern w:val="2"/>
          <w:lang w:eastAsia="en-US"/>
          <w14:ligatures w14:val="standardContextual"/>
        </w:rPr>
        <w:t>healthcare workers have been recognised as an occupational group at elevated risk for mental health difficulties due to chronic exposure to stress, trauma, and moral adversity. Prior to COVID-19, research on outbreaks such as SARS and H1N1 had already documented significant psychological morbidity among frontline staff, including anxiety, depression, and burnout</w:t>
      </w:r>
      <w:r w:rsidR="0012398F">
        <w:rPr>
          <w:rFonts w:ascii="Arial" w:eastAsia="Aptos" w:hAnsi="Arial" w:cs="Arial"/>
          <w:bCs/>
          <w:kern w:val="2"/>
          <w:lang w:eastAsia="en-US"/>
          <w14:ligatures w14:val="standardContextual"/>
        </w:rPr>
        <w:t xml:space="preserve"> </w:t>
      </w:r>
      <w:r w:rsidR="0012398F" w:rsidRPr="0012398F">
        <w:rPr>
          <w:rFonts w:ascii="Arial" w:eastAsia="Aptos" w:hAnsi="Arial" w:cs="Arial"/>
          <w:bCs/>
          <w:kern w:val="2"/>
          <w:lang w:eastAsia="en-US"/>
          <w14:ligatures w14:val="standardContextual"/>
        </w:rPr>
        <w:t>(Choudhury </w:t>
      </w:r>
      <w:r w:rsidR="0012398F" w:rsidRPr="0012398F">
        <w:rPr>
          <w:rFonts w:ascii="Arial" w:eastAsia="Aptos" w:hAnsi="Arial" w:cs="Arial"/>
          <w:bCs/>
          <w:i/>
          <w:iCs/>
          <w:kern w:val="2"/>
          <w:lang w:eastAsia="en-US"/>
          <w14:ligatures w14:val="standardContextual"/>
        </w:rPr>
        <w:t>et al.</w:t>
      </w:r>
      <w:r w:rsidR="0012398F" w:rsidRPr="0012398F">
        <w:rPr>
          <w:rFonts w:ascii="Arial" w:eastAsia="Aptos" w:hAnsi="Arial" w:cs="Arial"/>
          <w:bCs/>
          <w:kern w:val="2"/>
          <w:lang w:eastAsia="en-US"/>
          <w14:ligatures w14:val="standardContextual"/>
        </w:rPr>
        <w:t>, 2020)</w:t>
      </w:r>
      <w:r w:rsidRPr="0084115F">
        <w:rPr>
          <w:rFonts w:ascii="Arial" w:eastAsia="Aptos" w:hAnsi="Arial" w:cs="Arial"/>
          <w:bCs/>
          <w:kern w:val="2"/>
          <w:lang w:eastAsia="en-US"/>
          <w14:ligatures w14:val="standardContextual"/>
        </w:rPr>
        <w:t>.</w:t>
      </w:r>
      <w:r w:rsidR="0012398F">
        <w:rPr>
          <w:rFonts w:ascii="Arial" w:eastAsia="Aptos" w:hAnsi="Arial" w:cs="Arial"/>
          <w:bCs/>
          <w:kern w:val="2"/>
          <w:lang w:eastAsia="en-US"/>
          <w14:ligatures w14:val="standardContextual"/>
        </w:rPr>
        <w:t xml:space="preserve"> However,</w:t>
      </w:r>
      <w:r w:rsidRPr="0084115F">
        <w:rPr>
          <w:rFonts w:ascii="Arial" w:eastAsia="Aptos" w:hAnsi="Arial" w:cs="Arial"/>
          <w:bCs/>
          <w:kern w:val="2"/>
          <w:lang w:eastAsia="en-US"/>
          <w14:ligatures w14:val="standardContextual"/>
        </w:rPr>
        <w:t xml:space="preserve"> </w:t>
      </w:r>
      <w:r w:rsidR="0012398F">
        <w:rPr>
          <w:rFonts w:ascii="Arial" w:eastAsia="Aptos" w:hAnsi="Arial" w:cs="Arial"/>
          <w:bCs/>
          <w:kern w:val="2"/>
          <w:lang w:eastAsia="en-US"/>
          <w14:ligatures w14:val="standardContextual"/>
        </w:rPr>
        <w:t>t</w:t>
      </w:r>
      <w:r w:rsidRPr="0084115F">
        <w:rPr>
          <w:rFonts w:ascii="Arial" w:eastAsia="Aptos" w:hAnsi="Arial" w:cs="Arial"/>
          <w:bCs/>
          <w:kern w:val="2"/>
          <w:lang w:eastAsia="en-US"/>
          <w14:ligatures w14:val="standardContextual"/>
        </w:rPr>
        <w:t>he COVID-19 pandemic, presented an unprecedented convergence of stressors</w:t>
      </w:r>
      <w:r w:rsidR="0012398F">
        <w:rPr>
          <w:rFonts w:ascii="Arial" w:eastAsia="Aptos" w:hAnsi="Arial" w:cs="Arial"/>
          <w:bCs/>
          <w:kern w:val="2"/>
          <w:lang w:eastAsia="en-US"/>
          <w14:ligatures w14:val="standardContextual"/>
        </w:rPr>
        <w:t xml:space="preserve"> including</w:t>
      </w:r>
      <w:r w:rsidRPr="0084115F">
        <w:rPr>
          <w:rFonts w:ascii="Arial" w:eastAsia="Aptos" w:hAnsi="Arial" w:cs="Arial"/>
          <w:bCs/>
          <w:kern w:val="2"/>
          <w:lang w:eastAsia="en-US"/>
          <w14:ligatures w14:val="standardContextual"/>
        </w:rPr>
        <w:t xml:space="preserve"> overwhelming patient volumes, high mortality rates, inadequate personal protective equipment, constant fear of infection, and the moral </w:t>
      </w:r>
      <w:r w:rsidR="005B365B">
        <w:rPr>
          <w:rFonts w:ascii="Arial" w:eastAsia="Aptos" w:hAnsi="Arial" w:cs="Arial"/>
          <w:bCs/>
          <w:kern w:val="2"/>
          <w:lang w:eastAsia="en-US"/>
          <w14:ligatures w14:val="standardContextual"/>
        </w:rPr>
        <w:t>challenge</w:t>
      </w:r>
      <w:r w:rsidRPr="0084115F">
        <w:rPr>
          <w:rFonts w:ascii="Arial" w:eastAsia="Aptos" w:hAnsi="Arial" w:cs="Arial"/>
          <w:bCs/>
          <w:kern w:val="2"/>
          <w:lang w:eastAsia="en-US"/>
          <w14:ligatures w14:val="standardContextual"/>
        </w:rPr>
        <w:t xml:space="preserve"> of making triage decisions</w:t>
      </w:r>
      <w:r w:rsidR="009722C7">
        <w:rPr>
          <w:rFonts w:ascii="Arial" w:eastAsia="Aptos" w:hAnsi="Arial" w:cs="Arial"/>
          <w:bCs/>
          <w:kern w:val="2"/>
          <w:lang w:eastAsia="en-US"/>
          <w14:ligatures w14:val="standardContextual"/>
        </w:rPr>
        <w:t xml:space="preserve"> </w:t>
      </w:r>
      <w:r w:rsidR="009722C7" w:rsidRPr="00D449EF">
        <w:rPr>
          <w:rFonts w:ascii="Arial" w:eastAsia="Aptos" w:hAnsi="Arial" w:cs="Arial"/>
          <w:bCs/>
          <w:kern w:val="2"/>
          <w:lang w:eastAsia="en-US"/>
          <w14:ligatures w14:val="standardContextual"/>
        </w:rPr>
        <w:t>(</w:t>
      </w:r>
      <w:proofErr w:type="spellStart"/>
      <w:r w:rsidR="009722C7" w:rsidRPr="00D449EF">
        <w:rPr>
          <w:rFonts w:ascii="Arial" w:eastAsia="Aptos" w:hAnsi="Arial" w:cs="Arial"/>
          <w:bCs/>
          <w:kern w:val="2"/>
          <w:lang w:eastAsia="en-US"/>
          <w14:ligatures w14:val="standardContextual"/>
        </w:rPr>
        <w:t>Llop-Gironés</w:t>
      </w:r>
      <w:proofErr w:type="spellEnd"/>
      <w:r w:rsidR="009722C7" w:rsidRPr="00D449EF">
        <w:rPr>
          <w:rFonts w:ascii="Arial" w:eastAsia="Aptos" w:hAnsi="Arial" w:cs="Arial"/>
          <w:bCs/>
          <w:kern w:val="2"/>
          <w:lang w:eastAsia="en-US"/>
          <w14:ligatures w14:val="standardContextual"/>
        </w:rPr>
        <w:t> et al., 2021)</w:t>
      </w:r>
      <w:r w:rsidRPr="0084115F">
        <w:rPr>
          <w:rFonts w:ascii="Arial" w:eastAsia="Aptos" w:hAnsi="Arial" w:cs="Arial"/>
          <w:bCs/>
          <w:kern w:val="2"/>
          <w:lang w:eastAsia="en-US"/>
          <w14:ligatures w14:val="standardContextual"/>
        </w:rPr>
        <w:t xml:space="preserve">. This context intensified concerns about a parallel </w:t>
      </w:r>
      <w:r w:rsidR="005B365B">
        <w:rPr>
          <w:rFonts w:ascii="Arial" w:eastAsia="Aptos" w:hAnsi="Arial" w:cs="Arial"/>
          <w:bCs/>
          <w:kern w:val="2"/>
          <w:lang w:eastAsia="en-US"/>
          <w14:ligatures w14:val="standardContextual"/>
        </w:rPr>
        <w:t>pandemic</w:t>
      </w:r>
      <w:r w:rsidRPr="0084115F">
        <w:rPr>
          <w:rFonts w:ascii="Arial" w:eastAsia="Aptos" w:hAnsi="Arial" w:cs="Arial"/>
          <w:bCs/>
          <w:kern w:val="2"/>
          <w:lang w:eastAsia="en-US"/>
          <w14:ligatures w14:val="standardContextual"/>
        </w:rPr>
        <w:t xml:space="preserve"> of mental health crises among healthcare workers</w:t>
      </w:r>
      <w:r w:rsidR="009722C7">
        <w:rPr>
          <w:rFonts w:ascii="Arial" w:eastAsia="Aptos" w:hAnsi="Arial" w:cs="Arial"/>
          <w:bCs/>
          <w:kern w:val="2"/>
          <w:lang w:eastAsia="en-US"/>
          <w14:ligatures w14:val="standardContextual"/>
        </w:rPr>
        <w:t xml:space="preserve"> and</w:t>
      </w:r>
      <w:r w:rsidRPr="0084115F">
        <w:rPr>
          <w:rFonts w:ascii="Arial" w:eastAsia="Aptos" w:hAnsi="Arial" w:cs="Arial"/>
          <w:bCs/>
          <w:kern w:val="2"/>
          <w:lang w:eastAsia="en-US"/>
          <w14:ligatures w14:val="standardContextual"/>
        </w:rPr>
        <w:t xml:space="preserve"> prompt</w:t>
      </w:r>
      <w:r w:rsidR="009722C7">
        <w:rPr>
          <w:rFonts w:ascii="Arial" w:eastAsia="Aptos" w:hAnsi="Arial" w:cs="Arial"/>
          <w:bCs/>
          <w:kern w:val="2"/>
          <w:lang w:eastAsia="en-US"/>
          <w14:ligatures w14:val="standardContextual"/>
        </w:rPr>
        <w:t>ed</w:t>
      </w:r>
      <w:r w:rsidRPr="0084115F">
        <w:rPr>
          <w:rFonts w:ascii="Arial" w:eastAsia="Aptos" w:hAnsi="Arial" w:cs="Arial"/>
          <w:bCs/>
          <w:kern w:val="2"/>
          <w:lang w:eastAsia="en-US"/>
          <w14:ligatures w14:val="standardContextual"/>
        </w:rPr>
        <w:t xml:space="preserve"> a surge of research aimed at quantifying the scale of the problem to inform support strategies</w:t>
      </w:r>
      <w:r w:rsidR="009722C7">
        <w:rPr>
          <w:rFonts w:ascii="Arial" w:eastAsia="Aptos" w:hAnsi="Arial" w:cs="Arial"/>
          <w:bCs/>
          <w:kern w:val="2"/>
          <w:lang w:eastAsia="en-US"/>
          <w14:ligatures w14:val="standardContextual"/>
        </w:rPr>
        <w:t xml:space="preserve"> </w:t>
      </w:r>
      <w:r w:rsidR="009722C7" w:rsidRPr="00D449EF">
        <w:rPr>
          <w:rFonts w:ascii="Arial" w:eastAsia="Aptos" w:hAnsi="Arial" w:cs="Arial"/>
          <w:bCs/>
          <w:kern w:val="2"/>
          <w:lang w:eastAsia="en-US"/>
          <w14:ligatures w14:val="standardContextual"/>
        </w:rPr>
        <w:t>(Pollock et al., 2020)</w:t>
      </w:r>
      <w:r w:rsidRPr="0084115F">
        <w:rPr>
          <w:rFonts w:ascii="Arial" w:eastAsia="Aptos" w:hAnsi="Arial" w:cs="Arial"/>
          <w:bCs/>
          <w:kern w:val="2"/>
          <w:lang w:eastAsia="en-US"/>
          <w14:ligatures w14:val="standardContextual"/>
        </w:rPr>
        <w:t>.</w:t>
      </w:r>
    </w:p>
    <w:p w14:paraId="3BD06AAC" w14:textId="3F4E9207" w:rsidR="0084115F" w:rsidRPr="0084115F" w:rsidRDefault="0084115F" w:rsidP="009722C7">
      <w:pPr>
        <w:spacing w:before="240" w:line="360" w:lineRule="auto"/>
        <w:textAlignment w:val="baseline"/>
        <w:rPr>
          <w:rFonts w:ascii="Arial" w:eastAsia="Aptos" w:hAnsi="Arial" w:cs="Arial"/>
          <w:bCs/>
          <w:kern w:val="2"/>
          <w:lang w:eastAsia="en-US"/>
          <w14:ligatures w14:val="standardContextual"/>
        </w:rPr>
      </w:pPr>
      <w:r w:rsidRPr="0084115F">
        <w:rPr>
          <w:rFonts w:ascii="Arial" w:eastAsia="Aptos" w:hAnsi="Arial" w:cs="Arial"/>
          <w:bCs/>
          <w:kern w:val="2"/>
          <w:lang w:eastAsia="en-US"/>
          <w14:ligatures w14:val="standardContextual"/>
        </w:rPr>
        <w:t>Understanding the true prevalence of mental health difficulties is foundational to this research, as it establishes the scale and nature of the problem that coping mechanisms are intended to address.</w:t>
      </w:r>
      <w:r w:rsidR="009722C7">
        <w:rPr>
          <w:rFonts w:ascii="Arial" w:eastAsia="Aptos" w:hAnsi="Arial" w:cs="Arial"/>
          <w:bCs/>
          <w:kern w:val="2"/>
          <w:lang w:eastAsia="en-US"/>
          <w14:ligatures w14:val="standardContextual"/>
        </w:rPr>
        <w:t xml:space="preserve"> </w:t>
      </w:r>
      <w:r w:rsidR="009722C7" w:rsidRPr="0012398F">
        <w:rPr>
          <w:rFonts w:ascii="Arial" w:eastAsia="Aptos" w:hAnsi="Arial" w:cs="Arial"/>
          <w:bCs/>
          <w:kern w:val="2"/>
          <w:lang w:eastAsia="en-US"/>
          <w14:ligatures w14:val="standardContextual"/>
        </w:rPr>
        <w:t>Choudhury </w:t>
      </w:r>
      <w:r w:rsidR="009722C7" w:rsidRPr="0012398F">
        <w:rPr>
          <w:rFonts w:ascii="Arial" w:eastAsia="Aptos" w:hAnsi="Arial" w:cs="Arial"/>
          <w:bCs/>
          <w:i/>
          <w:iCs/>
          <w:kern w:val="2"/>
          <w:lang w:eastAsia="en-US"/>
          <w14:ligatures w14:val="standardContextual"/>
        </w:rPr>
        <w:t>et al.</w:t>
      </w:r>
      <w:r w:rsidR="009722C7" w:rsidRPr="0012398F">
        <w:rPr>
          <w:rFonts w:ascii="Arial" w:eastAsia="Aptos" w:hAnsi="Arial" w:cs="Arial"/>
          <w:bCs/>
          <w:kern w:val="2"/>
          <w:lang w:eastAsia="en-US"/>
          <w14:ligatures w14:val="standardContextual"/>
        </w:rPr>
        <w:t xml:space="preserve"> </w:t>
      </w:r>
      <w:r w:rsidR="009722C7">
        <w:rPr>
          <w:rFonts w:ascii="Arial" w:eastAsia="Aptos" w:hAnsi="Arial" w:cs="Arial"/>
          <w:bCs/>
          <w:kern w:val="2"/>
          <w:lang w:eastAsia="en-US"/>
          <w14:ligatures w14:val="standardContextual"/>
        </w:rPr>
        <w:t>(</w:t>
      </w:r>
      <w:r w:rsidR="009722C7" w:rsidRPr="0012398F">
        <w:rPr>
          <w:rFonts w:ascii="Arial" w:eastAsia="Aptos" w:hAnsi="Arial" w:cs="Arial"/>
          <w:bCs/>
          <w:kern w:val="2"/>
          <w:lang w:eastAsia="en-US"/>
          <w14:ligatures w14:val="standardContextual"/>
        </w:rPr>
        <w:t>2020)</w:t>
      </w:r>
      <w:r w:rsidR="009722C7">
        <w:rPr>
          <w:rFonts w:ascii="Arial" w:eastAsia="Aptos" w:hAnsi="Arial" w:cs="Arial"/>
          <w:bCs/>
          <w:kern w:val="2"/>
          <w:lang w:eastAsia="en-US"/>
          <w14:ligatures w14:val="standardContextual"/>
        </w:rPr>
        <w:t xml:space="preserve"> suggest that</w:t>
      </w:r>
      <w:r w:rsidRPr="0084115F">
        <w:rPr>
          <w:rFonts w:ascii="Arial" w:eastAsia="Aptos" w:hAnsi="Arial" w:cs="Arial"/>
          <w:bCs/>
          <w:kern w:val="2"/>
          <w:lang w:eastAsia="en-US"/>
          <w14:ligatures w14:val="standardContextual"/>
        </w:rPr>
        <w:t xml:space="preserve"> </w:t>
      </w:r>
      <w:r w:rsidR="009722C7">
        <w:rPr>
          <w:rFonts w:ascii="Arial" w:eastAsia="Aptos" w:hAnsi="Arial" w:cs="Arial"/>
          <w:bCs/>
          <w:kern w:val="2"/>
          <w:lang w:eastAsia="en-US"/>
          <w14:ligatures w14:val="standardContextual"/>
        </w:rPr>
        <w:t>i</w:t>
      </w:r>
      <w:r w:rsidRPr="0084115F">
        <w:rPr>
          <w:rFonts w:ascii="Arial" w:eastAsia="Aptos" w:hAnsi="Arial" w:cs="Arial"/>
          <w:bCs/>
          <w:kern w:val="2"/>
          <w:lang w:eastAsia="en-US"/>
          <w14:ligatures w14:val="standardContextual"/>
        </w:rPr>
        <w:t>f prevalence is overestimated, resources risk being misdirected towards over-intervention</w:t>
      </w:r>
      <w:r w:rsidR="009722C7">
        <w:rPr>
          <w:rFonts w:ascii="Arial" w:eastAsia="Aptos" w:hAnsi="Arial" w:cs="Arial"/>
          <w:bCs/>
          <w:kern w:val="2"/>
          <w:lang w:eastAsia="en-US"/>
          <w14:ligatures w14:val="standardContextual"/>
        </w:rPr>
        <w:t>, while</w:t>
      </w:r>
      <w:r w:rsidRPr="0084115F">
        <w:rPr>
          <w:rFonts w:ascii="Arial" w:eastAsia="Aptos" w:hAnsi="Arial" w:cs="Arial"/>
          <w:bCs/>
          <w:kern w:val="2"/>
          <w:lang w:eastAsia="en-US"/>
          <w14:ligatures w14:val="standardContextual"/>
        </w:rPr>
        <w:t xml:space="preserve"> </w:t>
      </w:r>
      <w:r w:rsidR="009722C7">
        <w:rPr>
          <w:rFonts w:ascii="Arial" w:eastAsia="Aptos" w:hAnsi="Arial" w:cs="Arial"/>
          <w:bCs/>
          <w:kern w:val="2"/>
          <w:lang w:eastAsia="en-US"/>
          <w14:ligatures w14:val="standardContextual"/>
        </w:rPr>
        <w:t>i</w:t>
      </w:r>
      <w:r w:rsidRPr="0084115F">
        <w:rPr>
          <w:rFonts w:ascii="Arial" w:eastAsia="Aptos" w:hAnsi="Arial" w:cs="Arial"/>
          <w:bCs/>
          <w:kern w:val="2"/>
          <w:lang w:eastAsia="en-US"/>
          <w14:ligatures w14:val="standardContextual"/>
        </w:rPr>
        <w:t>f underestimated, the needs of a suffering workforce may be neglected. Therefore, accurately determining prevalence directly informs the design, targeting, and evaluation of mental health support strategies</w:t>
      </w:r>
      <w:r w:rsidR="009722C7">
        <w:rPr>
          <w:rFonts w:ascii="Arial" w:eastAsia="Aptos" w:hAnsi="Arial" w:cs="Arial"/>
          <w:bCs/>
          <w:kern w:val="2"/>
          <w:lang w:eastAsia="en-US"/>
          <w14:ligatures w14:val="standardContextual"/>
        </w:rPr>
        <w:t xml:space="preserve">. </w:t>
      </w:r>
    </w:p>
    <w:p w14:paraId="45990E3E" w14:textId="7144D283" w:rsidR="0084115F" w:rsidRPr="0084115F" w:rsidRDefault="009722C7" w:rsidP="0084115F">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For this study,</w:t>
      </w:r>
      <w:r w:rsidR="0084115F" w:rsidRPr="0084115F">
        <w:rPr>
          <w:rFonts w:ascii="Arial" w:eastAsia="Aptos" w:hAnsi="Arial" w:cs="Arial"/>
          <w:bCs/>
          <w:kern w:val="2"/>
          <w:lang w:eastAsia="en-US"/>
          <w14:ligatures w14:val="standardContextual"/>
        </w:rPr>
        <w:t xml:space="preserve"> two articles provide contrasting prevalence estimates that illuminate this methodological challenge. </w:t>
      </w:r>
      <w:r w:rsidRPr="009722C7">
        <w:rPr>
          <w:rFonts w:ascii="Arial" w:eastAsia="Aptos" w:hAnsi="Arial" w:cs="Arial"/>
          <w:bCs/>
          <w:kern w:val="2"/>
          <w:lang w:eastAsia="en-US"/>
          <w14:ligatures w14:val="standardContextual"/>
        </w:rPr>
        <w:t xml:space="preserve">Dykes, Johnson and Bamford </w:t>
      </w:r>
      <w:r>
        <w:rPr>
          <w:rFonts w:ascii="Arial" w:eastAsia="Aptos" w:hAnsi="Arial" w:cs="Arial"/>
          <w:bCs/>
          <w:kern w:val="2"/>
          <w:lang w:eastAsia="en-US"/>
          <w14:ligatures w14:val="standardContextual"/>
        </w:rPr>
        <w:t>(</w:t>
      </w:r>
      <w:r w:rsidRPr="009722C7">
        <w:rPr>
          <w:rFonts w:ascii="Arial" w:eastAsia="Aptos" w:hAnsi="Arial" w:cs="Arial"/>
          <w:bCs/>
          <w:kern w:val="2"/>
          <w:lang w:eastAsia="en-US"/>
          <w14:ligatures w14:val="standardContextual"/>
        </w:rPr>
        <w:t>2021)</w:t>
      </w:r>
      <w:r w:rsidR="0084115F" w:rsidRPr="0084115F">
        <w:rPr>
          <w:rFonts w:ascii="Arial" w:eastAsia="Aptos" w:hAnsi="Arial" w:cs="Arial"/>
          <w:bCs/>
          <w:kern w:val="2"/>
          <w:lang w:eastAsia="en-US"/>
          <w14:ligatures w14:val="standardContextual"/>
        </w:rPr>
        <w:t xml:space="preserve"> used self-report screening tools </w:t>
      </w:r>
      <w:r w:rsidRPr="0084115F">
        <w:rPr>
          <w:rFonts w:ascii="Arial" w:eastAsia="Aptos" w:hAnsi="Arial" w:cs="Arial"/>
          <w:bCs/>
          <w:kern w:val="2"/>
          <w:lang w:eastAsia="en-US"/>
          <w14:ligatures w14:val="standardContextual"/>
        </w:rPr>
        <w:t xml:space="preserve">in their single-centre study of intensive care workers </w:t>
      </w:r>
      <w:r w:rsidR="0084115F" w:rsidRPr="0084115F">
        <w:rPr>
          <w:rFonts w:ascii="Arial" w:eastAsia="Aptos" w:hAnsi="Arial" w:cs="Arial"/>
          <w:bCs/>
          <w:kern w:val="2"/>
          <w:lang w:eastAsia="en-US"/>
          <w14:ligatures w14:val="standardContextual"/>
        </w:rPr>
        <w:t>and found high levels of probable disorder</w:t>
      </w:r>
      <w:r w:rsidR="007B71F9">
        <w:rPr>
          <w:rFonts w:ascii="Arial" w:eastAsia="Aptos" w:hAnsi="Arial" w:cs="Arial"/>
          <w:bCs/>
          <w:kern w:val="2"/>
          <w:lang w:eastAsia="en-US"/>
          <w14:ligatures w14:val="standardContextual"/>
        </w:rPr>
        <w:t>. The study found that</w:t>
      </w:r>
      <w:r w:rsidR="0084115F" w:rsidRPr="0084115F">
        <w:rPr>
          <w:rFonts w:ascii="Arial" w:eastAsia="Aptos" w:hAnsi="Arial" w:cs="Arial"/>
          <w:bCs/>
          <w:kern w:val="2"/>
          <w:lang w:eastAsia="en-US"/>
          <w14:ligatures w14:val="standardContextual"/>
        </w:rPr>
        <w:t xml:space="preserve"> 27.5% of staff had moderate to moderately severe depression on the PHQ-9, 32.8% had moderate to severe anxiety on the GAD-7, and 28.2% screened positive for PTSD on the IES-R</w:t>
      </w:r>
      <w:r w:rsidR="007B71F9">
        <w:rPr>
          <w:rFonts w:ascii="Arial" w:eastAsia="Aptos" w:hAnsi="Arial" w:cs="Arial"/>
          <w:bCs/>
          <w:kern w:val="2"/>
          <w:lang w:eastAsia="en-US"/>
          <w14:ligatures w14:val="standardContextual"/>
        </w:rPr>
        <w:t xml:space="preserve"> </w:t>
      </w:r>
      <w:r w:rsidR="007B71F9" w:rsidRPr="007B71F9">
        <w:rPr>
          <w:rFonts w:ascii="Arial" w:eastAsia="Aptos" w:hAnsi="Arial" w:cs="Arial"/>
          <w:bCs/>
          <w:kern w:val="2"/>
          <w:lang w:eastAsia="en-US"/>
          <w14:ligatures w14:val="standardContextual"/>
        </w:rPr>
        <w:t>(Dykes, Johnson and Bamford, 2021)</w:t>
      </w:r>
      <w:r w:rsidR="0084115F" w:rsidRPr="0084115F">
        <w:rPr>
          <w:rFonts w:ascii="Arial" w:eastAsia="Aptos" w:hAnsi="Arial" w:cs="Arial"/>
          <w:bCs/>
          <w:kern w:val="2"/>
          <w:lang w:eastAsia="en-US"/>
          <w14:ligatures w14:val="standardContextual"/>
        </w:rPr>
        <w:t xml:space="preserve">. These figures suggest a major mental health crisis among ICU staff. In contrast, </w:t>
      </w:r>
      <w:r w:rsidR="007B71F9" w:rsidRPr="007B71F9">
        <w:rPr>
          <w:rFonts w:ascii="Arial" w:eastAsia="Aptos" w:hAnsi="Arial" w:cs="Arial"/>
          <w:bCs/>
          <w:kern w:val="2"/>
          <w:lang w:eastAsia="en-US"/>
          <w14:ligatures w14:val="standardContextual"/>
        </w:rPr>
        <w:t>Scott </w:t>
      </w:r>
      <w:r w:rsidR="007B71F9" w:rsidRPr="007B71F9">
        <w:rPr>
          <w:rFonts w:ascii="Arial" w:eastAsia="Aptos" w:hAnsi="Arial" w:cs="Arial"/>
          <w:bCs/>
          <w:i/>
          <w:iCs/>
          <w:kern w:val="2"/>
          <w:lang w:eastAsia="en-US"/>
          <w14:ligatures w14:val="standardContextual"/>
        </w:rPr>
        <w:t>et al.</w:t>
      </w:r>
      <w:r w:rsidR="007B71F9" w:rsidRPr="007B71F9">
        <w:rPr>
          <w:rFonts w:ascii="Arial" w:eastAsia="Aptos" w:hAnsi="Arial" w:cs="Arial"/>
          <w:bCs/>
          <w:kern w:val="2"/>
          <w:lang w:eastAsia="en-US"/>
          <w14:ligatures w14:val="standardContextual"/>
        </w:rPr>
        <w:t xml:space="preserve"> </w:t>
      </w:r>
      <w:r w:rsidR="007B71F9">
        <w:rPr>
          <w:rFonts w:ascii="Arial" w:eastAsia="Aptos" w:hAnsi="Arial" w:cs="Arial"/>
          <w:bCs/>
          <w:kern w:val="2"/>
          <w:lang w:eastAsia="en-US"/>
          <w14:ligatures w14:val="standardContextual"/>
        </w:rPr>
        <w:t>(</w:t>
      </w:r>
      <w:r w:rsidR="007B71F9" w:rsidRPr="007B71F9">
        <w:rPr>
          <w:rFonts w:ascii="Arial" w:eastAsia="Aptos" w:hAnsi="Arial" w:cs="Arial"/>
          <w:bCs/>
          <w:kern w:val="2"/>
          <w:lang w:eastAsia="en-US"/>
          <w14:ligatures w14:val="standardContextual"/>
        </w:rPr>
        <w:t>2022)</w:t>
      </w:r>
      <w:r w:rsidR="0084115F" w:rsidRPr="0084115F">
        <w:rPr>
          <w:rFonts w:ascii="Arial" w:eastAsia="Aptos" w:hAnsi="Arial" w:cs="Arial"/>
          <w:bCs/>
          <w:kern w:val="2"/>
          <w:lang w:eastAsia="en-US"/>
          <w14:ligatures w14:val="standardContextual"/>
        </w:rPr>
        <w:t xml:space="preserve"> employ</w:t>
      </w:r>
      <w:r w:rsidR="007B71F9">
        <w:rPr>
          <w:rFonts w:ascii="Arial" w:eastAsia="Aptos" w:hAnsi="Arial" w:cs="Arial"/>
          <w:bCs/>
          <w:kern w:val="2"/>
          <w:lang w:eastAsia="en-US"/>
          <w14:ligatures w14:val="standardContextual"/>
        </w:rPr>
        <w:t>ed</w:t>
      </w:r>
      <w:r w:rsidR="0084115F" w:rsidRPr="0084115F">
        <w:rPr>
          <w:rFonts w:ascii="Arial" w:eastAsia="Aptos" w:hAnsi="Arial" w:cs="Arial"/>
          <w:bCs/>
          <w:kern w:val="2"/>
          <w:lang w:eastAsia="en-US"/>
          <w14:ligatures w14:val="standardContextual"/>
        </w:rPr>
        <w:t xml:space="preserve"> a two-phase design with diagnostic interviews in a large, representative sample of English healthcare workers</w:t>
      </w:r>
      <w:r w:rsidR="007B71F9">
        <w:rPr>
          <w:rFonts w:ascii="Arial" w:eastAsia="Aptos" w:hAnsi="Arial" w:cs="Arial"/>
          <w:bCs/>
          <w:kern w:val="2"/>
          <w:lang w:eastAsia="en-US"/>
          <w14:ligatures w14:val="standardContextual"/>
        </w:rPr>
        <w:t xml:space="preserve"> and</w:t>
      </w:r>
      <w:r w:rsidR="0084115F" w:rsidRPr="0084115F">
        <w:rPr>
          <w:rFonts w:ascii="Arial" w:eastAsia="Aptos" w:hAnsi="Arial" w:cs="Arial"/>
          <w:bCs/>
          <w:kern w:val="2"/>
          <w:lang w:eastAsia="en-US"/>
          <w14:ligatures w14:val="standardContextual"/>
        </w:rPr>
        <w:t xml:space="preserve"> produced markedly lower estimates. They reported a population prevalence of 13.7% for depression, 14.3% for generalised anxiety disorder, and 7.9% for PTSD. The screening tool used in their initial phase (GHQ-12) suggested a prevalence of 52.8% for common mental disorders,</w:t>
      </w:r>
      <w:r w:rsidR="007B71F9">
        <w:rPr>
          <w:rFonts w:ascii="Arial" w:eastAsia="Aptos" w:hAnsi="Arial" w:cs="Arial"/>
          <w:bCs/>
          <w:kern w:val="2"/>
          <w:lang w:eastAsia="en-US"/>
          <w14:ligatures w14:val="standardContextual"/>
        </w:rPr>
        <w:t xml:space="preserve"> which</w:t>
      </w:r>
      <w:r w:rsidR="0084115F" w:rsidRPr="0084115F">
        <w:rPr>
          <w:rFonts w:ascii="Arial" w:eastAsia="Aptos" w:hAnsi="Arial" w:cs="Arial"/>
          <w:bCs/>
          <w:kern w:val="2"/>
          <w:lang w:eastAsia="en-US"/>
          <w14:ligatures w14:val="standardContextual"/>
        </w:rPr>
        <w:t xml:space="preserve"> demonstra</w:t>
      </w:r>
      <w:r w:rsidR="007B71F9">
        <w:rPr>
          <w:rFonts w:ascii="Arial" w:eastAsia="Aptos" w:hAnsi="Arial" w:cs="Arial"/>
          <w:bCs/>
          <w:kern w:val="2"/>
          <w:lang w:eastAsia="en-US"/>
          <w14:ligatures w14:val="standardContextual"/>
        </w:rPr>
        <w:t>ted</w:t>
      </w:r>
      <w:r w:rsidR="0084115F" w:rsidRPr="0084115F">
        <w:rPr>
          <w:rFonts w:ascii="Arial" w:eastAsia="Aptos" w:hAnsi="Arial" w:cs="Arial"/>
          <w:bCs/>
          <w:kern w:val="2"/>
          <w:lang w:eastAsia="en-US"/>
          <w14:ligatures w14:val="standardContextual"/>
        </w:rPr>
        <w:t xml:space="preserve"> a substantial overestimation compared to the diagnostic interview results</w:t>
      </w:r>
      <w:r w:rsidR="007B71F9">
        <w:rPr>
          <w:rFonts w:ascii="Arial" w:eastAsia="Aptos" w:hAnsi="Arial" w:cs="Arial"/>
          <w:bCs/>
          <w:kern w:val="2"/>
          <w:lang w:eastAsia="en-US"/>
          <w14:ligatures w14:val="standardContextual"/>
        </w:rPr>
        <w:t xml:space="preserve"> </w:t>
      </w:r>
      <w:r w:rsidR="007B71F9" w:rsidRPr="007B71F9">
        <w:rPr>
          <w:rFonts w:ascii="Arial" w:eastAsia="Aptos" w:hAnsi="Arial" w:cs="Arial"/>
          <w:bCs/>
          <w:kern w:val="2"/>
          <w:lang w:eastAsia="en-US"/>
          <w14:ligatures w14:val="standardContextual"/>
        </w:rPr>
        <w:t>(Scott </w:t>
      </w:r>
      <w:r w:rsidR="007B71F9" w:rsidRPr="007B71F9">
        <w:rPr>
          <w:rFonts w:ascii="Arial" w:eastAsia="Aptos" w:hAnsi="Arial" w:cs="Arial"/>
          <w:bCs/>
          <w:i/>
          <w:iCs/>
          <w:kern w:val="2"/>
          <w:lang w:eastAsia="en-US"/>
          <w14:ligatures w14:val="standardContextual"/>
        </w:rPr>
        <w:t>et al.</w:t>
      </w:r>
      <w:r w:rsidR="007B71F9" w:rsidRPr="007B71F9">
        <w:rPr>
          <w:rFonts w:ascii="Arial" w:eastAsia="Aptos" w:hAnsi="Arial" w:cs="Arial"/>
          <w:bCs/>
          <w:kern w:val="2"/>
          <w:lang w:eastAsia="en-US"/>
          <w14:ligatures w14:val="standardContextual"/>
        </w:rPr>
        <w:t>, 2022)</w:t>
      </w:r>
      <w:r w:rsidR="0084115F" w:rsidRPr="0084115F">
        <w:rPr>
          <w:rFonts w:ascii="Arial" w:eastAsia="Aptos" w:hAnsi="Arial" w:cs="Arial"/>
          <w:bCs/>
          <w:kern w:val="2"/>
          <w:lang w:eastAsia="en-US"/>
          <w14:ligatures w14:val="standardContextual"/>
        </w:rPr>
        <w:t>. The two articles thus agree that healthcare workers experienced significant distress but disagree on the extent to which this distress constitutes diagnosable disorder. This discrepancy is pivotal for the research question</w:t>
      </w:r>
      <w:r w:rsidR="007B71F9">
        <w:rPr>
          <w:rFonts w:ascii="Arial" w:eastAsia="Aptos" w:hAnsi="Arial" w:cs="Arial"/>
          <w:bCs/>
          <w:kern w:val="2"/>
          <w:lang w:eastAsia="en-US"/>
          <w14:ligatures w14:val="standardContextual"/>
        </w:rPr>
        <w:t>.</w:t>
      </w:r>
      <w:r w:rsidR="0084115F" w:rsidRPr="0084115F">
        <w:rPr>
          <w:rFonts w:ascii="Arial" w:eastAsia="Aptos" w:hAnsi="Arial" w:cs="Arial"/>
          <w:bCs/>
          <w:kern w:val="2"/>
          <w:lang w:eastAsia="en-US"/>
          <w14:ligatures w14:val="standardContextual"/>
        </w:rPr>
        <w:t xml:space="preserve"> </w:t>
      </w:r>
      <w:r w:rsidR="007B71F9">
        <w:rPr>
          <w:rFonts w:ascii="Arial" w:eastAsia="Aptos" w:hAnsi="Arial" w:cs="Arial"/>
          <w:bCs/>
          <w:kern w:val="2"/>
          <w:lang w:eastAsia="en-US"/>
          <w14:ligatures w14:val="standardContextual"/>
        </w:rPr>
        <w:t>W</w:t>
      </w:r>
      <w:r w:rsidR="0084115F" w:rsidRPr="0084115F">
        <w:rPr>
          <w:rFonts w:ascii="Arial" w:eastAsia="Aptos" w:hAnsi="Arial" w:cs="Arial"/>
          <w:bCs/>
          <w:kern w:val="2"/>
          <w:lang w:eastAsia="en-US"/>
          <w14:ligatures w14:val="standardContextual"/>
        </w:rPr>
        <w:t xml:space="preserve">hile </w:t>
      </w:r>
      <w:r w:rsidR="007B71F9" w:rsidRPr="009722C7">
        <w:rPr>
          <w:rFonts w:ascii="Arial" w:eastAsia="Aptos" w:hAnsi="Arial" w:cs="Arial"/>
          <w:bCs/>
          <w:kern w:val="2"/>
          <w:lang w:eastAsia="en-US"/>
          <w14:ligatures w14:val="standardContextual"/>
        </w:rPr>
        <w:t xml:space="preserve">Dykes, Johnson and Bamford </w:t>
      </w:r>
      <w:r w:rsidR="007B71F9">
        <w:rPr>
          <w:rFonts w:ascii="Arial" w:eastAsia="Aptos" w:hAnsi="Arial" w:cs="Arial"/>
          <w:bCs/>
          <w:kern w:val="2"/>
          <w:lang w:eastAsia="en-US"/>
          <w14:ligatures w14:val="standardContextual"/>
        </w:rPr>
        <w:t>(</w:t>
      </w:r>
      <w:r w:rsidR="007B71F9" w:rsidRPr="009722C7">
        <w:rPr>
          <w:rFonts w:ascii="Arial" w:eastAsia="Aptos" w:hAnsi="Arial" w:cs="Arial"/>
          <w:bCs/>
          <w:kern w:val="2"/>
          <w:lang w:eastAsia="en-US"/>
          <w14:ligatures w14:val="standardContextual"/>
        </w:rPr>
        <w:t>2021)</w:t>
      </w:r>
      <w:r w:rsidR="0084115F" w:rsidRPr="0084115F">
        <w:rPr>
          <w:rFonts w:ascii="Arial" w:eastAsia="Aptos" w:hAnsi="Arial" w:cs="Arial"/>
          <w:bCs/>
          <w:kern w:val="2"/>
          <w:lang w:eastAsia="en-US"/>
          <w14:ligatures w14:val="standardContextual"/>
        </w:rPr>
        <w:t xml:space="preserve"> imply an urgent need for widespread clinical intervention, Scott et al.</w:t>
      </w:r>
      <w:r w:rsidR="007B71F9">
        <w:rPr>
          <w:rFonts w:ascii="Arial" w:eastAsia="Aptos" w:hAnsi="Arial" w:cs="Arial"/>
          <w:bCs/>
          <w:kern w:val="2"/>
          <w:lang w:eastAsia="en-US"/>
          <w14:ligatures w14:val="standardContextual"/>
        </w:rPr>
        <w:t xml:space="preserve"> (2022)</w:t>
      </w:r>
      <w:r w:rsidR="0084115F" w:rsidRPr="0084115F">
        <w:rPr>
          <w:rFonts w:ascii="Arial" w:eastAsia="Aptos" w:hAnsi="Arial" w:cs="Arial"/>
          <w:bCs/>
          <w:kern w:val="2"/>
          <w:lang w:eastAsia="en-US"/>
          <w14:ligatures w14:val="standardContextual"/>
        </w:rPr>
        <w:t xml:space="preserve"> suggest that a considerable proportion of distress, while real, may be sub-threshold and potentially more amenable to workplace wellbeing initiatives than formal psychiatric treatment. </w:t>
      </w:r>
    </w:p>
    <w:p w14:paraId="5AA74291" w14:textId="685862A9" w:rsidR="0084115F" w:rsidRPr="0084115F" w:rsidRDefault="0084115F" w:rsidP="0084115F">
      <w:pPr>
        <w:spacing w:before="240" w:line="360" w:lineRule="auto"/>
        <w:textAlignment w:val="baseline"/>
        <w:rPr>
          <w:rFonts w:ascii="Arial" w:eastAsia="Aptos" w:hAnsi="Arial" w:cs="Arial"/>
          <w:bCs/>
          <w:kern w:val="2"/>
          <w:lang w:eastAsia="en-US"/>
          <w14:ligatures w14:val="standardContextual"/>
        </w:rPr>
      </w:pPr>
      <w:r w:rsidRPr="0084115F">
        <w:rPr>
          <w:rFonts w:ascii="Arial" w:eastAsia="Aptos" w:hAnsi="Arial" w:cs="Arial"/>
          <w:bCs/>
          <w:kern w:val="2"/>
          <w:lang w:eastAsia="en-US"/>
          <w14:ligatures w14:val="standardContextual"/>
        </w:rPr>
        <w:t xml:space="preserve">The Job Demands-Resources (JD-R) model provides a valuable framework for interpreting these prevalence findings. This theory posits that occupational stress arises when job demands exceed available resources </w:t>
      </w:r>
      <w:r w:rsidR="007B71F9" w:rsidRPr="00D449EF">
        <w:rPr>
          <w:rFonts w:ascii="Arial" w:eastAsia="Aptos" w:hAnsi="Arial" w:cs="Arial"/>
          <w:bCs/>
          <w:kern w:val="2"/>
          <w:lang w:eastAsia="en-US"/>
          <w14:ligatures w14:val="standardContextual"/>
        </w:rPr>
        <w:t>(Li, Chen and Yuan, 2025)</w:t>
      </w:r>
      <w:r w:rsidRPr="0084115F">
        <w:rPr>
          <w:rFonts w:ascii="Arial" w:eastAsia="Aptos" w:hAnsi="Arial" w:cs="Arial"/>
          <w:bCs/>
          <w:kern w:val="2"/>
          <w:lang w:eastAsia="en-US"/>
          <w14:ligatures w14:val="standardContextual"/>
        </w:rPr>
        <w:t>. The pandemic dramatically increased demands on healthcare workers while simultaneously depleting resources due to isolation and overwork</w:t>
      </w:r>
      <w:r w:rsidR="007B71F9">
        <w:rPr>
          <w:rFonts w:ascii="Arial" w:eastAsia="Aptos" w:hAnsi="Arial" w:cs="Arial"/>
          <w:bCs/>
          <w:kern w:val="2"/>
          <w:lang w:eastAsia="en-US"/>
          <w14:ligatures w14:val="standardContextual"/>
        </w:rPr>
        <w:t xml:space="preserve"> </w:t>
      </w:r>
      <w:r w:rsidR="007B71F9" w:rsidRPr="00D449EF">
        <w:rPr>
          <w:rFonts w:ascii="Arial" w:eastAsia="Aptos" w:hAnsi="Arial" w:cs="Arial"/>
          <w:bCs/>
          <w:kern w:val="2"/>
          <w:lang w:eastAsia="en-US"/>
          <w14:ligatures w14:val="standardContextual"/>
        </w:rPr>
        <w:t>(</w:t>
      </w:r>
      <w:proofErr w:type="spellStart"/>
      <w:r w:rsidR="007B71F9" w:rsidRPr="00D449EF">
        <w:rPr>
          <w:rFonts w:ascii="Arial" w:eastAsia="Aptos" w:hAnsi="Arial" w:cs="Arial"/>
          <w:bCs/>
          <w:kern w:val="2"/>
          <w:lang w:eastAsia="en-US"/>
          <w14:ligatures w14:val="standardContextual"/>
        </w:rPr>
        <w:t>Llop-Gironés</w:t>
      </w:r>
      <w:proofErr w:type="spellEnd"/>
      <w:r w:rsidR="007B71F9" w:rsidRPr="00D449EF">
        <w:rPr>
          <w:rFonts w:ascii="Arial" w:eastAsia="Aptos" w:hAnsi="Arial" w:cs="Arial"/>
          <w:bCs/>
          <w:kern w:val="2"/>
          <w:lang w:eastAsia="en-US"/>
          <w14:ligatures w14:val="standardContextual"/>
        </w:rPr>
        <w:t> et al., 2021)</w:t>
      </w:r>
      <w:r w:rsidRPr="0084115F">
        <w:rPr>
          <w:rFonts w:ascii="Arial" w:eastAsia="Aptos" w:hAnsi="Arial" w:cs="Arial"/>
          <w:bCs/>
          <w:kern w:val="2"/>
          <w:lang w:eastAsia="en-US"/>
          <w14:ligatures w14:val="standardContextual"/>
        </w:rPr>
        <w:t xml:space="preserve">. The high levels of distress detected by screening tools in both studies can be seen as an imbalance in the JD-R model. However, the JD-R model also helps explain why this distress did not always translate into clinical disorder. Scott et al.'s </w:t>
      </w:r>
      <w:r w:rsidR="007B71F9">
        <w:rPr>
          <w:rFonts w:ascii="Arial" w:eastAsia="Aptos" w:hAnsi="Arial" w:cs="Arial"/>
          <w:bCs/>
          <w:kern w:val="2"/>
          <w:lang w:eastAsia="en-US"/>
          <w14:ligatures w14:val="standardContextual"/>
        </w:rPr>
        <w:t xml:space="preserve">(2022) </w:t>
      </w:r>
      <w:r w:rsidRPr="0084115F">
        <w:rPr>
          <w:rFonts w:ascii="Arial" w:eastAsia="Aptos" w:hAnsi="Arial" w:cs="Arial"/>
          <w:bCs/>
          <w:kern w:val="2"/>
          <w:lang w:eastAsia="en-US"/>
          <w14:ligatures w14:val="standardContextual"/>
        </w:rPr>
        <w:t xml:space="preserve">lower diagnostic prevalence suggests that while many workers experienced symptoms (high demands), a resilient majority possessed sufficient personal and organisational resources to prevent these symptoms from meeting the threshold for a formal diagnosis. This theoretical lens underscores that interventions should not only target clinical cases but also </w:t>
      </w:r>
      <w:r w:rsidR="00690E29">
        <w:rPr>
          <w:rFonts w:ascii="Arial" w:eastAsia="Aptos" w:hAnsi="Arial" w:cs="Arial"/>
          <w:bCs/>
          <w:kern w:val="2"/>
          <w:lang w:eastAsia="en-US"/>
          <w14:ligatures w14:val="standardContextual"/>
        </w:rPr>
        <w:t>spread</w:t>
      </w:r>
      <w:r w:rsidRPr="0084115F">
        <w:rPr>
          <w:rFonts w:ascii="Arial" w:eastAsia="Aptos" w:hAnsi="Arial" w:cs="Arial"/>
          <w:bCs/>
          <w:kern w:val="2"/>
          <w:lang w:eastAsia="en-US"/>
          <w14:ligatures w14:val="standardContextual"/>
        </w:rPr>
        <w:t xml:space="preserve"> resources across the workforce to prevent future deterioration</w:t>
      </w:r>
      <w:r w:rsidR="00690E29">
        <w:rPr>
          <w:rFonts w:ascii="Arial" w:eastAsia="Aptos" w:hAnsi="Arial" w:cs="Arial"/>
          <w:bCs/>
          <w:kern w:val="2"/>
          <w:lang w:eastAsia="en-US"/>
          <w14:ligatures w14:val="standardContextual"/>
        </w:rPr>
        <w:t xml:space="preserve"> </w:t>
      </w:r>
      <w:r w:rsidR="00690E29" w:rsidRPr="00D449EF">
        <w:rPr>
          <w:rFonts w:ascii="Arial" w:eastAsia="Aptos" w:hAnsi="Arial" w:cs="Arial"/>
          <w:bCs/>
          <w:kern w:val="2"/>
          <w:lang w:eastAsia="en-US"/>
          <w14:ligatures w14:val="standardContextual"/>
        </w:rPr>
        <w:t>(Li, Chen and Yuan, 2025)</w:t>
      </w:r>
      <w:r w:rsidRPr="0084115F">
        <w:rPr>
          <w:rFonts w:ascii="Arial" w:eastAsia="Aptos" w:hAnsi="Arial" w:cs="Arial"/>
          <w:bCs/>
          <w:kern w:val="2"/>
          <w:lang w:eastAsia="en-US"/>
          <w14:ligatures w14:val="standardContextual"/>
        </w:rPr>
        <w:t>.</w:t>
      </w:r>
    </w:p>
    <w:p w14:paraId="0310A8F6" w14:textId="47B62A68" w:rsidR="0084115F" w:rsidRPr="0084115F" w:rsidRDefault="0084115F" w:rsidP="0084115F">
      <w:pPr>
        <w:spacing w:before="240" w:line="360" w:lineRule="auto"/>
        <w:textAlignment w:val="baseline"/>
        <w:rPr>
          <w:rFonts w:ascii="Arial" w:eastAsia="Aptos" w:hAnsi="Arial" w:cs="Arial"/>
          <w:bCs/>
          <w:kern w:val="2"/>
          <w:lang w:eastAsia="en-US"/>
          <w14:ligatures w14:val="standardContextual"/>
        </w:rPr>
      </w:pPr>
      <w:r w:rsidRPr="0084115F">
        <w:rPr>
          <w:rFonts w:ascii="Arial" w:eastAsia="Aptos" w:hAnsi="Arial" w:cs="Arial"/>
          <w:bCs/>
          <w:kern w:val="2"/>
          <w:lang w:eastAsia="en-US"/>
          <w14:ligatures w14:val="standardContextual"/>
        </w:rPr>
        <w:t>The findings directly inform policy, particularly NHS England's commitment to expanding mental health support for staff</w:t>
      </w:r>
      <w:r w:rsidR="00690E29">
        <w:rPr>
          <w:rFonts w:ascii="Arial" w:eastAsia="Aptos" w:hAnsi="Arial" w:cs="Arial"/>
          <w:bCs/>
          <w:kern w:val="2"/>
          <w:lang w:eastAsia="en-US"/>
          <w14:ligatures w14:val="standardContextual"/>
        </w:rPr>
        <w:t xml:space="preserve"> </w:t>
      </w:r>
      <w:r w:rsidR="00690E29" w:rsidRPr="00D449EF">
        <w:rPr>
          <w:rFonts w:ascii="Arial" w:eastAsia="Aptos" w:hAnsi="Arial" w:cs="Arial"/>
          <w:bCs/>
          <w:kern w:val="2"/>
          <w:lang w:eastAsia="en-US"/>
          <w14:ligatures w14:val="standardContextual"/>
        </w:rPr>
        <w:t>(Delaney et al., 2021)</w:t>
      </w:r>
      <w:r w:rsidRPr="0084115F">
        <w:rPr>
          <w:rFonts w:ascii="Arial" w:eastAsia="Aptos" w:hAnsi="Arial" w:cs="Arial"/>
          <w:bCs/>
          <w:kern w:val="2"/>
          <w:lang w:eastAsia="en-US"/>
          <w14:ligatures w14:val="standardContextual"/>
        </w:rPr>
        <w:t>. If policymakers relied solely on screening-based prevalence</w:t>
      </w:r>
      <w:r w:rsidR="00690E29">
        <w:rPr>
          <w:rFonts w:ascii="Arial" w:eastAsia="Aptos" w:hAnsi="Arial" w:cs="Arial"/>
          <w:bCs/>
          <w:kern w:val="2"/>
          <w:lang w:eastAsia="en-US"/>
          <w14:ligatures w14:val="standardContextual"/>
        </w:rPr>
        <w:t>, as in the case of</w:t>
      </w:r>
      <w:r w:rsidRPr="0084115F">
        <w:rPr>
          <w:rFonts w:ascii="Arial" w:eastAsia="Aptos" w:hAnsi="Arial" w:cs="Arial"/>
          <w:bCs/>
          <w:kern w:val="2"/>
          <w:lang w:eastAsia="en-US"/>
          <w14:ligatures w14:val="standardContextual"/>
        </w:rPr>
        <w:t xml:space="preserve"> </w:t>
      </w:r>
      <w:r w:rsidR="00690E29" w:rsidRPr="00690E29">
        <w:rPr>
          <w:rFonts w:ascii="Arial" w:eastAsia="Aptos" w:hAnsi="Arial" w:cs="Arial"/>
          <w:bCs/>
          <w:kern w:val="2"/>
          <w:lang w:eastAsia="en-US"/>
          <w14:ligatures w14:val="standardContextual"/>
        </w:rPr>
        <w:t>Dykes, Johnson and Bamford (2021)</w:t>
      </w:r>
      <w:r w:rsidRPr="0084115F">
        <w:rPr>
          <w:rFonts w:ascii="Arial" w:eastAsia="Aptos" w:hAnsi="Arial" w:cs="Arial"/>
          <w:bCs/>
          <w:kern w:val="2"/>
          <w:lang w:eastAsia="en-US"/>
          <w14:ligatures w14:val="standardContextual"/>
        </w:rPr>
        <w:t>, they would advocate for a massive expansion of clinical services. However, Scott et al.'s</w:t>
      </w:r>
      <w:r w:rsidR="00690E29">
        <w:rPr>
          <w:rFonts w:ascii="Arial" w:eastAsia="Aptos" w:hAnsi="Arial" w:cs="Arial"/>
          <w:bCs/>
          <w:kern w:val="2"/>
          <w:lang w:eastAsia="en-US"/>
          <w14:ligatures w14:val="standardContextual"/>
        </w:rPr>
        <w:t xml:space="preserve"> (2022)</w:t>
      </w:r>
      <w:r w:rsidRPr="0084115F">
        <w:rPr>
          <w:rFonts w:ascii="Arial" w:eastAsia="Aptos" w:hAnsi="Arial" w:cs="Arial"/>
          <w:bCs/>
          <w:kern w:val="2"/>
          <w:lang w:eastAsia="en-US"/>
          <w14:ligatures w14:val="standardContextual"/>
        </w:rPr>
        <w:t xml:space="preserve"> more conservative estimate suggests a need for a balanced approach</w:t>
      </w:r>
      <w:r w:rsidR="00690E29">
        <w:rPr>
          <w:rFonts w:ascii="Arial" w:eastAsia="Aptos" w:hAnsi="Arial" w:cs="Arial"/>
          <w:bCs/>
          <w:kern w:val="2"/>
          <w:lang w:eastAsia="en-US"/>
          <w14:ligatures w14:val="standardContextual"/>
        </w:rPr>
        <w:t xml:space="preserve"> which should</w:t>
      </w:r>
      <w:r w:rsidRPr="0084115F">
        <w:rPr>
          <w:rFonts w:ascii="Arial" w:eastAsia="Aptos" w:hAnsi="Arial" w:cs="Arial"/>
          <w:bCs/>
          <w:kern w:val="2"/>
          <w:lang w:eastAsia="en-US"/>
          <w14:ligatures w14:val="standardContextual"/>
        </w:rPr>
        <w:t xml:space="preserve"> ensur</w:t>
      </w:r>
      <w:r w:rsidR="00690E29">
        <w:rPr>
          <w:rFonts w:ascii="Arial" w:eastAsia="Aptos" w:hAnsi="Arial" w:cs="Arial"/>
          <w:bCs/>
          <w:kern w:val="2"/>
          <w:lang w:eastAsia="en-US"/>
          <w14:ligatures w14:val="standardContextual"/>
        </w:rPr>
        <w:t>e</w:t>
      </w:r>
      <w:r w:rsidRPr="0084115F">
        <w:rPr>
          <w:rFonts w:ascii="Arial" w:eastAsia="Aptos" w:hAnsi="Arial" w:cs="Arial"/>
          <w:bCs/>
          <w:kern w:val="2"/>
          <w:lang w:eastAsia="en-US"/>
          <w14:ligatures w14:val="standardContextual"/>
        </w:rPr>
        <w:t xml:space="preserve"> access to specialist care for the ~20% with diagnosable conditions, while simultaneously investing in preventative, organisational-level interventions for the wider workforce. This aligns with the recommendations of the </w:t>
      </w:r>
      <w:r w:rsidR="00690E29" w:rsidRPr="00D449EF">
        <w:rPr>
          <w:rFonts w:ascii="Arial" w:eastAsia="Aptos" w:hAnsi="Arial" w:cs="Arial"/>
          <w:bCs/>
          <w:kern w:val="2"/>
          <w:lang w:eastAsia="en-US"/>
          <w14:ligatures w14:val="standardContextual"/>
        </w:rPr>
        <w:t xml:space="preserve">British Medical Association </w:t>
      </w:r>
      <w:r w:rsidR="00690E29">
        <w:rPr>
          <w:rFonts w:ascii="Arial" w:eastAsia="Aptos" w:hAnsi="Arial" w:cs="Arial"/>
          <w:bCs/>
          <w:kern w:val="2"/>
          <w:lang w:eastAsia="en-US"/>
          <w14:ligatures w14:val="standardContextual"/>
        </w:rPr>
        <w:t>(</w:t>
      </w:r>
      <w:r w:rsidR="00690E29" w:rsidRPr="00D449EF">
        <w:rPr>
          <w:rFonts w:ascii="Arial" w:eastAsia="Aptos" w:hAnsi="Arial" w:cs="Arial"/>
          <w:bCs/>
          <w:kern w:val="2"/>
          <w:lang w:eastAsia="en-US"/>
          <w14:ligatures w14:val="standardContextual"/>
        </w:rPr>
        <w:t>2022)</w:t>
      </w:r>
      <w:r w:rsidRPr="0084115F">
        <w:rPr>
          <w:rFonts w:ascii="Arial" w:eastAsia="Aptos" w:hAnsi="Arial" w:cs="Arial"/>
          <w:bCs/>
          <w:kern w:val="2"/>
          <w:lang w:eastAsia="en-US"/>
          <w14:ligatures w14:val="standardContextual"/>
        </w:rPr>
        <w:t>, which emphasise creating healthy workplace cultures alongside providing treatment.</w:t>
      </w:r>
    </w:p>
    <w:p w14:paraId="4508D61D" w14:textId="50C81E67" w:rsidR="0084115F" w:rsidRDefault="005B365B" w:rsidP="0084115F">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This theme unveils several multifaceted implications</w:t>
      </w:r>
      <w:r w:rsidR="0084115F" w:rsidRPr="0084115F">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On a p</w:t>
      </w:r>
      <w:r w:rsidR="0084115F" w:rsidRPr="0084115F">
        <w:rPr>
          <w:rFonts w:ascii="Arial" w:eastAsia="Aptos" w:hAnsi="Arial" w:cs="Arial"/>
          <w:bCs/>
          <w:kern w:val="2"/>
          <w:lang w:eastAsia="en-US"/>
          <w14:ligatures w14:val="standardContextual"/>
        </w:rPr>
        <w:t>ositive</w:t>
      </w:r>
      <w:r>
        <w:rPr>
          <w:rFonts w:ascii="Arial" w:eastAsia="Aptos" w:hAnsi="Arial" w:cs="Arial"/>
          <w:bCs/>
          <w:kern w:val="2"/>
          <w:lang w:eastAsia="en-US"/>
          <w14:ligatures w14:val="standardContextual"/>
        </w:rPr>
        <w:t xml:space="preserve"> note</w:t>
      </w:r>
      <w:r w:rsidR="0084115F" w:rsidRPr="0084115F">
        <w:rPr>
          <w:rFonts w:ascii="Arial" w:eastAsia="Aptos" w:hAnsi="Arial" w:cs="Arial"/>
          <w:bCs/>
          <w:kern w:val="2"/>
          <w:lang w:eastAsia="en-US"/>
          <w14:ligatures w14:val="standardContextual"/>
        </w:rPr>
        <w:t>, the diagnostic data from Scott et al.</w:t>
      </w:r>
      <w:r w:rsidR="00690E29">
        <w:rPr>
          <w:rFonts w:ascii="Arial" w:eastAsia="Aptos" w:hAnsi="Arial" w:cs="Arial"/>
          <w:bCs/>
          <w:kern w:val="2"/>
          <w:lang w:eastAsia="en-US"/>
          <w14:ligatures w14:val="standardContextual"/>
        </w:rPr>
        <w:t xml:space="preserve"> (2022)</w:t>
      </w:r>
      <w:r w:rsidR="0084115F" w:rsidRPr="0084115F">
        <w:rPr>
          <w:rFonts w:ascii="Arial" w:eastAsia="Aptos" w:hAnsi="Arial" w:cs="Arial"/>
          <w:bCs/>
          <w:kern w:val="2"/>
          <w:lang w:eastAsia="en-US"/>
          <w14:ligatures w14:val="standardContextual"/>
        </w:rPr>
        <w:t xml:space="preserve"> provides a realistic baseline for service planning, preventing panic and enabling the strategic allocation of scarce resources. It validates the experience of distress without labelling all distress as illness, which can reduce stigma and encourage help-seeking for manageable symptoms</w:t>
      </w:r>
      <w:r w:rsidR="00690E29">
        <w:rPr>
          <w:rFonts w:ascii="Arial" w:eastAsia="Aptos" w:hAnsi="Arial" w:cs="Arial"/>
          <w:bCs/>
          <w:kern w:val="2"/>
          <w:lang w:eastAsia="en-US"/>
          <w14:ligatures w14:val="standardContextual"/>
        </w:rPr>
        <w:t xml:space="preserve"> </w:t>
      </w:r>
      <w:r w:rsidR="00690E29" w:rsidRPr="00690E29">
        <w:rPr>
          <w:rFonts w:ascii="Arial" w:eastAsia="Aptos" w:hAnsi="Arial" w:cs="Arial"/>
          <w:bCs/>
          <w:kern w:val="2"/>
          <w:lang w:eastAsia="en-US"/>
          <w14:ligatures w14:val="standardContextual"/>
        </w:rPr>
        <w:t>(Choudhury </w:t>
      </w:r>
      <w:r w:rsidR="00690E29" w:rsidRPr="00690E29">
        <w:rPr>
          <w:rFonts w:ascii="Arial" w:eastAsia="Aptos" w:hAnsi="Arial" w:cs="Arial"/>
          <w:bCs/>
          <w:i/>
          <w:iCs/>
          <w:kern w:val="2"/>
          <w:lang w:eastAsia="en-US"/>
          <w14:ligatures w14:val="standardContextual"/>
        </w:rPr>
        <w:t>et al.</w:t>
      </w:r>
      <w:r w:rsidR="00690E29" w:rsidRPr="00690E29">
        <w:rPr>
          <w:rFonts w:ascii="Arial" w:eastAsia="Aptos" w:hAnsi="Arial" w:cs="Arial"/>
          <w:bCs/>
          <w:kern w:val="2"/>
          <w:lang w:eastAsia="en-US"/>
          <w14:ligatures w14:val="standardContextual"/>
        </w:rPr>
        <w:t>, 2020)</w:t>
      </w:r>
      <w:r w:rsidR="0084115F" w:rsidRPr="0084115F">
        <w:rPr>
          <w:rFonts w:ascii="Arial" w:eastAsia="Aptos" w:hAnsi="Arial" w:cs="Arial"/>
          <w:bCs/>
          <w:kern w:val="2"/>
          <w:lang w:eastAsia="en-US"/>
          <w14:ligatures w14:val="standardContextual"/>
        </w:rPr>
        <w:t xml:space="preserve">. Conversely, the negative implication is that the high screening estimates from studies like </w:t>
      </w:r>
      <w:r w:rsidR="00690E29" w:rsidRPr="00690E29">
        <w:rPr>
          <w:rFonts w:ascii="Arial" w:eastAsia="Aptos" w:hAnsi="Arial" w:cs="Arial"/>
          <w:bCs/>
          <w:kern w:val="2"/>
          <w:lang w:eastAsia="en-US"/>
          <w14:ligatures w14:val="standardContextual"/>
        </w:rPr>
        <w:t>Dykes, Johnson and Bamford (2021)</w:t>
      </w:r>
      <w:r w:rsidR="0084115F" w:rsidRPr="0084115F">
        <w:rPr>
          <w:rFonts w:ascii="Arial" w:eastAsia="Aptos" w:hAnsi="Arial" w:cs="Arial"/>
          <w:bCs/>
          <w:kern w:val="2"/>
          <w:lang w:eastAsia="en-US"/>
          <w14:ligatures w14:val="standardContextual"/>
        </w:rPr>
        <w:t>, if uncritically accepted, could lead to an inappropriate medicalisation of the workforce</w:t>
      </w:r>
      <w:r w:rsidR="00690E29">
        <w:rPr>
          <w:rFonts w:ascii="Arial" w:eastAsia="Aptos" w:hAnsi="Arial" w:cs="Arial"/>
          <w:bCs/>
          <w:kern w:val="2"/>
          <w:lang w:eastAsia="en-US"/>
          <w14:ligatures w14:val="standardContextual"/>
        </w:rPr>
        <w:t xml:space="preserve"> and</w:t>
      </w:r>
      <w:r w:rsidR="0084115F" w:rsidRPr="0084115F">
        <w:rPr>
          <w:rFonts w:ascii="Arial" w:eastAsia="Aptos" w:hAnsi="Arial" w:cs="Arial"/>
          <w:bCs/>
          <w:kern w:val="2"/>
          <w:lang w:eastAsia="en-US"/>
          <w14:ligatures w14:val="standardContextual"/>
        </w:rPr>
        <w:t xml:space="preserve"> potentially divert funding from preventative workplace reforms into expensive and </w:t>
      </w:r>
      <w:r w:rsidR="00690E29">
        <w:rPr>
          <w:rFonts w:ascii="Arial" w:eastAsia="Aptos" w:hAnsi="Arial" w:cs="Arial"/>
          <w:bCs/>
          <w:kern w:val="2"/>
          <w:lang w:eastAsia="en-US"/>
          <w14:ligatures w14:val="standardContextual"/>
        </w:rPr>
        <w:t>potentially</w:t>
      </w:r>
      <w:r w:rsidR="0084115F" w:rsidRPr="0084115F">
        <w:rPr>
          <w:rFonts w:ascii="Arial" w:eastAsia="Aptos" w:hAnsi="Arial" w:cs="Arial"/>
          <w:bCs/>
          <w:kern w:val="2"/>
          <w:lang w:eastAsia="en-US"/>
          <w14:ligatures w14:val="standardContextual"/>
        </w:rPr>
        <w:t xml:space="preserve"> unnecessary clinical treatments. </w:t>
      </w:r>
      <w:r w:rsidR="00690E29" w:rsidRPr="00690E29">
        <w:rPr>
          <w:rFonts w:ascii="Arial" w:eastAsia="Aptos" w:hAnsi="Arial" w:cs="Arial"/>
          <w:bCs/>
          <w:kern w:val="2"/>
          <w:lang w:eastAsia="en-US"/>
          <w14:ligatures w14:val="standardContextual"/>
        </w:rPr>
        <w:t>Dykes, Johnson and Bamford</w:t>
      </w:r>
      <w:r w:rsidR="00690E29">
        <w:rPr>
          <w:rFonts w:ascii="Arial" w:eastAsia="Aptos" w:hAnsi="Arial" w:cs="Arial"/>
          <w:bCs/>
          <w:kern w:val="2"/>
          <w:lang w:eastAsia="en-US"/>
          <w14:ligatures w14:val="standardContextual"/>
        </w:rPr>
        <w:t>’s</w:t>
      </w:r>
      <w:r w:rsidR="00690E29" w:rsidRPr="00690E29">
        <w:rPr>
          <w:rFonts w:ascii="Arial" w:eastAsia="Aptos" w:hAnsi="Arial" w:cs="Arial"/>
          <w:bCs/>
          <w:kern w:val="2"/>
          <w:lang w:eastAsia="en-US"/>
          <w14:ligatures w14:val="standardContextual"/>
        </w:rPr>
        <w:t xml:space="preserve"> (2021)</w:t>
      </w:r>
      <w:r w:rsidR="0084115F" w:rsidRPr="0084115F">
        <w:rPr>
          <w:rFonts w:ascii="Arial" w:eastAsia="Aptos" w:hAnsi="Arial" w:cs="Arial"/>
          <w:bCs/>
          <w:kern w:val="2"/>
          <w:lang w:eastAsia="en-US"/>
          <w14:ligatures w14:val="standardContextual"/>
        </w:rPr>
        <w:t xml:space="preserve"> finding that only 3.1% of staff accessed support services highlights the 'support gap'</w:t>
      </w:r>
      <w:r w:rsidR="00CF5A17">
        <w:rPr>
          <w:rFonts w:ascii="Arial" w:eastAsia="Aptos" w:hAnsi="Arial" w:cs="Arial"/>
          <w:bCs/>
          <w:kern w:val="2"/>
          <w:lang w:eastAsia="en-US"/>
          <w14:ligatures w14:val="standardContextual"/>
        </w:rPr>
        <w:t xml:space="preserve">, which provides </w:t>
      </w:r>
      <w:r w:rsidR="0084115F" w:rsidRPr="0084115F">
        <w:rPr>
          <w:rFonts w:ascii="Arial" w:eastAsia="Aptos" w:hAnsi="Arial" w:cs="Arial"/>
          <w:bCs/>
          <w:kern w:val="2"/>
          <w:lang w:eastAsia="en-US"/>
          <w14:ligatures w14:val="standardContextual"/>
        </w:rPr>
        <w:t>a critical connection to the theme of coping strategies. It suggests that even when prevalence is high, barriers such as lack of awareness, stigma, or inaccessible services prevent workers from utilising available support</w:t>
      </w:r>
      <w:r w:rsidR="00CF5A17">
        <w:rPr>
          <w:rFonts w:ascii="Arial" w:eastAsia="Aptos" w:hAnsi="Arial" w:cs="Arial"/>
          <w:bCs/>
          <w:kern w:val="2"/>
          <w:lang w:eastAsia="en-US"/>
          <w14:ligatures w14:val="standardContextual"/>
        </w:rPr>
        <w:t xml:space="preserve"> </w:t>
      </w:r>
      <w:r w:rsidR="00CF5A17" w:rsidRPr="00CF5A17">
        <w:rPr>
          <w:rFonts w:ascii="Arial" w:eastAsia="Aptos" w:hAnsi="Arial" w:cs="Arial"/>
          <w:bCs/>
          <w:kern w:val="2"/>
          <w:lang w:eastAsia="en-US"/>
          <w14:ligatures w14:val="standardContextual"/>
        </w:rPr>
        <w:t>(</w:t>
      </w:r>
      <w:proofErr w:type="spellStart"/>
      <w:r w:rsidR="00CF5A17" w:rsidRPr="00CF5A17">
        <w:rPr>
          <w:rFonts w:ascii="Arial" w:eastAsia="Aptos" w:hAnsi="Arial" w:cs="Arial"/>
          <w:bCs/>
          <w:kern w:val="2"/>
          <w:lang w:eastAsia="en-US"/>
          <w14:ligatures w14:val="standardContextual"/>
        </w:rPr>
        <w:t>Umbetkulova</w:t>
      </w:r>
      <w:proofErr w:type="spellEnd"/>
      <w:r w:rsidR="00CF5A17" w:rsidRPr="00CF5A17">
        <w:rPr>
          <w:rFonts w:ascii="Arial" w:eastAsia="Aptos" w:hAnsi="Arial" w:cs="Arial"/>
          <w:bCs/>
          <w:kern w:val="2"/>
          <w:lang w:eastAsia="en-US"/>
          <w14:ligatures w14:val="standardContextual"/>
        </w:rPr>
        <w:t> </w:t>
      </w:r>
      <w:r w:rsidR="00CF5A17" w:rsidRPr="00CF5A17">
        <w:rPr>
          <w:rFonts w:ascii="Arial" w:eastAsia="Aptos" w:hAnsi="Arial" w:cs="Arial"/>
          <w:bCs/>
          <w:i/>
          <w:iCs/>
          <w:kern w:val="2"/>
          <w:lang w:eastAsia="en-US"/>
          <w14:ligatures w14:val="standardContextual"/>
        </w:rPr>
        <w:t>et al.</w:t>
      </w:r>
      <w:r w:rsidR="00CF5A17" w:rsidRPr="00CF5A17">
        <w:rPr>
          <w:rFonts w:ascii="Arial" w:eastAsia="Aptos" w:hAnsi="Arial" w:cs="Arial"/>
          <w:bCs/>
          <w:kern w:val="2"/>
          <w:lang w:eastAsia="en-US"/>
          <w14:ligatures w14:val="standardContextual"/>
        </w:rPr>
        <w:t>, 2023)</w:t>
      </w:r>
      <w:r w:rsidR="0084115F" w:rsidRPr="0084115F">
        <w:rPr>
          <w:rFonts w:ascii="Arial" w:eastAsia="Aptos" w:hAnsi="Arial" w:cs="Arial"/>
          <w:bCs/>
          <w:kern w:val="2"/>
          <w:lang w:eastAsia="en-US"/>
          <w14:ligatures w14:val="standardContextual"/>
        </w:rPr>
        <w:t xml:space="preserve">. This directly feeds into evaluating the effectiveness of implemented strategies. Together, the articles show that while the scale of diagnosable illness may be lower than initially feared, the level of distress is substantial and existing support mechanisms are failing to reach those in need. </w:t>
      </w:r>
    </w:p>
    <w:p w14:paraId="35F06BC6" w14:textId="1670154A"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5" w:name="_Toc223453155"/>
      <w:r w:rsidRPr="001B20A3">
        <w:rPr>
          <w:rFonts w:ascii="Arial" w:eastAsiaTheme="majorEastAsia" w:hAnsi="Arial" w:cs="Arial"/>
          <w:b/>
          <w:bCs/>
          <w:color w:val="0F4761"/>
          <w:kern w:val="2"/>
          <w:lang w:eastAsia="zh-CN"/>
          <w14:ligatures w14:val="standardContextual"/>
        </w:rPr>
        <w:t>4.4 Theme 2:</w:t>
      </w:r>
      <w:r w:rsidR="00A33605" w:rsidRPr="001B20A3">
        <w:rPr>
          <w:rFonts w:ascii="Arial" w:eastAsiaTheme="majorEastAsia" w:hAnsi="Arial" w:cs="Arial"/>
          <w:b/>
          <w:bCs/>
          <w:color w:val="0F4761"/>
          <w:kern w:val="2"/>
          <w:lang w:eastAsia="zh-CN"/>
          <w14:ligatures w14:val="standardContextual"/>
        </w:rPr>
        <w:t xml:space="preserve"> Coping Strategies Utilised by Healthcare Workers to Manage Pandemic-related Stress</w:t>
      </w:r>
      <w:bookmarkEnd w:id="45"/>
    </w:p>
    <w:p w14:paraId="21FD23DD" w14:textId="7EF3A0A5"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Th</w:t>
      </w:r>
      <w:r w:rsidR="00CF5A17">
        <w:rPr>
          <w:rFonts w:ascii="Arial" w:eastAsia="Aptos" w:hAnsi="Arial" w:cs="Arial"/>
          <w:bCs/>
          <w:kern w:val="2"/>
          <w:lang w:eastAsia="en-US"/>
          <w14:ligatures w14:val="standardContextual"/>
        </w:rPr>
        <w:t>is theme</w:t>
      </w:r>
      <w:r w:rsidRPr="00A638AB">
        <w:rPr>
          <w:rFonts w:ascii="Arial" w:eastAsia="Aptos" w:hAnsi="Arial" w:cs="Arial"/>
          <w:bCs/>
          <w:kern w:val="2"/>
          <w:lang w:eastAsia="en-US"/>
          <w14:ligatures w14:val="standardContextual"/>
        </w:rPr>
        <w:t xml:space="preserve"> refers to the cognitive and behavioural efforts employed by individuals to manage specific external and internal demands </w:t>
      </w:r>
      <w:r w:rsidR="00CF5A17">
        <w:rPr>
          <w:rFonts w:ascii="Arial" w:eastAsia="Aptos" w:hAnsi="Arial" w:cs="Arial"/>
          <w:bCs/>
          <w:kern w:val="2"/>
          <w:lang w:eastAsia="en-US"/>
          <w14:ligatures w14:val="standardContextual"/>
        </w:rPr>
        <w:t>perceived</w:t>
      </w:r>
      <w:r w:rsidRPr="00A638AB">
        <w:rPr>
          <w:rFonts w:ascii="Arial" w:eastAsia="Aptos" w:hAnsi="Arial" w:cs="Arial"/>
          <w:bCs/>
          <w:kern w:val="2"/>
          <w:lang w:eastAsia="en-US"/>
          <w14:ligatures w14:val="standardContextual"/>
        </w:rPr>
        <w:t xml:space="preserve"> as exceeding their personal resources</w:t>
      </w:r>
      <w:r w:rsidR="00CF5A17">
        <w:rPr>
          <w:rFonts w:ascii="Arial" w:eastAsia="Aptos" w:hAnsi="Arial" w:cs="Arial"/>
          <w:bCs/>
          <w:kern w:val="2"/>
          <w:lang w:eastAsia="en-US"/>
          <w14:ligatures w14:val="standardContextual"/>
        </w:rPr>
        <w:t xml:space="preserve"> </w:t>
      </w:r>
      <w:r w:rsidR="00CF5A17" w:rsidRPr="00CF5A17">
        <w:rPr>
          <w:rFonts w:ascii="Arial" w:eastAsia="Aptos" w:hAnsi="Arial" w:cs="Arial"/>
          <w:bCs/>
          <w:kern w:val="2"/>
          <w:lang w:eastAsia="en-US"/>
          <w14:ligatures w14:val="standardContextual"/>
        </w:rPr>
        <w:t>(Zhu </w:t>
      </w:r>
      <w:r w:rsidR="00CF5A17" w:rsidRPr="00CF5A17">
        <w:rPr>
          <w:rFonts w:ascii="Arial" w:eastAsia="Aptos" w:hAnsi="Arial" w:cs="Arial"/>
          <w:bCs/>
          <w:i/>
          <w:iCs/>
          <w:kern w:val="2"/>
          <w:lang w:eastAsia="en-US"/>
          <w14:ligatures w14:val="standardContextual"/>
        </w:rPr>
        <w:t>et al.</w:t>
      </w:r>
      <w:r w:rsidR="00CF5A17" w:rsidRPr="00CF5A17">
        <w:rPr>
          <w:rFonts w:ascii="Arial" w:eastAsia="Aptos" w:hAnsi="Arial" w:cs="Arial"/>
          <w:bCs/>
          <w:kern w:val="2"/>
          <w:lang w:eastAsia="en-US"/>
          <w14:ligatures w14:val="standardContextual"/>
        </w:rPr>
        <w:t>, 2023)</w:t>
      </w:r>
      <w:r w:rsidRPr="00A638AB">
        <w:rPr>
          <w:rFonts w:ascii="Arial" w:eastAsia="Aptos" w:hAnsi="Arial" w:cs="Arial"/>
          <w:bCs/>
          <w:kern w:val="2"/>
          <w:lang w:eastAsia="en-US"/>
          <w14:ligatures w14:val="standardContextual"/>
        </w:rPr>
        <w:t>. In the context of this research, it encompasses the actions, thoughts, and emotions that healthcare workers consciously used to mitigate the psychological distress caused by their work during the COVID-19 pandemic. Specific terminology relevant to this theme includes 'problem-focused coping', which involves directly addressing the stressor through practical actions, and 'emotion-focused coping', which aims to regulate the emotional distress associated with the situation rather than changing the stressor itself</w:t>
      </w:r>
      <w:r w:rsidR="00D05133">
        <w:rPr>
          <w:rFonts w:ascii="Arial" w:eastAsia="Aptos" w:hAnsi="Arial" w:cs="Arial"/>
          <w:bCs/>
          <w:kern w:val="2"/>
          <w:lang w:eastAsia="en-US"/>
          <w14:ligatures w14:val="standardContextual"/>
        </w:rPr>
        <w:t xml:space="preserve"> </w:t>
      </w:r>
      <w:r w:rsidR="00D05133" w:rsidRPr="00D05133">
        <w:rPr>
          <w:rFonts w:ascii="Arial" w:eastAsia="Aptos" w:hAnsi="Arial" w:cs="Arial"/>
          <w:bCs/>
          <w:kern w:val="2"/>
          <w:lang w:eastAsia="en-US"/>
          <w14:ligatures w14:val="standardContextual"/>
        </w:rPr>
        <w:t>(Htay </w:t>
      </w:r>
      <w:r w:rsidR="00D05133" w:rsidRPr="00D05133">
        <w:rPr>
          <w:rFonts w:ascii="Arial" w:eastAsia="Aptos" w:hAnsi="Arial" w:cs="Arial"/>
          <w:bCs/>
          <w:i/>
          <w:iCs/>
          <w:kern w:val="2"/>
          <w:lang w:eastAsia="en-US"/>
          <w14:ligatures w14:val="standardContextual"/>
        </w:rPr>
        <w:t>et al.</w:t>
      </w:r>
      <w:r w:rsidR="00D05133" w:rsidRPr="00D05133">
        <w:rPr>
          <w:rFonts w:ascii="Arial" w:eastAsia="Aptos" w:hAnsi="Arial" w:cs="Arial"/>
          <w:bCs/>
          <w:kern w:val="2"/>
          <w:lang w:eastAsia="en-US"/>
          <w14:ligatures w14:val="standardContextual"/>
        </w:rPr>
        <w:t>, 2021)</w:t>
      </w:r>
      <w:r w:rsidRPr="00A638AB">
        <w:rPr>
          <w:rFonts w:ascii="Arial" w:eastAsia="Aptos" w:hAnsi="Arial" w:cs="Arial"/>
          <w:bCs/>
          <w:kern w:val="2"/>
          <w:lang w:eastAsia="en-US"/>
          <w14:ligatures w14:val="standardContextual"/>
        </w:rPr>
        <w:t>. The distinction between adaptive coping strategies, which promote long-term wellbeing, and maladaptive strategies, which may provide temporary relief but exacerbate problems over time, is also central to understanding this theme</w:t>
      </w:r>
      <w:r w:rsidR="005B365B">
        <w:rPr>
          <w:rFonts w:ascii="Arial" w:eastAsia="Aptos" w:hAnsi="Arial" w:cs="Arial"/>
          <w:bCs/>
          <w:kern w:val="2"/>
          <w:lang w:eastAsia="en-US"/>
          <w14:ligatures w14:val="standardContextual"/>
        </w:rPr>
        <w:t xml:space="preserve"> </w:t>
      </w:r>
      <w:r w:rsidR="005B365B" w:rsidRPr="00CF5A17">
        <w:rPr>
          <w:rFonts w:ascii="Arial" w:eastAsia="Aptos" w:hAnsi="Arial" w:cs="Arial"/>
          <w:bCs/>
          <w:kern w:val="2"/>
          <w:lang w:eastAsia="en-US"/>
          <w14:ligatures w14:val="standardContextual"/>
        </w:rPr>
        <w:t>(Zhu </w:t>
      </w:r>
      <w:r w:rsidR="005B365B" w:rsidRPr="00CF5A17">
        <w:rPr>
          <w:rFonts w:ascii="Arial" w:eastAsia="Aptos" w:hAnsi="Arial" w:cs="Arial"/>
          <w:bCs/>
          <w:i/>
          <w:iCs/>
          <w:kern w:val="2"/>
          <w:lang w:eastAsia="en-US"/>
          <w14:ligatures w14:val="standardContextual"/>
        </w:rPr>
        <w:t>et al.</w:t>
      </w:r>
      <w:r w:rsidR="005B365B" w:rsidRPr="00CF5A17">
        <w:rPr>
          <w:rFonts w:ascii="Arial" w:eastAsia="Aptos" w:hAnsi="Arial" w:cs="Arial"/>
          <w:bCs/>
          <w:kern w:val="2"/>
          <w:lang w:eastAsia="en-US"/>
          <w14:ligatures w14:val="standardContextual"/>
        </w:rPr>
        <w:t>, 2023)</w:t>
      </w:r>
      <w:r w:rsidRPr="00A638AB">
        <w:rPr>
          <w:rFonts w:ascii="Arial" w:eastAsia="Aptos" w:hAnsi="Arial" w:cs="Arial"/>
          <w:bCs/>
          <w:kern w:val="2"/>
          <w:lang w:eastAsia="en-US"/>
          <w14:ligatures w14:val="standardContextual"/>
        </w:rPr>
        <w:t>.</w:t>
      </w:r>
    </w:p>
    <w:p w14:paraId="7B6044FC" w14:textId="7737D435" w:rsidR="00A638AB" w:rsidRPr="00A638AB" w:rsidRDefault="00D05133" w:rsidP="00A638AB">
      <w:pPr>
        <w:spacing w:before="240" w:line="360" w:lineRule="auto"/>
        <w:textAlignment w:val="baseline"/>
        <w:rPr>
          <w:rFonts w:ascii="Arial" w:eastAsia="Aptos" w:hAnsi="Arial" w:cs="Arial"/>
          <w:bCs/>
          <w:kern w:val="2"/>
          <w:lang w:eastAsia="en-US"/>
          <w14:ligatures w14:val="standardContextual"/>
        </w:rPr>
      </w:pPr>
      <w:r w:rsidRPr="00D05133">
        <w:rPr>
          <w:rFonts w:ascii="Arial" w:eastAsia="Aptos" w:hAnsi="Arial" w:cs="Arial"/>
          <w:bCs/>
          <w:kern w:val="2"/>
          <w:lang w:eastAsia="en-US"/>
          <w14:ligatures w14:val="standardContextual"/>
        </w:rPr>
        <w:t>Htay </w:t>
      </w:r>
      <w:r w:rsidRPr="00D05133">
        <w:rPr>
          <w:rFonts w:ascii="Arial" w:eastAsia="Aptos" w:hAnsi="Arial" w:cs="Arial"/>
          <w:bCs/>
          <w:i/>
          <w:iCs/>
          <w:kern w:val="2"/>
          <w:lang w:eastAsia="en-US"/>
          <w14:ligatures w14:val="standardContextual"/>
        </w:rPr>
        <w:t>et al.</w:t>
      </w:r>
      <w:r w:rsidRPr="00D05133">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w:t>
      </w:r>
      <w:r w:rsidRPr="00D05133">
        <w:rPr>
          <w:rFonts w:ascii="Arial" w:eastAsia="Aptos" w:hAnsi="Arial" w:cs="Arial"/>
          <w:bCs/>
          <w:kern w:val="2"/>
          <w:lang w:eastAsia="en-US"/>
          <w14:ligatures w14:val="standardContextual"/>
        </w:rPr>
        <w:t>2021)</w:t>
      </w:r>
      <w:r>
        <w:rPr>
          <w:rFonts w:ascii="Arial" w:eastAsia="Aptos" w:hAnsi="Arial" w:cs="Arial"/>
          <w:bCs/>
          <w:kern w:val="2"/>
          <w:lang w:eastAsia="en-US"/>
          <w14:ligatures w14:val="standardContextual"/>
        </w:rPr>
        <w:t xml:space="preserve"> elucidate that</w:t>
      </w:r>
      <w:r w:rsidR="00A638AB" w:rsidRPr="00A638AB">
        <w:rPr>
          <w:rFonts w:ascii="Arial" w:eastAsia="Aptos" w:hAnsi="Arial" w:cs="Arial"/>
          <w:bCs/>
          <w:kern w:val="2"/>
          <w:lang w:eastAsia="en-US"/>
          <w14:ligatures w14:val="standardContextual"/>
        </w:rPr>
        <w:t xml:space="preserve"> healthcare workers have</w:t>
      </w:r>
      <w:r w:rsidR="00A479BD">
        <w:rPr>
          <w:rFonts w:ascii="Arial" w:eastAsia="Aptos" w:hAnsi="Arial" w:cs="Arial"/>
          <w:bCs/>
          <w:kern w:val="2"/>
          <w:lang w:eastAsia="en-US"/>
          <w14:ligatures w14:val="standardContextual"/>
        </w:rPr>
        <w:t xml:space="preserve"> historically</w:t>
      </w:r>
      <w:r w:rsidR="00A638AB" w:rsidRPr="00A638AB">
        <w:rPr>
          <w:rFonts w:ascii="Arial" w:eastAsia="Aptos" w:hAnsi="Arial" w:cs="Arial"/>
          <w:bCs/>
          <w:kern w:val="2"/>
          <w:lang w:eastAsia="en-US"/>
          <w14:ligatures w14:val="standardContextual"/>
        </w:rPr>
        <w:t xml:space="preserve"> been required to develop coping mechanisms to manage the inherent stresses of their roles, including exposure to suffering, high-stakes decision-making, and emotional labour. </w:t>
      </w:r>
      <w:r w:rsidR="00A479BD">
        <w:rPr>
          <w:rFonts w:ascii="Arial" w:eastAsia="Aptos" w:hAnsi="Arial" w:cs="Arial"/>
          <w:bCs/>
          <w:kern w:val="2"/>
          <w:lang w:eastAsia="en-US"/>
          <w14:ligatures w14:val="standardContextual"/>
        </w:rPr>
        <w:t>Before the recent</w:t>
      </w:r>
      <w:r w:rsidR="00A638AB" w:rsidRPr="00A638AB">
        <w:rPr>
          <w:rFonts w:ascii="Arial" w:eastAsia="Aptos" w:hAnsi="Arial" w:cs="Arial"/>
          <w:bCs/>
          <w:kern w:val="2"/>
          <w:lang w:eastAsia="en-US"/>
          <w14:ligatures w14:val="standardContextual"/>
        </w:rPr>
        <w:t xml:space="preserve"> COVID-19</w:t>
      </w:r>
      <w:r w:rsidR="00A479BD">
        <w:rPr>
          <w:rFonts w:ascii="Arial" w:eastAsia="Aptos" w:hAnsi="Arial" w:cs="Arial"/>
          <w:bCs/>
          <w:kern w:val="2"/>
          <w:lang w:eastAsia="en-US"/>
          <w14:ligatures w14:val="standardContextual"/>
        </w:rPr>
        <w:t xml:space="preserve"> pandemic</w:t>
      </w:r>
      <w:r w:rsidR="00A638AB" w:rsidRPr="00A638AB">
        <w:rPr>
          <w:rFonts w:ascii="Arial" w:eastAsia="Aptos" w:hAnsi="Arial" w:cs="Arial"/>
          <w:bCs/>
          <w:kern w:val="2"/>
          <w:lang w:eastAsia="en-US"/>
          <w14:ligatures w14:val="standardContextual"/>
        </w:rPr>
        <w:t xml:space="preserve">, research following </w:t>
      </w:r>
      <w:r w:rsidR="00A479BD">
        <w:rPr>
          <w:rFonts w:ascii="Arial" w:eastAsia="Aptos" w:hAnsi="Arial" w:cs="Arial"/>
          <w:bCs/>
          <w:kern w:val="2"/>
          <w:lang w:eastAsia="en-US"/>
          <w14:ligatures w14:val="standardContextual"/>
        </w:rPr>
        <w:t xml:space="preserve">other </w:t>
      </w:r>
      <w:r w:rsidR="00A638AB" w:rsidRPr="00A638AB">
        <w:rPr>
          <w:rFonts w:ascii="Arial" w:eastAsia="Aptos" w:hAnsi="Arial" w:cs="Arial"/>
          <w:bCs/>
          <w:kern w:val="2"/>
          <w:lang w:eastAsia="en-US"/>
          <w14:ligatures w14:val="standardContextual"/>
        </w:rPr>
        <w:t>outbreaks demonstrated that healthcare professionals utilised a range of strategies, including social support, positive reframing, and avoidance</w:t>
      </w:r>
      <w:r>
        <w:rPr>
          <w:rFonts w:ascii="Arial" w:eastAsia="Aptos" w:hAnsi="Arial" w:cs="Arial"/>
          <w:bCs/>
          <w:kern w:val="2"/>
          <w:lang w:eastAsia="en-US"/>
          <w14:ligatures w14:val="standardContextual"/>
        </w:rPr>
        <w:t xml:space="preserve"> </w:t>
      </w:r>
      <w:r w:rsidRPr="00A638AB">
        <w:rPr>
          <w:rFonts w:ascii="Arial" w:eastAsia="Aptos" w:hAnsi="Arial" w:cs="Arial"/>
          <w:bCs/>
          <w:kern w:val="2"/>
          <w:lang w:eastAsia="en-US"/>
          <w14:ligatures w14:val="standardContextual"/>
        </w:rPr>
        <w:t>in some cases</w:t>
      </w:r>
      <w:r w:rsidR="00A638AB" w:rsidRPr="00A638AB">
        <w:rPr>
          <w:rFonts w:ascii="Arial" w:eastAsia="Aptos" w:hAnsi="Arial" w:cs="Arial"/>
          <w:bCs/>
          <w:kern w:val="2"/>
          <w:lang w:eastAsia="en-US"/>
          <w14:ligatures w14:val="standardContextual"/>
        </w:rPr>
        <w:t>, to navigate the extraordinary pressures of epidemic conditions</w:t>
      </w:r>
      <w:r>
        <w:rPr>
          <w:rFonts w:ascii="Arial" w:eastAsia="Aptos" w:hAnsi="Arial" w:cs="Arial"/>
          <w:bCs/>
          <w:kern w:val="2"/>
          <w:lang w:eastAsia="en-US"/>
          <w14:ligatures w14:val="standardContextual"/>
        </w:rPr>
        <w:t xml:space="preserve"> </w:t>
      </w:r>
      <w:r w:rsidRPr="00D05133">
        <w:rPr>
          <w:rFonts w:ascii="Arial" w:eastAsia="Aptos" w:hAnsi="Arial" w:cs="Arial"/>
          <w:bCs/>
          <w:kern w:val="2"/>
          <w:lang w:eastAsia="en-US"/>
          <w14:ligatures w14:val="standardContextual"/>
        </w:rPr>
        <w:t>(Gautam </w:t>
      </w:r>
      <w:r w:rsidRPr="00D05133">
        <w:rPr>
          <w:rFonts w:ascii="Arial" w:eastAsia="Aptos" w:hAnsi="Arial" w:cs="Arial"/>
          <w:bCs/>
          <w:i/>
          <w:iCs/>
          <w:kern w:val="2"/>
          <w:lang w:eastAsia="en-US"/>
          <w14:ligatures w14:val="standardContextual"/>
        </w:rPr>
        <w:t>et al.</w:t>
      </w:r>
      <w:r w:rsidRPr="00D05133">
        <w:rPr>
          <w:rFonts w:ascii="Arial" w:eastAsia="Aptos" w:hAnsi="Arial" w:cs="Arial"/>
          <w:bCs/>
          <w:kern w:val="2"/>
          <w:lang w:eastAsia="en-US"/>
          <w14:ligatures w14:val="standardContextual"/>
        </w:rPr>
        <w:t>, 2024)</w:t>
      </w:r>
      <w:r w:rsidR="00A638AB" w:rsidRPr="00A638AB">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However, t</w:t>
      </w:r>
      <w:r w:rsidR="00A638AB" w:rsidRPr="00A638AB">
        <w:rPr>
          <w:rFonts w:ascii="Arial" w:eastAsia="Aptos" w:hAnsi="Arial" w:cs="Arial"/>
          <w:bCs/>
          <w:kern w:val="2"/>
          <w:lang w:eastAsia="en-US"/>
          <w14:ligatures w14:val="standardContextual"/>
        </w:rPr>
        <w:t>he COVID-19 pandemic presented an unprecedented and prolonged crisis</w:t>
      </w:r>
      <w:r>
        <w:rPr>
          <w:rFonts w:ascii="Arial" w:eastAsia="Aptos" w:hAnsi="Arial" w:cs="Arial"/>
          <w:bCs/>
          <w:kern w:val="2"/>
          <w:lang w:eastAsia="en-US"/>
          <w14:ligatures w14:val="standardContextual"/>
        </w:rPr>
        <w:t>, which</w:t>
      </w:r>
      <w:r w:rsidR="00A638AB" w:rsidRPr="00A638AB">
        <w:rPr>
          <w:rFonts w:ascii="Arial" w:eastAsia="Aptos" w:hAnsi="Arial" w:cs="Arial"/>
          <w:bCs/>
          <w:kern w:val="2"/>
          <w:lang w:eastAsia="en-US"/>
          <w14:ligatures w14:val="standardContextual"/>
        </w:rPr>
        <w:t xml:space="preserve"> necessitated the </w:t>
      </w:r>
      <w:r>
        <w:rPr>
          <w:rFonts w:ascii="Arial" w:eastAsia="Aptos" w:hAnsi="Arial" w:cs="Arial"/>
          <w:bCs/>
          <w:kern w:val="2"/>
          <w:lang w:eastAsia="en-US"/>
          <w14:ligatures w14:val="standardContextual"/>
        </w:rPr>
        <w:t>use</w:t>
      </w:r>
      <w:r w:rsidR="00A638AB" w:rsidRPr="00A638AB">
        <w:rPr>
          <w:rFonts w:ascii="Arial" w:eastAsia="Aptos" w:hAnsi="Arial" w:cs="Arial"/>
          <w:bCs/>
          <w:kern w:val="2"/>
          <w:lang w:eastAsia="en-US"/>
          <w14:ligatures w14:val="standardContextual"/>
        </w:rPr>
        <w:t xml:space="preserve"> of existing coping </w:t>
      </w:r>
      <w:r>
        <w:rPr>
          <w:rFonts w:ascii="Arial" w:eastAsia="Aptos" w:hAnsi="Arial" w:cs="Arial"/>
          <w:bCs/>
          <w:kern w:val="2"/>
          <w:lang w:eastAsia="en-US"/>
          <w14:ligatures w14:val="standardContextual"/>
        </w:rPr>
        <w:t>strategies</w:t>
      </w:r>
      <w:r w:rsidR="00A638AB" w:rsidRPr="00A638AB">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and</w:t>
      </w:r>
      <w:r w:rsidR="00A638AB" w:rsidRPr="00A638AB">
        <w:rPr>
          <w:rFonts w:ascii="Arial" w:eastAsia="Aptos" w:hAnsi="Arial" w:cs="Arial"/>
          <w:bCs/>
          <w:kern w:val="2"/>
          <w:lang w:eastAsia="en-US"/>
          <w14:ligatures w14:val="standardContextual"/>
        </w:rPr>
        <w:t xml:space="preserve"> the development of novel strategies to </w:t>
      </w:r>
      <w:r>
        <w:rPr>
          <w:rFonts w:ascii="Arial" w:eastAsia="Aptos" w:hAnsi="Arial" w:cs="Arial"/>
          <w:bCs/>
          <w:kern w:val="2"/>
          <w:lang w:eastAsia="en-US"/>
          <w14:ligatures w14:val="standardContextual"/>
        </w:rPr>
        <w:t>mitigate</w:t>
      </w:r>
      <w:r w:rsidR="00A638AB" w:rsidRPr="00A638AB">
        <w:rPr>
          <w:rFonts w:ascii="Arial" w:eastAsia="Aptos" w:hAnsi="Arial" w:cs="Arial"/>
          <w:bCs/>
          <w:kern w:val="2"/>
          <w:lang w:eastAsia="en-US"/>
          <w14:ligatures w14:val="standardContextual"/>
        </w:rPr>
        <w:t xml:space="preserve"> with the unique and </w:t>
      </w:r>
      <w:r>
        <w:rPr>
          <w:rFonts w:ascii="Arial" w:eastAsia="Aptos" w:hAnsi="Arial" w:cs="Arial"/>
          <w:bCs/>
          <w:kern w:val="2"/>
          <w:lang w:eastAsia="en-US"/>
          <w14:ligatures w14:val="standardContextual"/>
        </w:rPr>
        <w:t>unprecedented</w:t>
      </w:r>
      <w:r w:rsidR="00A638AB" w:rsidRPr="00A638AB">
        <w:rPr>
          <w:rFonts w:ascii="Arial" w:eastAsia="Aptos" w:hAnsi="Arial" w:cs="Arial"/>
          <w:bCs/>
          <w:kern w:val="2"/>
          <w:lang w:eastAsia="en-US"/>
          <w14:ligatures w14:val="standardContextual"/>
        </w:rPr>
        <w:t xml:space="preserve"> nature of the challenge.</w:t>
      </w:r>
    </w:p>
    <w:p w14:paraId="335886DC" w14:textId="04F1DD9C" w:rsidR="00A638AB" w:rsidRPr="00A638AB" w:rsidRDefault="00D05133" w:rsidP="00A638AB">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This u</w:t>
      </w:r>
      <w:r w:rsidR="00A638AB" w:rsidRPr="00A638AB">
        <w:rPr>
          <w:rFonts w:ascii="Arial" w:eastAsia="Aptos" w:hAnsi="Arial" w:cs="Arial"/>
          <w:bCs/>
          <w:kern w:val="2"/>
          <w:lang w:eastAsia="en-US"/>
          <w14:ligatures w14:val="standardContextual"/>
        </w:rPr>
        <w:t>nderstanding is fundamental to this research, as it directly addresses the second component of the research question</w:t>
      </w:r>
      <w:r w:rsidR="00A479BD">
        <w:rPr>
          <w:rFonts w:ascii="Arial" w:eastAsia="Aptos" w:hAnsi="Arial" w:cs="Arial"/>
          <w:bCs/>
          <w:kern w:val="2"/>
          <w:lang w:eastAsia="en-US"/>
          <w14:ligatures w14:val="standardContextual"/>
        </w:rPr>
        <w:t>, which is</w:t>
      </w:r>
      <w:r w:rsidR="00A638AB" w:rsidRPr="00A638AB">
        <w:rPr>
          <w:rFonts w:ascii="Arial" w:eastAsia="Aptos" w:hAnsi="Arial" w:cs="Arial"/>
          <w:bCs/>
          <w:kern w:val="2"/>
          <w:lang w:eastAsia="en-US"/>
          <w14:ligatures w14:val="standardContextual"/>
        </w:rPr>
        <w:t xml:space="preserve"> the mechanisms used to support mental health and wellbeing. While the first theme establishes the prevalence of mental health difficulties, this theme explores the behavioural and cognitive responses to those difficulties. It moves beyond quantifying distress to examining how individuals actively attempted to manage it, </w:t>
      </w:r>
      <w:r>
        <w:rPr>
          <w:rFonts w:ascii="Arial" w:eastAsia="Aptos" w:hAnsi="Arial" w:cs="Arial"/>
          <w:bCs/>
          <w:kern w:val="2"/>
          <w:lang w:eastAsia="en-US"/>
          <w14:ligatures w14:val="standardContextual"/>
        </w:rPr>
        <w:t>which consequently</w:t>
      </w:r>
      <w:r w:rsidR="00A638AB" w:rsidRPr="00A638AB">
        <w:rPr>
          <w:rFonts w:ascii="Arial" w:eastAsia="Aptos" w:hAnsi="Arial" w:cs="Arial"/>
          <w:bCs/>
          <w:kern w:val="2"/>
          <w:lang w:eastAsia="en-US"/>
          <w14:ligatures w14:val="standardContextual"/>
        </w:rPr>
        <w:t xml:space="preserve"> provid</w:t>
      </w:r>
      <w:r>
        <w:rPr>
          <w:rFonts w:ascii="Arial" w:eastAsia="Aptos" w:hAnsi="Arial" w:cs="Arial"/>
          <w:bCs/>
          <w:kern w:val="2"/>
          <w:lang w:eastAsia="en-US"/>
          <w14:ligatures w14:val="standardContextual"/>
        </w:rPr>
        <w:t>es</w:t>
      </w:r>
      <w:r w:rsidR="00A638AB" w:rsidRPr="00A638AB">
        <w:rPr>
          <w:rFonts w:ascii="Arial" w:eastAsia="Aptos" w:hAnsi="Arial" w:cs="Arial"/>
          <w:bCs/>
          <w:kern w:val="2"/>
          <w:lang w:eastAsia="en-US"/>
          <w14:ligatures w14:val="standardContextual"/>
        </w:rPr>
        <w:t xml:space="preserve"> insight into the processes that either mitigated or exacerbated the psychological impact of the pandemic. This understanding is essential for identifying which strategies should be encouraged, supported, or discouraged in future workforce planning.</w:t>
      </w:r>
    </w:p>
    <w:p w14:paraId="6A672E7D" w14:textId="59DAD534"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McFadden et al. (2021)</w:t>
      </w:r>
      <w:r w:rsidR="00C93C92">
        <w:rPr>
          <w:rFonts w:ascii="Arial" w:eastAsia="Aptos" w:hAnsi="Arial" w:cs="Arial"/>
          <w:bCs/>
          <w:kern w:val="2"/>
          <w:lang w:eastAsia="en-US"/>
          <w14:ligatures w14:val="standardContextual"/>
        </w:rPr>
        <w:t xml:space="preserve"> conducted a</w:t>
      </w:r>
      <w:r w:rsidRPr="00A638AB">
        <w:rPr>
          <w:rFonts w:ascii="Arial" w:eastAsia="Aptos" w:hAnsi="Arial" w:cs="Arial"/>
          <w:bCs/>
          <w:kern w:val="2"/>
          <w:lang w:eastAsia="en-US"/>
          <w14:ligatures w14:val="standardContextual"/>
        </w:rPr>
        <w:t xml:space="preserve"> large cross-sectional survey of UK health and social care workers across two time points</w:t>
      </w:r>
      <w:r w:rsidR="00C93C92">
        <w:rPr>
          <w:rFonts w:ascii="Arial" w:eastAsia="Aptos" w:hAnsi="Arial" w:cs="Arial"/>
          <w:bCs/>
          <w:kern w:val="2"/>
          <w:lang w:eastAsia="en-US"/>
          <w14:ligatures w14:val="standardContextual"/>
        </w:rPr>
        <w:t xml:space="preserve"> and</w:t>
      </w:r>
      <w:r w:rsidRPr="00A638AB">
        <w:rPr>
          <w:rFonts w:ascii="Arial" w:eastAsia="Aptos" w:hAnsi="Arial" w:cs="Arial"/>
          <w:bCs/>
          <w:kern w:val="2"/>
          <w:lang w:eastAsia="en-US"/>
          <w14:ligatures w14:val="standardContextual"/>
        </w:rPr>
        <w:t xml:space="preserve"> demonstrated significant changes in coping strategy usage. They found that positive strategies such as active coping, positive reframing, and acceptance were used less frequently in Phase 2 (November 2020-January 2021) compared to Phase 1 (May-July 2020), while negative strategies including venting, behavioural disengagement, and self-blame increased over time</w:t>
      </w:r>
      <w:r w:rsidR="00C93C92">
        <w:rPr>
          <w:rFonts w:ascii="Arial" w:eastAsia="Aptos" w:hAnsi="Arial" w:cs="Arial"/>
          <w:bCs/>
          <w:kern w:val="2"/>
          <w:lang w:eastAsia="en-US"/>
          <w14:ligatures w14:val="standardContextual"/>
        </w:rPr>
        <w:t xml:space="preserve"> </w:t>
      </w:r>
      <w:r w:rsidR="00C93C92" w:rsidRPr="00C93C92">
        <w:rPr>
          <w:rFonts w:ascii="Arial" w:eastAsia="Aptos" w:hAnsi="Arial" w:cs="Arial"/>
          <w:bCs/>
          <w:kern w:val="2"/>
          <w:lang w:eastAsia="en-US"/>
          <w14:ligatures w14:val="standardContextual"/>
        </w:rPr>
        <w:t>(McFadden </w:t>
      </w:r>
      <w:r w:rsidR="00C93C92" w:rsidRPr="00C93C92">
        <w:rPr>
          <w:rFonts w:ascii="Arial" w:eastAsia="Aptos" w:hAnsi="Arial" w:cs="Arial"/>
          <w:bCs/>
          <w:i/>
          <w:iCs/>
          <w:kern w:val="2"/>
          <w:lang w:eastAsia="en-US"/>
          <w14:ligatures w14:val="standardContextual"/>
        </w:rPr>
        <w:t>et al.</w:t>
      </w:r>
      <w:r w:rsidR="00C93C92" w:rsidRPr="00C93C92">
        <w:rPr>
          <w:rFonts w:ascii="Arial" w:eastAsia="Aptos" w:hAnsi="Arial" w:cs="Arial"/>
          <w:bCs/>
          <w:kern w:val="2"/>
          <w:lang w:eastAsia="en-US"/>
          <w14:ligatures w14:val="standardContextual"/>
        </w:rPr>
        <w:t>, 2021)</w:t>
      </w:r>
      <w:r w:rsidRPr="00A638AB">
        <w:rPr>
          <w:rFonts w:ascii="Arial" w:eastAsia="Aptos" w:hAnsi="Arial" w:cs="Arial"/>
          <w:bCs/>
          <w:kern w:val="2"/>
          <w:lang w:eastAsia="en-US"/>
          <w14:ligatures w14:val="standardContextual"/>
        </w:rPr>
        <w:t>. For instance, active coping scores decreased from a mean of 6.08 to 5.51, whilst self-blame increased from 3.27 to 3.93. Importantly, when coping strategies were statistically controlled for, the significant deterioration in wellbeing and quality of working life between phases disappeared</w:t>
      </w:r>
      <w:r w:rsidR="00C93C92">
        <w:rPr>
          <w:rFonts w:ascii="Arial" w:eastAsia="Aptos" w:hAnsi="Arial" w:cs="Arial"/>
          <w:bCs/>
          <w:kern w:val="2"/>
          <w:lang w:eastAsia="en-US"/>
          <w14:ligatures w14:val="standardContextual"/>
        </w:rPr>
        <w:t xml:space="preserve"> </w:t>
      </w:r>
      <w:r w:rsidR="00C93C92" w:rsidRPr="00C93C92">
        <w:rPr>
          <w:rFonts w:ascii="Arial" w:eastAsia="Aptos" w:hAnsi="Arial" w:cs="Arial"/>
          <w:bCs/>
          <w:kern w:val="2"/>
          <w:lang w:eastAsia="en-US"/>
          <w14:ligatures w14:val="standardContextual"/>
        </w:rPr>
        <w:t>(McFadden </w:t>
      </w:r>
      <w:r w:rsidR="00C93C92" w:rsidRPr="00C93C92">
        <w:rPr>
          <w:rFonts w:ascii="Arial" w:eastAsia="Aptos" w:hAnsi="Arial" w:cs="Arial"/>
          <w:bCs/>
          <w:i/>
          <w:iCs/>
          <w:kern w:val="2"/>
          <w:lang w:eastAsia="en-US"/>
          <w14:ligatures w14:val="standardContextual"/>
        </w:rPr>
        <w:t>et al.</w:t>
      </w:r>
      <w:r w:rsidR="00C93C92" w:rsidRPr="00C93C92">
        <w:rPr>
          <w:rFonts w:ascii="Arial" w:eastAsia="Aptos" w:hAnsi="Arial" w:cs="Arial"/>
          <w:bCs/>
          <w:kern w:val="2"/>
          <w:lang w:eastAsia="en-US"/>
          <w14:ligatures w14:val="standardContextual"/>
        </w:rPr>
        <w:t>, 2021)</w:t>
      </w:r>
      <w:r w:rsidR="00C93C92">
        <w:rPr>
          <w:rFonts w:ascii="Arial" w:eastAsia="Aptos" w:hAnsi="Arial" w:cs="Arial"/>
          <w:bCs/>
          <w:kern w:val="2"/>
          <w:lang w:eastAsia="en-US"/>
          <w14:ligatures w14:val="standardContextual"/>
        </w:rPr>
        <w:t>. This infers that</w:t>
      </w:r>
      <w:r w:rsidRPr="00A638AB">
        <w:rPr>
          <w:rFonts w:ascii="Arial" w:eastAsia="Aptos" w:hAnsi="Arial" w:cs="Arial"/>
          <w:bCs/>
          <w:kern w:val="2"/>
          <w:lang w:eastAsia="en-US"/>
          <w14:ligatures w14:val="standardContextual"/>
        </w:rPr>
        <w:t xml:space="preserve"> changes in coping, rather than the passage of time alone, explained the decline in mental health outcomes.</w:t>
      </w:r>
    </w:p>
    <w:p w14:paraId="136F59DD" w14:textId="62192524" w:rsidR="00A638AB" w:rsidRPr="00A638AB" w:rsidRDefault="00C93C92" w:rsidP="00A638AB">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 xml:space="preserve">In contrast, </w:t>
      </w:r>
      <w:proofErr w:type="spellStart"/>
      <w:r w:rsidR="00A638AB" w:rsidRPr="00A638AB">
        <w:rPr>
          <w:rFonts w:ascii="Arial" w:eastAsia="Aptos" w:hAnsi="Arial" w:cs="Arial"/>
          <w:bCs/>
          <w:kern w:val="2"/>
          <w:lang w:eastAsia="en-US"/>
          <w14:ligatures w14:val="standardContextual"/>
        </w:rPr>
        <w:t>Agbonmwandolor</w:t>
      </w:r>
      <w:proofErr w:type="spellEnd"/>
      <w:r w:rsidR="00A638AB" w:rsidRPr="00A638AB">
        <w:rPr>
          <w:rFonts w:ascii="Arial" w:eastAsia="Aptos" w:hAnsi="Arial" w:cs="Arial"/>
          <w:bCs/>
          <w:kern w:val="2"/>
          <w:lang w:eastAsia="en-US"/>
          <w14:ligatures w14:val="standardContextual"/>
        </w:rPr>
        <w:t xml:space="preserve"> et al. (2024) focus</w:t>
      </w:r>
      <w:r>
        <w:rPr>
          <w:rFonts w:ascii="Arial" w:eastAsia="Aptos" w:hAnsi="Arial" w:cs="Arial"/>
          <w:bCs/>
          <w:kern w:val="2"/>
          <w:lang w:eastAsia="en-US"/>
          <w14:ligatures w14:val="standardContextual"/>
        </w:rPr>
        <w:t>ed</w:t>
      </w:r>
      <w:r w:rsidR="00A638AB" w:rsidRPr="00A638AB">
        <w:rPr>
          <w:rFonts w:ascii="Arial" w:eastAsia="Aptos" w:hAnsi="Arial" w:cs="Arial"/>
          <w:bCs/>
          <w:kern w:val="2"/>
          <w:lang w:eastAsia="en-US"/>
          <w14:ligatures w14:val="standardContextual"/>
        </w:rPr>
        <w:t xml:space="preserve"> specifically on migrant healthcare workers, </w:t>
      </w:r>
      <w:r>
        <w:rPr>
          <w:rFonts w:ascii="Arial" w:eastAsia="Aptos" w:hAnsi="Arial" w:cs="Arial"/>
          <w:bCs/>
          <w:kern w:val="2"/>
          <w:lang w:eastAsia="en-US"/>
          <w14:ligatures w14:val="standardContextual"/>
        </w:rPr>
        <w:t xml:space="preserve">which </w:t>
      </w:r>
      <w:r w:rsidR="00A638AB" w:rsidRPr="00A638AB">
        <w:rPr>
          <w:rFonts w:ascii="Arial" w:eastAsia="Aptos" w:hAnsi="Arial" w:cs="Arial"/>
          <w:bCs/>
          <w:kern w:val="2"/>
          <w:lang w:eastAsia="en-US"/>
          <w14:ligatures w14:val="standardContextual"/>
        </w:rPr>
        <w:t>provided rich qualitative data elucidating the lived experience of coping. Their analysis identified both emotion-focused strategies, such as seeking family and social support and relying on religious beliefs, and problem-focused strategies, including engaging in self-care activities like exercise and gardening, and accessing professional support services. One participant described how starting a business shifted focus away from the pandemic, whilst another highlighted the solace found in gardening as a means of mental escape</w:t>
      </w:r>
      <w:r>
        <w:rPr>
          <w:rFonts w:ascii="Arial" w:eastAsia="Aptos" w:hAnsi="Arial" w:cs="Arial"/>
          <w:bCs/>
          <w:kern w:val="2"/>
          <w:lang w:eastAsia="en-US"/>
          <w14:ligatures w14:val="standardContextual"/>
        </w:rPr>
        <w:t xml:space="preserve"> </w:t>
      </w:r>
      <w:r w:rsidRPr="00C93C92">
        <w:rPr>
          <w:rFonts w:ascii="Arial" w:eastAsia="Aptos" w:hAnsi="Arial" w:cs="Arial"/>
          <w:bCs/>
          <w:kern w:val="2"/>
          <w:lang w:eastAsia="en-US"/>
          <w14:ligatures w14:val="standardContextual"/>
        </w:rPr>
        <w:t>(</w:t>
      </w:r>
      <w:proofErr w:type="spellStart"/>
      <w:r w:rsidRPr="00C93C92">
        <w:rPr>
          <w:rFonts w:ascii="Arial" w:eastAsia="Aptos" w:hAnsi="Arial" w:cs="Arial"/>
          <w:bCs/>
          <w:kern w:val="2"/>
          <w:lang w:eastAsia="en-US"/>
          <w14:ligatures w14:val="standardContextual"/>
        </w:rPr>
        <w:t>Agbonmwandolor</w:t>
      </w:r>
      <w:proofErr w:type="spellEnd"/>
      <w:r w:rsidRPr="00C93C92">
        <w:rPr>
          <w:rFonts w:ascii="Arial" w:eastAsia="Aptos" w:hAnsi="Arial" w:cs="Arial"/>
          <w:bCs/>
          <w:kern w:val="2"/>
          <w:lang w:eastAsia="en-US"/>
          <w14:ligatures w14:val="standardContextual"/>
        </w:rPr>
        <w:t> </w:t>
      </w:r>
      <w:r w:rsidRPr="00C93C92">
        <w:rPr>
          <w:rFonts w:ascii="Arial" w:eastAsia="Aptos" w:hAnsi="Arial" w:cs="Arial"/>
          <w:bCs/>
          <w:i/>
          <w:iCs/>
          <w:kern w:val="2"/>
          <w:lang w:eastAsia="en-US"/>
          <w14:ligatures w14:val="standardContextual"/>
        </w:rPr>
        <w:t>et al.</w:t>
      </w:r>
      <w:r w:rsidRPr="00C93C92">
        <w:rPr>
          <w:rFonts w:ascii="Arial" w:eastAsia="Aptos" w:hAnsi="Arial" w:cs="Arial"/>
          <w:bCs/>
          <w:kern w:val="2"/>
          <w:lang w:eastAsia="en-US"/>
          <w14:ligatures w14:val="standardContextual"/>
        </w:rPr>
        <w:t>, 2024)</w:t>
      </w:r>
      <w:r w:rsidR="00A638AB" w:rsidRPr="00A638AB">
        <w:rPr>
          <w:rFonts w:ascii="Arial" w:eastAsia="Aptos" w:hAnsi="Arial" w:cs="Arial"/>
          <w:bCs/>
          <w:kern w:val="2"/>
          <w:lang w:eastAsia="en-US"/>
          <w14:ligatures w14:val="standardContextual"/>
        </w:rPr>
        <w:t xml:space="preserve">. These narratives illustrate the diverse and personalised nature of coping responses. Both articles agree that social support and active engagement in positive activities were crucial, but </w:t>
      </w:r>
      <w:proofErr w:type="spellStart"/>
      <w:r w:rsidR="00A638AB" w:rsidRPr="00A638AB">
        <w:rPr>
          <w:rFonts w:ascii="Arial" w:eastAsia="Aptos" w:hAnsi="Arial" w:cs="Arial"/>
          <w:bCs/>
          <w:kern w:val="2"/>
          <w:lang w:eastAsia="en-US"/>
          <w14:ligatures w14:val="standardContextual"/>
        </w:rPr>
        <w:t>Agbonmwandolor</w:t>
      </w:r>
      <w:proofErr w:type="spellEnd"/>
      <w:r w:rsidR="00A638AB" w:rsidRPr="00A638AB">
        <w:rPr>
          <w:rFonts w:ascii="Arial" w:eastAsia="Aptos" w:hAnsi="Arial" w:cs="Arial"/>
          <w:bCs/>
          <w:kern w:val="2"/>
          <w:lang w:eastAsia="en-US"/>
          <w14:ligatures w14:val="standardContextual"/>
        </w:rPr>
        <w:t xml:space="preserve"> et al. </w:t>
      </w:r>
      <w:r>
        <w:rPr>
          <w:rFonts w:ascii="Arial" w:eastAsia="Aptos" w:hAnsi="Arial" w:cs="Arial"/>
          <w:bCs/>
          <w:kern w:val="2"/>
          <w:lang w:eastAsia="en-US"/>
          <w14:ligatures w14:val="standardContextual"/>
        </w:rPr>
        <w:t xml:space="preserve">(2024) </w:t>
      </w:r>
      <w:r w:rsidR="00A638AB" w:rsidRPr="00A638AB">
        <w:rPr>
          <w:rFonts w:ascii="Arial" w:eastAsia="Aptos" w:hAnsi="Arial" w:cs="Arial"/>
          <w:bCs/>
          <w:kern w:val="2"/>
          <w:lang w:eastAsia="en-US"/>
          <w14:ligatures w14:val="standardContextual"/>
        </w:rPr>
        <w:t>uniquely emphasise the role of religious faith and community connections among migrant workers. Together, these studies demonstrate that while a core set of coping strategies was commonly used, their application and significance varied across different subgroups and changed over the course of the pandemic.</w:t>
      </w:r>
    </w:p>
    <w:p w14:paraId="27278ACE" w14:textId="211957F4"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 xml:space="preserve">Lazarus and Folkman's transactional model of stress and coping provides the primary theoretical lens for this theme. </w:t>
      </w:r>
      <w:r w:rsidR="00F57EBC">
        <w:rPr>
          <w:rFonts w:ascii="Arial" w:eastAsia="Aptos" w:hAnsi="Arial" w:cs="Arial"/>
          <w:bCs/>
          <w:kern w:val="2"/>
          <w:lang w:eastAsia="en-US"/>
          <w14:ligatures w14:val="standardContextual"/>
        </w:rPr>
        <w:t xml:space="preserve">According to </w:t>
      </w:r>
      <w:r w:rsidR="00F57EBC" w:rsidRPr="00F57EBC">
        <w:rPr>
          <w:rFonts w:ascii="Arial" w:eastAsia="Aptos" w:hAnsi="Arial" w:cs="Arial"/>
          <w:bCs/>
          <w:kern w:val="2"/>
          <w:lang w:eastAsia="en-US"/>
          <w14:ligatures w14:val="standardContextual"/>
        </w:rPr>
        <w:t xml:space="preserve">Biggs, Brough and Drummond </w:t>
      </w:r>
      <w:r w:rsidR="00F57EBC">
        <w:rPr>
          <w:rFonts w:ascii="Arial" w:eastAsia="Aptos" w:hAnsi="Arial" w:cs="Arial"/>
          <w:bCs/>
          <w:kern w:val="2"/>
          <w:lang w:eastAsia="en-US"/>
          <w14:ligatures w14:val="standardContextual"/>
        </w:rPr>
        <w:t>(</w:t>
      </w:r>
      <w:r w:rsidR="00F57EBC" w:rsidRPr="00F57EBC">
        <w:rPr>
          <w:rFonts w:ascii="Arial" w:eastAsia="Aptos" w:hAnsi="Arial" w:cs="Arial"/>
          <w:bCs/>
          <w:kern w:val="2"/>
          <w:lang w:eastAsia="en-US"/>
          <w14:ligatures w14:val="standardContextual"/>
        </w:rPr>
        <w:t>2017)</w:t>
      </w:r>
      <w:r w:rsidR="00F57EBC">
        <w:rPr>
          <w:rFonts w:ascii="Arial" w:eastAsia="Aptos" w:hAnsi="Arial" w:cs="Arial"/>
          <w:bCs/>
          <w:kern w:val="2"/>
          <w:lang w:eastAsia="en-US"/>
          <w14:ligatures w14:val="standardContextual"/>
        </w:rPr>
        <w:t>, t</w:t>
      </w:r>
      <w:r w:rsidRPr="00A638AB">
        <w:rPr>
          <w:rFonts w:ascii="Arial" w:eastAsia="Aptos" w:hAnsi="Arial" w:cs="Arial"/>
          <w:bCs/>
          <w:kern w:val="2"/>
          <w:lang w:eastAsia="en-US"/>
          <w14:ligatures w14:val="standardContextual"/>
        </w:rPr>
        <w:t>his model posits that stress arises from an ongoing transaction between the individual and their environment</w:t>
      </w:r>
      <w:r w:rsidR="00F57EBC">
        <w:rPr>
          <w:rFonts w:ascii="Arial" w:eastAsia="Aptos" w:hAnsi="Arial" w:cs="Arial"/>
          <w:bCs/>
          <w:kern w:val="2"/>
          <w:lang w:eastAsia="en-US"/>
          <w14:ligatures w14:val="standardContextual"/>
        </w:rPr>
        <w:t>. This</w:t>
      </w:r>
      <w:r w:rsidRPr="00A638AB">
        <w:rPr>
          <w:rFonts w:ascii="Arial" w:eastAsia="Aptos" w:hAnsi="Arial" w:cs="Arial"/>
          <w:bCs/>
          <w:kern w:val="2"/>
          <w:lang w:eastAsia="en-US"/>
          <w14:ligatures w14:val="standardContextual"/>
        </w:rPr>
        <w:t xml:space="preserve"> involv</w:t>
      </w:r>
      <w:r w:rsidR="00F57EBC">
        <w:rPr>
          <w:rFonts w:ascii="Arial" w:eastAsia="Aptos" w:hAnsi="Arial" w:cs="Arial"/>
          <w:bCs/>
          <w:kern w:val="2"/>
          <w:lang w:eastAsia="en-US"/>
          <w14:ligatures w14:val="standardContextual"/>
        </w:rPr>
        <w:t>es</w:t>
      </w:r>
      <w:r w:rsidRPr="00A638AB">
        <w:rPr>
          <w:rFonts w:ascii="Arial" w:eastAsia="Aptos" w:hAnsi="Arial" w:cs="Arial"/>
          <w:bCs/>
          <w:kern w:val="2"/>
          <w:lang w:eastAsia="en-US"/>
          <w14:ligatures w14:val="standardContextual"/>
        </w:rPr>
        <w:t xml:space="preserve"> primary appraisal (evaluating the significance of the stressor), secondary appraisal (evaluating coping resources and options), and coping efforts themselves</w:t>
      </w:r>
      <w:r w:rsidR="00F57EBC">
        <w:rPr>
          <w:rFonts w:ascii="Arial" w:eastAsia="Aptos" w:hAnsi="Arial" w:cs="Arial"/>
          <w:bCs/>
          <w:kern w:val="2"/>
          <w:lang w:eastAsia="en-US"/>
          <w14:ligatures w14:val="standardContextual"/>
        </w:rPr>
        <w:t xml:space="preserve"> </w:t>
      </w:r>
      <w:r w:rsidR="00F57EBC" w:rsidRPr="00F57EBC">
        <w:rPr>
          <w:rFonts w:ascii="Arial" w:eastAsia="Aptos" w:hAnsi="Arial" w:cs="Arial"/>
          <w:bCs/>
          <w:kern w:val="2"/>
          <w:lang w:eastAsia="en-US"/>
          <w14:ligatures w14:val="standardContextual"/>
        </w:rPr>
        <w:t>(Biggs, Brough and Drummond, 2017)</w:t>
      </w:r>
      <w:r w:rsidRPr="00A638AB">
        <w:rPr>
          <w:rFonts w:ascii="Arial" w:eastAsia="Aptos" w:hAnsi="Arial" w:cs="Arial"/>
          <w:bCs/>
          <w:kern w:val="2"/>
          <w:lang w:eastAsia="en-US"/>
          <w14:ligatures w14:val="standardContextual"/>
        </w:rPr>
        <w:t xml:space="preserve">. </w:t>
      </w:r>
      <w:proofErr w:type="spellStart"/>
      <w:r w:rsidRPr="00A638AB">
        <w:rPr>
          <w:rFonts w:ascii="Arial" w:eastAsia="Aptos" w:hAnsi="Arial" w:cs="Arial"/>
          <w:bCs/>
          <w:kern w:val="2"/>
          <w:lang w:eastAsia="en-US"/>
          <w14:ligatures w14:val="standardContextual"/>
        </w:rPr>
        <w:t>Agbonmwandolor</w:t>
      </w:r>
      <w:proofErr w:type="spellEnd"/>
      <w:r w:rsidRPr="00A638AB">
        <w:rPr>
          <w:rFonts w:ascii="Arial" w:eastAsia="Aptos" w:hAnsi="Arial" w:cs="Arial"/>
          <w:bCs/>
          <w:kern w:val="2"/>
          <w:lang w:eastAsia="en-US"/>
          <w14:ligatures w14:val="standardContextual"/>
        </w:rPr>
        <w:t xml:space="preserve"> et al.</w:t>
      </w:r>
      <w:r w:rsidR="00F57EBC">
        <w:rPr>
          <w:rFonts w:ascii="Arial" w:eastAsia="Aptos" w:hAnsi="Arial" w:cs="Arial"/>
          <w:bCs/>
          <w:kern w:val="2"/>
          <w:lang w:eastAsia="en-US"/>
          <w14:ligatures w14:val="standardContextual"/>
        </w:rPr>
        <w:t xml:space="preserve"> (2024)</w:t>
      </w:r>
      <w:r w:rsidRPr="00A638AB">
        <w:rPr>
          <w:rFonts w:ascii="Arial" w:eastAsia="Aptos" w:hAnsi="Arial" w:cs="Arial"/>
          <w:bCs/>
          <w:kern w:val="2"/>
          <w:lang w:eastAsia="en-US"/>
          <w14:ligatures w14:val="standardContextual"/>
        </w:rPr>
        <w:t xml:space="preserve"> explicitly apply this framework</w:t>
      </w:r>
      <w:r w:rsidR="00F57EBC">
        <w:rPr>
          <w:rFonts w:ascii="Arial" w:eastAsia="Aptos" w:hAnsi="Arial" w:cs="Arial"/>
          <w:bCs/>
          <w:kern w:val="2"/>
          <w:lang w:eastAsia="en-US"/>
          <w14:ligatures w14:val="standardContextual"/>
        </w:rPr>
        <w:t xml:space="preserve"> as they</w:t>
      </w:r>
      <w:r w:rsidRPr="00A638AB">
        <w:rPr>
          <w:rFonts w:ascii="Arial" w:eastAsia="Aptos" w:hAnsi="Arial" w:cs="Arial"/>
          <w:bCs/>
          <w:kern w:val="2"/>
          <w:lang w:eastAsia="en-US"/>
          <w14:ligatures w14:val="standardContextual"/>
        </w:rPr>
        <w:t xml:space="preserve"> structur</w:t>
      </w:r>
      <w:r w:rsidR="00F57EBC">
        <w:rPr>
          <w:rFonts w:ascii="Arial" w:eastAsia="Aptos" w:hAnsi="Arial" w:cs="Arial"/>
          <w:bCs/>
          <w:kern w:val="2"/>
          <w:lang w:eastAsia="en-US"/>
          <w14:ligatures w14:val="standardContextual"/>
        </w:rPr>
        <w:t>e</w:t>
      </w:r>
      <w:r w:rsidRPr="00A638AB">
        <w:rPr>
          <w:rFonts w:ascii="Arial" w:eastAsia="Aptos" w:hAnsi="Arial" w:cs="Arial"/>
          <w:bCs/>
          <w:kern w:val="2"/>
          <w:lang w:eastAsia="en-US"/>
          <w14:ligatures w14:val="standardContextual"/>
        </w:rPr>
        <w:t xml:space="preserve"> their findings around stressors, appraisal, emotion-focused coping, problem-focused coping, and coping outcomes. This application empirically validates the model</w:t>
      </w:r>
      <w:r w:rsidR="00F57EBC">
        <w:rPr>
          <w:rFonts w:ascii="Arial" w:eastAsia="Aptos" w:hAnsi="Arial" w:cs="Arial"/>
          <w:bCs/>
          <w:kern w:val="2"/>
          <w:lang w:eastAsia="en-US"/>
          <w14:ligatures w14:val="standardContextual"/>
        </w:rPr>
        <w:t xml:space="preserve"> and</w:t>
      </w:r>
      <w:r w:rsidRPr="00A638AB">
        <w:rPr>
          <w:rFonts w:ascii="Arial" w:eastAsia="Aptos" w:hAnsi="Arial" w:cs="Arial"/>
          <w:bCs/>
          <w:kern w:val="2"/>
          <w:lang w:eastAsia="en-US"/>
          <w14:ligatures w14:val="standardContextual"/>
        </w:rPr>
        <w:t xml:space="preserve"> show</w:t>
      </w:r>
      <w:r w:rsidR="00F57EBC">
        <w:rPr>
          <w:rFonts w:ascii="Arial" w:eastAsia="Aptos" w:hAnsi="Arial" w:cs="Arial"/>
          <w:bCs/>
          <w:kern w:val="2"/>
          <w:lang w:eastAsia="en-US"/>
          <w14:ligatures w14:val="standardContextual"/>
        </w:rPr>
        <w:t>s</w:t>
      </w:r>
      <w:r w:rsidRPr="00A638AB">
        <w:rPr>
          <w:rFonts w:ascii="Arial" w:eastAsia="Aptos" w:hAnsi="Arial" w:cs="Arial"/>
          <w:bCs/>
          <w:kern w:val="2"/>
          <w:lang w:eastAsia="en-US"/>
          <w14:ligatures w14:val="standardContextual"/>
        </w:rPr>
        <w:t xml:space="preserve"> how migrant healthcare workers identified pandemic-related stressors, appraised them as threatening, and then deployed available resources. McFadden et al.'s</w:t>
      </w:r>
      <w:r w:rsidR="00F57EBC">
        <w:rPr>
          <w:rFonts w:ascii="Arial" w:eastAsia="Aptos" w:hAnsi="Arial" w:cs="Arial"/>
          <w:bCs/>
          <w:kern w:val="2"/>
          <w:lang w:eastAsia="en-US"/>
          <w14:ligatures w14:val="standardContextual"/>
        </w:rPr>
        <w:t xml:space="preserve"> (2021)</w:t>
      </w:r>
      <w:r w:rsidRPr="00A638AB">
        <w:rPr>
          <w:rFonts w:ascii="Arial" w:eastAsia="Aptos" w:hAnsi="Arial" w:cs="Arial"/>
          <w:bCs/>
          <w:kern w:val="2"/>
          <w:lang w:eastAsia="en-US"/>
          <w14:ligatures w14:val="standardContextual"/>
        </w:rPr>
        <w:t xml:space="preserve"> findings also align with this model, as the shift from adaptive to maladaptive coping strategies over time can be interpreted </w:t>
      </w:r>
      <w:proofErr w:type="gramStart"/>
      <w:r w:rsidRPr="00A638AB">
        <w:rPr>
          <w:rFonts w:ascii="Arial" w:eastAsia="Aptos" w:hAnsi="Arial" w:cs="Arial"/>
          <w:bCs/>
          <w:kern w:val="2"/>
          <w:lang w:eastAsia="en-US"/>
          <w14:ligatures w14:val="standardContextual"/>
        </w:rPr>
        <w:t>as a consequence of</w:t>
      </w:r>
      <w:proofErr w:type="gramEnd"/>
      <w:r w:rsidRPr="00A638AB">
        <w:rPr>
          <w:rFonts w:ascii="Arial" w:eastAsia="Aptos" w:hAnsi="Arial" w:cs="Arial"/>
          <w:bCs/>
          <w:kern w:val="2"/>
          <w:lang w:eastAsia="en-US"/>
          <w14:ligatures w14:val="standardContextual"/>
        </w:rPr>
        <w:t xml:space="preserve"> depleted resources and reappraisal of stressors as increasingly uncontrollable. </w:t>
      </w:r>
    </w:p>
    <w:p w14:paraId="59FB8AE7" w14:textId="3E3D6CEA"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The NHS People Plan and various NHS England wellbeing frameworks emphasise the importance of creating supportive work environments and providing access to psychological support</w:t>
      </w:r>
      <w:r w:rsidR="00F57EBC">
        <w:rPr>
          <w:rFonts w:ascii="Arial" w:eastAsia="Aptos" w:hAnsi="Arial" w:cs="Arial"/>
          <w:bCs/>
          <w:kern w:val="2"/>
          <w:lang w:eastAsia="en-US"/>
          <w14:ligatures w14:val="standardContextual"/>
        </w:rPr>
        <w:t xml:space="preserve"> </w:t>
      </w:r>
      <w:r w:rsidR="00F57EBC" w:rsidRPr="00F57EBC">
        <w:rPr>
          <w:rFonts w:ascii="Arial" w:eastAsia="Aptos" w:hAnsi="Arial" w:cs="Arial"/>
          <w:bCs/>
          <w:kern w:val="2"/>
          <w:lang w:eastAsia="en-US"/>
          <w14:ligatures w14:val="standardContextual"/>
        </w:rPr>
        <w:t>(Gould </w:t>
      </w:r>
      <w:r w:rsidR="00F57EBC" w:rsidRPr="00F57EBC">
        <w:rPr>
          <w:rFonts w:ascii="Arial" w:eastAsia="Aptos" w:hAnsi="Arial" w:cs="Arial"/>
          <w:bCs/>
          <w:i/>
          <w:iCs/>
          <w:kern w:val="2"/>
          <w:lang w:eastAsia="en-US"/>
          <w14:ligatures w14:val="standardContextual"/>
        </w:rPr>
        <w:t>et al.</w:t>
      </w:r>
      <w:r w:rsidR="00F57EBC" w:rsidRPr="00F57EBC">
        <w:rPr>
          <w:rFonts w:ascii="Arial" w:eastAsia="Aptos" w:hAnsi="Arial" w:cs="Arial"/>
          <w:bCs/>
          <w:kern w:val="2"/>
          <w:lang w:eastAsia="en-US"/>
          <w14:ligatures w14:val="standardContextual"/>
        </w:rPr>
        <w:t>, 2024)</w:t>
      </w:r>
      <w:r w:rsidRPr="00A638AB">
        <w:rPr>
          <w:rFonts w:ascii="Arial" w:eastAsia="Aptos" w:hAnsi="Arial" w:cs="Arial"/>
          <w:bCs/>
          <w:kern w:val="2"/>
          <w:lang w:eastAsia="en-US"/>
          <w14:ligatures w14:val="standardContextual"/>
        </w:rPr>
        <w:t>. McFadden et al.'s</w:t>
      </w:r>
      <w:r w:rsidR="00F57EBC">
        <w:rPr>
          <w:rFonts w:ascii="Arial" w:eastAsia="Aptos" w:hAnsi="Arial" w:cs="Arial"/>
          <w:bCs/>
          <w:kern w:val="2"/>
          <w:lang w:eastAsia="en-US"/>
          <w14:ligatures w14:val="standardContextual"/>
        </w:rPr>
        <w:t xml:space="preserve"> (2021)</w:t>
      </w:r>
      <w:r w:rsidRPr="00A638AB">
        <w:rPr>
          <w:rFonts w:ascii="Arial" w:eastAsia="Aptos" w:hAnsi="Arial" w:cs="Arial"/>
          <w:bCs/>
          <w:kern w:val="2"/>
          <w:lang w:eastAsia="en-US"/>
          <w14:ligatures w14:val="standardContextual"/>
        </w:rPr>
        <w:t xml:space="preserve"> observation that coping strategies explained the deterioration in wellbeing underscores the need for policies that not only provide support services but also actively promote adaptive coping skills through training and organisational culture change. </w:t>
      </w:r>
      <w:proofErr w:type="spellStart"/>
      <w:r w:rsidRPr="00A638AB">
        <w:rPr>
          <w:rFonts w:ascii="Arial" w:eastAsia="Aptos" w:hAnsi="Arial" w:cs="Arial"/>
          <w:bCs/>
          <w:kern w:val="2"/>
          <w:lang w:eastAsia="en-US"/>
          <w14:ligatures w14:val="standardContextual"/>
        </w:rPr>
        <w:t>Agbonmwandolor</w:t>
      </w:r>
      <w:proofErr w:type="spellEnd"/>
      <w:r w:rsidRPr="00A638AB">
        <w:rPr>
          <w:rFonts w:ascii="Arial" w:eastAsia="Aptos" w:hAnsi="Arial" w:cs="Arial"/>
          <w:bCs/>
          <w:kern w:val="2"/>
          <w:lang w:eastAsia="en-US"/>
          <w14:ligatures w14:val="standardContextual"/>
        </w:rPr>
        <w:t xml:space="preserve"> et al.'s</w:t>
      </w:r>
      <w:r w:rsidR="00F57EBC">
        <w:rPr>
          <w:rFonts w:ascii="Arial" w:eastAsia="Aptos" w:hAnsi="Arial" w:cs="Arial"/>
          <w:bCs/>
          <w:kern w:val="2"/>
          <w:lang w:eastAsia="en-US"/>
          <w14:ligatures w14:val="standardContextual"/>
        </w:rPr>
        <w:t xml:space="preserve"> (2024)</w:t>
      </w:r>
      <w:r w:rsidRPr="00A638AB">
        <w:rPr>
          <w:rFonts w:ascii="Arial" w:eastAsia="Aptos" w:hAnsi="Arial" w:cs="Arial"/>
          <w:bCs/>
          <w:kern w:val="2"/>
          <w:lang w:eastAsia="en-US"/>
          <w14:ligatures w14:val="standardContextual"/>
        </w:rPr>
        <w:t xml:space="preserve"> findings highlight the necessity for culturally sensitive policies that recognise the specific needs of migrant workers, such as facilitating access to faith-based support and community networks. The low uptake of formal support services noted in both studies suggests that policy must address barriers to access, including stigma, lack of awareness, and practical obstacles, to ensure that available resources are effectively utilised.</w:t>
      </w:r>
    </w:p>
    <w:p w14:paraId="573AD1A9" w14:textId="7ECA4916"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The implications of this theme for the research question are multifaceted. Positively, the identification of adaptive coping strategies such as active coping, positive reframing, acceptance, and seeking social support provides evidence-based targets for interventions. McFadden et al.</w:t>
      </w:r>
      <w:r w:rsidR="00F57EBC">
        <w:rPr>
          <w:rFonts w:ascii="Arial" w:eastAsia="Aptos" w:hAnsi="Arial" w:cs="Arial"/>
          <w:bCs/>
          <w:kern w:val="2"/>
          <w:lang w:eastAsia="en-US"/>
          <w14:ligatures w14:val="standardContextual"/>
        </w:rPr>
        <w:t xml:space="preserve"> (2021)</w:t>
      </w:r>
      <w:r w:rsidRPr="00A638AB">
        <w:rPr>
          <w:rFonts w:ascii="Arial" w:eastAsia="Aptos" w:hAnsi="Arial" w:cs="Arial"/>
          <w:bCs/>
          <w:kern w:val="2"/>
          <w:lang w:eastAsia="en-US"/>
          <w14:ligatures w14:val="standardContextual"/>
        </w:rPr>
        <w:t xml:space="preserve"> found that these strategies were consistently associated with better wellbeing and quality of working life across both phases,</w:t>
      </w:r>
      <w:r w:rsidR="00F57EBC">
        <w:rPr>
          <w:rFonts w:ascii="Arial" w:eastAsia="Aptos" w:hAnsi="Arial" w:cs="Arial"/>
          <w:bCs/>
          <w:kern w:val="2"/>
          <w:lang w:eastAsia="en-US"/>
          <w14:ligatures w14:val="standardContextual"/>
        </w:rPr>
        <w:t xml:space="preserve"> which</w:t>
      </w:r>
      <w:r w:rsidRPr="00A638AB">
        <w:rPr>
          <w:rFonts w:ascii="Arial" w:eastAsia="Aptos" w:hAnsi="Arial" w:cs="Arial"/>
          <w:bCs/>
          <w:kern w:val="2"/>
          <w:lang w:eastAsia="en-US"/>
          <w14:ligatures w14:val="standardContextual"/>
        </w:rPr>
        <w:t xml:space="preserve"> suggest</w:t>
      </w:r>
      <w:r w:rsidR="00F57EBC">
        <w:rPr>
          <w:rFonts w:ascii="Arial" w:eastAsia="Aptos" w:hAnsi="Arial" w:cs="Arial"/>
          <w:bCs/>
          <w:kern w:val="2"/>
          <w:lang w:eastAsia="en-US"/>
          <w14:ligatures w14:val="standardContextual"/>
        </w:rPr>
        <w:t>s</w:t>
      </w:r>
      <w:r w:rsidRPr="00A638AB">
        <w:rPr>
          <w:rFonts w:ascii="Arial" w:eastAsia="Aptos" w:hAnsi="Arial" w:cs="Arial"/>
          <w:bCs/>
          <w:kern w:val="2"/>
          <w:lang w:eastAsia="en-US"/>
          <w14:ligatures w14:val="standardContextual"/>
        </w:rPr>
        <w:t xml:space="preserve"> that programmes designed to cultivate these skills could yield sustained benefits. </w:t>
      </w:r>
      <w:proofErr w:type="spellStart"/>
      <w:r w:rsidRPr="00A638AB">
        <w:rPr>
          <w:rFonts w:ascii="Arial" w:eastAsia="Aptos" w:hAnsi="Arial" w:cs="Arial"/>
          <w:bCs/>
          <w:kern w:val="2"/>
          <w:lang w:eastAsia="en-US"/>
          <w14:ligatures w14:val="standardContextual"/>
        </w:rPr>
        <w:t>Agbonmwandolor</w:t>
      </w:r>
      <w:proofErr w:type="spellEnd"/>
      <w:r w:rsidRPr="00A638AB">
        <w:rPr>
          <w:rFonts w:ascii="Arial" w:eastAsia="Aptos" w:hAnsi="Arial" w:cs="Arial"/>
          <w:bCs/>
          <w:kern w:val="2"/>
          <w:lang w:eastAsia="en-US"/>
          <w14:ligatures w14:val="standardContextual"/>
        </w:rPr>
        <w:t xml:space="preserve"> et al.'s</w:t>
      </w:r>
      <w:r w:rsidR="00F57EBC">
        <w:rPr>
          <w:rFonts w:ascii="Arial" w:eastAsia="Aptos" w:hAnsi="Arial" w:cs="Arial"/>
          <w:bCs/>
          <w:kern w:val="2"/>
          <w:lang w:eastAsia="en-US"/>
          <w14:ligatures w14:val="standardContextual"/>
        </w:rPr>
        <w:t xml:space="preserve"> (2024)</w:t>
      </w:r>
      <w:r w:rsidRPr="00A638AB">
        <w:rPr>
          <w:rFonts w:ascii="Arial" w:eastAsia="Aptos" w:hAnsi="Arial" w:cs="Arial"/>
          <w:bCs/>
          <w:kern w:val="2"/>
          <w:lang w:eastAsia="en-US"/>
          <w14:ligatures w14:val="standardContextual"/>
        </w:rPr>
        <w:t xml:space="preserve"> qualitative accounts of finding meaning through religion, family connection, and new hobbies illustrate the resilience and resourcefulness of healthcare workers.</w:t>
      </w:r>
      <w:r w:rsidR="00F57EBC">
        <w:rPr>
          <w:rFonts w:ascii="Arial" w:eastAsia="Aptos" w:hAnsi="Arial" w:cs="Arial"/>
          <w:bCs/>
          <w:kern w:val="2"/>
          <w:lang w:eastAsia="en-US"/>
          <w14:ligatures w14:val="standardContextual"/>
        </w:rPr>
        <w:t xml:space="preserve"> </w:t>
      </w:r>
      <w:r w:rsidRPr="00A638AB">
        <w:rPr>
          <w:rFonts w:ascii="Arial" w:eastAsia="Aptos" w:hAnsi="Arial" w:cs="Arial"/>
          <w:bCs/>
          <w:kern w:val="2"/>
          <w:lang w:eastAsia="en-US"/>
          <w14:ligatures w14:val="standardContextual"/>
        </w:rPr>
        <w:t>Negatively, the increased use of maladaptive strategies such as behavioural disengagement, self-blame, and venting over time signals a concerning trajectory. McFadden et al.'s</w:t>
      </w:r>
      <w:r w:rsidR="00E507AD">
        <w:rPr>
          <w:rFonts w:ascii="Arial" w:eastAsia="Aptos" w:hAnsi="Arial" w:cs="Arial"/>
          <w:bCs/>
          <w:kern w:val="2"/>
          <w:lang w:eastAsia="en-US"/>
          <w14:ligatures w14:val="standardContextual"/>
        </w:rPr>
        <w:t xml:space="preserve"> (2021)</w:t>
      </w:r>
      <w:r w:rsidRPr="00A638AB">
        <w:rPr>
          <w:rFonts w:ascii="Arial" w:eastAsia="Aptos" w:hAnsi="Arial" w:cs="Arial"/>
          <w:bCs/>
          <w:kern w:val="2"/>
          <w:lang w:eastAsia="en-US"/>
          <w14:ligatures w14:val="standardContextual"/>
        </w:rPr>
        <w:t xml:space="preserve"> finding that behavioural disengagement was negatively associated with quality of working life, particularly in Phase 2, indicates that as the pandemic wore on, some workers resorted to avoidance and withdrawal, which likely exacerbated their difficulties. </w:t>
      </w:r>
      <w:proofErr w:type="spellStart"/>
      <w:r w:rsidRPr="00A638AB">
        <w:rPr>
          <w:rFonts w:ascii="Arial" w:eastAsia="Aptos" w:hAnsi="Arial" w:cs="Arial"/>
          <w:bCs/>
          <w:kern w:val="2"/>
          <w:lang w:eastAsia="en-US"/>
          <w14:ligatures w14:val="standardContextual"/>
        </w:rPr>
        <w:t>Agbonmwandolor</w:t>
      </w:r>
      <w:proofErr w:type="spellEnd"/>
      <w:r w:rsidRPr="00A638AB">
        <w:rPr>
          <w:rFonts w:ascii="Arial" w:eastAsia="Aptos" w:hAnsi="Arial" w:cs="Arial"/>
          <w:bCs/>
          <w:kern w:val="2"/>
          <w:lang w:eastAsia="en-US"/>
          <w14:ligatures w14:val="standardContextual"/>
        </w:rPr>
        <w:t xml:space="preserve"> et al.</w:t>
      </w:r>
      <w:r w:rsidR="00E507AD">
        <w:rPr>
          <w:rFonts w:ascii="Arial" w:eastAsia="Aptos" w:hAnsi="Arial" w:cs="Arial"/>
          <w:bCs/>
          <w:kern w:val="2"/>
          <w:lang w:eastAsia="en-US"/>
          <w14:ligatures w14:val="standardContextual"/>
        </w:rPr>
        <w:t xml:space="preserve"> (2024)</w:t>
      </w:r>
      <w:r w:rsidRPr="00A638AB">
        <w:rPr>
          <w:rFonts w:ascii="Arial" w:eastAsia="Aptos" w:hAnsi="Arial" w:cs="Arial"/>
          <w:bCs/>
          <w:kern w:val="2"/>
          <w:lang w:eastAsia="en-US"/>
          <w14:ligatures w14:val="standardContextual"/>
        </w:rPr>
        <w:t xml:space="preserve"> acknowledge that while participants described short-term benefits of their coping strategies, the long-term outcomes remain unknown</w:t>
      </w:r>
      <w:r w:rsidR="00E507AD">
        <w:rPr>
          <w:rFonts w:ascii="Arial" w:eastAsia="Aptos" w:hAnsi="Arial" w:cs="Arial"/>
          <w:bCs/>
          <w:kern w:val="2"/>
          <w:lang w:eastAsia="en-US"/>
          <w14:ligatures w14:val="standardContextual"/>
        </w:rPr>
        <w:t>. This</w:t>
      </w:r>
      <w:r w:rsidRPr="00A638AB">
        <w:rPr>
          <w:rFonts w:ascii="Arial" w:eastAsia="Aptos" w:hAnsi="Arial" w:cs="Arial"/>
          <w:bCs/>
          <w:kern w:val="2"/>
          <w:lang w:eastAsia="en-US"/>
          <w14:ligatures w14:val="standardContextual"/>
        </w:rPr>
        <w:t xml:space="preserve"> rais</w:t>
      </w:r>
      <w:r w:rsidR="00E507AD">
        <w:rPr>
          <w:rFonts w:ascii="Arial" w:eastAsia="Aptos" w:hAnsi="Arial" w:cs="Arial"/>
          <w:bCs/>
          <w:kern w:val="2"/>
          <w:lang w:eastAsia="en-US"/>
          <w14:ligatures w14:val="standardContextual"/>
        </w:rPr>
        <w:t>es</w:t>
      </w:r>
      <w:r w:rsidRPr="00A638AB">
        <w:rPr>
          <w:rFonts w:ascii="Arial" w:eastAsia="Aptos" w:hAnsi="Arial" w:cs="Arial"/>
          <w:bCs/>
          <w:kern w:val="2"/>
          <w:lang w:eastAsia="en-US"/>
          <w14:ligatures w14:val="standardContextual"/>
        </w:rPr>
        <w:t xml:space="preserve"> questions about whether these strategies will prove sufficient in the face of ongoing pressures. The two articles thus present a balanced view</w:t>
      </w:r>
      <w:r w:rsidR="00E507AD">
        <w:rPr>
          <w:rFonts w:ascii="Arial" w:eastAsia="Aptos" w:hAnsi="Arial" w:cs="Arial"/>
          <w:bCs/>
          <w:kern w:val="2"/>
          <w:lang w:eastAsia="en-US"/>
          <w14:ligatures w14:val="standardContextual"/>
        </w:rPr>
        <w:t>, which</w:t>
      </w:r>
      <w:r w:rsidRPr="00A638AB">
        <w:rPr>
          <w:rFonts w:ascii="Arial" w:eastAsia="Aptos" w:hAnsi="Arial" w:cs="Arial"/>
          <w:bCs/>
          <w:kern w:val="2"/>
          <w:lang w:eastAsia="en-US"/>
          <w14:ligatures w14:val="standardContextual"/>
        </w:rPr>
        <w:t xml:space="preserve"> informs the research question by highlighting that evaluating coping mechanisms requires attention not only to their immediate effects but also to their long-term viability and the contextual factors that influence their success.</w:t>
      </w:r>
    </w:p>
    <w:p w14:paraId="7C50D3A1" w14:textId="15A0A8D9" w:rsidR="00A638AB" w:rsidRPr="00A638AB" w:rsidRDefault="00A638AB" w:rsidP="00A638AB">
      <w:pPr>
        <w:spacing w:before="240" w:line="360" w:lineRule="auto"/>
        <w:textAlignment w:val="baseline"/>
        <w:rPr>
          <w:rFonts w:ascii="Arial" w:eastAsia="Aptos" w:hAnsi="Arial" w:cs="Arial"/>
          <w:bCs/>
          <w:kern w:val="2"/>
          <w:lang w:eastAsia="en-US"/>
          <w14:ligatures w14:val="standardContextual"/>
        </w:rPr>
      </w:pPr>
      <w:r w:rsidRPr="00A638AB">
        <w:rPr>
          <w:rFonts w:ascii="Arial" w:eastAsia="Aptos" w:hAnsi="Arial" w:cs="Arial"/>
          <w:bCs/>
          <w:kern w:val="2"/>
          <w:lang w:eastAsia="en-US"/>
          <w14:ligatures w14:val="standardContextual"/>
        </w:rPr>
        <w:t>This theme is intrinsically linked to both the prevalence of mental health difficulties and the effectiveness of coping strategies. The prevalence of distress, as documented in the first theme, creates the imperative for coping. McFadden et al.'s</w:t>
      </w:r>
      <w:r w:rsidR="00E507AD">
        <w:rPr>
          <w:rFonts w:ascii="Arial" w:eastAsia="Aptos" w:hAnsi="Arial" w:cs="Arial"/>
          <w:bCs/>
          <w:kern w:val="2"/>
          <w:lang w:eastAsia="en-US"/>
          <w14:ligatures w14:val="standardContextual"/>
        </w:rPr>
        <w:t xml:space="preserve"> (2021)</w:t>
      </w:r>
      <w:r w:rsidRPr="00A638AB">
        <w:rPr>
          <w:rFonts w:ascii="Arial" w:eastAsia="Aptos" w:hAnsi="Arial" w:cs="Arial"/>
          <w:bCs/>
          <w:kern w:val="2"/>
          <w:lang w:eastAsia="en-US"/>
          <w14:ligatures w14:val="standardContextual"/>
        </w:rPr>
        <w:t xml:space="preserve"> demonstration that changes in coping explained changes in wellbeing over time establishes a direct causal pathway. This interconnection suggests that interventions targeting coping strategies could directly reduce the prevalence of mental health difficulties. Furthermore, the theme of effectiveness and success factors, which will be explored subsequently, builds directly upon this foundation. The strategies identified in these articles</w:t>
      </w:r>
      <w:r w:rsidR="00E507AD">
        <w:rPr>
          <w:rFonts w:ascii="Arial" w:eastAsia="Aptos" w:hAnsi="Arial" w:cs="Arial"/>
          <w:bCs/>
          <w:kern w:val="2"/>
          <w:lang w:eastAsia="en-US"/>
          <w14:ligatures w14:val="standardContextual"/>
        </w:rPr>
        <w:t xml:space="preserve">, which include </w:t>
      </w:r>
      <w:r w:rsidRPr="00A638AB">
        <w:rPr>
          <w:rFonts w:ascii="Arial" w:eastAsia="Aptos" w:hAnsi="Arial" w:cs="Arial"/>
          <w:bCs/>
          <w:kern w:val="2"/>
          <w:lang w:eastAsia="en-US"/>
          <w14:ligatures w14:val="standardContextual"/>
        </w:rPr>
        <w:t xml:space="preserve">social support, exercise, religious faith, </w:t>
      </w:r>
      <w:r w:rsidR="00E507AD">
        <w:rPr>
          <w:rFonts w:ascii="Arial" w:eastAsia="Aptos" w:hAnsi="Arial" w:cs="Arial"/>
          <w:bCs/>
          <w:kern w:val="2"/>
          <w:lang w:eastAsia="en-US"/>
          <w14:ligatures w14:val="standardContextual"/>
        </w:rPr>
        <w:t xml:space="preserve">and </w:t>
      </w:r>
      <w:r w:rsidRPr="00A638AB">
        <w:rPr>
          <w:rFonts w:ascii="Arial" w:eastAsia="Aptos" w:hAnsi="Arial" w:cs="Arial"/>
          <w:bCs/>
          <w:kern w:val="2"/>
          <w:lang w:eastAsia="en-US"/>
          <w14:ligatures w14:val="standardContextual"/>
        </w:rPr>
        <w:t>professional help-seeking</w:t>
      </w:r>
      <w:r w:rsidR="00E507AD">
        <w:rPr>
          <w:rFonts w:ascii="Arial" w:eastAsia="Aptos" w:hAnsi="Arial" w:cs="Arial"/>
          <w:bCs/>
          <w:kern w:val="2"/>
          <w:lang w:eastAsia="en-US"/>
          <w14:ligatures w14:val="standardContextual"/>
        </w:rPr>
        <w:t xml:space="preserve">, </w:t>
      </w:r>
      <w:r w:rsidRPr="00A638AB">
        <w:rPr>
          <w:rFonts w:ascii="Arial" w:eastAsia="Aptos" w:hAnsi="Arial" w:cs="Arial"/>
          <w:bCs/>
          <w:kern w:val="2"/>
          <w:lang w:eastAsia="en-US"/>
          <w14:ligatures w14:val="standardContextual"/>
        </w:rPr>
        <w:t xml:space="preserve">require rigorous evaluation to determine which are most effective, for whom, and under what conditions. </w:t>
      </w:r>
      <w:proofErr w:type="spellStart"/>
      <w:r w:rsidRPr="00A638AB">
        <w:rPr>
          <w:rFonts w:ascii="Arial" w:eastAsia="Aptos" w:hAnsi="Arial" w:cs="Arial"/>
          <w:bCs/>
          <w:kern w:val="2"/>
          <w:lang w:eastAsia="en-US"/>
          <w14:ligatures w14:val="standardContextual"/>
        </w:rPr>
        <w:t>Agbonmwandolor</w:t>
      </w:r>
      <w:proofErr w:type="spellEnd"/>
      <w:r w:rsidRPr="00A638AB">
        <w:rPr>
          <w:rFonts w:ascii="Arial" w:eastAsia="Aptos" w:hAnsi="Arial" w:cs="Arial"/>
          <w:bCs/>
          <w:kern w:val="2"/>
          <w:lang w:eastAsia="en-US"/>
          <w14:ligatures w14:val="standardContextual"/>
        </w:rPr>
        <w:t xml:space="preserve"> et al.'s </w:t>
      </w:r>
      <w:r w:rsidR="00E507AD">
        <w:rPr>
          <w:rFonts w:ascii="Arial" w:eastAsia="Aptos" w:hAnsi="Arial" w:cs="Arial"/>
          <w:bCs/>
          <w:kern w:val="2"/>
          <w:lang w:eastAsia="en-US"/>
          <w14:ligatures w14:val="standardContextual"/>
        </w:rPr>
        <w:t xml:space="preserve">(2024) </w:t>
      </w:r>
      <w:r w:rsidRPr="00A638AB">
        <w:rPr>
          <w:rFonts w:ascii="Arial" w:eastAsia="Aptos" w:hAnsi="Arial" w:cs="Arial"/>
          <w:bCs/>
          <w:kern w:val="2"/>
          <w:lang w:eastAsia="en-US"/>
          <w14:ligatures w14:val="standardContextual"/>
        </w:rPr>
        <w:t>qualitative insights into the personal meaning and context of coping provide essential hypotheses for such evaluative research. Together, these themes form a coherent narrative</w:t>
      </w:r>
      <w:r w:rsidR="00E507AD">
        <w:rPr>
          <w:rFonts w:ascii="Arial" w:eastAsia="Aptos" w:hAnsi="Arial" w:cs="Arial"/>
          <w:bCs/>
          <w:kern w:val="2"/>
          <w:lang w:eastAsia="en-US"/>
          <w14:ligatures w14:val="standardContextual"/>
        </w:rPr>
        <w:t xml:space="preserve"> that</w:t>
      </w:r>
      <w:r w:rsidRPr="00A638AB">
        <w:rPr>
          <w:rFonts w:ascii="Arial" w:eastAsia="Aptos" w:hAnsi="Arial" w:cs="Arial"/>
          <w:bCs/>
          <w:kern w:val="2"/>
          <w:lang w:eastAsia="en-US"/>
          <w14:ligatures w14:val="standardContextual"/>
        </w:rPr>
        <w:t xml:space="preserve"> the pandemic created widespread distress among healthcare workers, who responded with a range of coping strategies, </w:t>
      </w:r>
      <w:r w:rsidR="00E507AD">
        <w:rPr>
          <w:rFonts w:ascii="Arial" w:eastAsia="Aptos" w:hAnsi="Arial" w:cs="Arial"/>
          <w:bCs/>
          <w:kern w:val="2"/>
          <w:lang w:eastAsia="en-US"/>
          <w14:ligatures w14:val="standardContextual"/>
        </w:rPr>
        <w:t xml:space="preserve">albeit </w:t>
      </w:r>
      <w:r w:rsidRPr="00A638AB">
        <w:rPr>
          <w:rFonts w:ascii="Arial" w:eastAsia="Aptos" w:hAnsi="Arial" w:cs="Arial"/>
          <w:bCs/>
          <w:kern w:val="2"/>
          <w:lang w:eastAsia="en-US"/>
          <w14:ligatures w14:val="standardContextual"/>
        </w:rPr>
        <w:t>the</w:t>
      </w:r>
      <w:r w:rsidR="00E507AD">
        <w:rPr>
          <w:rFonts w:ascii="Arial" w:eastAsia="Aptos" w:hAnsi="Arial" w:cs="Arial"/>
          <w:bCs/>
          <w:kern w:val="2"/>
          <w:lang w:eastAsia="en-US"/>
          <w14:ligatures w14:val="standardContextual"/>
        </w:rPr>
        <w:t>ir</w:t>
      </w:r>
      <w:r w:rsidRPr="00A638AB">
        <w:rPr>
          <w:rFonts w:ascii="Arial" w:eastAsia="Aptos" w:hAnsi="Arial" w:cs="Arial"/>
          <w:bCs/>
          <w:kern w:val="2"/>
          <w:lang w:eastAsia="en-US"/>
          <w14:ligatures w14:val="standardContextual"/>
        </w:rPr>
        <w:t xml:space="preserve"> effectiveness</w:t>
      </w:r>
      <w:r w:rsidR="00E507AD">
        <w:rPr>
          <w:rFonts w:ascii="Arial" w:eastAsia="Aptos" w:hAnsi="Arial" w:cs="Arial"/>
          <w:bCs/>
          <w:kern w:val="2"/>
          <w:lang w:eastAsia="en-US"/>
          <w14:ligatures w14:val="standardContextual"/>
        </w:rPr>
        <w:t xml:space="preserve"> </w:t>
      </w:r>
      <w:r w:rsidRPr="00A638AB">
        <w:rPr>
          <w:rFonts w:ascii="Arial" w:eastAsia="Aptos" w:hAnsi="Arial" w:cs="Arial"/>
          <w:bCs/>
          <w:kern w:val="2"/>
          <w:lang w:eastAsia="en-US"/>
          <w14:ligatures w14:val="standardContextual"/>
        </w:rPr>
        <w:t>must now be critically assessed to inform future policy and practice.</w:t>
      </w:r>
    </w:p>
    <w:p w14:paraId="70060474" w14:textId="77777777" w:rsidR="00A638AB" w:rsidRDefault="00A638AB" w:rsidP="00D449EF">
      <w:pPr>
        <w:spacing w:before="240" w:line="360" w:lineRule="auto"/>
        <w:textAlignment w:val="baseline"/>
        <w:rPr>
          <w:rFonts w:ascii="Arial" w:eastAsia="Aptos" w:hAnsi="Arial" w:cs="Arial"/>
          <w:bCs/>
          <w:kern w:val="2"/>
          <w:lang w:eastAsia="en-US"/>
          <w14:ligatures w14:val="standardContextual"/>
        </w:rPr>
      </w:pPr>
    </w:p>
    <w:p w14:paraId="5752E743" w14:textId="2A97864E"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6" w:name="_Toc223453156"/>
      <w:r w:rsidRPr="001B20A3">
        <w:rPr>
          <w:rFonts w:ascii="Arial" w:eastAsiaTheme="majorEastAsia" w:hAnsi="Arial" w:cs="Arial"/>
          <w:b/>
          <w:bCs/>
          <w:color w:val="0F4761"/>
          <w:kern w:val="2"/>
          <w:lang w:eastAsia="zh-CN"/>
          <w14:ligatures w14:val="standardContextual"/>
        </w:rPr>
        <w:t>4.5 Theme 3:</w:t>
      </w:r>
      <w:r w:rsidR="00A33605" w:rsidRPr="001B20A3">
        <w:rPr>
          <w:rFonts w:ascii="Arial" w:eastAsiaTheme="majorEastAsia" w:hAnsi="Arial" w:cs="Arial"/>
          <w:b/>
          <w:bCs/>
          <w:color w:val="0F4761"/>
          <w:kern w:val="2"/>
          <w:lang w:eastAsia="zh-CN"/>
          <w14:ligatures w14:val="standardContextual"/>
        </w:rPr>
        <w:t xml:space="preserve"> Effectiveness and Success Factors of the Coping Strategies Adopted</w:t>
      </w:r>
      <w:bookmarkEnd w:id="46"/>
    </w:p>
    <w:p w14:paraId="14B19643" w14:textId="567F3F41" w:rsidR="00973F68" w:rsidRPr="00973F68" w:rsidRDefault="00973F68" w:rsidP="00973F68">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This theme moves beyond simply identifying which strategies were used to assess their perceived utility, their practical feasibility, and the contextual factors that determined their success or failure. Key terminology includes 'perceived effectiveness', which captures individuals' subjective assessments of how well a strategy alleviated their distress, and 'implementation barriers', which refers to the obstacles that prevented healthcare workers from accessing or benefiting from available support interventions</w:t>
      </w:r>
      <w:r w:rsidR="00D71659">
        <w:rPr>
          <w:rFonts w:ascii="Arial" w:eastAsia="Aptos" w:hAnsi="Arial" w:cs="Arial"/>
          <w:bCs/>
          <w:kern w:val="2"/>
          <w:lang w:eastAsia="en-US"/>
          <w14:ligatures w14:val="standardContextual"/>
        </w:rPr>
        <w:t xml:space="preserve"> </w:t>
      </w:r>
      <w:r w:rsidR="00D71659" w:rsidRPr="00D71659">
        <w:rPr>
          <w:rFonts w:ascii="Arial" w:eastAsia="Aptos" w:hAnsi="Arial" w:cs="Arial"/>
          <w:bCs/>
          <w:kern w:val="2"/>
          <w:lang w:eastAsia="en-US"/>
          <w14:ligatures w14:val="standardContextual"/>
        </w:rPr>
        <w:t>(Zhu </w:t>
      </w:r>
      <w:r w:rsidR="00D71659" w:rsidRPr="00D71659">
        <w:rPr>
          <w:rFonts w:ascii="Arial" w:eastAsia="Aptos" w:hAnsi="Arial" w:cs="Arial"/>
          <w:bCs/>
          <w:i/>
          <w:iCs/>
          <w:kern w:val="2"/>
          <w:lang w:eastAsia="en-US"/>
          <w14:ligatures w14:val="standardContextual"/>
        </w:rPr>
        <w:t>et al.</w:t>
      </w:r>
      <w:r w:rsidR="00D71659" w:rsidRPr="00D71659">
        <w:rPr>
          <w:rFonts w:ascii="Arial" w:eastAsia="Aptos" w:hAnsi="Arial" w:cs="Arial"/>
          <w:bCs/>
          <w:kern w:val="2"/>
          <w:lang w:eastAsia="en-US"/>
          <w14:ligatures w14:val="standardContextual"/>
        </w:rPr>
        <w:t>, 2023)</w:t>
      </w:r>
      <w:r w:rsidRPr="00973F68">
        <w:rPr>
          <w:rFonts w:ascii="Arial" w:eastAsia="Aptos" w:hAnsi="Arial" w:cs="Arial"/>
          <w:bCs/>
          <w:kern w:val="2"/>
          <w:lang w:eastAsia="en-US"/>
          <w14:ligatures w14:val="standardContextual"/>
        </w:rPr>
        <w:t>. The distinction between strategies that are theoretically beneficial and those that are practically effective in real-world high-pressure environments is central to this theme.</w:t>
      </w:r>
    </w:p>
    <w:p w14:paraId="1B3BA979" w14:textId="0FA0D60F" w:rsidR="00973F68" w:rsidRPr="00973F68" w:rsidRDefault="006060D6" w:rsidP="00973F68">
      <w:pPr>
        <w:spacing w:before="240" w:line="360" w:lineRule="auto"/>
        <w:textAlignment w:val="baseline"/>
        <w:rPr>
          <w:rFonts w:ascii="Arial" w:eastAsia="Aptos" w:hAnsi="Arial" w:cs="Arial"/>
          <w:bCs/>
          <w:kern w:val="2"/>
          <w:lang w:eastAsia="en-US"/>
          <w14:ligatures w14:val="standardContextual"/>
        </w:rPr>
      </w:pPr>
      <w:proofErr w:type="spellStart"/>
      <w:r w:rsidRPr="006060D6">
        <w:rPr>
          <w:rFonts w:ascii="Arial" w:eastAsia="Aptos" w:hAnsi="Arial" w:cs="Arial"/>
          <w:bCs/>
          <w:kern w:val="2"/>
          <w:lang w:eastAsia="en-US"/>
          <w14:ligatures w14:val="standardContextual"/>
        </w:rPr>
        <w:t>Sauerteig</w:t>
      </w:r>
      <w:proofErr w:type="spellEnd"/>
      <w:r w:rsidRPr="006060D6">
        <w:rPr>
          <w:rFonts w:ascii="Arial" w:eastAsia="Aptos" w:hAnsi="Arial" w:cs="Arial"/>
          <w:bCs/>
          <w:kern w:val="2"/>
          <w:lang w:eastAsia="en-US"/>
          <w14:ligatures w14:val="standardContextual"/>
        </w:rPr>
        <w:t> </w:t>
      </w:r>
      <w:r w:rsidRPr="006060D6">
        <w:rPr>
          <w:rFonts w:ascii="Arial" w:eastAsia="Aptos" w:hAnsi="Arial" w:cs="Arial"/>
          <w:bCs/>
          <w:i/>
          <w:iCs/>
          <w:kern w:val="2"/>
          <w:lang w:eastAsia="en-US"/>
          <w14:ligatures w14:val="standardContextual"/>
        </w:rPr>
        <w:t>et al.</w:t>
      </w:r>
      <w:r w:rsidRPr="006060D6">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w:t>
      </w:r>
      <w:r w:rsidRPr="006060D6">
        <w:rPr>
          <w:rFonts w:ascii="Arial" w:eastAsia="Aptos" w:hAnsi="Arial" w:cs="Arial"/>
          <w:bCs/>
          <w:kern w:val="2"/>
          <w:lang w:eastAsia="en-US"/>
          <w14:ligatures w14:val="standardContextual"/>
        </w:rPr>
        <w:t>2019)</w:t>
      </w:r>
      <w:r>
        <w:rPr>
          <w:rFonts w:ascii="Arial" w:eastAsia="Aptos" w:hAnsi="Arial" w:cs="Arial"/>
          <w:bCs/>
          <w:kern w:val="2"/>
          <w:lang w:eastAsia="en-US"/>
          <w14:ligatures w14:val="standardContextual"/>
        </w:rPr>
        <w:t xml:space="preserve"> note that t</w:t>
      </w:r>
      <w:r w:rsidR="00973F68" w:rsidRPr="00973F68">
        <w:rPr>
          <w:rFonts w:ascii="Arial" w:eastAsia="Aptos" w:hAnsi="Arial" w:cs="Arial"/>
          <w:bCs/>
          <w:kern w:val="2"/>
          <w:lang w:eastAsia="en-US"/>
          <w14:ligatures w14:val="standardContextual"/>
        </w:rPr>
        <w:t>he Boorman review of NHS health and wellbeing in 2009 advocated for whole-system</w:t>
      </w:r>
      <w:r>
        <w:rPr>
          <w:rFonts w:ascii="Arial" w:eastAsia="Aptos" w:hAnsi="Arial" w:cs="Arial"/>
          <w:bCs/>
          <w:kern w:val="2"/>
          <w:lang w:eastAsia="en-US"/>
          <w14:ligatures w14:val="standardContextual"/>
        </w:rPr>
        <w:t xml:space="preserve"> and</w:t>
      </w:r>
      <w:r w:rsidR="00973F68" w:rsidRPr="00973F68">
        <w:rPr>
          <w:rFonts w:ascii="Arial" w:eastAsia="Aptos" w:hAnsi="Arial" w:cs="Arial"/>
          <w:bCs/>
          <w:kern w:val="2"/>
          <w:lang w:eastAsia="en-US"/>
          <w14:ligatures w14:val="standardContextual"/>
        </w:rPr>
        <w:t xml:space="preserve"> participatory approaches to staff support, yet the COVID-19 pandemic exposed persistent gaps between policy recommendations and frontline realities. The unprecedented scale and duration of the pandemic created a unique opportunity to examine not only what coping strategies were used, but also how their effectiveness was shaped by organisational structures, leadership styles, and the evolving nature of the crisis itself.</w:t>
      </w:r>
    </w:p>
    <w:p w14:paraId="124E4F2A" w14:textId="1200E9D9" w:rsidR="00973F68" w:rsidRPr="00973F68" w:rsidRDefault="00973F68" w:rsidP="00973F68">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 xml:space="preserve">This theme is central to the research question as it provides the evaluative component necessary for a comprehensive understanding of healthcare workers' mental health support. While the first theme established the prevalence of mental health difficulties and the second identified the coping strategies utilised, this theme critically examines whether those strategies </w:t>
      </w:r>
      <w:proofErr w:type="gramStart"/>
      <w:r w:rsidRPr="00973F68">
        <w:rPr>
          <w:rFonts w:ascii="Arial" w:eastAsia="Aptos" w:hAnsi="Arial" w:cs="Arial"/>
          <w:bCs/>
          <w:kern w:val="2"/>
          <w:lang w:eastAsia="en-US"/>
          <w14:ligatures w14:val="standardContextual"/>
        </w:rPr>
        <w:t>actually worked</w:t>
      </w:r>
      <w:proofErr w:type="gramEnd"/>
      <w:r w:rsidRPr="00973F68">
        <w:rPr>
          <w:rFonts w:ascii="Arial" w:eastAsia="Aptos" w:hAnsi="Arial" w:cs="Arial"/>
          <w:bCs/>
          <w:kern w:val="2"/>
          <w:lang w:eastAsia="en-US"/>
          <w14:ligatures w14:val="standardContextual"/>
        </w:rPr>
        <w:t xml:space="preserve">. It addresses the fundamental question of what constitutes effective support, for whom, and under what conditions. Without this evaluative dimension, the research would describe problems and responses but would lack the evidence needed to inform future policy and practice. </w:t>
      </w:r>
      <w:r w:rsidR="006060D6" w:rsidRPr="006060D6">
        <w:rPr>
          <w:rFonts w:ascii="Arial" w:eastAsia="Aptos" w:hAnsi="Arial" w:cs="Arial"/>
          <w:bCs/>
          <w:kern w:val="2"/>
          <w:lang w:eastAsia="en-US"/>
          <w14:ligatures w14:val="standardContextual"/>
        </w:rPr>
        <w:t>Choudhury </w:t>
      </w:r>
      <w:r w:rsidR="006060D6" w:rsidRPr="006060D6">
        <w:rPr>
          <w:rFonts w:ascii="Arial" w:eastAsia="Aptos" w:hAnsi="Arial" w:cs="Arial"/>
          <w:bCs/>
          <w:i/>
          <w:iCs/>
          <w:kern w:val="2"/>
          <w:lang w:eastAsia="en-US"/>
          <w14:ligatures w14:val="standardContextual"/>
        </w:rPr>
        <w:t>et al.</w:t>
      </w:r>
      <w:r w:rsidR="006060D6" w:rsidRPr="006060D6">
        <w:rPr>
          <w:rFonts w:ascii="Arial" w:eastAsia="Aptos" w:hAnsi="Arial" w:cs="Arial"/>
          <w:bCs/>
          <w:kern w:val="2"/>
          <w:lang w:eastAsia="en-US"/>
          <w14:ligatures w14:val="standardContextual"/>
        </w:rPr>
        <w:t xml:space="preserve"> </w:t>
      </w:r>
      <w:r w:rsidR="006060D6">
        <w:rPr>
          <w:rFonts w:ascii="Arial" w:eastAsia="Aptos" w:hAnsi="Arial" w:cs="Arial"/>
          <w:bCs/>
          <w:kern w:val="2"/>
          <w:lang w:eastAsia="en-US"/>
          <w14:ligatures w14:val="standardContextual"/>
        </w:rPr>
        <w:t>(</w:t>
      </w:r>
      <w:r w:rsidR="006060D6" w:rsidRPr="006060D6">
        <w:rPr>
          <w:rFonts w:ascii="Arial" w:eastAsia="Aptos" w:hAnsi="Arial" w:cs="Arial"/>
          <w:bCs/>
          <w:kern w:val="2"/>
          <w:lang w:eastAsia="en-US"/>
          <w14:ligatures w14:val="standardContextual"/>
        </w:rPr>
        <w:t>2020)</w:t>
      </w:r>
      <w:r w:rsidR="006060D6">
        <w:rPr>
          <w:rFonts w:ascii="Arial" w:eastAsia="Aptos" w:hAnsi="Arial" w:cs="Arial"/>
          <w:bCs/>
          <w:kern w:val="2"/>
          <w:lang w:eastAsia="en-US"/>
          <w14:ligatures w14:val="standardContextual"/>
        </w:rPr>
        <w:t xml:space="preserve"> assert that u</w:t>
      </w:r>
      <w:r w:rsidRPr="00973F68">
        <w:rPr>
          <w:rFonts w:ascii="Arial" w:eastAsia="Aptos" w:hAnsi="Arial" w:cs="Arial"/>
          <w:bCs/>
          <w:kern w:val="2"/>
          <w:lang w:eastAsia="en-US"/>
          <w14:ligatures w14:val="standardContextual"/>
        </w:rPr>
        <w:t>nderstanding effectiveness is essential for ensuring that resources are directed towards interventions that yield tangible benefits for the workforce.</w:t>
      </w:r>
    </w:p>
    <w:p w14:paraId="661BEDBD" w14:textId="60F099CF" w:rsidR="00973F68" w:rsidRPr="00973F68" w:rsidRDefault="006060D6" w:rsidP="00973F68">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The t</w:t>
      </w:r>
      <w:r w:rsidR="00973F68" w:rsidRPr="00973F68">
        <w:rPr>
          <w:rFonts w:ascii="Arial" w:eastAsia="Aptos" w:hAnsi="Arial" w:cs="Arial"/>
          <w:bCs/>
          <w:kern w:val="2"/>
          <w:lang w:eastAsia="en-US"/>
          <w14:ligatures w14:val="standardContextual"/>
        </w:rPr>
        <w:t>hree articles</w:t>
      </w:r>
      <w:r>
        <w:rPr>
          <w:rFonts w:ascii="Arial" w:eastAsia="Aptos" w:hAnsi="Arial" w:cs="Arial"/>
          <w:bCs/>
          <w:kern w:val="2"/>
          <w:lang w:eastAsia="en-US"/>
          <w14:ligatures w14:val="standardContextual"/>
        </w:rPr>
        <w:t xml:space="preserve"> reviewed in this study</w:t>
      </w:r>
      <w:r w:rsidR="00973F68" w:rsidRPr="00973F68">
        <w:rPr>
          <w:rFonts w:ascii="Arial" w:eastAsia="Aptos" w:hAnsi="Arial" w:cs="Arial"/>
          <w:bCs/>
          <w:kern w:val="2"/>
          <w:lang w:eastAsia="en-US"/>
          <w14:ligatures w14:val="standardContextual"/>
        </w:rPr>
        <w:t xml:space="preserve"> provide complementary evidence on the effectiveness and success factors of coping strategies. Reilly et al. (2021)</w:t>
      </w:r>
      <w:r>
        <w:rPr>
          <w:rFonts w:ascii="Arial" w:eastAsia="Aptos" w:hAnsi="Arial" w:cs="Arial"/>
          <w:bCs/>
          <w:kern w:val="2"/>
          <w:lang w:eastAsia="en-US"/>
          <w14:ligatures w14:val="standardContextual"/>
        </w:rPr>
        <w:t xml:space="preserve"> conducted a</w:t>
      </w:r>
      <w:r w:rsidR="00973F68" w:rsidRPr="00973F68">
        <w:rPr>
          <w:rFonts w:ascii="Arial" w:eastAsia="Aptos" w:hAnsi="Arial" w:cs="Arial"/>
          <w:bCs/>
          <w:kern w:val="2"/>
          <w:lang w:eastAsia="en-US"/>
          <w14:ligatures w14:val="standardContextual"/>
        </w:rPr>
        <w:t xml:space="preserve"> survey of US mental health practitioners</w:t>
      </w:r>
      <w:r>
        <w:rPr>
          <w:rFonts w:ascii="Arial" w:eastAsia="Aptos" w:hAnsi="Arial" w:cs="Arial"/>
          <w:bCs/>
          <w:kern w:val="2"/>
          <w:lang w:eastAsia="en-US"/>
          <w14:ligatures w14:val="standardContextual"/>
        </w:rPr>
        <w:t xml:space="preserve"> and</w:t>
      </w:r>
      <w:r w:rsidR="00973F68" w:rsidRPr="00973F68">
        <w:rPr>
          <w:rFonts w:ascii="Arial" w:eastAsia="Aptos" w:hAnsi="Arial" w:cs="Arial"/>
          <w:bCs/>
          <w:kern w:val="2"/>
          <w:lang w:eastAsia="en-US"/>
          <w14:ligatures w14:val="standardContextual"/>
        </w:rPr>
        <w:t xml:space="preserve"> found that respondents generally perceived their coping strategies as somewhat to very effective, with no strategies rated as ineffective on average. The most frequently used strategies</w:t>
      </w:r>
      <w:r>
        <w:rPr>
          <w:rFonts w:ascii="Arial" w:eastAsia="Aptos" w:hAnsi="Arial" w:cs="Arial"/>
          <w:bCs/>
          <w:kern w:val="2"/>
          <w:lang w:eastAsia="en-US"/>
          <w14:ligatures w14:val="standardContextual"/>
        </w:rPr>
        <w:t xml:space="preserve">, which include </w:t>
      </w:r>
      <w:r w:rsidR="00973F68" w:rsidRPr="00973F68">
        <w:rPr>
          <w:rFonts w:ascii="Arial" w:eastAsia="Aptos" w:hAnsi="Arial" w:cs="Arial"/>
          <w:bCs/>
          <w:kern w:val="2"/>
          <w:lang w:eastAsia="en-US"/>
          <w14:ligatures w14:val="standardContextual"/>
        </w:rPr>
        <w:t>distraction or engaging in enjoyable activities, spending time with loved ones, and exercise</w:t>
      </w:r>
      <w:r>
        <w:rPr>
          <w:rFonts w:ascii="Arial" w:eastAsia="Aptos" w:hAnsi="Arial" w:cs="Arial"/>
          <w:bCs/>
          <w:kern w:val="2"/>
          <w:lang w:eastAsia="en-US"/>
          <w14:ligatures w14:val="standardContextual"/>
        </w:rPr>
        <w:t xml:space="preserve">, </w:t>
      </w:r>
      <w:r w:rsidR="00973F68" w:rsidRPr="00973F68">
        <w:rPr>
          <w:rFonts w:ascii="Arial" w:eastAsia="Aptos" w:hAnsi="Arial" w:cs="Arial"/>
          <w:bCs/>
          <w:kern w:val="2"/>
          <w:lang w:eastAsia="en-US"/>
          <w14:ligatures w14:val="standardContextual"/>
        </w:rPr>
        <w:t>received mean effectiveness ratings above 4 on a 5-point scale</w:t>
      </w:r>
      <w:r>
        <w:rPr>
          <w:rFonts w:ascii="Arial" w:eastAsia="Aptos" w:hAnsi="Arial" w:cs="Arial"/>
          <w:bCs/>
          <w:kern w:val="2"/>
          <w:lang w:eastAsia="en-US"/>
          <w14:ligatures w14:val="standardContextual"/>
        </w:rPr>
        <w:t xml:space="preserve"> </w:t>
      </w:r>
      <w:r w:rsidRPr="006060D6">
        <w:rPr>
          <w:rFonts w:ascii="Arial" w:eastAsia="Aptos" w:hAnsi="Arial" w:cs="Arial"/>
          <w:bCs/>
          <w:kern w:val="2"/>
          <w:lang w:eastAsia="en-US"/>
          <w14:ligatures w14:val="standardContextual"/>
        </w:rPr>
        <w:t>(Reilly </w:t>
      </w:r>
      <w:r w:rsidRPr="006060D6">
        <w:rPr>
          <w:rFonts w:ascii="Arial" w:eastAsia="Aptos" w:hAnsi="Arial" w:cs="Arial"/>
          <w:bCs/>
          <w:i/>
          <w:iCs/>
          <w:kern w:val="2"/>
          <w:lang w:eastAsia="en-US"/>
          <w14:ligatures w14:val="standardContextual"/>
        </w:rPr>
        <w:t>et al.</w:t>
      </w:r>
      <w:r w:rsidRPr="006060D6">
        <w:rPr>
          <w:rFonts w:ascii="Arial" w:eastAsia="Aptos" w:hAnsi="Arial" w:cs="Arial"/>
          <w:bCs/>
          <w:kern w:val="2"/>
          <w:lang w:eastAsia="en-US"/>
          <w14:ligatures w14:val="standardContextual"/>
        </w:rPr>
        <w:t>, 2021)</w:t>
      </w:r>
      <w:r>
        <w:rPr>
          <w:rFonts w:ascii="Arial" w:eastAsia="Aptos" w:hAnsi="Arial" w:cs="Arial"/>
          <w:bCs/>
          <w:kern w:val="2"/>
          <w:lang w:eastAsia="en-US"/>
          <w14:ligatures w14:val="standardContextual"/>
        </w:rPr>
        <w:t>. This</w:t>
      </w:r>
      <w:r w:rsidR="00973F68" w:rsidRPr="00973F68">
        <w:rPr>
          <w:rFonts w:ascii="Arial" w:eastAsia="Aptos" w:hAnsi="Arial" w:cs="Arial"/>
          <w:bCs/>
          <w:kern w:val="2"/>
          <w:lang w:eastAsia="en-US"/>
          <w14:ligatures w14:val="standardContextual"/>
        </w:rPr>
        <w:t xml:space="preserve"> suggest</w:t>
      </w:r>
      <w:r>
        <w:rPr>
          <w:rFonts w:ascii="Arial" w:eastAsia="Aptos" w:hAnsi="Arial" w:cs="Arial"/>
          <w:bCs/>
          <w:kern w:val="2"/>
          <w:lang w:eastAsia="en-US"/>
          <w14:ligatures w14:val="standardContextual"/>
        </w:rPr>
        <w:t>s</w:t>
      </w:r>
      <w:r w:rsidR="00973F68" w:rsidRPr="00973F68">
        <w:rPr>
          <w:rFonts w:ascii="Arial" w:eastAsia="Aptos" w:hAnsi="Arial" w:cs="Arial"/>
          <w:bCs/>
          <w:kern w:val="2"/>
          <w:lang w:eastAsia="en-US"/>
          <w14:ligatures w14:val="standardContextual"/>
        </w:rPr>
        <w:t xml:space="preserve"> that healthcare workers were adept at selecting strategies that worked for them. However, over one-quarter of respondents reported using alcohol to cope, and this strategy received a lower mean effectiveness rating of 3.24,</w:t>
      </w:r>
      <w:r>
        <w:rPr>
          <w:rFonts w:ascii="Arial" w:eastAsia="Aptos" w:hAnsi="Arial" w:cs="Arial"/>
          <w:bCs/>
          <w:kern w:val="2"/>
          <w:lang w:eastAsia="en-US"/>
          <w14:ligatures w14:val="standardContextual"/>
        </w:rPr>
        <w:t xml:space="preserve"> which</w:t>
      </w:r>
      <w:r w:rsidR="00973F68" w:rsidRPr="00973F68">
        <w:rPr>
          <w:rFonts w:ascii="Arial" w:eastAsia="Aptos" w:hAnsi="Arial" w:cs="Arial"/>
          <w:bCs/>
          <w:kern w:val="2"/>
          <w:lang w:eastAsia="en-US"/>
          <w14:ligatures w14:val="standardContextual"/>
        </w:rPr>
        <w:t xml:space="preserve"> indicat</w:t>
      </w:r>
      <w:r>
        <w:rPr>
          <w:rFonts w:ascii="Arial" w:eastAsia="Aptos" w:hAnsi="Arial" w:cs="Arial"/>
          <w:bCs/>
          <w:kern w:val="2"/>
          <w:lang w:eastAsia="en-US"/>
          <w14:ligatures w14:val="standardContextual"/>
        </w:rPr>
        <w:t>es</w:t>
      </w:r>
      <w:r w:rsidR="00973F68" w:rsidRPr="00973F68">
        <w:rPr>
          <w:rFonts w:ascii="Arial" w:eastAsia="Aptos" w:hAnsi="Arial" w:cs="Arial"/>
          <w:bCs/>
          <w:kern w:val="2"/>
          <w:lang w:eastAsia="en-US"/>
          <w14:ligatures w14:val="standardContextual"/>
        </w:rPr>
        <w:t xml:space="preserve"> that it was perceived as less helpful</w:t>
      </w:r>
      <w:r>
        <w:rPr>
          <w:rFonts w:ascii="Arial" w:eastAsia="Aptos" w:hAnsi="Arial" w:cs="Arial"/>
          <w:bCs/>
          <w:kern w:val="2"/>
          <w:lang w:eastAsia="en-US"/>
          <w14:ligatures w14:val="standardContextual"/>
        </w:rPr>
        <w:t xml:space="preserve"> </w:t>
      </w:r>
      <w:r w:rsidRPr="006060D6">
        <w:rPr>
          <w:rFonts w:ascii="Arial" w:eastAsia="Aptos" w:hAnsi="Arial" w:cs="Arial"/>
          <w:bCs/>
          <w:kern w:val="2"/>
          <w:lang w:eastAsia="en-US"/>
          <w14:ligatures w14:val="standardContextual"/>
        </w:rPr>
        <w:t>(Reilly </w:t>
      </w:r>
      <w:r w:rsidRPr="006060D6">
        <w:rPr>
          <w:rFonts w:ascii="Arial" w:eastAsia="Aptos" w:hAnsi="Arial" w:cs="Arial"/>
          <w:bCs/>
          <w:i/>
          <w:iCs/>
          <w:kern w:val="2"/>
          <w:lang w:eastAsia="en-US"/>
          <w14:ligatures w14:val="standardContextual"/>
        </w:rPr>
        <w:t>et al.</w:t>
      </w:r>
      <w:r w:rsidRPr="006060D6">
        <w:rPr>
          <w:rFonts w:ascii="Arial" w:eastAsia="Aptos" w:hAnsi="Arial" w:cs="Arial"/>
          <w:bCs/>
          <w:kern w:val="2"/>
          <w:lang w:eastAsia="en-US"/>
          <w14:ligatures w14:val="standardContextual"/>
        </w:rPr>
        <w:t>, 2021)</w:t>
      </w:r>
      <w:r w:rsidR="00973F68" w:rsidRPr="00973F68">
        <w:rPr>
          <w:rFonts w:ascii="Arial" w:eastAsia="Aptos" w:hAnsi="Arial" w:cs="Arial"/>
          <w:bCs/>
          <w:kern w:val="2"/>
          <w:lang w:eastAsia="en-US"/>
          <w14:ligatures w14:val="standardContextual"/>
        </w:rPr>
        <w:t>. Notably, trainees were significantly more likely than licensed practitioners to use supervision and other substances to cope</w:t>
      </w:r>
      <w:r w:rsidR="004A28EC">
        <w:rPr>
          <w:rFonts w:ascii="Arial" w:eastAsia="Aptos" w:hAnsi="Arial" w:cs="Arial"/>
          <w:bCs/>
          <w:kern w:val="2"/>
          <w:lang w:eastAsia="en-US"/>
          <w14:ligatures w14:val="standardContextual"/>
        </w:rPr>
        <w:t>. This</w:t>
      </w:r>
      <w:r w:rsidR="00973F68" w:rsidRPr="00973F68">
        <w:rPr>
          <w:rFonts w:ascii="Arial" w:eastAsia="Aptos" w:hAnsi="Arial" w:cs="Arial"/>
          <w:bCs/>
          <w:kern w:val="2"/>
          <w:lang w:eastAsia="en-US"/>
          <w14:ligatures w14:val="standardContextual"/>
        </w:rPr>
        <w:t xml:space="preserve"> </w:t>
      </w:r>
      <w:r w:rsidR="004A28EC">
        <w:rPr>
          <w:rFonts w:ascii="Arial" w:eastAsia="Aptos" w:hAnsi="Arial" w:cs="Arial"/>
          <w:bCs/>
          <w:kern w:val="2"/>
          <w:lang w:eastAsia="en-US"/>
          <w14:ligatures w14:val="standardContextual"/>
        </w:rPr>
        <w:t>suggests</w:t>
      </w:r>
      <w:r w:rsidR="00973F68" w:rsidRPr="00973F68">
        <w:rPr>
          <w:rFonts w:ascii="Arial" w:eastAsia="Aptos" w:hAnsi="Arial" w:cs="Arial"/>
          <w:bCs/>
          <w:kern w:val="2"/>
          <w:lang w:eastAsia="en-US"/>
          <w14:ligatures w14:val="standardContextual"/>
        </w:rPr>
        <w:t xml:space="preserve"> that effectiveness may vary by career stage and that certain groups may require targeted support.</w:t>
      </w:r>
    </w:p>
    <w:p w14:paraId="587C60C6" w14:textId="09D19C38" w:rsidR="00973F68" w:rsidRPr="00973F68" w:rsidRDefault="004A28EC" w:rsidP="00973F68">
      <w:pPr>
        <w:spacing w:before="240" w:line="360" w:lineRule="auto"/>
        <w:textAlignment w:val="baseline"/>
        <w:rPr>
          <w:rFonts w:ascii="Arial" w:eastAsia="Aptos" w:hAnsi="Arial" w:cs="Arial"/>
          <w:bCs/>
          <w:kern w:val="2"/>
          <w:lang w:eastAsia="en-US"/>
          <w14:ligatures w14:val="standardContextual"/>
        </w:rPr>
      </w:pPr>
      <w:r w:rsidRPr="004A28EC">
        <w:rPr>
          <w:rFonts w:ascii="Arial" w:eastAsia="Aptos" w:hAnsi="Arial" w:cs="Arial"/>
          <w:bCs/>
          <w:kern w:val="2"/>
          <w:lang w:eastAsia="en-US"/>
          <w14:ligatures w14:val="standardContextual"/>
        </w:rPr>
        <w:t xml:space="preserve">Juan et al. </w:t>
      </w:r>
      <w:r>
        <w:rPr>
          <w:rFonts w:ascii="Arial" w:eastAsia="Aptos" w:hAnsi="Arial" w:cs="Arial"/>
          <w:bCs/>
          <w:kern w:val="2"/>
          <w:lang w:eastAsia="en-US"/>
          <w14:ligatures w14:val="standardContextual"/>
        </w:rPr>
        <w:t>(</w:t>
      </w:r>
      <w:r w:rsidRPr="004A28EC">
        <w:rPr>
          <w:rFonts w:ascii="Arial" w:eastAsia="Aptos" w:hAnsi="Arial" w:cs="Arial"/>
          <w:bCs/>
          <w:kern w:val="2"/>
          <w:lang w:eastAsia="en-US"/>
          <w14:ligatures w14:val="standardContextual"/>
        </w:rPr>
        <w:t>2020)</w:t>
      </w:r>
      <w:r w:rsidR="00973F68" w:rsidRPr="00973F68">
        <w:rPr>
          <w:rFonts w:ascii="Arial" w:eastAsia="Aptos" w:hAnsi="Arial" w:cs="Arial"/>
          <w:bCs/>
          <w:kern w:val="2"/>
          <w:lang w:eastAsia="en-US"/>
          <w14:ligatures w14:val="standardContextual"/>
        </w:rPr>
        <w:t xml:space="preserve"> provided crucial qualitative evidence on the mismatch between guideline recommendations and practical effectiveness. Their interviews with UK frontline staff revealed that formal wellbeing interventions, such as psychologist-led sessions, were often inaccessible because they were scheduled during shifts or clashed with staff availability. Participants reported having 'no room' for wellbeing activities during the peak of the pandemic and prioritised resting during breaks</w:t>
      </w:r>
      <w:r>
        <w:rPr>
          <w:rFonts w:ascii="Arial" w:eastAsia="Aptos" w:hAnsi="Arial" w:cs="Arial"/>
          <w:bCs/>
          <w:kern w:val="2"/>
          <w:lang w:eastAsia="en-US"/>
          <w14:ligatures w14:val="standardContextual"/>
        </w:rPr>
        <w:t xml:space="preserve"> </w:t>
      </w:r>
      <w:r w:rsidRPr="004A28EC">
        <w:rPr>
          <w:rFonts w:ascii="Arial" w:eastAsia="Aptos" w:hAnsi="Arial" w:cs="Arial"/>
          <w:bCs/>
          <w:kern w:val="2"/>
          <w:lang w:eastAsia="en-US"/>
          <w14:ligatures w14:val="standardContextual"/>
        </w:rPr>
        <w:t>(Juan </w:t>
      </w:r>
      <w:r w:rsidRPr="004A28EC">
        <w:rPr>
          <w:rFonts w:ascii="Arial" w:eastAsia="Aptos" w:hAnsi="Arial" w:cs="Arial"/>
          <w:bCs/>
          <w:i/>
          <w:iCs/>
          <w:kern w:val="2"/>
          <w:lang w:eastAsia="en-US"/>
          <w14:ligatures w14:val="standardContextual"/>
        </w:rPr>
        <w:t>et al.</w:t>
      </w:r>
      <w:r w:rsidRPr="004A28EC">
        <w:rPr>
          <w:rFonts w:ascii="Arial" w:eastAsia="Aptos" w:hAnsi="Arial" w:cs="Arial"/>
          <w:bCs/>
          <w:kern w:val="2"/>
          <w:lang w:eastAsia="en-US"/>
          <w14:ligatures w14:val="standardContextual"/>
        </w:rPr>
        <w:t>, 2020)</w:t>
      </w:r>
      <w:r w:rsidR="00973F68" w:rsidRPr="00973F68">
        <w:rPr>
          <w:rFonts w:ascii="Arial" w:eastAsia="Aptos" w:hAnsi="Arial" w:cs="Arial"/>
          <w:bCs/>
          <w:kern w:val="2"/>
          <w:lang w:eastAsia="en-US"/>
          <w14:ligatures w14:val="standardContextual"/>
        </w:rPr>
        <w:t>. In contrast, informal peer support and community appreciation, such as food donations and public clapping, were described as highly effective in maintaining morale. This finding underscores that the success of coping strategies depends not only on their intrinsic qualities but also on their feasibility within the constraints of clinical work.</w:t>
      </w:r>
    </w:p>
    <w:p w14:paraId="36996219" w14:textId="403F0094" w:rsidR="00973F68" w:rsidRPr="00973F68" w:rsidRDefault="004A28EC" w:rsidP="00973F68">
      <w:pPr>
        <w:spacing w:before="240" w:line="360" w:lineRule="auto"/>
        <w:textAlignment w:val="baseline"/>
        <w:rPr>
          <w:rFonts w:ascii="Arial" w:eastAsia="Aptos" w:hAnsi="Arial" w:cs="Arial"/>
          <w:bCs/>
          <w:kern w:val="2"/>
          <w:lang w:eastAsia="en-US"/>
          <w14:ligatures w14:val="standardContextual"/>
        </w:rPr>
      </w:pPr>
      <w:r w:rsidRPr="004A28EC">
        <w:rPr>
          <w:rFonts w:ascii="Arial" w:eastAsia="Aptos" w:hAnsi="Arial" w:cs="Arial"/>
          <w:bCs/>
          <w:kern w:val="2"/>
          <w:lang w:eastAsia="en-US"/>
          <w14:ligatures w14:val="standardContextual"/>
        </w:rPr>
        <w:t xml:space="preserve">Majumder, </w:t>
      </w:r>
      <w:proofErr w:type="spellStart"/>
      <w:r w:rsidRPr="004A28EC">
        <w:rPr>
          <w:rFonts w:ascii="Arial" w:eastAsia="Aptos" w:hAnsi="Arial" w:cs="Arial"/>
          <w:bCs/>
          <w:kern w:val="2"/>
          <w:lang w:eastAsia="en-US"/>
          <w14:ligatures w14:val="standardContextual"/>
        </w:rPr>
        <w:t>Jeve</w:t>
      </w:r>
      <w:proofErr w:type="spellEnd"/>
      <w:r w:rsidRPr="004A28EC">
        <w:rPr>
          <w:rFonts w:ascii="Arial" w:eastAsia="Aptos" w:hAnsi="Arial" w:cs="Arial"/>
          <w:bCs/>
          <w:kern w:val="2"/>
          <w:lang w:eastAsia="en-US"/>
          <w14:ligatures w14:val="standardContextual"/>
        </w:rPr>
        <w:t xml:space="preserve"> and Sales </w:t>
      </w:r>
      <w:r>
        <w:rPr>
          <w:rFonts w:ascii="Arial" w:eastAsia="Aptos" w:hAnsi="Arial" w:cs="Arial"/>
          <w:bCs/>
          <w:kern w:val="2"/>
          <w:lang w:eastAsia="en-US"/>
          <w14:ligatures w14:val="standardContextual"/>
        </w:rPr>
        <w:t>(</w:t>
      </w:r>
      <w:r w:rsidRPr="004A28EC">
        <w:rPr>
          <w:rFonts w:ascii="Arial" w:eastAsia="Aptos" w:hAnsi="Arial" w:cs="Arial"/>
          <w:bCs/>
          <w:kern w:val="2"/>
          <w:lang w:eastAsia="en-US"/>
          <w14:ligatures w14:val="standardContextual"/>
        </w:rPr>
        <w:t>2021)</w:t>
      </w:r>
      <w:r w:rsidR="00973F68" w:rsidRPr="00973F68">
        <w:rPr>
          <w:rFonts w:ascii="Arial" w:eastAsia="Aptos" w:hAnsi="Arial" w:cs="Arial"/>
          <w:bCs/>
          <w:kern w:val="2"/>
          <w:lang w:eastAsia="en-US"/>
          <w14:ligatures w14:val="standardContextual"/>
        </w:rPr>
        <w:t xml:space="preserve"> further elucidated the preferences of UK healthcare workers</w:t>
      </w:r>
      <w:r>
        <w:rPr>
          <w:rFonts w:ascii="Arial" w:eastAsia="Aptos" w:hAnsi="Arial" w:cs="Arial"/>
          <w:bCs/>
          <w:kern w:val="2"/>
          <w:lang w:eastAsia="en-US"/>
          <w14:ligatures w14:val="standardContextual"/>
        </w:rPr>
        <w:t>, which</w:t>
      </w:r>
      <w:r w:rsidR="00973F68" w:rsidRPr="00973F68">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found</w:t>
      </w:r>
      <w:r w:rsidR="00973F68" w:rsidRPr="00973F68">
        <w:rPr>
          <w:rFonts w:ascii="Arial" w:eastAsia="Aptos" w:hAnsi="Arial" w:cs="Arial"/>
          <w:bCs/>
          <w:kern w:val="2"/>
          <w:lang w:eastAsia="en-US"/>
          <w14:ligatures w14:val="standardContextual"/>
        </w:rPr>
        <w:t xml:space="preserve"> that practical coping mechanisms such as walking, exercise, and housework were </w:t>
      </w:r>
      <w:proofErr w:type="gramStart"/>
      <w:r w:rsidR="00973F68" w:rsidRPr="00973F68">
        <w:rPr>
          <w:rFonts w:ascii="Arial" w:eastAsia="Aptos" w:hAnsi="Arial" w:cs="Arial"/>
          <w:bCs/>
          <w:kern w:val="2"/>
          <w:lang w:eastAsia="en-US"/>
          <w14:ligatures w14:val="standardContextual"/>
        </w:rPr>
        <w:t>most commonly used</w:t>
      </w:r>
      <w:proofErr w:type="gramEnd"/>
      <w:r w:rsidR="00973F68" w:rsidRPr="00973F68">
        <w:rPr>
          <w:rFonts w:ascii="Arial" w:eastAsia="Aptos" w:hAnsi="Arial" w:cs="Arial"/>
          <w:bCs/>
          <w:kern w:val="2"/>
          <w:lang w:eastAsia="en-US"/>
          <w14:ligatures w14:val="standardContextual"/>
        </w:rPr>
        <w:t xml:space="preserve"> and that respondents expressed a clear preference for practical support from employers, including more managerial support, time off, and financial incentives. Emotional or relational strategies such as support groups and helplines were rated as less useful. Concerningly, a significant minority reported severe psychological distress, including thoughts of self-harm and suicidal ideation</w:t>
      </w:r>
      <w:r>
        <w:rPr>
          <w:rFonts w:ascii="Arial" w:eastAsia="Aptos" w:hAnsi="Arial" w:cs="Arial"/>
          <w:bCs/>
          <w:kern w:val="2"/>
          <w:lang w:eastAsia="en-US"/>
          <w14:ligatures w14:val="standardContextual"/>
        </w:rPr>
        <w:t xml:space="preserve"> </w:t>
      </w:r>
      <w:r w:rsidRPr="004A28EC">
        <w:rPr>
          <w:rFonts w:ascii="Arial" w:eastAsia="Aptos" w:hAnsi="Arial" w:cs="Arial"/>
          <w:bCs/>
          <w:kern w:val="2"/>
          <w:lang w:eastAsia="en-US"/>
          <w14:ligatures w14:val="standardContextual"/>
        </w:rPr>
        <w:t xml:space="preserve">(Majumder, </w:t>
      </w:r>
      <w:proofErr w:type="spellStart"/>
      <w:r w:rsidRPr="004A28EC">
        <w:rPr>
          <w:rFonts w:ascii="Arial" w:eastAsia="Aptos" w:hAnsi="Arial" w:cs="Arial"/>
          <w:bCs/>
          <w:kern w:val="2"/>
          <w:lang w:eastAsia="en-US"/>
          <w14:ligatures w14:val="standardContextual"/>
        </w:rPr>
        <w:t>Jeve</w:t>
      </w:r>
      <w:proofErr w:type="spellEnd"/>
      <w:r w:rsidRPr="004A28EC">
        <w:rPr>
          <w:rFonts w:ascii="Arial" w:eastAsia="Aptos" w:hAnsi="Arial" w:cs="Arial"/>
          <w:bCs/>
          <w:kern w:val="2"/>
          <w:lang w:eastAsia="en-US"/>
          <w14:ligatures w14:val="standardContextual"/>
        </w:rPr>
        <w:t xml:space="preserve"> and Sales, 2021)</w:t>
      </w:r>
      <w:r>
        <w:rPr>
          <w:rFonts w:ascii="Arial" w:eastAsia="Aptos" w:hAnsi="Arial" w:cs="Arial"/>
          <w:bCs/>
          <w:kern w:val="2"/>
          <w:lang w:eastAsia="en-US"/>
          <w14:ligatures w14:val="standardContextual"/>
        </w:rPr>
        <w:t>. This</w:t>
      </w:r>
      <w:r w:rsidR="00973F68" w:rsidRPr="00973F68">
        <w:rPr>
          <w:rFonts w:ascii="Arial" w:eastAsia="Aptos" w:hAnsi="Arial" w:cs="Arial"/>
          <w:bCs/>
          <w:kern w:val="2"/>
          <w:lang w:eastAsia="en-US"/>
          <w14:ligatures w14:val="standardContextual"/>
        </w:rPr>
        <w:t xml:space="preserve"> indicat</w:t>
      </w:r>
      <w:r>
        <w:rPr>
          <w:rFonts w:ascii="Arial" w:eastAsia="Aptos" w:hAnsi="Arial" w:cs="Arial"/>
          <w:bCs/>
          <w:kern w:val="2"/>
          <w:lang w:eastAsia="en-US"/>
          <w14:ligatures w14:val="standardContextual"/>
        </w:rPr>
        <w:t>es</w:t>
      </w:r>
      <w:r w:rsidR="00973F68" w:rsidRPr="00973F68">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that</w:t>
      </w:r>
      <w:r w:rsidR="00973F68" w:rsidRPr="00973F68">
        <w:rPr>
          <w:rFonts w:ascii="Arial" w:eastAsia="Aptos" w:hAnsi="Arial" w:cs="Arial"/>
          <w:bCs/>
          <w:kern w:val="2"/>
          <w:lang w:eastAsia="en-US"/>
          <w14:ligatures w14:val="standardContextual"/>
        </w:rPr>
        <w:t xml:space="preserve"> existing coping strategies were wholly inadequate</w:t>
      </w:r>
      <w:r>
        <w:rPr>
          <w:rFonts w:ascii="Arial" w:eastAsia="Aptos" w:hAnsi="Arial" w:cs="Arial"/>
          <w:bCs/>
          <w:kern w:val="2"/>
          <w:lang w:eastAsia="en-US"/>
          <w14:ligatures w14:val="standardContextual"/>
        </w:rPr>
        <w:t xml:space="preserve"> </w:t>
      </w:r>
      <w:r w:rsidRPr="00973F68">
        <w:rPr>
          <w:rFonts w:ascii="Arial" w:eastAsia="Aptos" w:hAnsi="Arial" w:cs="Arial"/>
          <w:bCs/>
          <w:kern w:val="2"/>
          <w:lang w:eastAsia="en-US"/>
          <w14:ligatures w14:val="standardContextual"/>
        </w:rPr>
        <w:t>for some</w:t>
      </w:r>
      <w:r w:rsidR="00973F68" w:rsidRPr="00973F68">
        <w:rPr>
          <w:rFonts w:ascii="Arial" w:eastAsia="Aptos" w:hAnsi="Arial" w:cs="Arial"/>
          <w:bCs/>
          <w:kern w:val="2"/>
          <w:lang w:eastAsia="en-US"/>
          <w14:ligatures w14:val="standardContextual"/>
        </w:rPr>
        <w:t>. The articles collectively agree that practical, accessible strategies were perceived as most effective, but they also reveal that a substantial proportion of healthcare workers experienced distress that overwhelmed their coping capacities.</w:t>
      </w:r>
    </w:p>
    <w:p w14:paraId="1FE8A0E9" w14:textId="517C7299" w:rsidR="00973F68" w:rsidRPr="00973F68" w:rsidRDefault="00973F68" w:rsidP="00973F68">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 xml:space="preserve">Maslow's hierarchy of needs provides a valuable theoretical lens for interpreting these findings. </w:t>
      </w:r>
      <w:r w:rsidR="004A28EC" w:rsidRPr="004A28EC">
        <w:rPr>
          <w:rFonts w:ascii="Arial" w:eastAsia="Aptos" w:hAnsi="Arial" w:cs="Arial"/>
          <w:bCs/>
          <w:kern w:val="2"/>
          <w:lang w:eastAsia="en-US"/>
          <w14:ligatures w14:val="standardContextual"/>
        </w:rPr>
        <w:t xml:space="preserve">Majumder, </w:t>
      </w:r>
      <w:proofErr w:type="spellStart"/>
      <w:r w:rsidR="004A28EC" w:rsidRPr="004A28EC">
        <w:rPr>
          <w:rFonts w:ascii="Arial" w:eastAsia="Aptos" w:hAnsi="Arial" w:cs="Arial"/>
          <w:bCs/>
          <w:kern w:val="2"/>
          <w:lang w:eastAsia="en-US"/>
          <w14:ligatures w14:val="standardContextual"/>
        </w:rPr>
        <w:t>Jeve</w:t>
      </w:r>
      <w:proofErr w:type="spellEnd"/>
      <w:r w:rsidR="004A28EC" w:rsidRPr="004A28EC">
        <w:rPr>
          <w:rFonts w:ascii="Arial" w:eastAsia="Aptos" w:hAnsi="Arial" w:cs="Arial"/>
          <w:bCs/>
          <w:kern w:val="2"/>
          <w:lang w:eastAsia="en-US"/>
          <w14:ligatures w14:val="standardContextual"/>
        </w:rPr>
        <w:t xml:space="preserve"> and Sales </w:t>
      </w:r>
      <w:r w:rsidR="004A28EC">
        <w:rPr>
          <w:rFonts w:ascii="Arial" w:eastAsia="Aptos" w:hAnsi="Arial" w:cs="Arial"/>
          <w:bCs/>
          <w:kern w:val="2"/>
          <w:lang w:eastAsia="en-US"/>
          <w14:ligatures w14:val="standardContextual"/>
        </w:rPr>
        <w:t>(</w:t>
      </w:r>
      <w:r w:rsidR="004A28EC" w:rsidRPr="004A28EC">
        <w:rPr>
          <w:rFonts w:ascii="Arial" w:eastAsia="Aptos" w:hAnsi="Arial" w:cs="Arial"/>
          <w:bCs/>
          <w:kern w:val="2"/>
          <w:lang w:eastAsia="en-US"/>
          <w14:ligatures w14:val="standardContextual"/>
        </w:rPr>
        <w:t>2021)</w:t>
      </w:r>
      <w:r w:rsidRPr="00973F68">
        <w:rPr>
          <w:rFonts w:ascii="Arial" w:eastAsia="Aptos" w:hAnsi="Arial" w:cs="Arial"/>
          <w:bCs/>
          <w:kern w:val="2"/>
          <w:lang w:eastAsia="en-US"/>
          <w14:ligatures w14:val="standardContextual"/>
        </w:rPr>
        <w:t xml:space="preserve"> explicitly reference this theory, suggesting that individuals under extreme stress enter 'survival mode' and prioritise basic needs such as safety, rest, and practical support over higher-order needs such as emotional reflection or group therapy. This framework explains why healthcare workers consistently preferred tangible support like time off and financial incentives over psychological interventions. </w:t>
      </w:r>
      <w:r w:rsidR="004A28EC" w:rsidRPr="004A28EC">
        <w:rPr>
          <w:rFonts w:ascii="Arial" w:eastAsia="Aptos" w:hAnsi="Arial" w:cs="Arial"/>
          <w:bCs/>
          <w:kern w:val="2"/>
          <w:lang w:eastAsia="en-US"/>
          <w14:ligatures w14:val="standardContextual"/>
        </w:rPr>
        <w:t>Juan </w:t>
      </w:r>
      <w:r w:rsidR="004A28EC" w:rsidRPr="004A28EC">
        <w:rPr>
          <w:rFonts w:ascii="Arial" w:eastAsia="Aptos" w:hAnsi="Arial" w:cs="Arial"/>
          <w:bCs/>
          <w:i/>
          <w:iCs/>
          <w:kern w:val="2"/>
          <w:lang w:eastAsia="en-US"/>
          <w14:ligatures w14:val="standardContextual"/>
        </w:rPr>
        <w:t>et al.</w:t>
      </w:r>
      <w:r w:rsidR="004A28EC">
        <w:rPr>
          <w:rFonts w:ascii="Arial" w:eastAsia="Aptos" w:hAnsi="Arial" w:cs="Arial"/>
          <w:bCs/>
          <w:kern w:val="2"/>
          <w:lang w:eastAsia="en-US"/>
          <w14:ligatures w14:val="standardContextual"/>
        </w:rPr>
        <w:t>’s</w:t>
      </w:r>
      <w:r w:rsidR="004A28EC" w:rsidRPr="004A28EC">
        <w:rPr>
          <w:rFonts w:ascii="Arial" w:eastAsia="Aptos" w:hAnsi="Arial" w:cs="Arial"/>
          <w:bCs/>
          <w:kern w:val="2"/>
          <w:lang w:eastAsia="en-US"/>
          <w14:ligatures w14:val="standardContextual"/>
        </w:rPr>
        <w:t xml:space="preserve"> </w:t>
      </w:r>
      <w:r w:rsidR="004A28EC">
        <w:rPr>
          <w:rFonts w:ascii="Arial" w:eastAsia="Aptos" w:hAnsi="Arial" w:cs="Arial"/>
          <w:bCs/>
          <w:kern w:val="2"/>
          <w:lang w:eastAsia="en-US"/>
          <w14:ligatures w14:val="standardContextual"/>
        </w:rPr>
        <w:t>(</w:t>
      </w:r>
      <w:r w:rsidR="004A28EC" w:rsidRPr="004A28EC">
        <w:rPr>
          <w:rFonts w:ascii="Arial" w:eastAsia="Aptos" w:hAnsi="Arial" w:cs="Arial"/>
          <w:bCs/>
          <w:kern w:val="2"/>
          <w:lang w:eastAsia="en-US"/>
          <w14:ligatures w14:val="standardContextual"/>
        </w:rPr>
        <w:t>2020)</w:t>
      </w:r>
      <w:r w:rsidRPr="00973F68">
        <w:rPr>
          <w:rFonts w:ascii="Arial" w:eastAsia="Aptos" w:hAnsi="Arial" w:cs="Arial"/>
          <w:bCs/>
          <w:kern w:val="2"/>
          <w:lang w:eastAsia="en-US"/>
          <w14:ligatures w14:val="standardContextual"/>
        </w:rPr>
        <w:t xml:space="preserve"> findings align with this perspective, as staff emphasised the importance of adequate rest, meals, and personal protective equipment as foundational to their wellbeing. The </w:t>
      </w:r>
      <w:r w:rsidR="004A28EC">
        <w:rPr>
          <w:rFonts w:ascii="Arial" w:eastAsia="Aptos" w:hAnsi="Arial" w:cs="Arial"/>
          <w:bCs/>
          <w:kern w:val="2"/>
          <w:lang w:eastAsia="en-US"/>
          <w14:ligatures w14:val="standardContextual"/>
        </w:rPr>
        <w:t>Social Support Theory</w:t>
      </w:r>
      <w:r w:rsidRPr="00973F68">
        <w:rPr>
          <w:rFonts w:ascii="Arial" w:eastAsia="Aptos" w:hAnsi="Arial" w:cs="Arial"/>
          <w:bCs/>
          <w:kern w:val="2"/>
          <w:lang w:eastAsia="en-US"/>
          <w14:ligatures w14:val="standardContextual"/>
        </w:rPr>
        <w:t xml:space="preserve"> also applies, as the research demonstrated that community appreciation and peer support were as critical as formal mental health services</w:t>
      </w:r>
      <w:r w:rsidR="004A28EC">
        <w:rPr>
          <w:rFonts w:ascii="Arial" w:eastAsia="Aptos" w:hAnsi="Arial" w:cs="Arial"/>
          <w:bCs/>
          <w:kern w:val="2"/>
          <w:lang w:eastAsia="en-US"/>
          <w14:ligatures w14:val="standardContextual"/>
        </w:rPr>
        <w:t xml:space="preserve"> (</w:t>
      </w:r>
      <w:r w:rsidR="004A28EC" w:rsidRPr="00D449EF">
        <w:rPr>
          <w:rFonts w:ascii="Arial" w:eastAsia="Aptos" w:hAnsi="Arial" w:cs="Arial"/>
          <w:bCs/>
          <w:kern w:val="2"/>
          <w:lang w:eastAsia="en-US"/>
          <w14:ligatures w14:val="standardContextual"/>
        </w:rPr>
        <w:t>Feeney and Collins, 2014)</w:t>
      </w:r>
      <w:r w:rsidRPr="00973F68">
        <w:rPr>
          <w:rFonts w:ascii="Arial" w:eastAsia="Aptos" w:hAnsi="Arial" w:cs="Arial"/>
          <w:bCs/>
          <w:kern w:val="2"/>
          <w:lang w:eastAsia="en-US"/>
          <w14:ligatures w14:val="standardContextual"/>
        </w:rPr>
        <w:t>.</w:t>
      </w:r>
    </w:p>
    <w:p w14:paraId="39D96E73" w14:textId="2393A9A5" w:rsidR="00973F68" w:rsidRPr="00973F68" w:rsidRDefault="00973F68" w:rsidP="00973F68">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 xml:space="preserve">The findings have significant implications for policy, particularly the NHS People Plan and various workforce wellbeing strategies. </w:t>
      </w:r>
      <w:r w:rsidR="00897F2F" w:rsidRPr="004A28EC">
        <w:rPr>
          <w:rFonts w:ascii="Arial" w:eastAsia="Aptos" w:hAnsi="Arial" w:cs="Arial"/>
          <w:bCs/>
          <w:kern w:val="2"/>
          <w:lang w:eastAsia="en-US"/>
          <w14:ligatures w14:val="standardContextual"/>
        </w:rPr>
        <w:t>Juan </w:t>
      </w:r>
      <w:r w:rsidR="00897F2F" w:rsidRPr="004A28EC">
        <w:rPr>
          <w:rFonts w:ascii="Arial" w:eastAsia="Aptos" w:hAnsi="Arial" w:cs="Arial"/>
          <w:bCs/>
          <w:i/>
          <w:iCs/>
          <w:kern w:val="2"/>
          <w:lang w:eastAsia="en-US"/>
          <w14:ligatures w14:val="standardContextual"/>
        </w:rPr>
        <w:t>et al.</w:t>
      </w:r>
      <w:r w:rsidR="00897F2F">
        <w:rPr>
          <w:rFonts w:ascii="Arial" w:eastAsia="Aptos" w:hAnsi="Arial" w:cs="Arial"/>
          <w:bCs/>
          <w:kern w:val="2"/>
          <w:lang w:eastAsia="en-US"/>
          <w14:ligatures w14:val="standardContextual"/>
        </w:rPr>
        <w:t>’s</w:t>
      </w:r>
      <w:r w:rsidR="00897F2F" w:rsidRPr="004A28EC">
        <w:rPr>
          <w:rFonts w:ascii="Arial" w:eastAsia="Aptos" w:hAnsi="Arial" w:cs="Arial"/>
          <w:bCs/>
          <w:kern w:val="2"/>
          <w:lang w:eastAsia="en-US"/>
          <w14:ligatures w14:val="standardContextual"/>
        </w:rPr>
        <w:t xml:space="preserve"> </w:t>
      </w:r>
      <w:r w:rsidR="00897F2F">
        <w:rPr>
          <w:rFonts w:ascii="Arial" w:eastAsia="Aptos" w:hAnsi="Arial" w:cs="Arial"/>
          <w:bCs/>
          <w:kern w:val="2"/>
          <w:lang w:eastAsia="en-US"/>
          <w14:ligatures w14:val="standardContextual"/>
        </w:rPr>
        <w:t>(</w:t>
      </w:r>
      <w:r w:rsidR="00897F2F" w:rsidRPr="004A28EC">
        <w:rPr>
          <w:rFonts w:ascii="Arial" w:eastAsia="Aptos" w:hAnsi="Arial" w:cs="Arial"/>
          <w:bCs/>
          <w:kern w:val="2"/>
          <w:lang w:eastAsia="en-US"/>
          <w14:ligatures w14:val="standardContextual"/>
        </w:rPr>
        <w:t>2020)</w:t>
      </w:r>
      <w:r w:rsidRPr="00973F68">
        <w:rPr>
          <w:rFonts w:ascii="Arial" w:eastAsia="Aptos" w:hAnsi="Arial" w:cs="Arial"/>
          <w:bCs/>
          <w:kern w:val="2"/>
          <w:lang w:eastAsia="en-US"/>
          <w14:ligatures w14:val="standardContextual"/>
        </w:rPr>
        <w:t xml:space="preserve"> critique that wellbeing guidelines placed excessive emphasis on individual psychological support while neglecting structural conditions such as understaffing, shift scheduling, and access to rest facilities directly challenges existing policy frameworks. The Boorman review's recommendation for participatory, whole-system approaches appears to have been incompletely implemented, as staff reported that interventions were designed without adequate consideration of their practical constraints</w:t>
      </w:r>
      <w:r w:rsidR="00897F2F">
        <w:rPr>
          <w:rFonts w:ascii="Arial" w:eastAsia="Aptos" w:hAnsi="Arial" w:cs="Arial"/>
          <w:bCs/>
          <w:kern w:val="2"/>
          <w:lang w:eastAsia="en-US"/>
          <w14:ligatures w14:val="standardContextual"/>
        </w:rPr>
        <w:t xml:space="preserve"> </w:t>
      </w:r>
      <w:r w:rsidR="00897F2F" w:rsidRPr="00897F2F">
        <w:rPr>
          <w:rFonts w:ascii="Arial" w:eastAsia="Aptos" w:hAnsi="Arial" w:cs="Arial"/>
          <w:bCs/>
          <w:kern w:val="2"/>
          <w:lang w:eastAsia="en-US"/>
          <w14:ligatures w14:val="standardContextual"/>
        </w:rPr>
        <w:t>(</w:t>
      </w:r>
      <w:proofErr w:type="spellStart"/>
      <w:r w:rsidR="00897F2F" w:rsidRPr="00897F2F">
        <w:rPr>
          <w:rFonts w:ascii="Arial" w:eastAsia="Aptos" w:hAnsi="Arial" w:cs="Arial"/>
          <w:bCs/>
          <w:kern w:val="2"/>
          <w:lang w:eastAsia="en-US"/>
          <w14:ligatures w14:val="standardContextual"/>
        </w:rPr>
        <w:t>Sauerteig</w:t>
      </w:r>
      <w:proofErr w:type="spellEnd"/>
      <w:r w:rsidR="00897F2F" w:rsidRPr="00897F2F">
        <w:rPr>
          <w:rFonts w:ascii="Arial" w:eastAsia="Aptos" w:hAnsi="Arial" w:cs="Arial"/>
          <w:bCs/>
          <w:kern w:val="2"/>
          <w:lang w:eastAsia="en-US"/>
          <w14:ligatures w14:val="standardContextual"/>
        </w:rPr>
        <w:t xml:space="preserve"> et al., 2019)</w:t>
      </w:r>
      <w:r w:rsidRPr="00973F68">
        <w:rPr>
          <w:rFonts w:ascii="Arial" w:eastAsia="Aptos" w:hAnsi="Arial" w:cs="Arial"/>
          <w:bCs/>
          <w:kern w:val="2"/>
          <w:lang w:eastAsia="en-US"/>
          <w14:ligatures w14:val="standardContextual"/>
        </w:rPr>
        <w:t>. The research suggests that policy must evolve to mandate not only the provision of support services but also the structural conditions that enable staff to access them, such as protected time for wellbeing activities and adequate staffing levels to allow for breaks.</w:t>
      </w:r>
    </w:p>
    <w:p w14:paraId="6FDE40EA" w14:textId="3A9AEC06" w:rsidR="00973F68" w:rsidRPr="00973F68" w:rsidRDefault="00897F2F" w:rsidP="00973F68">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A p</w:t>
      </w:r>
      <w:r w:rsidR="00973F68" w:rsidRPr="00973F68">
        <w:rPr>
          <w:rFonts w:ascii="Arial" w:eastAsia="Aptos" w:hAnsi="Arial" w:cs="Arial"/>
          <w:bCs/>
          <w:kern w:val="2"/>
          <w:lang w:eastAsia="en-US"/>
          <w14:ligatures w14:val="standardContextual"/>
        </w:rPr>
        <w:t>ositive</w:t>
      </w:r>
      <w:r>
        <w:rPr>
          <w:rFonts w:ascii="Arial" w:eastAsia="Aptos" w:hAnsi="Arial" w:cs="Arial"/>
          <w:bCs/>
          <w:kern w:val="2"/>
          <w:lang w:eastAsia="en-US"/>
          <w14:ligatures w14:val="standardContextual"/>
        </w:rPr>
        <w:t xml:space="preserve"> implication of this theme is that</w:t>
      </w:r>
      <w:r w:rsidR="00973F68" w:rsidRPr="00973F68">
        <w:rPr>
          <w:rFonts w:ascii="Arial" w:eastAsia="Aptos" w:hAnsi="Arial" w:cs="Arial"/>
          <w:bCs/>
          <w:kern w:val="2"/>
          <w:lang w:eastAsia="en-US"/>
          <w14:ligatures w14:val="standardContextual"/>
        </w:rPr>
        <w:t xml:space="preserve"> the evidence indicates that healthcare workers demonstrated considerable resourcefulness in selecting coping strategies that they found effective. Reilly et al.'s</w:t>
      </w:r>
      <w:r>
        <w:rPr>
          <w:rFonts w:ascii="Arial" w:eastAsia="Aptos" w:hAnsi="Arial" w:cs="Arial"/>
          <w:bCs/>
          <w:kern w:val="2"/>
          <w:lang w:eastAsia="en-US"/>
          <w14:ligatures w14:val="standardContextual"/>
        </w:rPr>
        <w:t xml:space="preserve"> (2021)</w:t>
      </w:r>
      <w:r w:rsidR="00973F68" w:rsidRPr="00973F68">
        <w:rPr>
          <w:rFonts w:ascii="Arial" w:eastAsia="Aptos" w:hAnsi="Arial" w:cs="Arial"/>
          <w:bCs/>
          <w:kern w:val="2"/>
          <w:lang w:eastAsia="en-US"/>
          <w14:ligatures w14:val="standardContextual"/>
        </w:rPr>
        <w:t xml:space="preserve"> finding that most strategies were rated as somewhat to very effective suggests that, given the opportunity, staff can and do support their own wellbeing. The high value placed on peer support and community appreciation, as highlighted by </w:t>
      </w:r>
      <w:r w:rsidRPr="004A28EC">
        <w:rPr>
          <w:rFonts w:ascii="Arial" w:eastAsia="Aptos" w:hAnsi="Arial" w:cs="Arial"/>
          <w:bCs/>
          <w:kern w:val="2"/>
          <w:lang w:eastAsia="en-US"/>
          <w14:ligatures w14:val="standardContextual"/>
        </w:rPr>
        <w:t>Juan </w:t>
      </w:r>
      <w:r w:rsidRPr="004A28EC">
        <w:rPr>
          <w:rFonts w:ascii="Arial" w:eastAsia="Aptos" w:hAnsi="Arial" w:cs="Arial"/>
          <w:bCs/>
          <w:i/>
          <w:iCs/>
          <w:kern w:val="2"/>
          <w:lang w:eastAsia="en-US"/>
          <w14:ligatures w14:val="standardContextual"/>
        </w:rPr>
        <w:t>et al.</w:t>
      </w:r>
      <w:r w:rsidRPr="004A28EC">
        <w:rPr>
          <w:rFonts w:ascii="Arial" w:eastAsia="Aptos" w:hAnsi="Arial" w:cs="Arial"/>
          <w:bCs/>
          <w:kern w:val="2"/>
          <w:lang w:eastAsia="en-US"/>
          <w14:ligatures w14:val="standardContextual"/>
        </w:rPr>
        <w:t xml:space="preserve"> </w:t>
      </w:r>
      <w:r>
        <w:rPr>
          <w:rFonts w:ascii="Arial" w:eastAsia="Aptos" w:hAnsi="Arial" w:cs="Arial"/>
          <w:bCs/>
          <w:kern w:val="2"/>
          <w:lang w:eastAsia="en-US"/>
          <w14:ligatures w14:val="standardContextual"/>
        </w:rPr>
        <w:t>(</w:t>
      </w:r>
      <w:r w:rsidRPr="004A28EC">
        <w:rPr>
          <w:rFonts w:ascii="Arial" w:eastAsia="Aptos" w:hAnsi="Arial" w:cs="Arial"/>
          <w:bCs/>
          <w:kern w:val="2"/>
          <w:lang w:eastAsia="en-US"/>
          <w14:ligatures w14:val="standardContextual"/>
        </w:rPr>
        <w:t>2020)</w:t>
      </w:r>
      <w:r w:rsidR="00973F68" w:rsidRPr="00973F68">
        <w:rPr>
          <w:rFonts w:ascii="Arial" w:eastAsia="Aptos" w:hAnsi="Arial" w:cs="Arial"/>
          <w:bCs/>
          <w:kern w:val="2"/>
          <w:lang w:eastAsia="en-US"/>
          <w14:ligatures w14:val="standardContextual"/>
        </w:rPr>
        <w:t>, points to the resilience of social connections and the potential for low-cost, high-impact interventions that harness existing relationships.</w:t>
      </w:r>
    </w:p>
    <w:p w14:paraId="4517014D" w14:textId="4204DC9E" w:rsidR="00973F68" w:rsidRPr="00973F68" w:rsidRDefault="00973F68" w:rsidP="00973F68">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 xml:space="preserve">Negatively, the research reveals significant failures in the design and implementation of formal support systems. </w:t>
      </w:r>
      <w:r w:rsidR="00897F2F" w:rsidRPr="004A28EC">
        <w:rPr>
          <w:rFonts w:ascii="Arial" w:eastAsia="Aptos" w:hAnsi="Arial" w:cs="Arial"/>
          <w:bCs/>
          <w:kern w:val="2"/>
          <w:lang w:eastAsia="en-US"/>
          <w14:ligatures w14:val="standardContextual"/>
        </w:rPr>
        <w:t>Juan </w:t>
      </w:r>
      <w:r w:rsidR="00897F2F" w:rsidRPr="004A28EC">
        <w:rPr>
          <w:rFonts w:ascii="Arial" w:eastAsia="Aptos" w:hAnsi="Arial" w:cs="Arial"/>
          <w:bCs/>
          <w:i/>
          <w:iCs/>
          <w:kern w:val="2"/>
          <w:lang w:eastAsia="en-US"/>
          <w14:ligatures w14:val="standardContextual"/>
        </w:rPr>
        <w:t>et al.</w:t>
      </w:r>
      <w:r w:rsidR="00897F2F">
        <w:rPr>
          <w:rFonts w:ascii="Arial" w:eastAsia="Aptos" w:hAnsi="Arial" w:cs="Arial"/>
          <w:bCs/>
          <w:kern w:val="2"/>
          <w:lang w:eastAsia="en-US"/>
          <w14:ligatures w14:val="standardContextual"/>
        </w:rPr>
        <w:t>’s</w:t>
      </w:r>
      <w:r w:rsidR="00897F2F" w:rsidRPr="004A28EC">
        <w:rPr>
          <w:rFonts w:ascii="Arial" w:eastAsia="Aptos" w:hAnsi="Arial" w:cs="Arial"/>
          <w:bCs/>
          <w:kern w:val="2"/>
          <w:lang w:eastAsia="en-US"/>
          <w14:ligatures w14:val="standardContextual"/>
        </w:rPr>
        <w:t xml:space="preserve"> </w:t>
      </w:r>
      <w:r w:rsidR="00897F2F">
        <w:rPr>
          <w:rFonts w:ascii="Arial" w:eastAsia="Aptos" w:hAnsi="Arial" w:cs="Arial"/>
          <w:bCs/>
          <w:kern w:val="2"/>
          <w:lang w:eastAsia="en-US"/>
          <w14:ligatures w14:val="standardContextual"/>
        </w:rPr>
        <w:t>(</w:t>
      </w:r>
      <w:r w:rsidR="00897F2F" w:rsidRPr="004A28EC">
        <w:rPr>
          <w:rFonts w:ascii="Arial" w:eastAsia="Aptos" w:hAnsi="Arial" w:cs="Arial"/>
          <w:bCs/>
          <w:kern w:val="2"/>
          <w:lang w:eastAsia="en-US"/>
          <w14:ligatures w14:val="standardContextual"/>
        </w:rPr>
        <w:t>2020)</w:t>
      </w:r>
      <w:r w:rsidRPr="00973F68">
        <w:rPr>
          <w:rFonts w:ascii="Arial" w:eastAsia="Aptos" w:hAnsi="Arial" w:cs="Arial"/>
          <w:bCs/>
          <w:kern w:val="2"/>
          <w:lang w:eastAsia="en-US"/>
          <w14:ligatures w14:val="standardContextual"/>
        </w:rPr>
        <w:t xml:space="preserve"> finding that wellbeing sessions were scheduled during shifts and therefore inaccessible represents a systemic failure to understand the realities of frontline work. </w:t>
      </w:r>
      <w:r w:rsidR="00897F2F" w:rsidRPr="00897F2F">
        <w:rPr>
          <w:rFonts w:ascii="Arial" w:eastAsia="Aptos" w:hAnsi="Arial" w:cs="Arial"/>
          <w:bCs/>
          <w:kern w:val="2"/>
          <w:lang w:eastAsia="en-US"/>
          <w14:ligatures w14:val="standardContextual"/>
        </w:rPr>
        <w:t xml:space="preserve">Majumder, </w:t>
      </w:r>
      <w:proofErr w:type="spellStart"/>
      <w:r w:rsidR="00897F2F" w:rsidRPr="00897F2F">
        <w:rPr>
          <w:rFonts w:ascii="Arial" w:eastAsia="Aptos" w:hAnsi="Arial" w:cs="Arial"/>
          <w:bCs/>
          <w:kern w:val="2"/>
          <w:lang w:eastAsia="en-US"/>
          <w14:ligatures w14:val="standardContextual"/>
        </w:rPr>
        <w:t>Jeve</w:t>
      </w:r>
      <w:proofErr w:type="spellEnd"/>
      <w:r w:rsidR="00897F2F" w:rsidRPr="00897F2F">
        <w:rPr>
          <w:rFonts w:ascii="Arial" w:eastAsia="Aptos" w:hAnsi="Arial" w:cs="Arial"/>
          <w:bCs/>
          <w:kern w:val="2"/>
          <w:lang w:eastAsia="en-US"/>
          <w14:ligatures w14:val="standardContextual"/>
        </w:rPr>
        <w:t xml:space="preserve"> and Sales</w:t>
      </w:r>
      <w:r w:rsidR="00897F2F">
        <w:rPr>
          <w:rFonts w:ascii="Arial" w:eastAsia="Aptos" w:hAnsi="Arial" w:cs="Arial"/>
          <w:bCs/>
          <w:kern w:val="2"/>
          <w:lang w:eastAsia="en-US"/>
          <w14:ligatures w14:val="standardContextual"/>
        </w:rPr>
        <w:t>’</w:t>
      </w:r>
      <w:r w:rsidR="00897F2F" w:rsidRPr="00897F2F">
        <w:rPr>
          <w:rFonts w:ascii="Arial" w:eastAsia="Aptos" w:hAnsi="Arial" w:cs="Arial"/>
          <w:bCs/>
          <w:kern w:val="2"/>
          <w:lang w:eastAsia="en-US"/>
          <w14:ligatures w14:val="standardContextual"/>
        </w:rPr>
        <w:t xml:space="preserve"> </w:t>
      </w:r>
      <w:r w:rsidR="00897F2F">
        <w:rPr>
          <w:rFonts w:ascii="Arial" w:eastAsia="Aptos" w:hAnsi="Arial" w:cs="Arial"/>
          <w:bCs/>
          <w:kern w:val="2"/>
          <w:lang w:eastAsia="en-US"/>
          <w14:ligatures w14:val="standardContextual"/>
        </w:rPr>
        <w:t>(</w:t>
      </w:r>
      <w:r w:rsidR="00897F2F" w:rsidRPr="00897F2F">
        <w:rPr>
          <w:rFonts w:ascii="Arial" w:eastAsia="Aptos" w:hAnsi="Arial" w:cs="Arial"/>
          <w:bCs/>
          <w:kern w:val="2"/>
          <w:lang w:eastAsia="en-US"/>
          <w14:ligatures w14:val="standardContextual"/>
        </w:rPr>
        <w:t>2021)</w:t>
      </w:r>
      <w:r w:rsidRPr="00973F68">
        <w:rPr>
          <w:rFonts w:ascii="Arial" w:eastAsia="Aptos" w:hAnsi="Arial" w:cs="Arial"/>
          <w:bCs/>
          <w:kern w:val="2"/>
          <w:lang w:eastAsia="en-US"/>
          <w14:ligatures w14:val="standardContextual"/>
        </w:rPr>
        <w:t xml:space="preserve"> documentation of severe psychological distress in a substantial minority of respondents indicates that for many, coping strategies were insufficient. The low perceived effectiveness of alcohol as a coping strategy combined with its frequent use</w:t>
      </w:r>
      <w:r w:rsidR="00897F2F">
        <w:rPr>
          <w:rFonts w:ascii="Arial" w:eastAsia="Aptos" w:hAnsi="Arial" w:cs="Arial"/>
          <w:bCs/>
          <w:kern w:val="2"/>
          <w:lang w:eastAsia="en-US"/>
          <w14:ligatures w14:val="standardContextual"/>
        </w:rPr>
        <w:t xml:space="preserve"> by </w:t>
      </w:r>
      <w:r w:rsidR="00897F2F" w:rsidRPr="006060D6">
        <w:rPr>
          <w:rFonts w:ascii="Arial" w:eastAsia="Aptos" w:hAnsi="Arial" w:cs="Arial"/>
          <w:bCs/>
          <w:kern w:val="2"/>
          <w:lang w:eastAsia="en-US"/>
          <w14:ligatures w14:val="standardContextual"/>
        </w:rPr>
        <w:t>Reilly </w:t>
      </w:r>
      <w:r w:rsidR="00897F2F" w:rsidRPr="006060D6">
        <w:rPr>
          <w:rFonts w:ascii="Arial" w:eastAsia="Aptos" w:hAnsi="Arial" w:cs="Arial"/>
          <w:bCs/>
          <w:i/>
          <w:iCs/>
          <w:kern w:val="2"/>
          <w:lang w:eastAsia="en-US"/>
          <w14:ligatures w14:val="standardContextual"/>
        </w:rPr>
        <w:t>et al.</w:t>
      </w:r>
      <w:r w:rsidR="00897F2F" w:rsidRPr="006060D6">
        <w:rPr>
          <w:rFonts w:ascii="Arial" w:eastAsia="Aptos" w:hAnsi="Arial" w:cs="Arial"/>
          <w:bCs/>
          <w:kern w:val="2"/>
          <w:lang w:eastAsia="en-US"/>
          <w14:ligatures w14:val="standardContextual"/>
        </w:rPr>
        <w:t xml:space="preserve"> </w:t>
      </w:r>
      <w:r w:rsidR="00897F2F">
        <w:rPr>
          <w:rFonts w:ascii="Arial" w:eastAsia="Aptos" w:hAnsi="Arial" w:cs="Arial"/>
          <w:bCs/>
          <w:kern w:val="2"/>
          <w:lang w:eastAsia="en-US"/>
          <w14:ligatures w14:val="standardContextual"/>
        </w:rPr>
        <w:t>(</w:t>
      </w:r>
      <w:r w:rsidR="00897F2F" w:rsidRPr="006060D6">
        <w:rPr>
          <w:rFonts w:ascii="Arial" w:eastAsia="Aptos" w:hAnsi="Arial" w:cs="Arial"/>
          <w:bCs/>
          <w:kern w:val="2"/>
          <w:lang w:eastAsia="en-US"/>
          <w14:ligatures w14:val="standardContextual"/>
        </w:rPr>
        <w:t>2021)</w:t>
      </w:r>
      <w:r w:rsidRPr="00973F68">
        <w:rPr>
          <w:rFonts w:ascii="Arial" w:eastAsia="Aptos" w:hAnsi="Arial" w:cs="Arial"/>
          <w:bCs/>
          <w:kern w:val="2"/>
          <w:lang w:eastAsia="en-US"/>
          <w14:ligatures w14:val="standardContextual"/>
        </w:rPr>
        <w:t xml:space="preserve"> suggests that some healthcare workers resorted to maladaptive strategies that may have provided temporary relief but carried long-term risks. </w:t>
      </w:r>
    </w:p>
    <w:p w14:paraId="28081D1B" w14:textId="08A2A28B" w:rsidR="00973F68" w:rsidRDefault="00973F68" w:rsidP="00D449EF">
      <w:pPr>
        <w:spacing w:before="240" w:line="360" w:lineRule="auto"/>
        <w:textAlignment w:val="baseline"/>
        <w:rPr>
          <w:rFonts w:ascii="Arial" w:eastAsia="Aptos" w:hAnsi="Arial" w:cs="Arial"/>
          <w:bCs/>
          <w:kern w:val="2"/>
          <w:lang w:eastAsia="en-US"/>
          <w14:ligatures w14:val="standardContextual"/>
        </w:rPr>
      </w:pPr>
      <w:r w:rsidRPr="00973F68">
        <w:rPr>
          <w:rFonts w:ascii="Arial" w:eastAsia="Aptos" w:hAnsi="Arial" w:cs="Arial"/>
          <w:bCs/>
          <w:kern w:val="2"/>
          <w:lang w:eastAsia="en-US"/>
          <w14:ligatures w14:val="standardContextual"/>
        </w:rPr>
        <w:t xml:space="preserve">This theme is intrinsically connected to both the prevalence of mental health difficulties and the coping strategies utilised by healthcare workers. The high prevalence of distress documented in the first theme creates the imperative for effective coping, and the strategies identified in the second theme provide the raw material for evaluation. This theme closes the loop by assessing whether the strategies used </w:t>
      </w:r>
      <w:proofErr w:type="gramStart"/>
      <w:r w:rsidRPr="00973F68">
        <w:rPr>
          <w:rFonts w:ascii="Arial" w:eastAsia="Aptos" w:hAnsi="Arial" w:cs="Arial"/>
          <w:bCs/>
          <w:kern w:val="2"/>
          <w:lang w:eastAsia="en-US"/>
          <w14:ligatures w14:val="standardContextual"/>
        </w:rPr>
        <w:t>actually reduced</w:t>
      </w:r>
      <w:proofErr w:type="gramEnd"/>
      <w:r w:rsidRPr="00973F68">
        <w:rPr>
          <w:rFonts w:ascii="Arial" w:eastAsia="Aptos" w:hAnsi="Arial" w:cs="Arial"/>
          <w:bCs/>
          <w:kern w:val="2"/>
          <w:lang w:eastAsia="en-US"/>
          <w14:ligatures w14:val="standardContextual"/>
        </w:rPr>
        <w:t xml:space="preserve"> distress and improved wellbeing. </w:t>
      </w:r>
      <w:r w:rsidR="00897F2F" w:rsidRPr="004A28EC">
        <w:rPr>
          <w:rFonts w:ascii="Arial" w:eastAsia="Aptos" w:hAnsi="Arial" w:cs="Arial"/>
          <w:bCs/>
          <w:kern w:val="2"/>
          <w:lang w:eastAsia="en-US"/>
          <w14:ligatures w14:val="standardContextual"/>
        </w:rPr>
        <w:t>Juan </w:t>
      </w:r>
      <w:r w:rsidR="00897F2F" w:rsidRPr="004A28EC">
        <w:rPr>
          <w:rFonts w:ascii="Arial" w:eastAsia="Aptos" w:hAnsi="Arial" w:cs="Arial"/>
          <w:bCs/>
          <w:i/>
          <w:iCs/>
          <w:kern w:val="2"/>
          <w:lang w:eastAsia="en-US"/>
          <w14:ligatures w14:val="standardContextual"/>
        </w:rPr>
        <w:t>et al.</w:t>
      </w:r>
      <w:r w:rsidR="00897F2F">
        <w:rPr>
          <w:rFonts w:ascii="Arial" w:eastAsia="Aptos" w:hAnsi="Arial" w:cs="Arial"/>
          <w:bCs/>
          <w:kern w:val="2"/>
          <w:lang w:eastAsia="en-US"/>
          <w14:ligatures w14:val="standardContextual"/>
        </w:rPr>
        <w:t>’s</w:t>
      </w:r>
      <w:r w:rsidR="00897F2F" w:rsidRPr="004A28EC">
        <w:rPr>
          <w:rFonts w:ascii="Arial" w:eastAsia="Aptos" w:hAnsi="Arial" w:cs="Arial"/>
          <w:bCs/>
          <w:kern w:val="2"/>
          <w:lang w:eastAsia="en-US"/>
          <w14:ligatures w14:val="standardContextual"/>
        </w:rPr>
        <w:t xml:space="preserve"> </w:t>
      </w:r>
      <w:r w:rsidR="00897F2F">
        <w:rPr>
          <w:rFonts w:ascii="Arial" w:eastAsia="Aptos" w:hAnsi="Arial" w:cs="Arial"/>
          <w:bCs/>
          <w:kern w:val="2"/>
          <w:lang w:eastAsia="en-US"/>
          <w14:ligatures w14:val="standardContextual"/>
        </w:rPr>
        <w:t>(</w:t>
      </w:r>
      <w:r w:rsidR="00897F2F" w:rsidRPr="004A28EC">
        <w:rPr>
          <w:rFonts w:ascii="Arial" w:eastAsia="Aptos" w:hAnsi="Arial" w:cs="Arial"/>
          <w:bCs/>
          <w:kern w:val="2"/>
          <w:lang w:eastAsia="en-US"/>
          <w14:ligatures w14:val="standardContextual"/>
        </w:rPr>
        <w:t>2020)</w:t>
      </w:r>
      <w:r w:rsidRPr="00973F68">
        <w:rPr>
          <w:rFonts w:ascii="Arial" w:eastAsia="Aptos" w:hAnsi="Arial" w:cs="Arial"/>
          <w:bCs/>
          <w:kern w:val="2"/>
          <w:lang w:eastAsia="en-US"/>
          <w14:ligatures w14:val="standardContextual"/>
        </w:rPr>
        <w:t xml:space="preserve"> finding that staff could not access formal wellbeing support directly explains why some individuals with high distress levels did not receive help</w:t>
      </w:r>
      <w:r w:rsidR="00841493">
        <w:rPr>
          <w:rFonts w:ascii="Arial" w:eastAsia="Aptos" w:hAnsi="Arial" w:cs="Arial"/>
          <w:bCs/>
          <w:kern w:val="2"/>
          <w:lang w:eastAsia="en-US"/>
          <w14:ligatures w14:val="standardContextual"/>
        </w:rPr>
        <w:t>. This</w:t>
      </w:r>
      <w:r w:rsidRPr="00973F68">
        <w:rPr>
          <w:rFonts w:ascii="Arial" w:eastAsia="Aptos" w:hAnsi="Arial" w:cs="Arial"/>
          <w:bCs/>
          <w:kern w:val="2"/>
          <w:lang w:eastAsia="en-US"/>
          <w14:ligatures w14:val="standardContextual"/>
        </w:rPr>
        <w:t xml:space="preserve"> link</w:t>
      </w:r>
      <w:r w:rsidR="00841493">
        <w:rPr>
          <w:rFonts w:ascii="Arial" w:eastAsia="Aptos" w:hAnsi="Arial" w:cs="Arial"/>
          <w:bCs/>
          <w:kern w:val="2"/>
          <w:lang w:eastAsia="en-US"/>
          <w14:ligatures w14:val="standardContextual"/>
        </w:rPr>
        <w:t>s</w:t>
      </w:r>
      <w:r w:rsidRPr="00973F68">
        <w:rPr>
          <w:rFonts w:ascii="Arial" w:eastAsia="Aptos" w:hAnsi="Arial" w:cs="Arial"/>
          <w:bCs/>
          <w:kern w:val="2"/>
          <w:lang w:eastAsia="en-US"/>
          <w14:ligatures w14:val="standardContextual"/>
        </w:rPr>
        <w:t xml:space="preserve"> back to prevalence by suggesting that unmet need may be partially attributable to implementation failures. </w:t>
      </w:r>
      <w:r w:rsidR="00841493" w:rsidRPr="00897F2F">
        <w:rPr>
          <w:rFonts w:ascii="Arial" w:eastAsia="Aptos" w:hAnsi="Arial" w:cs="Arial"/>
          <w:bCs/>
          <w:kern w:val="2"/>
          <w:lang w:eastAsia="en-US"/>
          <w14:ligatures w14:val="standardContextual"/>
        </w:rPr>
        <w:t xml:space="preserve">Majumder, </w:t>
      </w:r>
      <w:proofErr w:type="spellStart"/>
      <w:r w:rsidR="00841493" w:rsidRPr="00897F2F">
        <w:rPr>
          <w:rFonts w:ascii="Arial" w:eastAsia="Aptos" w:hAnsi="Arial" w:cs="Arial"/>
          <w:bCs/>
          <w:kern w:val="2"/>
          <w:lang w:eastAsia="en-US"/>
          <w14:ligatures w14:val="standardContextual"/>
        </w:rPr>
        <w:t>Jeve</w:t>
      </w:r>
      <w:proofErr w:type="spellEnd"/>
      <w:r w:rsidR="00841493" w:rsidRPr="00897F2F">
        <w:rPr>
          <w:rFonts w:ascii="Arial" w:eastAsia="Aptos" w:hAnsi="Arial" w:cs="Arial"/>
          <w:bCs/>
          <w:kern w:val="2"/>
          <w:lang w:eastAsia="en-US"/>
          <w14:ligatures w14:val="standardContextual"/>
        </w:rPr>
        <w:t xml:space="preserve"> and Sales</w:t>
      </w:r>
      <w:r w:rsidR="00841493">
        <w:rPr>
          <w:rFonts w:ascii="Arial" w:eastAsia="Aptos" w:hAnsi="Arial" w:cs="Arial"/>
          <w:bCs/>
          <w:kern w:val="2"/>
          <w:lang w:eastAsia="en-US"/>
          <w14:ligatures w14:val="standardContextual"/>
        </w:rPr>
        <w:t>’</w:t>
      </w:r>
      <w:r w:rsidR="00841493" w:rsidRPr="00897F2F">
        <w:rPr>
          <w:rFonts w:ascii="Arial" w:eastAsia="Aptos" w:hAnsi="Arial" w:cs="Arial"/>
          <w:bCs/>
          <w:kern w:val="2"/>
          <w:lang w:eastAsia="en-US"/>
          <w14:ligatures w14:val="standardContextual"/>
        </w:rPr>
        <w:t xml:space="preserve"> </w:t>
      </w:r>
      <w:r w:rsidR="00841493">
        <w:rPr>
          <w:rFonts w:ascii="Arial" w:eastAsia="Aptos" w:hAnsi="Arial" w:cs="Arial"/>
          <w:bCs/>
          <w:kern w:val="2"/>
          <w:lang w:eastAsia="en-US"/>
          <w14:ligatures w14:val="standardContextual"/>
        </w:rPr>
        <w:t>(</w:t>
      </w:r>
      <w:r w:rsidR="00841493" w:rsidRPr="00897F2F">
        <w:rPr>
          <w:rFonts w:ascii="Arial" w:eastAsia="Aptos" w:hAnsi="Arial" w:cs="Arial"/>
          <w:bCs/>
          <w:kern w:val="2"/>
          <w:lang w:eastAsia="en-US"/>
          <w14:ligatures w14:val="standardContextual"/>
        </w:rPr>
        <w:t>2021)</w:t>
      </w:r>
      <w:r w:rsidRPr="00973F68">
        <w:rPr>
          <w:rFonts w:ascii="Arial" w:eastAsia="Aptos" w:hAnsi="Arial" w:cs="Arial"/>
          <w:bCs/>
          <w:kern w:val="2"/>
          <w:lang w:eastAsia="en-US"/>
          <w14:ligatures w14:val="standardContextual"/>
        </w:rPr>
        <w:t xml:space="preserve"> documentation of severe psychological symptoms among a </w:t>
      </w:r>
      <w:proofErr w:type="gramStart"/>
      <w:r w:rsidRPr="00973F68">
        <w:rPr>
          <w:rFonts w:ascii="Arial" w:eastAsia="Aptos" w:hAnsi="Arial" w:cs="Arial"/>
          <w:bCs/>
          <w:kern w:val="2"/>
          <w:lang w:eastAsia="en-US"/>
          <w14:ligatures w14:val="standardContextual"/>
        </w:rPr>
        <w:t>minority highlights</w:t>
      </w:r>
      <w:proofErr w:type="gramEnd"/>
      <w:r w:rsidRPr="00973F68">
        <w:rPr>
          <w:rFonts w:ascii="Arial" w:eastAsia="Aptos" w:hAnsi="Arial" w:cs="Arial"/>
          <w:bCs/>
          <w:kern w:val="2"/>
          <w:lang w:eastAsia="en-US"/>
          <w14:ligatures w14:val="standardContextual"/>
        </w:rPr>
        <w:t xml:space="preserve"> that for some, coping strategies were entirely inadequate</w:t>
      </w:r>
      <w:r w:rsidR="00841493">
        <w:rPr>
          <w:rFonts w:ascii="Arial" w:eastAsia="Aptos" w:hAnsi="Arial" w:cs="Arial"/>
          <w:bCs/>
          <w:kern w:val="2"/>
          <w:lang w:eastAsia="en-US"/>
          <w14:ligatures w14:val="standardContextual"/>
        </w:rPr>
        <w:t xml:space="preserve"> and</w:t>
      </w:r>
      <w:r w:rsidRPr="00973F68">
        <w:rPr>
          <w:rFonts w:ascii="Arial" w:eastAsia="Aptos" w:hAnsi="Arial" w:cs="Arial"/>
          <w:bCs/>
          <w:kern w:val="2"/>
          <w:lang w:eastAsia="en-US"/>
          <w14:ligatures w14:val="standardContextual"/>
        </w:rPr>
        <w:t xml:space="preserve"> point</w:t>
      </w:r>
      <w:r w:rsidR="00841493">
        <w:rPr>
          <w:rFonts w:ascii="Arial" w:eastAsia="Aptos" w:hAnsi="Arial" w:cs="Arial"/>
          <w:bCs/>
          <w:kern w:val="2"/>
          <w:lang w:eastAsia="en-US"/>
          <w14:ligatures w14:val="standardContextual"/>
        </w:rPr>
        <w:t>s</w:t>
      </w:r>
      <w:r w:rsidRPr="00973F68">
        <w:rPr>
          <w:rFonts w:ascii="Arial" w:eastAsia="Aptos" w:hAnsi="Arial" w:cs="Arial"/>
          <w:bCs/>
          <w:kern w:val="2"/>
          <w:lang w:eastAsia="en-US"/>
          <w14:ligatures w14:val="standardContextual"/>
        </w:rPr>
        <w:t xml:space="preserve"> to the need for more intensive interventions. </w:t>
      </w:r>
    </w:p>
    <w:p w14:paraId="07559835" w14:textId="56F23AC5" w:rsidR="00AF1642" w:rsidRPr="001B20A3" w:rsidRDefault="00AF1642"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7" w:name="_Toc223453157"/>
      <w:r w:rsidRPr="001B20A3">
        <w:rPr>
          <w:rFonts w:ascii="Arial" w:eastAsiaTheme="majorEastAsia" w:hAnsi="Arial" w:cs="Arial"/>
          <w:b/>
          <w:bCs/>
          <w:color w:val="0F4761"/>
          <w:kern w:val="2"/>
          <w:lang w:eastAsia="zh-CN"/>
          <w14:ligatures w14:val="standardContextual"/>
        </w:rPr>
        <w:t>4.6 Chapter Conclusion</w:t>
      </w:r>
      <w:bookmarkEnd w:id="47"/>
    </w:p>
    <w:p w14:paraId="44E1238A" w14:textId="748A9729" w:rsidR="008723E6" w:rsidRPr="00D449EF" w:rsidRDefault="008723E6" w:rsidP="00D449EF">
      <w:pPr>
        <w:spacing w:before="240" w:line="360" w:lineRule="auto"/>
        <w:textAlignment w:val="baseline"/>
        <w:rPr>
          <w:rFonts w:ascii="Arial" w:eastAsia="Aptos" w:hAnsi="Arial" w:cs="Arial"/>
          <w:bCs/>
          <w:kern w:val="2"/>
          <w:lang w:eastAsia="en-US"/>
          <w14:ligatures w14:val="standardContextual"/>
        </w:rPr>
      </w:pPr>
      <w:r>
        <w:rPr>
          <w:rFonts w:ascii="Arial" w:eastAsia="Aptos" w:hAnsi="Arial" w:cs="Arial"/>
          <w:bCs/>
          <w:kern w:val="2"/>
          <w:lang w:eastAsia="en-US"/>
          <w14:ligatures w14:val="standardContextual"/>
        </w:rPr>
        <w:t xml:space="preserve">This chapter provided a comprehensive report of the findings from the literature search in the previous chapter. Following a comprehensive thematic analysis of the literature, three main themes were identified, synthesised, and reported in this chapter. </w:t>
      </w:r>
      <w:r w:rsidRPr="00973F68">
        <w:rPr>
          <w:rFonts w:ascii="Arial" w:eastAsia="Aptos" w:hAnsi="Arial" w:cs="Arial"/>
          <w:bCs/>
          <w:kern w:val="2"/>
          <w:lang w:eastAsia="en-US"/>
          <w14:ligatures w14:val="standardContextual"/>
        </w:rPr>
        <w:t>Together, these themes form a comprehensive narrative</w:t>
      </w:r>
      <w:r>
        <w:rPr>
          <w:rFonts w:ascii="Arial" w:eastAsia="Aptos" w:hAnsi="Arial" w:cs="Arial"/>
          <w:bCs/>
          <w:kern w:val="2"/>
          <w:lang w:eastAsia="en-US"/>
          <w14:ligatures w14:val="standardContextual"/>
        </w:rPr>
        <w:t xml:space="preserve"> that</w:t>
      </w:r>
      <w:r w:rsidRPr="00973F68">
        <w:rPr>
          <w:rFonts w:ascii="Arial" w:eastAsia="Aptos" w:hAnsi="Arial" w:cs="Arial"/>
          <w:bCs/>
          <w:kern w:val="2"/>
          <w:lang w:eastAsia="en-US"/>
          <w14:ligatures w14:val="standardContextual"/>
        </w:rPr>
        <w:t xml:space="preserve"> the pandemic created widespread distress among healthcare workers, who responded with a range of coping strategies, but the effectiveness of these strategies was undermined by systemic barriers and the overwhelming nature of the crisis, </w:t>
      </w:r>
      <w:r>
        <w:rPr>
          <w:rFonts w:ascii="Arial" w:eastAsia="Aptos" w:hAnsi="Arial" w:cs="Arial"/>
          <w:bCs/>
          <w:kern w:val="2"/>
          <w:lang w:eastAsia="en-US"/>
          <w14:ligatures w14:val="standardContextual"/>
        </w:rPr>
        <w:t xml:space="preserve">which </w:t>
      </w:r>
      <w:r w:rsidRPr="00973F68">
        <w:rPr>
          <w:rFonts w:ascii="Arial" w:eastAsia="Aptos" w:hAnsi="Arial" w:cs="Arial"/>
          <w:bCs/>
          <w:kern w:val="2"/>
          <w:lang w:eastAsia="en-US"/>
          <w14:ligatures w14:val="standardContextual"/>
        </w:rPr>
        <w:t>le</w:t>
      </w:r>
      <w:r>
        <w:rPr>
          <w:rFonts w:ascii="Arial" w:eastAsia="Aptos" w:hAnsi="Arial" w:cs="Arial"/>
          <w:bCs/>
          <w:kern w:val="2"/>
          <w:lang w:eastAsia="en-US"/>
          <w14:ligatures w14:val="standardContextual"/>
        </w:rPr>
        <w:t>ft</w:t>
      </w:r>
      <w:r w:rsidRPr="00973F68">
        <w:rPr>
          <w:rFonts w:ascii="Arial" w:eastAsia="Aptos" w:hAnsi="Arial" w:cs="Arial"/>
          <w:bCs/>
          <w:kern w:val="2"/>
          <w:lang w:eastAsia="en-US"/>
          <w14:ligatures w14:val="standardContextual"/>
        </w:rPr>
        <w:t xml:space="preserve"> a significant minority without adequate support.</w:t>
      </w:r>
      <w:r w:rsidR="00C7145D">
        <w:rPr>
          <w:rFonts w:ascii="Arial" w:eastAsia="Aptos" w:hAnsi="Arial" w:cs="Arial"/>
          <w:bCs/>
          <w:kern w:val="2"/>
          <w:lang w:eastAsia="en-US"/>
          <w14:ligatures w14:val="standardContextual"/>
        </w:rPr>
        <w:t xml:space="preserve"> The next chapter will include an overall conclusion to the study and propose recommendations to address the gaps identified from the literature.</w:t>
      </w:r>
    </w:p>
    <w:p w14:paraId="4105B0E7" w14:textId="77777777" w:rsidR="00C7145D" w:rsidRDefault="00C7145D">
      <w:pPr>
        <w:rPr>
          <w:rFonts w:ascii="Arial" w:eastAsiaTheme="majorEastAsia" w:hAnsi="Arial" w:cs="Arial"/>
          <w:b/>
          <w:bCs/>
          <w:color w:val="2F5496" w:themeColor="accent1" w:themeShade="BF"/>
          <w:kern w:val="2"/>
          <w:lang w:eastAsia="zh-CN"/>
          <w14:ligatures w14:val="standardContextual"/>
        </w:rPr>
      </w:pPr>
      <w:r>
        <w:rPr>
          <w:rFonts w:ascii="Arial" w:eastAsiaTheme="majorEastAsia" w:hAnsi="Arial" w:cs="Arial"/>
          <w:b/>
          <w:bCs/>
          <w:color w:val="2F5496" w:themeColor="accent1" w:themeShade="BF"/>
          <w:kern w:val="2"/>
          <w:lang w:eastAsia="zh-CN"/>
          <w14:ligatures w14:val="standardContextual"/>
        </w:rPr>
        <w:br w:type="page"/>
      </w:r>
    </w:p>
    <w:p w14:paraId="3C014F58" w14:textId="03D5ED85" w:rsidR="00973F68" w:rsidRPr="001B20A3" w:rsidRDefault="00973F68" w:rsidP="001B20A3">
      <w:pPr>
        <w:widowControl w:val="0"/>
        <w:autoSpaceDE w:val="0"/>
        <w:autoSpaceDN w:val="0"/>
        <w:spacing w:before="240" w:line="360" w:lineRule="auto"/>
        <w:jc w:val="center"/>
        <w:outlineLvl w:val="0"/>
        <w:rPr>
          <w:rFonts w:ascii="Arial" w:eastAsia="Calibri Light" w:hAnsi="Arial" w:cs="Arial"/>
          <w:b/>
          <w:lang w:bidi="en-GB"/>
        </w:rPr>
      </w:pPr>
      <w:bookmarkStart w:id="48" w:name="_Toc223453158"/>
      <w:r w:rsidRPr="001B20A3">
        <w:rPr>
          <w:rFonts w:ascii="Arial" w:eastAsia="Calibri Light" w:hAnsi="Arial" w:cs="Arial"/>
          <w:b/>
          <w:lang w:bidi="en-GB"/>
        </w:rPr>
        <w:t>Chapter 5 – Conclusion and Recommendations</w:t>
      </w:r>
      <w:bookmarkEnd w:id="48"/>
    </w:p>
    <w:p w14:paraId="1E3C4BC8" w14:textId="3468EF19" w:rsidR="00973F68" w:rsidRPr="001B20A3" w:rsidRDefault="00973F68"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49" w:name="_Toc223453159"/>
      <w:r w:rsidRPr="001B20A3">
        <w:rPr>
          <w:rFonts w:ascii="Arial" w:eastAsiaTheme="majorEastAsia" w:hAnsi="Arial" w:cs="Arial"/>
          <w:b/>
          <w:bCs/>
          <w:color w:val="0F4761"/>
          <w:kern w:val="2"/>
          <w:lang w:eastAsia="zh-CN"/>
          <w14:ligatures w14:val="standardContextual"/>
        </w:rPr>
        <w:t>5.1 Overall Conclusion</w:t>
      </w:r>
      <w:bookmarkEnd w:id="49"/>
    </w:p>
    <w:p w14:paraId="51F74B85" w14:textId="01D47EE9" w:rsidR="00C7145D" w:rsidRPr="00545C00" w:rsidRDefault="00C7145D" w:rsidP="00545C00">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w:t>
      </w:r>
      <w:r>
        <w:rPr>
          <w:rFonts w:ascii="Arial" w:eastAsia="Aptos" w:hAnsi="Arial" w:cs="Arial"/>
          <w:bCs/>
          <w:kern w:val="2"/>
          <w:lang w:eastAsia="en-US"/>
          <w14:ligatures w14:val="standardContextual"/>
        </w:rPr>
        <w:t>is dissertation sought to</w:t>
      </w:r>
      <w:r w:rsidRPr="00D449EF">
        <w:rPr>
          <w:rFonts w:ascii="Arial" w:eastAsia="Aptos" w:hAnsi="Arial" w:cs="Arial"/>
          <w:bCs/>
          <w:kern w:val="2"/>
          <w:lang w:eastAsia="en-US"/>
          <w14:ligatures w14:val="standardContextual"/>
        </w:rPr>
        <w:t xml:space="preserve"> comprehensively explore the psychological impact of the COVID-19 pandemic on</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healthcare workers in the UK and critically evaluate the coping mechanisms used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 xml:space="preserve">support their mental health and wellbeing. </w:t>
      </w:r>
      <w:r>
        <w:rPr>
          <w:rFonts w:ascii="Arial" w:eastAsia="Aptos" w:hAnsi="Arial" w:cs="Arial"/>
          <w:bCs/>
          <w:kern w:val="2"/>
          <w:lang w:eastAsia="en-US"/>
          <w14:ligatures w14:val="standardContextual"/>
        </w:rPr>
        <w:t xml:space="preserve">Consequently, four key objectives were formulated to facilitate the realisation of this aim. The first chapter of this report </w:t>
      </w:r>
      <w:r w:rsidRPr="00D449EF">
        <w:rPr>
          <w:rFonts w:ascii="Arial" w:eastAsia="Aptos" w:hAnsi="Arial" w:cs="Arial"/>
          <w:bCs/>
          <w:kern w:val="2"/>
          <w:lang w:eastAsia="en-US"/>
          <w14:ligatures w14:val="standardContextual"/>
        </w:rPr>
        <w:t xml:space="preserve">introduced the general area of the research, its relevance, and the expectations of this dissertation. Some of the key definitions and terminologies were also presented, as well as the rationale for research. </w:t>
      </w:r>
      <w:r w:rsidR="00545C00">
        <w:rPr>
          <w:rFonts w:ascii="Arial" w:eastAsia="Aptos" w:hAnsi="Arial" w:cs="Arial"/>
          <w:bCs/>
          <w:kern w:val="2"/>
          <w:lang w:eastAsia="en-US"/>
          <w14:ligatures w14:val="standardContextual"/>
        </w:rPr>
        <w:t xml:space="preserve">The second chapter </w:t>
      </w:r>
      <w:r w:rsidR="00545C00" w:rsidRPr="00D449EF">
        <w:rPr>
          <w:rFonts w:ascii="Arial" w:eastAsia="Aptos" w:hAnsi="Arial" w:cs="Arial"/>
          <w:bCs/>
          <w:kern w:val="2"/>
          <w:lang w:eastAsia="en-US"/>
          <w14:ligatures w14:val="standardContextual"/>
        </w:rPr>
        <w:t>established the foundational contexts for exploring the psychological impact of COVID-19 on UK healthcare workers</w:t>
      </w:r>
      <w:r w:rsidR="00545C00">
        <w:rPr>
          <w:rFonts w:ascii="Arial" w:eastAsia="Aptos" w:hAnsi="Arial" w:cs="Arial"/>
          <w:bCs/>
          <w:kern w:val="2"/>
          <w:lang w:eastAsia="en-US"/>
          <w14:ligatures w14:val="standardContextual"/>
        </w:rPr>
        <w:t xml:space="preserve"> by providing a historical context of the issue, examination of several foundational theories underpinning the research area of this dissertation, and finally a review of the global and UK context</w:t>
      </w:r>
      <w:r w:rsidR="00545C00" w:rsidRPr="00D449EF">
        <w:rPr>
          <w:rFonts w:ascii="Arial" w:eastAsia="Aptos" w:hAnsi="Arial" w:cs="Arial"/>
          <w:bCs/>
          <w:kern w:val="2"/>
          <w:lang w:eastAsia="en-US"/>
          <w14:ligatures w14:val="standardContextual"/>
        </w:rPr>
        <w:t>.</w:t>
      </w:r>
      <w:r w:rsidR="00545C00">
        <w:rPr>
          <w:rFonts w:ascii="Arial" w:eastAsia="Aptos" w:hAnsi="Arial" w:cs="Arial"/>
          <w:bCs/>
          <w:kern w:val="2"/>
          <w:lang w:eastAsia="en-US"/>
          <w14:ligatures w14:val="standardContextual"/>
        </w:rPr>
        <w:t xml:space="preserve"> The third chapter outlined the systematic methodology used to conduct this research, which entailed the strategies and criteria used to obtain evidence relevant to the research aim. The fourth chapter presented a report of the findings from this process, which were structured across three main themes. To realise the final objective of this dissertation, this chapter</w:t>
      </w:r>
      <w:r w:rsidRPr="00D449EF">
        <w:rPr>
          <w:rFonts w:ascii="Arial" w:eastAsia="Aptos" w:hAnsi="Arial" w:cs="Arial"/>
          <w:bCs/>
          <w:kern w:val="2"/>
          <w:lang w:eastAsia="en-US"/>
          <w14:ligatures w14:val="standardContextual"/>
        </w:rPr>
        <w:t xml:space="preserve"> endeavours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provide evidence-based recommendations for improving mental health support</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strategies within healthcare.</w:t>
      </w:r>
    </w:p>
    <w:p w14:paraId="559E39EA" w14:textId="51D87F01" w:rsidR="00973F68" w:rsidRPr="001B20A3" w:rsidRDefault="00973F68" w:rsidP="001B20A3">
      <w:pPr>
        <w:keepNext/>
        <w:keepLines/>
        <w:spacing w:before="240" w:line="360" w:lineRule="auto"/>
        <w:jc w:val="both"/>
        <w:outlineLvl w:val="1"/>
        <w:rPr>
          <w:rFonts w:ascii="Arial" w:eastAsiaTheme="majorEastAsia" w:hAnsi="Arial" w:cs="Arial"/>
          <w:b/>
          <w:bCs/>
          <w:color w:val="0F4761"/>
          <w:kern w:val="2"/>
          <w:lang w:eastAsia="zh-CN"/>
          <w14:ligatures w14:val="standardContextual"/>
        </w:rPr>
      </w:pPr>
      <w:bookmarkStart w:id="50" w:name="_Toc223453160"/>
      <w:r w:rsidRPr="001B20A3">
        <w:rPr>
          <w:rFonts w:ascii="Arial" w:eastAsiaTheme="majorEastAsia" w:hAnsi="Arial" w:cs="Arial"/>
          <w:b/>
          <w:bCs/>
          <w:color w:val="0F4761"/>
          <w:kern w:val="2"/>
          <w:lang w:eastAsia="zh-CN"/>
          <w14:ligatures w14:val="standardContextual"/>
        </w:rPr>
        <w:t>5.2 Recommendations</w:t>
      </w:r>
      <w:bookmarkEnd w:id="50"/>
    </w:p>
    <w:p w14:paraId="7EC030BB" w14:textId="01C36FD5" w:rsidR="005B7AD4" w:rsidRPr="00C907AB" w:rsidRDefault="005B7AD4" w:rsidP="00C907AB">
      <w:pPr>
        <w:pStyle w:val="Heading2"/>
        <w:rPr>
          <w:i w:val="0"/>
          <w:iCs/>
          <w:sz w:val="24"/>
          <w:szCs w:val="24"/>
          <w:lang w:eastAsia="zh-CN"/>
        </w:rPr>
      </w:pPr>
      <w:bookmarkStart w:id="51" w:name="_Toc223453161"/>
      <w:r w:rsidRPr="00C907AB">
        <w:rPr>
          <w:i w:val="0"/>
          <w:iCs/>
          <w:sz w:val="24"/>
          <w:szCs w:val="24"/>
          <w:lang w:eastAsia="zh-CN"/>
        </w:rPr>
        <w:t>5.2.1 Recommendation 1</w:t>
      </w:r>
      <w:bookmarkEnd w:id="51"/>
    </w:p>
    <w:p w14:paraId="22A3814D" w14:textId="2B7BC071" w:rsidR="00973F68" w:rsidRDefault="00973F68" w:rsidP="00973F68">
      <w:pPr>
        <w:spacing w:before="240" w:line="360" w:lineRule="auto"/>
        <w:rPr>
          <w:rFonts w:ascii="Arial" w:eastAsiaTheme="majorEastAsia" w:hAnsi="Arial" w:cs="Arial"/>
          <w:kern w:val="2"/>
          <w:lang w:eastAsia="zh-CN"/>
          <w14:ligatures w14:val="standardContextual"/>
        </w:rPr>
      </w:pPr>
      <w:r w:rsidRPr="00973F68">
        <w:rPr>
          <w:rFonts w:ascii="Arial" w:eastAsiaTheme="majorEastAsia" w:hAnsi="Arial" w:cs="Arial"/>
          <w:kern w:val="2"/>
          <w:lang w:eastAsia="zh-CN"/>
          <w14:ligatures w14:val="standardContextual"/>
        </w:rPr>
        <w:t xml:space="preserve">The first recommendation is for healthcare organisations to adopt a flexible, co-designed approach to wellbeing support provision. The research by </w:t>
      </w:r>
      <w:r w:rsidR="005B7AD4" w:rsidRPr="005B7AD4">
        <w:rPr>
          <w:rFonts w:ascii="Arial" w:eastAsiaTheme="majorEastAsia" w:hAnsi="Arial" w:cs="Arial"/>
          <w:kern w:val="2"/>
          <w:lang w:eastAsia="zh-CN"/>
          <w14:ligatures w14:val="standardContextual"/>
        </w:rPr>
        <w:t xml:space="preserve">Juan et al.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2020)</w:t>
      </w:r>
      <w:r w:rsidRPr="00973F68">
        <w:rPr>
          <w:rFonts w:ascii="Arial" w:eastAsiaTheme="majorEastAsia" w:hAnsi="Arial" w:cs="Arial"/>
          <w:kern w:val="2"/>
          <w:lang w:eastAsia="zh-CN"/>
          <w14:ligatures w14:val="standardContextual"/>
        </w:rPr>
        <w:t xml:space="preserve"> demonstrated that formal support interventions, such as psychologist-led sessions, were frequently inaccessible because they were scheduled during clinical shifts or at times that conflicted with staff availability and rest periods. To address this, organisations must involve frontline staff in the design and scheduling of wellbeing services,</w:t>
      </w:r>
      <w:r w:rsidR="005B7AD4">
        <w:rPr>
          <w:rFonts w:ascii="Arial" w:eastAsiaTheme="majorEastAsia" w:hAnsi="Arial" w:cs="Arial"/>
          <w:kern w:val="2"/>
          <w:lang w:eastAsia="zh-CN"/>
          <w14:ligatures w14:val="standardContextual"/>
        </w:rPr>
        <w:t xml:space="preserve"> which should</w:t>
      </w:r>
      <w:r w:rsidRPr="00973F68">
        <w:rPr>
          <w:rFonts w:ascii="Arial" w:eastAsiaTheme="majorEastAsia" w:hAnsi="Arial" w:cs="Arial"/>
          <w:kern w:val="2"/>
          <w:lang w:eastAsia="zh-CN"/>
          <w14:ligatures w14:val="standardContextual"/>
        </w:rPr>
        <w:t xml:space="preserve"> ensur</w:t>
      </w:r>
      <w:r w:rsidR="005B7AD4">
        <w:rPr>
          <w:rFonts w:ascii="Arial" w:eastAsiaTheme="majorEastAsia" w:hAnsi="Arial" w:cs="Arial"/>
          <w:kern w:val="2"/>
          <w:lang w:eastAsia="zh-CN"/>
          <w14:ligatures w14:val="standardContextual"/>
        </w:rPr>
        <w:t>e</w:t>
      </w:r>
      <w:r w:rsidRPr="00973F68">
        <w:rPr>
          <w:rFonts w:ascii="Arial" w:eastAsiaTheme="majorEastAsia" w:hAnsi="Arial" w:cs="Arial"/>
          <w:kern w:val="2"/>
          <w:lang w:eastAsia="zh-CN"/>
          <w14:ligatures w14:val="standardContextual"/>
        </w:rPr>
        <w:t xml:space="preserve"> that provision aligns with the practical realities of clinical work. </w:t>
      </w:r>
      <w:proofErr w:type="spellStart"/>
      <w:r w:rsidR="005B7AD4" w:rsidRPr="005B7AD4">
        <w:rPr>
          <w:rFonts w:ascii="Arial" w:eastAsiaTheme="majorEastAsia" w:hAnsi="Arial" w:cs="Arial"/>
          <w:kern w:val="2"/>
          <w:lang w:eastAsia="zh-CN"/>
          <w14:ligatures w14:val="standardContextual"/>
        </w:rPr>
        <w:t>Sauerteig</w:t>
      </w:r>
      <w:proofErr w:type="spellEnd"/>
      <w:r w:rsidR="005B7AD4" w:rsidRPr="005B7AD4">
        <w:rPr>
          <w:rFonts w:ascii="Arial" w:eastAsiaTheme="majorEastAsia" w:hAnsi="Arial" w:cs="Arial"/>
          <w:kern w:val="2"/>
          <w:lang w:eastAsia="zh-CN"/>
          <w14:ligatures w14:val="standardContextual"/>
        </w:rPr>
        <w:t> </w:t>
      </w:r>
      <w:r w:rsidR="005B7AD4" w:rsidRPr="005B7AD4">
        <w:rPr>
          <w:rFonts w:ascii="Arial" w:eastAsiaTheme="majorEastAsia" w:hAnsi="Arial" w:cs="Arial"/>
          <w:i/>
          <w:iCs/>
          <w:kern w:val="2"/>
          <w:lang w:eastAsia="zh-CN"/>
          <w14:ligatures w14:val="standardContextual"/>
        </w:rPr>
        <w:t>et al.</w:t>
      </w:r>
      <w:r w:rsidR="005B7AD4" w:rsidRPr="005B7AD4">
        <w:rPr>
          <w:rFonts w:ascii="Arial" w:eastAsiaTheme="majorEastAsia" w:hAnsi="Arial" w:cs="Arial"/>
          <w:kern w:val="2"/>
          <w:lang w:eastAsia="zh-CN"/>
          <w14:ligatures w14:val="standardContextual"/>
        </w:rPr>
        <w:t xml:space="preserve">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2019)</w:t>
      </w:r>
      <w:r w:rsidR="005B7AD4">
        <w:rPr>
          <w:rFonts w:ascii="Arial" w:eastAsiaTheme="majorEastAsia" w:hAnsi="Arial" w:cs="Arial"/>
          <w:kern w:val="2"/>
          <w:lang w:eastAsia="zh-CN"/>
          <w14:ligatures w14:val="standardContextual"/>
        </w:rPr>
        <w:t xml:space="preserve"> suggest that t</w:t>
      </w:r>
      <w:r w:rsidRPr="00973F68">
        <w:rPr>
          <w:rFonts w:ascii="Arial" w:eastAsiaTheme="majorEastAsia" w:hAnsi="Arial" w:cs="Arial"/>
          <w:kern w:val="2"/>
          <w:lang w:eastAsia="zh-CN"/>
          <w14:ligatures w14:val="standardContextual"/>
        </w:rPr>
        <w:t>his could involve offering support sessions at multiple times, including evenings and weekends, providing both virtual and in-person options, and ensuring that attendance is explicitly permitted and facilitated within shift allocations. The primary barrier to this recommendation</w:t>
      </w:r>
      <w:r w:rsidR="005B7AD4">
        <w:rPr>
          <w:rFonts w:ascii="Arial" w:eastAsiaTheme="majorEastAsia" w:hAnsi="Arial" w:cs="Arial"/>
          <w:kern w:val="2"/>
          <w:lang w:eastAsia="zh-CN"/>
          <w14:ligatures w14:val="standardContextual"/>
        </w:rPr>
        <w:t xml:space="preserve"> identified by </w:t>
      </w:r>
      <w:r w:rsidR="005B7AD4" w:rsidRPr="005B7AD4">
        <w:rPr>
          <w:rFonts w:ascii="Arial" w:eastAsiaTheme="majorEastAsia" w:hAnsi="Arial" w:cs="Arial"/>
          <w:kern w:val="2"/>
          <w:lang w:eastAsia="zh-CN"/>
          <w14:ligatures w14:val="standardContextual"/>
        </w:rPr>
        <w:t>Choudhury </w:t>
      </w:r>
      <w:r w:rsidR="005B7AD4" w:rsidRPr="005B7AD4">
        <w:rPr>
          <w:rFonts w:ascii="Arial" w:eastAsiaTheme="majorEastAsia" w:hAnsi="Arial" w:cs="Arial"/>
          <w:i/>
          <w:iCs/>
          <w:kern w:val="2"/>
          <w:lang w:eastAsia="zh-CN"/>
          <w14:ligatures w14:val="standardContextual"/>
        </w:rPr>
        <w:t>et al.</w:t>
      </w:r>
      <w:r w:rsidR="005B7AD4" w:rsidRPr="005B7AD4">
        <w:rPr>
          <w:rFonts w:ascii="Arial" w:eastAsiaTheme="majorEastAsia" w:hAnsi="Arial" w:cs="Arial"/>
          <w:kern w:val="2"/>
          <w:lang w:eastAsia="zh-CN"/>
          <w14:ligatures w14:val="standardContextual"/>
        </w:rPr>
        <w:t xml:space="preserve">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2020)</w:t>
      </w:r>
      <w:r w:rsidRPr="00973F68">
        <w:rPr>
          <w:rFonts w:ascii="Arial" w:eastAsiaTheme="majorEastAsia" w:hAnsi="Arial" w:cs="Arial"/>
          <w:kern w:val="2"/>
          <w:lang w:eastAsia="zh-CN"/>
          <w14:ligatures w14:val="standardContextual"/>
        </w:rPr>
        <w:t xml:space="preserve"> is the existing pressure on staffing levels and resources, which may make it difficult for managers to release staff for wellbeing activities. Overcoming this limitation requires a cultural shift that recognises staff wellbeing as integral to service delivery rather than an optional extra. Organisations could pilot protected time for wellbeing within existing rotas, evaluate its impact on staff retention and sickness absence, and use this evidence to make the case for sustained investment. </w:t>
      </w:r>
      <w:r w:rsidR="005B7AD4" w:rsidRPr="005B7AD4">
        <w:rPr>
          <w:rFonts w:ascii="Arial" w:eastAsiaTheme="majorEastAsia" w:hAnsi="Arial" w:cs="Arial"/>
          <w:kern w:val="2"/>
          <w:lang w:eastAsia="zh-CN"/>
          <w14:ligatures w14:val="standardContextual"/>
        </w:rPr>
        <w:t>Htay </w:t>
      </w:r>
      <w:r w:rsidR="005B7AD4" w:rsidRPr="005B7AD4">
        <w:rPr>
          <w:rFonts w:ascii="Arial" w:eastAsiaTheme="majorEastAsia" w:hAnsi="Arial" w:cs="Arial"/>
          <w:i/>
          <w:iCs/>
          <w:kern w:val="2"/>
          <w:lang w:eastAsia="zh-CN"/>
          <w14:ligatures w14:val="standardContextual"/>
        </w:rPr>
        <w:t>et al.</w:t>
      </w:r>
      <w:r w:rsidR="005B7AD4" w:rsidRPr="005B7AD4">
        <w:rPr>
          <w:rFonts w:ascii="Arial" w:eastAsiaTheme="majorEastAsia" w:hAnsi="Arial" w:cs="Arial"/>
          <w:kern w:val="2"/>
          <w:lang w:eastAsia="zh-CN"/>
          <w14:ligatures w14:val="standardContextual"/>
        </w:rPr>
        <w:t xml:space="preserve">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2021)</w:t>
      </w:r>
      <w:r w:rsidR="005B7AD4">
        <w:rPr>
          <w:rFonts w:ascii="Arial" w:eastAsiaTheme="majorEastAsia" w:hAnsi="Arial" w:cs="Arial"/>
          <w:kern w:val="2"/>
          <w:lang w:eastAsia="zh-CN"/>
          <w14:ligatures w14:val="standardContextual"/>
        </w:rPr>
        <w:t xml:space="preserve"> posit that t</w:t>
      </w:r>
      <w:r w:rsidRPr="00973F68">
        <w:rPr>
          <w:rFonts w:ascii="Arial" w:eastAsiaTheme="majorEastAsia" w:hAnsi="Arial" w:cs="Arial"/>
          <w:kern w:val="2"/>
          <w:lang w:eastAsia="zh-CN"/>
          <w14:ligatures w14:val="standardContextual"/>
        </w:rPr>
        <w:t>he co-design process itself also requires time and commitment, but engaging staff representatives and union partners can distribute this workload and ensure that diverse voices are heard.</w:t>
      </w:r>
    </w:p>
    <w:p w14:paraId="1CD41A9D" w14:textId="77777777" w:rsidR="00C907AB" w:rsidRPr="00C907AB" w:rsidRDefault="005B7AD4" w:rsidP="00C907AB">
      <w:pPr>
        <w:pStyle w:val="Heading2"/>
        <w:rPr>
          <w:i w:val="0"/>
          <w:iCs/>
          <w:sz w:val="24"/>
          <w:szCs w:val="24"/>
          <w:lang w:eastAsia="zh-CN"/>
        </w:rPr>
      </w:pPr>
      <w:bookmarkStart w:id="52" w:name="_Toc223453162"/>
      <w:r w:rsidRPr="00C907AB">
        <w:rPr>
          <w:i w:val="0"/>
          <w:iCs/>
          <w:sz w:val="24"/>
          <w:szCs w:val="24"/>
          <w:lang w:eastAsia="zh-CN"/>
        </w:rPr>
        <w:t>5.2.2 Recommendation 2</w:t>
      </w:r>
      <w:bookmarkEnd w:id="52"/>
    </w:p>
    <w:p w14:paraId="75A42B74" w14:textId="662E648B" w:rsidR="00973F68" w:rsidRDefault="00973F68" w:rsidP="00973F68">
      <w:pPr>
        <w:spacing w:before="240" w:line="360" w:lineRule="auto"/>
        <w:rPr>
          <w:rFonts w:ascii="Arial" w:eastAsiaTheme="majorEastAsia" w:hAnsi="Arial" w:cs="Arial"/>
          <w:kern w:val="2"/>
          <w:lang w:eastAsia="zh-CN"/>
          <w14:ligatures w14:val="standardContextual"/>
        </w:rPr>
      </w:pPr>
      <w:r w:rsidRPr="00973F68">
        <w:rPr>
          <w:rFonts w:ascii="Arial" w:eastAsiaTheme="majorEastAsia" w:hAnsi="Arial" w:cs="Arial"/>
          <w:kern w:val="2"/>
          <w:lang w:eastAsia="zh-CN"/>
          <w14:ligatures w14:val="standardContextual"/>
        </w:rPr>
        <w:t xml:space="preserve">The second recommendation is for the development and implementation of practical, structural support mechanisms alongside psychological interventions. The findings from </w:t>
      </w:r>
      <w:r w:rsidR="005B7AD4" w:rsidRPr="005B7AD4">
        <w:rPr>
          <w:rFonts w:ascii="Arial" w:eastAsiaTheme="majorEastAsia" w:hAnsi="Arial" w:cs="Arial"/>
          <w:kern w:val="2"/>
          <w:lang w:eastAsia="zh-CN"/>
          <w14:ligatures w14:val="standardContextual"/>
        </w:rPr>
        <w:t xml:space="preserve">Majumder, </w:t>
      </w:r>
      <w:proofErr w:type="spellStart"/>
      <w:r w:rsidR="005B7AD4" w:rsidRPr="005B7AD4">
        <w:rPr>
          <w:rFonts w:ascii="Arial" w:eastAsiaTheme="majorEastAsia" w:hAnsi="Arial" w:cs="Arial"/>
          <w:kern w:val="2"/>
          <w:lang w:eastAsia="zh-CN"/>
          <w14:ligatures w14:val="standardContextual"/>
        </w:rPr>
        <w:t>Jeve</w:t>
      </w:r>
      <w:proofErr w:type="spellEnd"/>
      <w:r w:rsidR="005B7AD4" w:rsidRPr="005B7AD4">
        <w:rPr>
          <w:rFonts w:ascii="Arial" w:eastAsiaTheme="majorEastAsia" w:hAnsi="Arial" w:cs="Arial"/>
          <w:kern w:val="2"/>
          <w:lang w:eastAsia="zh-CN"/>
          <w14:ligatures w14:val="standardContextual"/>
        </w:rPr>
        <w:t xml:space="preserve"> and Sales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2021)</w:t>
      </w:r>
      <w:r w:rsidRPr="00973F68">
        <w:rPr>
          <w:rFonts w:ascii="Arial" w:eastAsiaTheme="majorEastAsia" w:hAnsi="Arial" w:cs="Arial"/>
          <w:kern w:val="2"/>
          <w:lang w:eastAsia="zh-CN"/>
          <w14:ligatures w14:val="standardContextual"/>
        </w:rPr>
        <w:t xml:space="preserve"> and </w:t>
      </w:r>
      <w:r w:rsidR="005B7AD4" w:rsidRPr="005B7AD4">
        <w:rPr>
          <w:rFonts w:ascii="Arial" w:eastAsiaTheme="majorEastAsia" w:hAnsi="Arial" w:cs="Arial"/>
          <w:kern w:val="2"/>
          <w:lang w:eastAsia="zh-CN"/>
          <w14:ligatures w14:val="standardContextual"/>
        </w:rPr>
        <w:t>Reilly </w:t>
      </w:r>
      <w:r w:rsidR="005B7AD4" w:rsidRPr="005B7AD4">
        <w:rPr>
          <w:rFonts w:ascii="Arial" w:eastAsiaTheme="majorEastAsia" w:hAnsi="Arial" w:cs="Arial"/>
          <w:i/>
          <w:iCs/>
          <w:kern w:val="2"/>
          <w:lang w:eastAsia="zh-CN"/>
          <w14:ligatures w14:val="standardContextual"/>
        </w:rPr>
        <w:t>et al.</w:t>
      </w:r>
      <w:r w:rsidR="005B7AD4" w:rsidRPr="005B7AD4">
        <w:rPr>
          <w:rFonts w:ascii="Arial" w:eastAsiaTheme="majorEastAsia" w:hAnsi="Arial" w:cs="Arial"/>
          <w:kern w:val="2"/>
          <w:lang w:eastAsia="zh-CN"/>
          <w14:ligatures w14:val="standardContextual"/>
        </w:rPr>
        <w:t xml:space="preserve"> </w:t>
      </w:r>
      <w:r w:rsidR="005B7AD4">
        <w:rPr>
          <w:rFonts w:ascii="Arial" w:eastAsiaTheme="majorEastAsia" w:hAnsi="Arial" w:cs="Arial"/>
          <w:kern w:val="2"/>
          <w:lang w:eastAsia="zh-CN"/>
          <w14:ligatures w14:val="standardContextual"/>
        </w:rPr>
        <w:t>(</w:t>
      </w:r>
      <w:r w:rsidR="005B7AD4" w:rsidRPr="005B7AD4">
        <w:rPr>
          <w:rFonts w:ascii="Arial" w:eastAsiaTheme="majorEastAsia" w:hAnsi="Arial" w:cs="Arial"/>
          <w:kern w:val="2"/>
          <w:lang w:eastAsia="zh-CN"/>
          <w14:ligatures w14:val="standardContextual"/>
        </w:rPr>
        <w:t>2021)</w:t>
      </w:r>
      <w:r w:rsidRPr="00973F68">
        <w:rPr>
          <w:rFonts w:ascii="Arial" w:eastAsiaTheme="majorEastAsia" w:hAnsi="Arial" w:cs="Arial"/>
          <w:kern w:val="2"/>
          <w:lang w:eastAsia="zh-CN"/>
          <w14:ligatures w14:val="standardContextual"/>
        </w:rPr>
        <w:t xml:space="preserve"> consistently indicated that healthcare workers preferred practical coping strategies and tangible support from employers, including adequate rest breaks, time off, financial incentives, and reduced bureaucratic burden. Future practice should therefore embed wellbeing into operational policies by ensuring that staffing levels are sufficient to allow for regular breaks, that rest facilities are available and accessible, and that administrative tasks are streamlined to reduce out-of-hours work. Furthermore, organisations should consider providing practical resources such as on-site catering, accommodation for staff concerned about infecting family members, and free transport options</w:t>
      </w:r>
      <w:r w:rsidR="005B7AD4">
        <w:rPr>
          <w:rFonts w:ascii="Arial" w:eastAsiaTheme="majorEastAsia" w:hAnsi="Arial" w:cs="Arial"/>
          <w:kern w:val="2"/>
          <w:lang w:eastAsia="zh-CN"/>
          <w14:ligatures w14:val="standardContextual"/>
        </w:rPr>
        <w:t xml:space="preserve"> </w:t>
      </w:r>
      <w:r w:rsidR="005B7AD4" w:rsidRPr="005B7AD4">
        <w:rPr>
          <w:rFonts w:ascii="Arial" w:eastAsiaTheme="majorEastAsia" w:hAnsi="Arial" w:cs="Arial"/>
          <w:kern w:val="2"/>
          <w:lang w:eastAsia="zh-CN"/>
          <w14:ligatures w14:val="standardContextual"/>
        </w:rPr>
        <w:t>(</w:t>
      </w:r>
      <w:proofErr w:type="spellStart"/>
      <w:r w:rsidR="005B7AD4" w:rsidRPr="005B7AD4">
        <w:rPr>
          <w:rFonts w:ascii="Arial" w:eastAsiaTheme="majorEastAsia" w:hAnsi="Arial" w:cs="Arial"/>
          <w:kern w:val="2"/>
          <w:lang w:eastAsia="zh-CN"/>
          <w14:ligatures w14:val="standardContextual"/>
        </w:rPr>
        <w:t>Umbetkulova</w:t>
      </w:r>
      <w:proofErr w:type="spellEnd"/>
      <w:r w:rsidR="005B7AD4" w:rsidRPr="005B7AD4">
        <w:rPr>
          <w:rFonts w:ascii="Arial" w:eastAsiaTheme="majorEastAsia" w:hAnsi="Arial" w:cs="Arial"/>
          <w:kern w:val="2"/>
          <w:lang w:eastAsia="zh-CN"/>
          <w14:ligatures w14:val="standardContextual"/>
        </w:rPr>
        <w:t> </w:t>
      </w:r>
      <w:r w:rsidR="005B7AD4" w:rsidRPr="005B7AD4">
        <w:rPr>
          <w:rFonts w:ascii="Arial" w:eastAsiaTheme="majorEastAsia" w:hAnsi="Arial" w:cs="Arial"/>
          <w:i/>
          <w:iCs/>
          <w:kern w:val="2"/>
          <w:lang w:eastAsia="zh-CN"/>
          <w14:ligatures w14:val="standardContextual"/>
        </w:rPr>
        <w:t>et al.</w:t>
      </w:r>
      <w:r w:rsidR="005B7AD4" w:rsidRPr="005B7AD4">
        <w:rPr>
          <w:rFonts w:ascii="Arial" w:eastAsiaTheme="majorEastAsia" w:hAnsi="Arial" w:cs="Arial"/>
          <w:kern w:val="2"/>
          <w:lang w:eastAsia="zh-CN"/>
          <w14:ligatures w14:val="standardContextual"/>
        </w:rPr>
        <w:t>, 2023)</w:t>
      </w:r>
      <w:r w:rsidRPr="00973F68">
        <w:rPr>
          <w:rFonts w:ascii="Arial" w:eastAsiaTheme="majorEastAsia" w:hAnsi="Arial" w:cs="Arial"/>
          <w:kern w:val="2"/>
          <w:lang w:eastAsia="zh-CN"/>
          <w14:ligatures w14:val="standardContextual"/>
        </w:rPr>
        <w:t>. The barrier to this recommendation is financial, as many of these measures require significant investment at a time when healthcare budgets are under strain. However, the long-term costs of staff burnout, turnover, and sickness absence are likely to exceed the investment required for preventative measures. Organisations can overcome financial barriers by adopting a phased approach</w:t>
      </w:r>
      <w:r w:rsidR="005B7AD4">
        <w:rPr>
          <w:rFonts w:ascii="Arial" w:eastAsiaTheme="majorEastAsia" w:hAnsi="Arial" w:cs="Arial"/>
          <w:kern w:val="2"/>
          <w:lang w:eastAsia="zh-CN"/>
          <w14:ligatures w14:val="standardContextual"/>
        </w:rPr>
        <w:t>, which includes</w:t>
      </w:r>
      <w:r w:rsidRPr="00973F68">
        <w:rPr>
          <w:rFonts w:ascii="Arial" w:eastAsiaTheme="majorEastAsia" w:hAnsi="Arial" w:cs="Arial"/>
          <w:kern w:val="2"/>
          <w:lang w:eastAsia="zh-CN"/>
          <w14:ligatures w14:val="standardContextual"/>
        </w:rPr>
        <w:t xml:space="preserve"> prioritising low-cost interventions such as flexible break scheduling and improved rest facilities, while building the economic case for more substantial investments through pilot data and workforce metrics</w:t>
      </w:r>
      <w:r w:rsidR="00CD6981">
        <w:rPr>
          <w:rFonts w:ascii="Arial" w:eastAsiaTheme="majorEastAsia" w:hAnsi="Arial" w:cs="Arial"/>
          <w:kern w:val="2"/>
          <w:lang w:eastAsia="zh-CN"/>
          <w14:ligatures w14:val="standardContextual"/>
        </w:rPr>
        <w:t xml:space="preserve"> </w:t>
      </w:r>
      <w:r w:rsidR="00CD6981" w:rsidRPr="00CD6981">
        <w:rPr>
          <w:rFonts w:ascii="Arial" w:eastAsiaTheme="majorEastAsia" w:hAnsi="Arial" w:cs="Arial"/>
          <w:kern w:val="2"/>
          <w:lang w:eastAsia="zh-CN"/>
          <w14:ligatures w14:val="standardContextual"/>
        </w:rPr>
        <w:t>(McFadden </w:t>
      </w:r>
      <w:r w:rsidR="00CD6981" w:rsidRPr="00CD6981">
        <w:rPr>
          <w:rFonts w:ascii="Arial" w:eastAsiaTheme="majorEastAsia" w:hAnsi="Arial" w:cs="Arial"/>
          <w:i/>
          <w:iCs/>
          <w:kern w:val="2"/>
          <w:lang w:eastAsia="zh-CN"/>
          <w14:ligatures w14:val="standardContextual"/>
        </w:rPr>
        <w:t>et al.</w:t>
      </w:r>
      <w:r w:rsidR="00CD6981" w:rsidRPr="00CD6981">
        <w:rPr>
          <w:rFonts w:ascii="Arial" w:eastAsiaTheme="majorEastAsia" w:hAnsi="Arial" w:cs="Arial"/>
          <w:kern w:val="2"/>
          <w:lang w:eastAsia="zh-CN"/>
          <w14:ligatures w14:val="standardContextual"/>
        </w:rPr>
        <w:t>, 2021)</w:t>
      </w:r>
      <w:r w:rsidRPr="00973F68">
        <w:rPr>
          <w:rFonts w:ascii="Arial" w:eastAsiaTheme="majorEastAsia" w:hAnsi="Arial" w:cs="Arial"/>
          <w:kern w:val="2"/>
          <w:lang w:eastAsia="zh-CN"/>
          <w14:ligatures w14:val="standardContextual"/>
        </w:rPr>
        <w:t>. Collaborative approaches across NHS trusts could also enable shared learning and resource pooling.</w:t>
      </w:r>
    </w:p>
    <w:p w14:paraId="5BAC6BF4" w14:textId="5219444D" w:rsidR="00CD6981" w:rsidRPr="00973F68" w:rsidRDefault="00CD6981" w:rsidP="00C907AB">
      <w:pPr>
        <w:pStyle w:val="Heading2"/>
        <w:rPr>
          <w:i w:val="0"/>
          <w:iCs/>
          <w:sz w:val="24"/>
          <w:szCs w:val="24"/>
          <w:lang w:eastAsia="zh-CN"/>
        </w:rPr>
      </w:pPr>
      <w:bookmarkStart w:id="53" w:name="_Toc223453163"/>
      <w:r w:rsidRPr="00C907AB">
        <w:rPr>
          <w:i w:val="0"/>
          <w:iCs/>
          <w:sz w:val="24"/>
          <w:szCs w:val="24"/>
          <w:lang w:eastAsia="zh-CN"/>
        </w:rPr>
        <w:t>5.2.3 Recommendation 3</w:t>
      </w:r>
      <w:bookmarkEnd w:id="53"/>
    </w:p>
    <w:p w14:paraId="36240218" w14:textId="236BFDA9" w:rsidR="00973F68" w:rsidRPr="00973F68" w:rsidRDefault="00973F68" w:rsidP="00973F68">
      <w:pPr>
        <w:spacing w:before="240" w:line="360" w:lineRule="auto"/>
        <w:rPr>
          <w:rFonts w:ascii="Arial" w:eastAsiaTheme="majorEastAsia" w:hAnsi="Arial" w:cs="Arial"/>
          <w:kern w:val="2"/>
          <w:lang w:eastAsia="zh-CN"/>
          <w14:ligatures w14:val="standardContextual"/>
        </w:rPr>
      </w:pPr>
      <w:r w:rsidRPr="00973F68">
        <w:rPr>
          <w:rFonts w:ascii="Arial" w:eastAsiaTheme="majorEastAsia" w:hAnsi="Arial" w:cs="Arial"/>
          <w:kern w:val="2"/>
          <w:lang w:eastAsia="zh-CN"/>
          <w14:ligatures w14:val="standardContextual"/>
        </w:rPr>
        <w:t xml:space="preserve">The third recommendation is for the implementation of targeted, proactive outreach to at-risk groups, particularly younger staff, trainees, and those working in high-intensity areas. </w:t>
      </w:r>
      <w:r w:rsidR="00CD6981" w:rsidRPr="00CD6981">
        <w:rPr>
          <w:rFonts w:ascii="Arial" w:eastAsiaTheme="majorEastAsia" w:hAnsi="Arial" w:cs="Arial"/>
          <w:kern w:val="2"/>
          <w:lang w:eastAsia="zh-CN"/>
          <w14:ligatures w14:val="standardContextual"/>
        </w:rPr>
        <w:t xml:space="preserve">Reilly et al. </w:t>
      </w:r>
      <w:r w:rsidR="00CD6981">
        <w:rPr>
          <w:rFonts w:ascii="Arial" w:eastAsiaTheme="majorEastAsia" w:hAnsi="Arial" w:cs="Arial"/>
          <w:kern w:val="2"/>
          <w:lang w:eastAsia="zh-CN"/>
          <w14:ligatures w14:val="standardContextual"/>
        </w:rPr>
        <w:t>(</w:t>
      </w:r>
      <w:r w:rsidR="00CD6981" w:rsidRPr="00CD6981">
        <w:rPr>
          <w:rFonts w:ascii="Arial" w:eastAsiaTheme="majorEastAsia" w:hAnsi="Arial" w:cs="Arial"/>
          <w:kern w:val="2"/>
          <w:lang w:eastAsia="zh-CN"/>
          <w14:ligatures w14:val="standardContextual"/>
        </w:rPr>
        <w:t>2021)</w:t>
      </w:r>
      <w:r w:rsidRPr="00973F68">
        <w:rPr>
          <w:rFonts w:ascii="Arial" w:eastAsiaTheme="majorEastAsia" w:hAnsi="Arial" w:cs="Arial"/>
          <w:kern w:val="2"/>
          <w:lang w:eastAsia="zh-CN"/>
          <w14:ligatures w14:val="standardContextual"/>
        </w:rPr>
        <w:t xml:space="preserve"> identified that trainees were more likely to use supervision and other substances to cope, while </w:t>
      </w:r>
      <w:r w:rsidR="00CD6981" w:rsidRPr="00CD6981">
        <w:rPr>
          <w:rFonts w:ascii="Arial" w:eastAsiaTheme="majorEastAsia" w:hAnsi="Arial" w:cs="Arial"/>
          <w:kern w:val="2"/>
          <w:lang w:eastAsia="zh-CN"/>
          <w14:ligatures w14:val="standardContextual"/>
        </w:rPr>
        <w:t xml:space="preserve">Majumder, </w:t>
      </w:r>
      <w:proofErr w:type="spellStart"/>
      <w:r w:rsidR="00CD6981" w:rsidRPr="00CD6981">
        <w:rPr>
          <w:rFonts w:ascii="Arial" w:eastAsiaTheme="majorEastAsia" w:hAnsi="Arial" w:cs="Arial"/>
          <w:kern w:val="2"/>
          <w:lang w:eastAsia="zh-CN"/>
          <w14:ligatures w14:val="standardContextual"/>
        </w:rPr>
        <w:t>Jeve</w:t>
      </w:r>
      <w:proofErr w:type="spellEnd"/>
      <w:r w:rsidR="00CD6981" w:rsidRPr="00CD6981">
        <w:rPr>
          <w:rFonts w:ascii="Arial" w:eastAsiaTheme="majorEastAsia" w:hAnsi="Arial" w:cs="Arial"/>
          <w:kern w:val="2"/>
          <w:lang w:eastAsia="zh-CN"/>
          <w14:ligatures w14:val="standardContextual"/>
        </w:rPr>
        <w:t xml:space="preserve"> and Sales </w:t>
      </w:r>
      <w:r w:rsidR="00CD6981">
        <w:rPr>
          <w:rFonts w:ascii="Arial" w:eastAsiaTheme="majorEastAsia" w:hAnsi="Arial" w:cs="Arial"/>
          <w:kern w:val="2"/>
          <w:lang w:eastAsia="zh-CN"/>
          <w14:ligatures w14:val="standardContextual"/>
        </w:rPr>
        <w:t>(</w:t>
      </w:r>
      <w:r w:rsidR="00CD6981" w:rsidRPr="00CD6981">
        <w:rPr>
          <w:rFonts w:ascii="Arial" w:eastAsiaTheme="majorEastAsia" w:hAnsi="Arial" w:cs="Arial"/>
          <w:kern w:val="2"/>
          <w:lang w:eastAsia="zh-CN"/>
          <w14:ligatures w14:val="standardContextual"/>
        </w:rPr>
        <w:t>2021)</w:t>
      </w:r>
      <w:r w:rsidRPr="00973F68">
        <w:rPr>
          <w:rFonts w:ascii="Arial" w:eastAsiaTheme="majorEastAsia" w:hAnsi="Arial" w:cs="Arial"/>
          <w:kern w:val="2"/>
          <w:lang w:eastAsia="zh-CN"/>
          <w14:ligatures w14:val="standardContextual"/>
        </w:rPr>
        <w:t xml:space="preserve"> found that younger and female staff were more likely to reach out for support, whereas older and male staff were less likely to do so. These findings suggest that a one-size-fits-all approach to wellbeing support is insufficient. Future practice should involve regular, confidential wellbeing check-ins facilitated by line managers or peer supporters, with particular attention to those who may be reluctant to seek help. This could be embedded within existing supervision structures for trainees and extended to all staff through a named wellbeing contact within each department. Training for managers in recognising distress and responding compassionately is essential to the success of this approach</w:t>
      </w:r>
      <w:r w:rsidR="00CD6981">
        <w:rPr>
          <w:rFonts w:ascii="Arial" w:eastAsiaTheme="majorEastAsia" w:hAnsi="Arial" w:cs="Arial"/>
          <w:kern w:val="2"/>
          <w:lang w:eastAsia="zh-CN"/>
          <w14:ligatures w14:val="standardContextual"/>
        </w:rPr>
        <w:t xml:space="preserve"> </w:t>
      </w:r>
      <w:r w:rsidR="00CD6981" w:rsidRPr="00CD6981">
        <w:rPr>
          <w:rFonts w:ascii="Arial" w:eastAsiaTheme="majorEastAsia" w:hAnsi="Arial" w:cs="Arial"/>
          <w:kern w:val="2"/>
          <w:lang w:eastAsia="zh-CN"/>
          <w14:ligatures w14:val="standardContextual"/>
        </w:rPr>
        <w:t>(Gautam </w:t>
      </w:r>
      <w:r w:rsidR="00CD6981" w:rsidRPr="00CD6981">
        <w:rPr>
          <w:rFonts w:ascii="Arial" w:eastAsiaTheme="majorEastAsia" w:hAnsi="Arial" w:cs="Arial"/>
          <w:i/>
          <w:iCs/>
          <w:kern w:val="2"/>
          <w:lang w:eastAsia="zh-CN"/>
          <w14:ligatures w14:val="standardContextual"/>
        </w:rPr>
        <w:t>et al.</w:t>
      </w:r>
      <w:r w:rsidR="00CD6981" w:rsidRPr="00CD6981">
        <w:rPr>
          <w:rFonts w:ascii="Arial" w:eastAsiaTheme="majorEastAsia" w:hAnsi="Arial" w:cs="Arial"/>
          <w:kern w:val="2"/>
          <w:lang w:eastAsia="zh-CN"/>
          <w14:ligatures w14:val="standardContextual"/>
        </w:rPr>
        <w:t>, 2024)</w:t>
      </w:r>
      <w:r w:rsidRPr="00973F68">
        <w:rPr>
          <w:rFonts w:ascii="Arial" w:eastAsiaTheme="majorEastAsia" w:hAnsi="Arial" w:cs="Arial"/>
          <w:kern w:val="2"/>
          <w:lang w:eastAsia="zh-CN"/>
          <w14:ligatures w14:val="standardContextual"/>
        </w:rPr>
        <w:t>. The barrier to this recommendation is the potential for stigma and the risk that mandatory check-ins may be perceived as surveillance rather than support. Overcoming this requires clear communication about the confidential and voluntary nature of these conversations, the training of managers to ensure they adopt a non-judgemental and supportive stance, and the availability of clear pathways to specialist support for those who need it</w:t>
      </w:r>
      <w:r w:rsidR="00CD6981">
        <w:rPr>
          <w:rFonts w:ascii="Arial" w:eastAsiaTheme="majorEastAsia" w:hAnsi="Arial" w:cs="Arial"/>
          <w:kern w:val="2"/>
          <w:lang w:eastAsia="zh-CN"/>
          <w14:ligatures w14:val="standardContextual"/>
        </w:rPr>
        <w:t xml:space="preserve"> </w:t>
      </w:r>
      <w:r w:rsidR="00CD6981" w:rsidRPr="00CD6981">
        <w:rPr>
          <w:rFonts w:ascii="Arial" w:eastAsiaTheme="majorEastAsia" w:hAnsi="Arial" w:cs="Arial"/>
          <w:kern w:val="2"/>
          <w:lang w:eastAsia="zh-CN"/>
          <w14:ligatures w14:val="standardContextual"/>
        </w:rPr>
        <w:t>(Scott </w:t>
      </w:r>
      <w:r w:rsidR="00CD6981" w:rsidRPr="00CD6981">
        <w:rPr>
          <w:rFonts w:ascii="Arial" w:eastAsiaTheme="majorEastAsia" w:hAnsi="Arial" w:cs="Arial"/>
          <w:i/>
          <w:iCs/>
          <w:kern w:val="2"/>
          <w:lang w:eastAsia="zh-CN"/>
          <w14:ligatures w14:val="standardContextual"/>
        </w:rPr>
        <w:t>et al.</w:t>
      </w:r>
      <w:r w:rsidR="00CD6981" w:rsidRPr="00CD6981">
        <w:rPr>
          <w:rFonts w:ascii="Arial" w:eastAsiaTheme="majorEastAsia" w:hAnsi="Arial" w:cs="Arial"/>
          <w:kern w:val="2"/>
          <w:lang w:eastAsia="zh-CN"/>
          <w14:ligatures w14:val="standardContextual"/>
        </w:rPr>
        <w:t>, 2022)</w:t>
      </w:r>
      <w:r w:rsidRPr="00973F68">
        <w:rPr>
          <w:rFonts w:ascii="Arial" w:eastAsiaTheme="majorEastAsia" w:hAnsi="Arial" w:cs="Arial"/>
          <w:kern w:val="2"/>
          <w:lang w:eastAsia="zh-CN"/>
          <w14:ligatures w14:val="standardContextual"/>
        </w:rPr>
        <w:t>. Peer support models, where trained colleagues provide informal support, may be particularly effective in reducing stigma and reaching those who are hesitant to engage with formal services.</w:t>
      </w:r>
    </w:p>
    <w:p w14:paraId="4B9F23A7" w14:textId="77777777" w:rsidR="00973F68" w:rsidRPr="00973F68" w:rsidRDefault="00973F68" w:rsidP="00D449EF">
      <w:pPr>
        <w:spacing w:before="240" w:line="360" w:lineRule="auto"/>
        <w:rPr>
          <w:rFonts w:ascii="Arial" w:eastAsiaTheme="majorEastAsia" w:hAnsi="Arial" w:cs="Arial"/>
          <w:kern w:val="2"/>
          <w:lang w:eastAsia="zh-CN"/>
          <w14:ligatures w14:val="standardContextual"/>
        </w:rPr>
      </w:pPr>
    </w:p>
    <w:p w14:paraId="016D284B" w14:textId="48FA0E3E" w:rsidR="00D449EF" w:rsidRPr="00D449EF" w:rsidRDefault="00D449EF" w:rsidP="00D449EF">
      <w:pPr>
        <w:spacing w:before="240" w:line="360" w:lineRule="auto"/>
        <w:rPr>
          <w:rFonts w:ascii="Arial" w:eastAsiaTheme="majorEastAsia" w:hAnsi="Arial" w:cs="Arial"/>
          <w:b/>
          <w:bCs/>
          <w:color w:val="2F5496" w:themeColor="accent1" w:themeShade="BF"/>
          <w:kern w:val="2"/>
          <w:lang w:eastAsia="zh-CN"/>
          <w14:ligatures w14:val="standardContextual"/>
        </w:rPr>
      </w:pPr>
      <w:r w:rsidRPr="00D449EF">
        <w:rPr>
          <w:rFonts w:ascii="Arial" w:eastAsiaTheme="majorEastAsia" w:hAnsi="Arial" w:cs="Arial"/>
          <w:b/>
          <w:bCs/>
          <w:color w:val="2F5496" w:themeColor="accent1" w:themeShade="BF"/>
          <w:kern w:val="2"/>
          <w:lang w:eastAsia="zh-CN"/>
          <w14:ligatures w14:val="standardContextual"/>
        </w:rPr>
        <w:br w:type="page"/>
      </w:r>
    </w:p>
    <w:p w14:paraId="39182F9D" w14:textId="25DEC170" w:rsidR="00C907AB" w:rsidRPr="00644375" w:rsidRDefault="00D449EF" w:rsidP="00644375">
      <w:pPr>
        <w:widowControl w:val="0"/>
        <w:autoSpaceDE w:val="0"/>
        <w:autoSpaceDN w:val="0"/>
        <w:spacing w:before="240" w:line="360" w:lineRule="auto"/>
        <w:jc w:val="center"/>
        <w:outlineLvl w:val="0"/>
        <w:rPr>
          <w:rFonts w:ascii="Arial" w:eastAsia="Calibri Light" w:hAnsi="Arial" w:cs="Arial"/>
          <w:b/>
          <w:lang w:bidi="en-GB"/>
        </w:rPr>
      </w:pPr>
      <w:bookmarkStart w:id="54" w:name="_Toc223453164"/>
      <w:r w:rsidRPr="00C907AB">
        <w:rPr>
          <w:rFonts w:ascii="Arial" w:eastAsia="Calibri Light" w:hAnsi="Arial" w:cs="Arial"/>
          <w:b/>
          <w:lang w:bidi="en-GB"/>
        </w:rPr>
        <w:t>References</w:t>
      </w:r>
      <w:bookmarkEnd w:id="54"/>
    </w:p>
    <w:p w14:paraId="22C81F27"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Agbonmwandolor</w:t>
      </w:r>
      <w:proofErr w:type="spellEnd"/>
      <w:r w:rsidRPr="009838E9">
        <w:rPr>
          <w:rFonts w:ascii="Arial" w:eastAsia="Aptos" w:hAnsi="Arial" w:cs="Arial"/>
          <w:bCs/>
          <w:kern w:val="2"/>
          <w:lang w:eastAsia="en-US"/>
          <w14:ligatures w14:val="standardContextual"/>
        </w:rPr>
        <w:t xml:space="preserve">, J. O. et al. (2024) ‘Coping strategies used by migrant healthcare workers to support their mental health during COVID-19 in the United Kingdom: a qualitative analysis’, European Journal of </w:t>
      </w:r>
      <w:proofErr w:type="spellStart"/>
      <w:r w:rsidRPr="009838E9">
        <w:rPr>
          <w:rFonts w:ascii="Arial" w:eastAsia="Aptos" w:hAnsi="Arial" w:cs="Arial"/>
          <w:bCs/>
          <w:kern w:val="2"/>
          <w:lang w:eastAsia="en-US"/>
          <w14:ligatures w14:val="standardContextual"/>
        </w:rPr>
        <w:t>Psychotraumatology</w:t>
      </w:r>
      <w:proofErr w:type="spellEnd"/>
      <w:r w:rsidRPr="009838E9">
        <w:rPr>
          <w:rFonts w:ascii="Arial" w:eastAsia="Aptos" w:hAnsi="Arial" w:cs="Arial"/>
          <w:bCs/>
          <w:kern w:val="2"/>
          <w:lang w:eastAsia="en-US"/>
          <w14:ligatures w14:val="standardContextual"/>
        </w:rPr>
        <w:t>, 15(1), pp. 1–12. Available at: </w:t>
      </w:r>
      <w:hyperlink r:id="rId10" w:tgtFrame="_blank" w:history="1">
        <w:r w:rsidRPr="009838E9">
          <w:rPr>
            <w:rFonts w:ascii="Arial" w:eastAsia="Aptos" w:hAnsi="Arial" w:cs="Arial"/>
            <w:bCs/>
            <w:kern w:val="2"/>
            <w:lang w:eastAsia="en-US"/>
            <w14:ligatures w14:val="standardContextual"/>
          </w:rPr>
          <w:t>https://doi.org/10.1080/20008066.2024.2415747</w:t>
        </w:r>
      </w:hyperlink>
    </w:p>
    <w:p w14:paraId="725FE0B3"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 xml:space="preserve">Ahmed, S. K., Mohammed, R. A., Nashwan, A. J., Ibrahim, R. H., Abdalla, A. Q., M. Ameen, B. M. and </w:t>
      </w:r>
      <w:proofErr w:type="spellStart"/>
      <w:r w:rsidRPr="009838E9">
        <w:rPr>
          <w:rFonts w:ascii="Arial" w:eastAsia="Aptos" w:hAnsi="Arial" w:cs="Arial"/>
          <w:bCs/>
          <w:kern w:val="2"/>
          <w:lang w:eastAsia="en-US"/>
          <w14:ligatures w14:val="standardContextual"/>
        </w:rPr>
        <w:t>Khdhir</w:t>
      </w:r>
      <w:proofErr w:type="spellEnd"/>
      <w:r w:rsidRPr="009838E9">
        <w:rPr>
          <w:rFonts w:ascii="Arial" w:eastAsia="Aptos" w:hAnsi="Arial" w:cs="Arial"/>
          <w:bCs/>
          <w:kern w:val="2"/>
          <w:lang w:eastAsia="en-US"/>
          <w14:ligatures w14:val="standardContextual"/>
        </w:rPr>
        <w:t>, R. M., (2025). ‘Using thematic analysis in qualitative research,’ </w:t>
      </w:r>
      <w:r w:rsidRPr="009838E9">
        <w:rPr>
          <w:rFonts w:ascii="Arial" w:eastAsia="Aptos" w:hAnsi="Arial" w:cs="Arial"/>
          <w:bCs/>
          <w:i/>
          <w:iCs/>
          <w:kern w:val="2"/>
          <w:lang w:eastAsia="en-US"/>
          <w14:ligatures w14:val="standardContextual"/>
        </w:rPr>
        <w:t>Journal of Medicine, Surgery, and Public Health</w:t>
      </w:r>
      <w:r w:rsidRPr="009838E9">
        <w:rPr>
          <w:rFonts w:ascii="Arial" w:eastAsia="Aptos" w:hAnsi="Arial" w:cs="Arial"/>
          <w:bCs/>
          <w:kern w:val="2"/>
          <w:lang w:eastAsia="en-US"/>
          <w14:ligatures w14:val="standardContextual"/>
        </w:rPr>
        <w:t> [online]. </w:t>
      </w:r>
      <w:r w:rsidRPr="009838E9">
        <w:rPr>
          <w:rFonts w:ascii="Arial" w:eastAsia="Aptos" w:hAnsi="Arial" w:cs="Arial"/>
          <w:b/>
          <w:bCs/>
          <w:kern w:val="2"/>
          <w:lang w:eastAsia="en-US"/>
          <w14:ligatures w14:val="standardContextual"/>
        </w:rPr>
        <w:t>6</w:t>
      </w:r>
      <w:r w:rsidRPr="009838E9">
        <w:rPr>
          <w:rFonts w:ascii="Arial" w:eastAsia="Aptos" w:hAnsi="Arial" w:cs="Arial"/>
          <w:bCs/>
          <w:kern w:val="2"/>
          <w:lang w:eastAsia="en-US"/>
          <w14:ligatures w14:val="standardContextual"/>
        </w:rPr>
        <w:t>, pp. 100198. Available at: https://doi.org/10.1016/j.glmedi.2025.100198</w:t>
      </w:r>
    </w:p>
    <w:p w14:paraId="633C2272"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 xml:space="preserve">Biggs, A., Brough, P. and Drummond, S. (2017) ‘Lazarus and </w:t>
      </w:r>
      <w:proofErr w:type="spellStart"/>
      <w:r w:rsidRPr="009838E9">
        <w:rPr>
          <w:rFonts w:ascii="Arial" w:eastAsia="Aptos" w:hAnsi="Arial" w:cs="Arial"/>
          <w:bCs/>
          <w:kern w:val="2"/>
          <w:lang w:eastAsia="en-US"/>
          <w14:ligatures w14:val="standardContextual"/>
        </w:rPr>
        <w:t>folkman's</w:t>
      </w:r>
      <w:proofErr w:type="spellEnd"/>
      <w:r w:rsidRPr="009838E9">
        <w:rPr>
          <w:rFonts w:ascii="Arial" w:eastAsia="Aptos" w:hAnsi="Arial" w:cs="Arial"/>
          <w:bCs/>
          <w:kern w:val="2"/>
          <w:lang w:eastAsia="en-US"/>
          <w14:ligatures w14:val="standardContextual"/>
        </w:rPr>
        <w:t xml:space="preserve"> psychological stress and coping theory’, in </w:t>
      </w:r>
      <w:proofErr w:type="gramStart"/>
      <w:r w:rsidRPr="009838E9">
        <w:rPr>
          <w:rFonts w:ascii="Arial" w:eastAsia="Aptos" w:hAnsi="Arial" w:cs="Arial"/>
          <w:bCs/>
          <w:kern w:val="2"/>
          <w:lang w:eastAsia="en-US"/>
          <w14:ligatures w14:val="standardContextual"/>
        </w:rPr>
        <w:t>The</w:t>
      </w:r>
      <w:proofErr w:type="gramEnd"/>
      <w:r w:rsidRPr="009838E9">
        <w:rPr>
          <w:rFonts w:ascii="Arial" w:eastAsia="Aptos" w:hAnsi="Arial" w:cs="Arial"/>
          <w:bCs/>
          <w:kern w:val="2"/>
          <w:lang w:eastAsia="en-US"/>
          <w14:ligatures w14:val="standardContextual"/>
        </w:rPr>
        <w:t xml:space="preserve"> handbook of stress and health. Available at: </w:t>
      </w:r>
      <w:hyperlink r:id="rId11" w:tgtFrame="_blank" w:history="1">
        <w:r w:rsidRPr="009838E9">
          <w:rPr>
            <w:rFonts w:ascii="Arial" w:eastAsia="Aptos" w:hAnsi="Arial" w:cs="Arial"/>
            <w:bCs/>
            <w:kern w:val="2"/>
            <w:lang w:eastAsia="en-US"/>
            <w14:ligatures w14:val="standardContextual"/>
          </w:rPr>
          <w:t>https://doi.org/10.1002/9781118993811.ch21</w:t>
        </w:r>
      </w:hyperlink>
    </w:p>
    <w:p w14:paraId="15024D27"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British Medical Association (2022) </w:t>
      </w:r>
      <w:r w:rsidRPr="009838E9">
        <w:rPr>
          <w:rFonts w:ascii="Arial" w:eastAsia="Aptos" w:hAnsi="Arial" w:cs="Arial"/>
          <w:bCs/>
          <w:i/>
          <w:iCs/>
          <w:kern w:val="2"/>
          <w:lang w:eastAsia="en-US"/>
          <w14:ligatures w14:val="standardContextual"/>
        </w:rPr>
        <w:t>The public health response by UK governments to COVID-19</w:t>
      </w:r>
      <w:r w:rsidRPr="009838E9">
        <w:rPr>
          <w:rFonts w:ascii="Arial" w:eastAsia="Aptos" w:hAnsi="Arial" w:cs="Arial"/>
          <w:bCs/>
          <w:kern w:val="2"/>
          <w:lang w:eastAsia="en-US"/>
          <w14:ligatures w14:val="standardContextual"/>
        </w:rPr>
        <w:t>. Available at: </w:t>
      </w:r>
      <w:hyperlink r:id="rId12" w:tgtFrame="_blank" w:history="1">
        <w:r w:rsidRPr="009838E9">
          <w:rPr>
            <w:rFonts w:ascii="Arial" w:eastAsia="Aptos" w:hAnsi="Arial" w:cs="Arial"/>
            <w:bCs/>
            <w:color w:val="0000FF"/>
            <w:kern w:val="2"/>
            <w:u w:val="single"/>
            <w:lang w:eastAsia="en-US"/>
            <w14:ligatures w14:val="standardContextual"/>
          </w:rPr>
          <w:t>https://www.bma.org.uk/media/5980/bma-covid-review-report-4-28-july-2022.pdf</w:t>
        </w:r>
      </w:hyperlink>
    </w:p>
    <w:p w14:paraId="14568D90"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Brunier</w:t>
      </w:r>
      <w:proofErr w:type="spellEnd"/>
      <w:r w:rsidRPr="009838E9">
        <w:rPr>
          <w:rFonts w:ascii="Arial" w:eastAsia="Aptos" w:hAnsi="Arial" w:cs="Arial"/>
          <w:bCs/>
          <w:kern w:val="2"/>
          <w:lang w:eastAsia="en-US"/>
          <w14:ligatures w14:val="standardContextual"/>
        </w:rPr>
        <w:t>, A. and Drysdale, C. (2022) </w:t>
      </w:r>
      <w:r w:rsidRPr="009838E9">
        <w:rPr>
          <w:rFonts w:ascii="Arial" w:eastAsia="Aptos" w:hAnsi="Arial" w:cs="Arial"/>
          <w:bCs/>
          <w:i/>
          <w:iCs/>
          <w:kern w:val="2"/>
          <w:lang w:eastAsia="en-US"/>
          <w14:ligatures w14:val="standardContextual"/>
        </w:rPr>
        <w:t>COVID-19 pandemic triggers 25% increase in prevalence of anxiety and depression worldwide</w:t>
      </w:r>
      <w:r w:rsidRPr="009838E9">
        <w:rPr>
          <w:rFonts w:ascii="Arial" w:eastAsia="Aptos" w:hAnsi="Arial" w:cs="Arial"/>
          <w:bCs/>
          <w:kern w:val="2"/>
          <w:lang w:eastAsia="en-US"/>
          <w14:ligatures w14:val="standardContextual"/>
        </w:rPr>
        <w:t>. Available at: </w:t>
      </w:r>
      <w:hyperlink r:id="rId13" w:tgtFrame="_blank" w:history="1">
        <w:r w:rsidRPr="009838E9">
          <w:rPr>
            <w:rFonts w:ascii="Arial" w:eastAsia="Aptos" w:hAnsi="Arial" w:cs="Arial"/>
            <w:bCs/>
            <w:color w:val="0000FF"/>
            <w:kern w:val="2"/>
            <w:u w:val="single"/>
            <w:lang w:eastAsia="en-US"/>
            <w14:ligatures w14:val="standardContextual"/>
          </w:rPr>
          <w:t>https://www.who.int/news/item/02-03-2022-covid-19-pandemic-triggers-25-increase-in-prevalence-of-anxiety-and-depression-worldwide</w:t>
        </w:r>
      </w:hyperlink>
      <w:r w:rsidRPr="009838E9">
        <w:rPr>
          <w:rFonts w:ascii="Arial" w:eastAsia="Aptos" w:hAnsi="Arial" w:cs="Arial"/>
          <w:bCs/>
          <w:kern w:val="2"/>
          <w:lang w:eastAsia="en-US"/>
          <w14:ligatures w14:val="standardContextual"/>
        </w:rPr>
        <w:t> (Accessed: 27 October 2025).</w:t>
      </w:r>
    </w:p>
    <w:p w14:paraId="57819039"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Choudhury, T. et al. (2020) ‘COVID-19 pandemic: looking after the mental health of our healthcare workers’, Journal of Occupational &amp; Environmental Medicine, 62(7), p. e373-e376. Available at: </w:t>
      </w:r>
      <w:hyperlink r:id="rId14" w:tgtFrame="_blank" w:history="1">
        <w:r w:rsidRPr="009838E9">
          <w:rPr>
            <w:rFonts w:ascii="Arial" w:eastAsia="Aptos" w:hAnsi="Arial" w:cs="Arial"/>
            <w:bCs/>
            <w:kern w:val="2"/>
            <w:lang w:eastAsia="en-US"/>
            <w14:ligatures w14:val="standardContextual"/>
          </w:rPr>
          <w:t>https://doi.org/10.1097/jom.0000000000001907</w:t>
        </w:r>
      </w:hyperlink>
    </w:p>
    <w:p w14:paraId="2086BC6A"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Côté, D.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(2021) ‘A rapid scoping review of COVID</w:t>
      </w:r>
      <w:r w:rsidRPr="009838E9">
        <w:rPr>
          <w:rFonts w:ascii="Cambria Math" w:eastAsia="Aptos" w:hAnsi="Cambria Math" w:cs="Cambria Math"/>
          <w:bCs/>
          <w:kern w:val="2"/>
          <w:lang w:eastAsia="en-US"/>
          <w14:ligatures w14:val="standardContextual"/>
        </w:rPr>
        <w:t>‐</w:t>
      </w:r>
      <w:r w:rsidRPr="009838E9">
        <w:rPr>
          <w:rFonts w:ascii="Arial" w:eastAsia="Aptos" w:hAnsi="Arial" w:cs="Arial"/>
          <w:bCs/>
          <w:kern w:val="2"/>
          <w:lang w:eastAsia="en-US"/>
          <w14:ligatures w14:val="standardContextual"/>
        </w:rPr>
        <w:t>19 and vulnerable workers: intersecting occupational and public health issues’, </w:t>
      </w:r>
      <w:r w:rsidRPr="009838E9">
        <w:rPr>
          <w:rFonts w:ascii="Arial" w:eastAsia="Aptos" w:hAnsi="Arial" w:cs="Arial"/>
          <w:bCs/>
          <w:i/>
          <w:iCs/>
          <w:kern w:val="2"/>
          <w:lang w:eastAsia="en-US"/>
          <w14:ligatures w14:val="standardContextual"/>
        </w:rPr>
        <w:t>American Journal of Industrial Medicine</w:t>
      </w:r>
      <w:r w:rsidRPr="009838E9">
        <w:rPr>
          <w:rFonts w:ascii="Arial" w:eastAsia="Aptos" w:hAnsi="Arial" w:cs="Arial"/>
          <w:bCs/>
          <w:kern w:val="2"/>
          <w:lang w:eastAsia="en-US"/>
          <w14:ligatures w14:val="standardContextual"/>
        </w:rPr>
        <w:t>, 64(7), pp. 551–566. Available at: </w:t>
      </w:r>
      <w:hyperlink r:id="rId15" w:tgtFrame="_blank" w:history="1">
        <w:r w:rsidRPr="009838E9">
          <w:rPr>
            <w:rFonts w:ascii="Arial" w:eastAsia="Aptos" w:hAnsi="Arial" w:cs="Arial"/>
            <w:bCs/>
            <w:color w:val="467886"/>
            <w:kern w:val="2"/>
            <w:u w:val="single"/>
            <w:lang w:eastAsia="en-US"/>
            <w14:ligatures w14:val="standardContextual"/>
          </w:rPr>
          <w:t>https://doi.org/10.1002/ajim.23256</w:t>
        </w:r>
      </w:hyperlink>
    </w:p>
    <w:p w14:paraId="6BF702F3"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Delaney, R. K.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(2021) ‘Experiences of a health system’s faculty, staff, and trainees’ career development, work culture, and childcare needs during the COVID-19 pandemic’, </w:t>
      </w:r>
      <w:r w:rsidRPr="009838E9">
        <w:rPr>
          <w:rFonts w:ascii="Arial" w:eastAsia="Aptos" w:hAnsi="Arial" w:cs="Arial"/>
          <w:bCs/>
          <w:i/>
          <w:iCs/>
          <w:kern w:val="2"/>
          <w:lang w:eastAsia="en-US"/>
          <w14:ligatures w14:val="standardContextual"/>
        </w:rPr>
        <w:t>JAMA Network Open</w:t>
      </w:r>
      <w:r w:rsidRPr="009838E9">
        <w:rPr>
          <w:rFonts w:ascii="Arial" w:eastAsia="Aptos" w:hAnsi="Arial" w:cs="Arial"/>
          <w:bCs/>
          <w:kern w:val="2"/>
          <w:lang w:eastAsia="en-US"/>
          <w14:ligatures w14:val="standardContextual"/>
        </w:rPr>
        <w:t>, 4(4), p. e213997. Available at: </w:t>
      </w:r>
      <w:hyperlink r:id="rId16" w:tgtFrame="_blank" w:history="1">
        <w:r w:rsidRPr="009838E9">
          <w:rPr>
            <w:rFonts w:ascii="Arial" w:eastAsia="Aptos" w:hAnsi="Arial" w:cs="Arial"/>
            <w:bCs/>
            <w:color w:val="467886"/>
            <w:kern w:val="2"/>
            <w:u w:val="single"/>
            <w:lang w:eastAsia="en-US"/>
            <w14:ligatures w14:val="standardContextual"/>
          </w:rPr>
          <w:t>https://doi.org/10.1001/jamanetworkopen.2021.3997</w:t>
        </w:r>
      </w:hyperlink>
    </w:p>
    <w:p w14:paraId="7E391950"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Dykes, N., Johnson, O. and Bamford, P. (2021) ‘Assessing the psychological impact of COVID-19 on intensive care workers: A single-centre cross-sectional UK-based study’, Journal of the Intensive Care Society, 23(2), pp. 132–138. Available at: </w:t>
      </w:r>
      <w:hyperlink r:id="rId17" w:tgtFrame="_blank" w:history="1">
        <w:r w:rsidRPr="009838E9">
          <w:rPr>
            <w:rFonts w:ascii="Arial" w:eastAsia="Aptos" w:hAnsi="Arial" w:cs="Arial"/>
            <w:bCs/>
            <w:kern w:val="2"/>
            <w:lang w:eastAsia="en-US"/>
            <w14:ligatures w14:val="standardContextual"/>
          </w:rPr>
          <w:t>https://doi.org/10.1177/1751143720983182</w:t>
        </w:r>
      </w:hyperlink>
    </w:p>
    <w:p w14:paraId="6F8D07C6"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Falatah</w:t>
      </w:r>
      <w:proofErr w:type="spellEnd"/>
      <w:r w:rsidRPr="009838E9">
        <w:rPr>
          <w:rFonts w:ascii="Arial" w:eastAsia="Aptos" w:hAnsi="Arial" w:cs="Arial"/>
          <w:bCs/>
          <w:kern w:val="2"/>
          <w:lang w:eastAsia="en-US"/>
          <w14:ligatures w14:val="standardContextual"/>
        </w:rPr>
        <w:t>, R. (2021) ‘The impact of the coronavirus disease (COVID-19) pandemic on nurses’ turnover intention: an integrative review’, </w:t>
      </w:r>
      <w:r w:rsidRPr="009838E9">
        <w:rPr>
          <w:rFonts w:ascii="Arial" w:eastAsia="Aptos" w:hAnsi="Arial" w:cs="Arial"/>
          <w:bCs/>
          <w:i/>
          <w:iCs/>
          <w:kern w:val="2"/>
          <w:lang w:eastAsia="en-US"/>
          <w14:ligatures w14:val="standardContextual"/>
        </w:rPr>
        <w:t>Nursing Reports</w:t>
      </w:r>
      <w:r w:rsidRPr="009838E9">
        <w:rPr>
          <w:rFonts w:ascii="Arial" w:eastAsia="Aptos" w:hAnsi="Arial" w:cs="Arial"/>
          <w:bCs/>
          <w:kern w:val="2"/>
          <w:lang w:eastAsia="en-US"/>
          <w14:ligatures w14:val="standardContextual"/>
        </w:rPr>
        <w:t>, 11(4), pp. 787–810. Available at: </w:t>
      </w:r>
      <w:hyperlink r:id="rId18" w:tgtFrame="_blank" w:history="1">
        <w:r w:rsidRPr="009838E9">
          <w:rPr>
            <w:rFonts w:ascii="Arial" w:eastAsia="Aptos" w:hAnsi="Arial" w:cs="Arial"/>
            <w:bCs/>
            <w:color w:val="467886"/>
            <w:kern w:val="2"/>
            <w:u w:val="single"/>
            <w:lang w:eastAsia="en-US"/>
            <w14:ligatures w14:val="standardContextual"/>
          </w:rPr>
          <w:t>https://doi.org/10.3390/nursrep11040075</w:t>
        </w:r>
      </w:hyperlink>
    </w:p>
    <w:p w14:paraId="10701E8F"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Feeney, B. C. and Collins, N. L. (2014) ‘A new look at social support’, </w:t>
      </w:r>
      <w:r w:rsidRPr="009838E9">
        <w:rPr>
          <w:rFonts w:ascii="Arial" w:eastAsia="Aptos" w:hAnsi="Arial" w:cs="Arial"/>
          <w:bCs/>
          <w:i/>
          <w:iCs/>
          <w:kern w:val="2"/>
          <w:lang w:eastAsia="en-US"/>
          <w14:ligatures w14:val="standardContextual"/>
        </w:rPr>
        <w:t>Personality and Social Psychology Review</w:t>
      </w:r>
      <w:r w:rsidRPr="009838E9">
        <w:rPr>
          <w:rFonts w:ascii="Arial" w:eastAsia="Aptos" w:hAnsi="Arial" w:cs="Arial"/>
          <w:bCs/>
          <w:kern w:val="2"/>
          <w:lang w:eastAsia="en-US"/>
          <w14:ligatures w14:val="standardContextual"/>
        </w:rPr>
        <w:t>, 19(2), pp. 113–147. Available at: </w:t>
      </w:r>
      <w:hyperlink r:id="rId19" w:tgtFrame="_blank" w:history="1">
        <w:r w:rsidRPr="009838E9">
          <w:rPr>
            <w:rFonts w:ascii="Arial" w:eastAsia="Aptos" w:hAnsi="Arial" w:cs="Arial"/>
            <w:bCs/>
            <w:color w:val="0000FF"/>
            <w:kern w:val="2"/>
            <w:u w:val="single"/>
            <w:lang w:eastAsia="en-US"/>
            <w14:ligatures w14:val="standardContextual"/>
          </w:rPr>
          <w:t>https://doi.org/10.1177/1088868314544222</w:t>
        </w:r>
      </w:hyperlink>
    </w:p>
    <w:p w14:paraId="38510F85"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Fife, S. T. and Gossner, J. D. (2024) ‘Deductive qualitative analysis: evaluating, expanding, and refining theory’, International Journal of Qualitative Methods, 23(January). Available at: </w:t>
      </w:r>
      <w:hyperlink r:id="rId20" w:tgtFrame="_blank" w:history="1">
        <w:r w:rsidRPr="009838E9">
          <w:rPr>
            <w:rFonts w:ascii="Arial" w:eastAsia="Aptos" w:hAnsi="Arial" w:cs="Arial"/>
            <w:bCs/>
            <w:kern w:val="2"/>
            <w:lang w:eastAsia="en-US"/>
            <w14:ligatures w14:val="standardContextual"/>
          </w:rPr>
          <w:t>https://doi.org/10.1177/16094069241244856</w:t>
        </w:r>
      </w:hyperlink>
    </w:p>
    <w:p w14:paraId="18CD244E"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Gautam, S. et al. (2024) ‘Concept of mental health and mental well-being, it's determinants and coping strategies’, Indian Journal of Psychiatry, 66(</w:t>
      </w:r>
      <w:proofErr w:type="spellStart"/>
      <w:r w:rsidRPr="009838E9">
        <w:rPr>
          <w:rFonts w:ascii="Arial" w:eastAsia="Aptos" w:hAnsi="Arial" w:cs="Arial"/>
          <w:bCs/>
          <w:kern w:val="2"/>
          <w:lang w:eastAsia="en-US"/>
          <w14:ligatures w14:val="standardContextual"/>
        </w:rPr>
        <w:t>Suppl</w:t>
      </w:r>
      <w:proofErr w:type="spellEnd"/>
      <w:r w:rsidRPr="009838E9">
        <w:rPr>
          <w:rFonts w:ascii="Arial" w:eastAsia="Aptos" w:hAnsi="Arial" w:cs="Arial"/>
          <w:bCs/>
          <w:kern w:val="2"/>
          <w:lang w:eastAsia="en-US"/>
          <w14:ligatures w14:val="standardContextual"/>
        </w:rPr>
        <w:t xml:space="preserve"> 2), pp. S231—S244. Available at: </w:t>
      </w:r>
      <w:hyperlink r:id="rId21" w:tgtFrame="_blank" w:history="1">
        <w:r w:rsidRPr="009838E9">
          <w:rPr>
            <w:rFonts w:ascii="Arial" w:eastAsia="Aptos" w:hAnsi="Arial" w:cs="Arial"/>
            <w:bCs/>
            <w:kern w:val="2"/>
            <w:lang w:eastAsia="en-US"/>
            <w14:ligatures w14:val="standardContextual"/>
          </w:rPr>
          <w:t>https://doi.org/10.4103/indianjpsychiatry.indianjpsychiatry_707_23</w:t>
        </w:r>
      </w:hyperlink>
    </w:p>
    <w:p w14:paraId="10F686A7"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Gould, L. J. et al. (2024) ‘Healthcare workers’ mental health during the COVID-19 pandemic: a qualitative analysis of a text message-based NHS workforce support line’, BMJ Open, 14(10), p. e084826. Available at: </w:t>
      </w:r>
      <w:hyperlink r:id="rId22" w:tgtFrame="_blank" w:history="1">
        <w:r w:rsidRPr="009838E9">
          <w:rPr>
            <w:rFonts w:ascii="Arial" w:eastAsia="Aptos" w:hAnsi="Arial" w:cs="Arial"/>
            <w:bCs/>
            <w:kern w:val="2"/>
            <w:lang w:eastAsia="en-US"/>
            <w14:ligatures w14:val="standardContextual"/>
          </w:rPr>
          <w:t>https://doi.org/10.1136/bmjopen-2024-084826</w:t>
        </w:r>
      </w:hyperlink>
    </w:p>
    <w:p w14:paraId="5C985EA0"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Hao, Y.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(2022) ‘The origins of COVID</w:t>
      </w:r>
      <w:r w:rsidRPr="009838E9">
        <w:rPr>
          <w:rFonts w:ascii="Cambria Math" w:eastAsia="Aptos" w:hAnsi="Cambria Math" w:cs="Cambria Math"/>
          <w:bCs/>
          <w:kern w:val="2"/>
          <w:lang w:eastAsia="en-US"/>
          <w14:ligatures w14:val="standardContextual"/>
        </w:rPr>
        <w:t>‐</w:t>
      </w:r>
      <w:r w:rsidRPr="009838E9">
        <w:rPr>
          <w:rFonts w:ascii="Arial" w:eastAsia="Aptos" w:hAnsi="Arial" w:cs="Arial"/>
          <w:bCs/>
          <w:kern w:val="2"/>
          <w:lang w:eastAsia="en-US"/>
          <w14:ligatures w14:val="standardContextual"/>
        </w:rPr>
        <w:t>19 pandemic: a brief overview’, </w:t>
      </w:r>
      <w:r w:rsidRPr="009838E9">
        <w:rPr>
          <w:rFonts w:ascii="Arial" w:eastAsia="Aptos" w:hAnsi="Arial" w:cs="Arial"/>
          <w:bCs/>
          <w:i/>
          <w:iCs/>
          <w:kern w:val="2"/>
          <w:lang w:eastAsia="en-US"/>
          <w14:ligatures w14:val="standardContextual"/>
        </w:rPr>
        <w:t>Transboundary and Emerging Diseases</w:t>
      </w:r>
      <w:r w:rsidRPr="009838E9">
        <w:rPr>
          <w:rFonts w:ascii="Arial" w:eastAsia="Aptos" w:hAnsi="Arial" w:cs="Arial"/>
          <w:bCs/>
          <w:kern w:val="2"/>
          <w:lang w:eastAsia="en-US"/>
          <w14:ligatures w14:val="standardContextual"/>
        </w:rPr>
        <w:t>, (11 October). Available at: </w:t>
      </w:r>
      <w:hyperlink r:id="rId23" w:tgtFrame="_blank" w:history="1">
        <w:r w:rsidRPr="009838E9">
          <w:rPr>
            <w:rFonts w:ascii="Arial" w:eastAsia="Aptos" w:hAnsi="Arial" w:cs="Arial"/>
            <w:bCs/>
            <w:color w:val="467886"/>
            <w:kern w:val="2"/>
            <w:u w:val="single"/>
            <w:lang w:eastAsia="en-US"/>
            <w14:ligatures w14:val="standardContextual"/>
          </w:rPr>
          <w:t>https://doi.org/10.1111/tbed.14732</w:t>
        </w:r>
      </w:hyperlink>
    </w:p>
    <w:p w14:paraId="5C731589"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Holmgreen, L.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(2017) ‘Conservation of resources theory’, in </w:t>
      </w:r>
      <w:proofErr w:type="gramStart"/>
      <w:r w:rsidRPr="009838E9">
        <w:rPr>
          <w:rFonts w:ascii="Arial" w:eastAsia="Aptos" w:hAnsi="Arial" w:cs="Arial"/>
          <w:bCs/>
          <w:i/>
          <w:iCs/>
          <w:kern w:val="2"/>
          <w:lang w:eastAsia="en-US"/>
          <w14:ligatures w14:val="standardContextual"/>
        </w:rPr>
        <w:t>The</w:t>
      </w:r>
      <w:proofErr w:type="gramEnd"/>
      <w:r w:rsidRPr="009838E9">
        <w:rPr>
          <w:rFonts w:ascii="Arial" w:eastAsia="Aptos" w:hAnsi="Arial" w:cs="Arial"/>
          <w:bCs/>
          <w:i/>
          <w:iCs/>
          <w:kern w:val="2"/>
          <w:lang w:eastAsia="en-US"/>
          <w14:ligatures w14:val="standardContextual"/>
        </w:rPr>
        <w:t xml:space="preserve"> handbook of stress and health</w:t>
      </w:r>
      <w:r w:rsidRPr="009838E9">
        <w:rPr>
          <w:rFonts w:ascii="Arial" w:eastAsia="Aptos" w:hAnsi="Arial" w:cs="Arial"/>
          <w:bCs/>
          <w:kern w:val="2"/>
          <w:lang w:eastAsia="en-US"/>
          <w14:ligatures w14:val="standardContextual"/>
        </w:rPr>
        <w:t>. Available at: </w:t>
      </w:r>
      <w:hyperlink r:id="rId24" w:tgtFrame="_blank" w:history="1">
        <w:r w:rsidRPr="009838E9">
          <w:rPr>
            <w:rFonts w:ascii="Arial" w:eastAsia="Aptos" w:hAnsi="Arial" w:cs="Arial"/>
            <w:bCs/>
            <w:color w:val="0000FF"/>
            <w:kern w:val="2"/>
            <w:u w:val="single"/>
            <w:lang w:eastAsia="en-US"/>
            <w14:ligatures w14:val="standardContextual"/>
          </w:rPr>
          <w:t>https://doi.org/10.1002/9781118993811.ch27</w:t>
        </w:r>
      </w:hyperlink>
    </w:p>
    <w:p w14:paraId="460E1ACF"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Htay, M. N. N. et al. (2021) ‘How healthcare workers are coping with mental health challenges during COVID-19 pandemic? - A cross-sectional multi-countries study’, Clinical Epidemiology and Global Health, 11(July), p. 100759. Available at: </w:t>
      </w:r>
      <w:hyperlink r:id="rId25" w:tgtFrame="_blank" w:history="1">
        <w:r w:rsidRPr="009838E9">
          <w:rPr>
            <w:rFonts w:ascii="Arial" w:eastAsia="Aptos" w:hAnsi="Arial" w:cs="Arial"/>
            <w:bCs/>
            <w:kern w:val="2"/>
            <w:lang w:eastAsia="en-US"/>
            <w14:ligatures w14:val="standardContextual"/>
          </w:rPr>
          <w:t>https://doi.org/10.1016/j.cegh.2021.100759</w:t>
        </w:r>
      </w:hyperlink>
    </w:p>
    <w:p w14:paraId="26276293"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Juan, N. V. S. et al. (2020) ‘Mental health and well-being of healthcare workers during the COVID-19 pandemic in the UK: contrasting guidelines with experiences in practice’, </w:t>
      </w:r>
      <w:proofErr w:type="spellStart"/>
      <w:r w:rsidRPr="009838E9">
        <w:rPr>
          <w:rFonts w:ascii="Arial" w:eastAsia="Aptos" w:hAnsi="Arial" w:cs="Arial"/>
          <w:bCs/>
          <w:kern w:val="2"/>
          <w:lang w:eastAsia="en-US"/>
          <w14:ligatures w14:val="standardContextual"/>
        </w:rPr>
        <w:t>BJPsych</w:t>
      </w:r>
      <w:proofErr w:type="spellEnd"/>
      <w:r w:rsidRPr="009838E9">
        <w:rPr>
          <w:rFonts w:ascii="Arial" w:eastAsia="Aptos" w:hAnsi="Arial" w:cs="Arial"/>
          <w:bCs/>
          <w:kern w:val="2"/>
          <w:lang w:eastAsia="en-US"/>
          <w14:ligatures w14:val="standardContextual"/>
        </w:rPr>
        <w:t xml:space="preserve"> Open, 7(1). Available at: </w:t>
      </w:r>
      <w:hyperlink r:id="rId26" w:tgtFrame="_blank" w:history="1">
        <w:r w:rsidRPr="009838E9">
          <w:rPr>
            <w:rFonts w:ascii="Arial" w:eastAsia="Aptos" w:hAnsi="Arial" w:cs="Arial"/>
            <w:bCs/>
            <w:kern w:val="2"/>
            <w:lang w:eastAsia="en-US"/>
            <w14:ligatures w14:val="standardContextual"/>
          </w:rPr>
          <w:t>https://doi.org/10.1192/bjo.2020.148</w:t>
        </w:r>
      </w:hyperlink>
    </w:p>
    <w:p w14:paraId="4FFD600B"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Li, Y., Chen, C. and Yuan, Y. (2025) ‘Evolving the job demands-resources framework to JD-R 3.0: the impact of after-hours connectivity and organizational support on employee psychological distress’, </w:t>
      </w:r>
      <w:r w:rsidRPr="009838E9">
        <w:rPr>
          <w:rFonts w:ascii="Arial" w:eastAsia="Aptos" w:hAnsi="Arial" w:cs="Arial"/>
          <w:bCs/>
          <w:i/>
          <w:iCs/>
          <w:kern w:val="2"/>
          <w:lang w:eastAsia="en-US"/>
          <w14:ligatures w14:val="standardContextual"/>
        </w:rPr>
        <w:t xml:space="preserve">Acta </w:t>
      </w:r>
      <w:proofErr w:type="spellStart"/>
      <w:r w:rsidRPr="009838E9">
        <w:rPr>
          <w:rFonts w:ascii="Arial" w:eastAsia="Aptos" w:hAnsi="Arial" w:cs="Arial"/>
          <w:bCs/>
          <w:i/>
          <w:iCs/>
          <w:kern w:val="2"/>
          <w:lang w:eastAsia="en-US"/>
          <w14:ligatures w14:val="standardContextual"/>
        </w:rPr>
        <w:t>Psychologica</w:t>
      </w:r>
      <w:proofErr w:type="spellEnd"/>
      <w:r w:rsidRPr="009838E9">
        <w:rPr>
          <w:rFonts w:ascii="Arial" w:eastAsia="Aptos" w:hAnsi="Arial" w:cs="Arial"/>
          <w:bCs/>
          <w:kern w:val="2"/>
          <w:lang w:eastAsia="en-US"/>
          <w14:ligatures w14:val="standardContextual"/>
        </w:rPr>
        <w:t>, 253(March), p. 104710. Available at: </w:t>
      </w:r>
      <w:hyperlink r:id="rId27" w:tgtFrame="_blank" w:history="1">
        <w:r w:rsidRPr="009838E9">
          <w:rPr>
            <w:rFonts w:ascii="Arial" w:eastAsia="Aptos" w:hAnsi="Arial" w:cs="Arial"/>
            <w:bCs/>
            <w:color w:val="0000FF"/>
            <w:kern w:val="2"/>
            <w:u w:val="single"/>
            <w:lang w:eastAsia="en-US"/>
            <w14:ligatures w14:val="standardContextual"/>
          </w:rPr>
          <w:t>https://doi.org/10.1016/j.actpsy.2025.104710</w:t>
        </w:r>
      </w:hyperlink>
    </w:p>
    <w:p w14:paraId="465A5A24"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Lin, F. L.-Y. (2018) ‘Using thematic analysis to facilitate meaning-making in practice-led art and design research’, International Journal of Art &amp; Design Education, 38(1), pp. 153–167. Available at: </w:t>
      </w:r>
      <w:hyperlink r:id="rId28" w:tgtFrame="_blank" w:history="1">
        <w:r w:rsidRPr="009838E9">
          <w:rPr>
            <w:rFonts w:ascii="Arial" w:eastAsia="Aptos" w:hAnsi="Arial" w:cs="Arial"/>
            <w:bCs/>
            <w:kern w:val="2"/>
            <w:lang w:eastAsia="en-US"/>
            <w14:ligatures w14:val="standardContextual"/>
          </w:rPr>
          <w:t>https://doi.org/10.1111/jade.12177</w:t>
        </w:r>
      </w:hyperlink>
    </w:p>
    <w:p w14:paraId="1340F03F"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Liu, G., (2021). Moving up the ladder of source assessment: Expanding the CRAAP test with critical thinking and metacognition. </w:t>
      </w:r>
      <w:r w:rsidRPr="009838E9">
        <w:rPr>
          <w:rFonts w:ascii="Arial" w:eastAsia="Aptos" w:hAnsi="Arial" w:cs="Arial"/>
          <w:bCs/>
          <w:i/>
          <w:iCs/>
          <w:kern w:val="2"/>
          <w:lang w:eastAsia="en-US"/>
          <w14:ligatures w14:val="standardContextual"/>
        </w:rPr>
        <w:t>College &amp; Research Libraries News</w:t>
      </w:r>
      <w:r w:rsidRPr="009838E9">
        <w:rPr>
          <w:rFonts w:ascii="Arial" w:eastAsia="Aptos" w:hAnsi="Arial" w:cs="Arial"/>
          <w:bCs/>
          <w:kern w:val="2"/>
          <w:lang w:eastAsia="en-US"/>
          <w14:ligatures w14:val="standardContextual"/>
        </w:rPr>
        <w:t> [online]. </w:t>
      </w:r>
      <w:r w:rsidRPr="009838E9">
        <w:rPr>
          <w:rFonts w:ascii="Arial" w:eastAsia="Aptos" w:hAnsi="Arial" w:cs="Arial"/>
          <w:b/>
          <w:bCs/>
          <w:kern w:val="2"/>
          <w:lang w:eastAsia="en-US"/>
          <w14:ligatures w14:val="standardContextual"/>
        </w:rPr>
        <w:t>82</w:t>
      </w:r>
      <w:r w:rsidRPr="009838E9">
        <w:rPr>
          <w:rFonts w:ascii="Arial" w:eastAsia="Aptos" w:hAnsi="Arial" w:cs="Arial"/>
          <w:bCs/>
          <w:kern w:val="2"/>
          <w:lang w:eastAsia="en-US"/>
          <w14:ligatures w14:val="standardContextual"/>
        </w:rPr>
        <w:t xml:space="preserve">(2), 75. [Viewed 17 February 2026]. Available from: </w:t>
      </w:r>
      <w:proofErr w:type="spellStart"/>
      <w:r w:rsidRPr="009838E9">
        <w:rPr>
          <w:rFonts w:ascii="Arial" w:eastAsia="Aptos" w:hAnsi="Arial" w:cs="Arial"/>
          <w:bCs/>
          <w:kern w:val="2"/>
          <w:lang w:eastAsia="en-US"/>
          <w14:ligatures w14:val="standardContextual"/>
        </w:rPr>
        <w:t>doi</w:t>
      </w:r>
      <w:proofErr w:type="spellEnd"/>
      <w:r w:rsidRPr="009838E9">
        <w:rPr>
          <w:rFonts w:ascii="Arial" w:eastAsia="Aptos" w:hAnsi="Arial" w:cs="Arial"/>
          <w:bCs/>
          <w:kern w:val="2"/>
          <w:lang w:eastAsia="en-US"/>
          <w14:ligatures w14:val="standardContextual"/>
        </w:rPr>
        <w:t>: 10.5860/crln.82.2.75</w:t>
      </w:r>
    </w:p>
    <w:p w14:paraId="3D4D5A35"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Llop-Gironés</w:t>
      </w:r>
      <w:proofErr w:type="spellEnd"/>
      <w:r w:rsidRPr="009838E9">
        <w:rPr>
          <w:rFonts w:ascii="Arial" w:eastAsia="Aptos" w:hAnsi="Arial" w:cs="Arial"/>
          <w:bCs/>
          <w:kern w:val="2"/>
          <w:lang w:eastAsia="en-US"/>
          <w14:ligatures w14:val="standardContextual"/>
        </w:rPr>
        <w:t>, A.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(2021) ‘Employment and working conditions of nurses: where and how health inequalities have increased during the COVID-19 pandemic?’, </w:t>
      </w:r>
      <w:r w:rsidRPr="009838E9">
        <w:rPr>
          <w:rFonts w:ascii="Arial" w:eastAsia="Aptos" w:hAnsi="Arial" w:cs="Arial"/>
          <w:bCs/>
          <w:i/>
          <w:iCs/>
          <w:kern w:val="2"/>
          <w:lang w:eastAsia="en-US"/>
          <w14:ligatures w14:val="standardContextual"/>
        </w:rPr>
        <w:t>Human Resources for Health</w:t>
      </w:r>
      <w:r w:rsidRPr="009838E9">
        <w:rPr>
          <w:rFonts w:ascii="Arial" w:eastAsia="Aptos" w:hAnsi="Arial" w:cs="Arial"/>
          <w:bCs/>
          <w:kern w:val="2"/>
          <w:lang w:eastAsia="en-US"/>
          <w14:ligatures w14:val="standardContextual"/>
        </w:rPr>
        <w:t>, 19(1). Available at: </w:t>
      </w:r>
      <w:hyperlink r:id="rId29" w:tgtFrame="_blank" w:history="1">
        <w:r w:rsidRPr="009838E9">
          <w:rPr>
            <w:rFonts w:ascii="Arial" w:eastAsia="Aptos" w:hAnsi="Arial" w:cs="Arial"/>
            <w:bCs/>
            <w:color w:val="467886"/>
            <w:kern w:val="2"/>
            <w:u w:val="single"/>
            <w:lang w:eastAsia="en-US"/>
            <w14:ligatures w14:val="standardContextual"/>
          </w:rPr>
          <w:t>https://doi.org/10.1186/s12960-021-00651-7</w:t>
        </w:r>
      </w:hyperlink>
    </w:p>
    <w:p w14:paraId="5B8A7B5E"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Majumdar, A. (2022) ‘Thematic analysis in qualitative research’, in Research anthology on innovative research methodologies and utilization across multiple disciplines. Available at: </w:t>
      </w:r>
      <w:hyperlink r:id="rId30" w:tgtFrame="_blank" w:history="1">
        <w:r w:rsidRPr="009838E9">
          <w:rPr>
            <w:rFonts w:ascii="Arial" w:eastAsia="Aptos" w:hAnsi="Arial" w:cs="Arial"/>
            <w:bCs/>
            <w:kern w:val="2"/>
            <w:lang w:eastAsia="en-US"/>
            <w14:ligatures w14:val="standardContextual"/>
          </w:rPr>
          <w:t>https://doi.org/10.4018/978-1-6684-3881-7.ch031</w:t>
        </w:r>
      </w:hyperlink>
    </w:p>
    <w:p w14:paraId="6AABB65D"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Majumder, P., Jeve, Y. and Sales, C. P. (2021) ‘Voices from the frontline: the psychological impact and coping mechanisms used by healthcare staff during COVID-19’, British Journal of Healthcare Management, 27(6), pp. 1–11. Available at: </w:t>
      </w:r>
      <w:hyperlink r:id="rId31" w:tgtFrame="_blank" w:history="1">
        <w:r w:rsidRPr="009838E9">
          <w:rPr>
            <w:rFonts w:ascii="Arial" w:eastAsia="Aptos" w:hAnsi="Arial" w:cs="Arial"/>
            <w:bCs/>
            <w:kern w:val="2"/>
            <w:lang w:eastAsia="en-US"/>
            <w14:ligatures w14:val="standardContextual"/>
          </w:rPr>
          <w:t>https://doi.org/10.12968/bjhc.2020.0168</w:t>
        </w:r>
      </w:hyperlink>
    </w:p>
    <w:p w14:paraId="587FF93B"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McFadden, P. et al. (2021) ‘A cross-sectional examination of the mental wellbeing, coping and quality of working life in health and social care workers in the UK at two time points of the COVID-19 pandemic’, </w:t>
      </w:r>
      <w:proofErr w:type="spellStart"/>
      <w:r w:rsidRPr="009838E9">
        <w:rPr>
          <w:rFonts w:ascii="Arial" w:eastAsia="Aptos" w:hAnsi="Arial" w:cs="Arial"/>
          <w:bCs/>
          <w:kern w:val="2"/>
          <w:lang w:eastAsia="en-US"/>
          <w14:ligatures w14:val="standardContextual"/>
        </w:rPr>
        <w:t>Epidemiologia</w:t>
      </w:r>
      <w:proofErr w:type="spellEnd"/>
      <w:r w:rsidRPr="009838E9">
        <w:rPr>
          <w:rFonts w:ascii="Arial" w:eastAsia="Aptos" w:hAnsi="Arial" w:cs="Arial"/>
          <w:bCs/>
          <w:kern w:val="2"/>
          <w:lang w:eastAsia="en-US"/>
          <w14:ligatures w14:val="standardContextual"/>
        </w:rPr>
        <w:t>, 2(3), pp. 227–242. Available at: </w:t>
      </w:r>
      <w:hyperlink r:id="rId32" w:tgtFrame="_blank" w:history="1">
        <w:r w:rsidRPr="009838E9">
          <w:rPr>
            <w:rFonts w:ascii="Arial" w:eastAsia="Aptos" w:hAnsi="Arial" w:cs="Arial"/>
            <w:bCs/>
            <w:kern w:val="2"/>
            <w:lang w:eastAsia="en-US"/>
            <w14:ligatures w14:val="standardContextual"/>
          </w:rPr>
          <w:t>https://doi.org/10.3390/epidemiologia2030017</w:t>
        </w:r>
      </w:hyperlink>
    </w:p>
    <w:p w14:paraId="40893868"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NHS Professionals (2025) </w:t>
      </w:r>
      <w:r w:rsidRPr="009838E9">
        <w:rPr>
          <w:rFonts w:ascii="Arial" w:eastAsia="Aptos" w:hAnsi="Arial" w:cs="Arial"/>
          <w:bCs/>
          <w:i/>
          <w:iCs/>
          <w:kern w:val="2"/>
          <w:lang w:eastAsia="en-US"/>
          <w14:ligatures w14:val="standardContextual"/>
        </w:rPr>
        <w:t>Healthcare support worker or healthcare assistant</w:t>
      </w:r>
      <w:r w:rsidRPr="009838E9">
        <w:rPr>
          <w:rFonts w:ascii="Arial" w:eastAsia="Aptos" w:hAnsi="Arial" w:cs="Arial"/>
          <w:bCs/>
          <w:kern w:val="2"/>
          <w:lang w:eastAsia="en-US"/>
          <w14:ligatures w14:val="standardContextual"/>
        </w:rPr>
        <w:t>. Available at: </w:t>
      </w:r>
      <w:hyperlink r:id="rId33" w:tgtFrame="_blank" w:history="1">
        <w:r w:rsidRPr="009838E9">
          <w:rPr>
            <w:rFonts w:ascii="Arial" w:eastAsia="Aptos" w:hAnsi="Arial" w:cs="Arial"/>
            <w:bCs/>
            <w:color w:val="467886"/>
            <w:kern w:val="2"/>
            <w:u w:val="single"/>
            <w:lang w:eastAsia="en-US"/>
            <w14:ligatures w14:val="standardContextual"/>
          </w:rPr>
          <w:t>https://www.nhsprofessionals.nhs.uk/nhs-staffing-pool-hub/careers-in-healthcare/healthcare-support-worker-or-healthcare-assistant</w:t>
        </w:r>
      </w:hyperlink>
      <w:r w:rsidRPr="009838E9">
        <w:rPr>
          <w:rFonts w:ascii="Arial" w:eastAsia="Aptos" w:hAnsi="Arial" w:cs="Arial"/>
          <w:bCs/>
          <w:kern w:val="2"/>
          <w:lang w:eastAsia="en-US"/>
          <w14:ligatures w14:val="standardContextual"/>
        </w:rPr>
        <w:t> (Accessed: 13 October 2025).</w:t>
      </w:r>
    </w:p>
    <w:p w14:paraId="6B45BDCD"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Pollock, A.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(2020) ‘Interventions to support the resilience and mental health of frontline health and social care professionals during and after a disease outbreak, epidemic or pandemic: a mixed methods systematic review’, </w:t>
      </w:r>
      <w:r w:rsidRPr="009838E9">
        <w:rPr>
          <w:rFonts w:ascii="Arial" w:eastAsia="Aptos" w:hAnsi="Arial" w:cs="Arial"/>
          <w:bCs/>
          <w:i/>
          <w:iCs/>
          <w:kern w:val="2"/>
          <w:lang w:eastAsia="en-US"/>
          <w14:ligatures w14:val="standardContextual"/>
        </w:rPr>
        <w:t>Cochrane Database of Systematic Reviews</w:t>
      </w:r>
      <w:r w:rsidRPr="009838E9">
        <w:rPr>
          <w:rFonts w:ascii="Arial" w:eastAsia="Aptos" w:hAnsi="Arial" w:cs="Arial"/>
          <w:bCs/>
          <w:kern w:val="2"/>
          <w:lang w:eastAsia="en-US"/>
          <w14:ligatures w14:val="standardContextual"/>
        </w:rPr>
        <w:t>, 11(11). Available at: </w:t>
      </w:r>
      <w:hyperlink r:id="rId34" w:tgtFrame="_blank" w:history="1">
        <w:r w:rsidRPr="009838E9">
          <w:rPr>
            <w:rFonts w:ascii="Arial" w:eastAsia="Aptos" w:hAnsi="Arial" w:cs="Arial"/>
            <w:bCs/>
            <w:color w:val="0000FF"/>
            <w:kern w:val="2"/>
            <w:u w:val="single"/>
            <w:lang w:eastAsia="en-US"/>
            <w14:ligatures w14:val="standardContextual"/>
          </w:rPr>
          <w:t>https://doi.org/10.1002/14651858.cd013779</w:t>
        </w:r>
      </w:hyperlink>
    </w:p>
    <w:p w14:paraId="6D8F615F"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Poon, Y.-S. R.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(2022) ‘A global overview of healthcare workers’ turnover intention amid COVID-19 pandemic: a systematic review with future directions’, </w:t>
      </w:r>
      <w:r w:rsidRPr="009838E9">
        <w:rPr>
          <w:rFonts w:ascii="Arial" w:eastAsia="Aptos" w:hAnsi="Arial" w:cs="Arial"/>
          <w:bCs/>
          <w:i/>
          <w:iCs/>
          <w:kern w:val="2"/>
          <w:lang w:eastAsia="en-US"/>
          <w14:ligatures w14:val="standardContextual"/>
        </w:rPr>
        <w:t>Human Resources for Health</w:t>
      </w:r>
      <w:r w:rsidRPr="009838E9">
        <w:rPr>
          <w:rFonts w:ascii="Arial" w:eastAsia="Aptos" w:hAnsi="Arial" w:cs="Arial"/>
          <w:bCs/>
          <w:kern w:val="2"/>
          <w:lang w:eastAsia="en-US"/>
          <w14:ligatures w14:val="standardContextual"/>
        </w:rPr>
        <w:t>, 20(1). Available at: </w:t>
      </w:r>
      <w:hyperlink r:id="rId35" w:tgtFrame="_blank" w:history="1">
        <w:r w:rsidRPr="009838E9">
          <w:rPr>
            <w:rFonts w:ascii="Arial" w:eastAsia="Aptos" w:hAnsi="Arial" w:cs="Arial"/>
            <w:bCs/>
            <w:color w:val="467886"/>
            <w:kern w:val="2"/>
            <w:u w:val="single"/>
            <w:lang w:eastAsia="en-US"/>
            <w14:ligatures w14:val="standardContextual"/>
          </w:rPr>
          <w:t>https://doi.org/10.1186/s12960-022-00764-7</w:t>
        </w:r>
      </w:hyperlink>
    </w:p>
    <w:p w14:paraId="30977C1D"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Preti, E.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(2020) ‘The psychological impact of epidemic and pandemic outbreaks on healthcare workers: rapid review of the evidence’, </w:t>
      </w:r>
      <w:r w:rsidRPr="009838E9">
        <w:rPr>
          <w:rFonts w:ascii="Arial" w:eastAsia="Aptos" w:hAnsi="Arial" w:cs="Arial"/>
          <w:bCs/>
          <w:i/>
          <w:iCs/>
          <w:kern w:val="2"/>
          <w:lang w:eastAsia="en-US"/>
          <w14:ligatures w14:val="standardContextual"/>
        </w:rPr>
        <w:t>Current Psychiatry Reports</w:t>
      </w:r>
      <w:r w:rsidRPr="009838E9">
        <w:rPr>
          <w:rFonts w:ascii="Arial" w:eastAsia="Aptos" w:hAnsi="Arial" w:cs="Arial"/>
          <w:bCs/>
          <w:kern w:val="2"/>
          <w:lang w:eastAsia="en-US"/>
          <w14:ligatures w14:val="standardContextual"/>
        </w:rPr>
        <w:t>, 22(8). Available at: </w:t>
      </w:r>
      <w:hyperlink r:id="rId36" w:tgtFrame="_blank" w:history="1">
        <w:r w:rsidRPr="009838E9">
          <w:rPr>
            <w:rFonts w:ascii="Arial" w:eastAsia="Aptos" w:hAnsi="Arial" w:cs="Arial"/>
            <w:bCs/>
            <w:color w:val="0000FF"/>
            <w:kern w:val="2"/>
            <w:u w:val="single"/>
            <w:lang w:eastAsia="en-US"/>
            <w14:ligatures w14:val="standardContextual"/>
          </w:rPr>
          <w:t>https://doi.org/10.1007/s11920-020-01166-z</w:t>
        </w:r>
      </w:hyperlink>
    </w:p>
    <w:p w14:paraId="3E812F17"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Reddy, S. (2022) </w:t>
      </w:r>
      <w:r w:rsidRPr="009838E9">
        <w:rPr>
          <w:rFonts w:ascii="Arial" w:eastAsia="Aptos" w:hAnsi="Arial" w:cs="Arial"/>
          <w:bCs/>
          <w:i/>
          <w:iCs/>
          <w:kern w:val="2"/>
          <w:lang w:eastAsia="en-US"/>
          <w14:ligatures w14:val="standardContextual"/>
        </w:rPr>
        <w:t>World failing in ‘our duty of care’ to protect mental health and well-being of health and care workers, finds report on impact of COVID-19</w:t>
      </w:r>
      <w:r w:rsidRPr="009838E9">
        <w:rPr>
          <w:rFonts w:ascii="Arial" w:eastAsia="Aptos" w:hAnsi="Arial" w:cs="Arial"/>
          <w:bCs/>
          <w:kern w:val="2"/>
          <w:lang w:eastAsia="en-US"/>
          <w14:ligatures w14:val="standardContextual"/>
        </w:rPr>
        <w:t>. Available at: </w:t>
      </w:r>
      <w:hyperlink r:id="rId37" w:tgtFrame="_blank" w:history="1">
        <w:r w:rsidRPr="009838E9">
          <w:rPr>
            <w:rFonts w:ascii="Arial" w:eastAsia="Aptos" w:hAnsi="Arial" w:cs="Arial"/>
            <w:bCs/>
            <w:color w:val="0000FF"/>
            <w:kern w:val="2"/>
            <w:u w:val="single"/>
            <w:lang w:eastAsia="en-US"/>
            <w14:ligatures w14:val="standardContextual"/>
          </w:rPr>
          <w:t>https://www.who.int/news/item/05-10-2022-world-failing-in--our-duty-of-care--to-protect-mental-health-and-wellbeing-of-health-and-care-workers--finds-report-on-impact-of-covid-19</w:t>
        </w:r>
      </w:hyperlink>
      <w:r w:rsidRPr="009838E9">
        <w:rPr>
          <w:rFonts w:ascii="Arial" w:eastAsia="Aptos" w:hAnsi="Arial" w:cs="Arial"/>
          <w:bCs/>
          <w:kern w:val="2"/>
          <w:lang w:eastAsia="en-US"/>
          <w14:ligatures w14:val="standardContextual"/>
        </w:rPr>
        <w:t> (Accessed: 27 October 2025).</w:t>
      </w:r>
    </w:p>
    <w:p w14:paraId="7CF854ED"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Reilly, S. E. et al. (2021) ‘Frequency and perceived effectiveness of mental health providers’ coping strategies during COVID-19’, Current Psychology, 40(1), pp. 753–762. Available at: </w:t>
      </w:r>
      <w:hyperlink r:id="rId38" w:tgtFrame="_blank" w:history="1">
        <w:r w:rsidRPr="009838E9">
          <w:rPr>
            <w:rFonts w:ascii="Arial" w:eastAsia="Aptos" w:hAnsi="Arial" w:cs="Arial"/>
            <w:bCs/>
            <w:kern w:val="2"/>
            <w:lang w:eastAsia="en-US"/>
            <w14:ligatures w14:val="standardContextual"/>
          </w:rPr>
          <w:t>https://doi.org/10.1007/s12144-021-01683-x</w:t>
        </w:r>
      </w:hyperlink>
    </w:p>
    <w:p w14:paraId="5DDF048D"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Rietveld, J.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(2024) ‘The UK’s pandemic preparedness and early response to the COVID-19 pandemic’, </w:t>
      </w:r>
      <w:r w:rsidRPr="009838E9">
        <w:rPr>
          <w:rFonts w:ascii="Arial" w:eastAsia="Aptos" w:hAnsi="Arial" w:cs="Arial"/>
          <w:bCs/>
          <w:i/>
          <w:iCs/>
          <w:kern w:val="2"/>
          <w:lang w:eastAsia="en-US"/>
          <w14:ligatures w14:val="standardContextual"/>
        </w:rPr>
        <w:t>Global Public Health</w:t>
      </w:r>
      <w:r w:rsidRPr="009838E9">
        <w:rPr>
          <w:rFonts w:ascii="Arial" w:eastAsia="Aptos" w:hAnsi="Arial" w:cs="Arial"/>
          <w:bCs/>
          <w:kern w:val="2"/>
          <w:lang w:eastAsia="en-US"/>
          <w14:ligatures w14:val="standardContextual"/>
        </w:rPr>
        <w:t>, 19(1). Available at: </w:t>
      </w:r>
      <w:hyperlink r:id="rId39" w:tgtFrame="_blank" w:history="1">
        <w:r w:rsidRPr="009838E9">
          <w:rPr>
            <w:rFonts w:ascii="Arial" w:eastAsia="Aptos" w:hAnsi="Arial" w:cs="Arial"/>
            <w:bCs/>
            <w:color w:val="0000FF"/>
            <w:kern w:val="2"/>
            <w:u w:val="single"/>
            <w:lang w:eastAsia="en-US"/>
            <w14:ligatures w14:val="standardContextual"/>
          </w:rPr>
          <w:t>https://doi.org/10.1080/17441692.2024.2415499</w:t>
        </w:r>
      </w:hyperlink>
    </w:p>
    <w:p w14:paraId="4FBE8A2F"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Robins-Browne, K.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(2022) ‘Interventions to support the mental health and well-being of front-line healthcare workers in hospitals during pandemics: an evidence review and synthesis’, </w:t>
      </w:r>
      <w:r w:rsidRPr="009838E9">
        <w:rPr>
          <w:rFonts w:ascii="Arial" w:eastAsia="Aptos" w:hAnsi="Arial" w:cs="Arial"/>
          <w:bCs/>
          <w:i/>
          <w:iCs/>
          <w:kern w:val="2"/>
          <w:lang w:eastAsia="en-US"/>
          <w14:ligatures w14:val="standardContextual"/>
        </w:rPr>
        <w:t>BMJ Open</w:t>
      </w:r>
      <w:r w:rsidRPr="009838E9">
        <w:rPr>
          <w:rFonts w:ascii="Arial" w:eastAsia="Aptos" w:hAnsi="Arial" w:cs="Arial"/>
          <w:bCs/>
          <w:kern w:val="2"/>
          <w:lang w:eastAsia="en-US"/>
          <w14:ligatures w14:val="standardContextual"/>
        </w:rPr>
        <w:t>, 12(11), p. e061317. Available at: </w:t>
      </w:r>
      <w:hyperlink r:id="rId40" w:tgtFrame="_blank" w:history="1">
        <w:r w:rsidRPr="009838E9">
          <w:rPr>
            <w:rFonts w:ascii="Arial" w:eastAsia="Aptos" w:hAnsi="Arial" w:cs="Arial"/>
            <w:bCs/>
            <w:color w:val="0000FF"/>
            <w:kern w:val="2"/>
            <w:u w:val="single"/>
            <w:lang w:eastAsia="en-US"/>
            <w14:ligatures w14:val="standardContextual"/>
          </w:rPr>
          <w:t>https://doi.org/10.1136/bmjopen-2022-061317</w:t>
        </w:r>
      </w:hyperlink>
    </w:p>
    <w:p w14:paraId="5BC81BAB"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Rodríguez, I.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(2019) ‘Individual, co-active and collective coping and organizational stress: a longitudinal study’, </w:t>
      </w:r>
      <w:r w:rsidRPr="009838E9">
        <w:rPr>
          <w:rFonts w:ascii="Arial" w:eastAsia="Aptos" w:hAnsi="Arial" w:cs="Arial"/>
          <w:bCs/>
          <w:i/>
          <w:iCs/>
          <w:kern w:val="2"/>
          <w:lang w:eastAsia="en-US"/>
          <w14:ligatures w14:val="standardContextual"/>
        </w:rPr>
        <w:t>European Management Journal</w:t>
      </w:r>
      <w:r w:rsidRPr="009838E9">
        <w:rPr>
          <w:rFonts w:ascii="Arial" w:eastAsia="Aptos" w:hAnsi="Arial" w:cs="Arial"/>
          <w:bCs/>
          <w:kern w:val="2"/>
          <w:lang w:eastAsia="en-US"/>
          <w14:ligatures w14:val="standardContextual"/>
        </w:rPr>
        <w:t>, 37(1), pp. 86–98. Available at: </w:t>
      </w:r>
      <w:hyperlink r:id="rId41" w:tgtFrame="_blank" w:history="1">
        <w:r w:rsidRPr="009838E9">
          <w:rPr>
            <w:rFonts w:ascii="Arial" w:eastAsia="Aptos" w:hAnsi="Arial" w:cs="Arial"/>
            <w:bCs/>
            <w:color w:val="0000FF"/>
            <w:kern w:val="2"/>
            <w:u w:val="single"/>
            <w:lang w:eastAsia="en-US"/>
            <w14:ligatures w14:val="standardContextual"/>
          </w:rPr>
          <w:t>https://doi.org/10.1016/j.emj.2018.06.002</w:t>
        </w:r>
      </w:hyperlink>
    </w:p>
    <w:p w14:paraId="26DA4CDC"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Sauerteig</w:t>
      </w:r>
      <w:proofErr w:type="spellEnd"/>
      <w:r w:rsidRPr="009838E9">
        <w:rPr>
          <w:rFonts w:ascii="Arial" w:eastAsia="Aptos" w:hAnsi="Arial" w:cs="Arial"/>
          <w:bCs/>
          <w:kern w:val="2"/>
          <w:lang w:eastAsia="en-US"/>
          <w14:ligatures w14:val="standardContextual"/>
        </w:rPr>
        <w:t>, S.-O. et al. (2019) ‘Doctors’ health and wellbeing: at the heart of the NHS’s mission or still a secondary consideration?’, International Review of Psychiatry, 31(7-8), pp. 548–554. Available at: </w:t>
      </w:r>
      <w:hyperlink r:id="rId42" w:tgtFrame="_blank" w:history="1">
        <w:r w:rsidRPr="009838E9">
          <w:rPr>
            <w:rFonts w:ascii="Arial" w:eastAsia="Aptos" w:hAnsi="Arial" w:cs="Arial"/>
            <w:bCs/>
            <w:kern w:val="2"/>
            <w:lang w:eastAsia="en-US"/>
            <w14:ligatures w14:val="standardContextual"/>
          </w:rPr>
          <w:t>https://doi.org/10.1080/09540261.2019.1586165</w:t>
        </w:r>
      </w:hyperlink>
    </w:p>
    <w:p w14:paraId="1FC35051"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Schaufeli, W. B. and Taris, T. W. (2013) ‘A critical review of the job demands-resources model: implications for improving work and health’, in </w:t>
      </w:r>
      <w:r w:rsidRPr="009838E9">
        <w:rPr>
          <w:rFonts w:ascii="Arial" w:eastAsia="Aptos" w:hAnsi="Arial" w:cs="Arial"/>
          <w:bCs/>
          <w:i/>
          <w:iCs/>
          <w:kern w:val="2"/>
          <w:lang w:eastAsia="en-US"/>
          <w14:ligatures w14:val="standardContextual"/>
        </w:rPr>
        <w:t>Bridging occupational, organizational and public health</w:t>
      </w:r>
      <w:r w:rsidRPr="009838E9">
        <w:rPr>
          <w:rFonts w:ascii="Arial" w:eastAsia="Aptos" w:hAnsi="Arial" w:cs="Arial"/>
          <w:bCs/>
          <w:kern w:val="2"/>
          <w:lang w:eastAsia="en-US"/>
          <w14:ligatures w14:val="standardContextual"/>
        </w:rPr>
        <w:t>. Available at: </w:t>
      </w:r>
      <w:hyperlink r:id="rId43" w:tgtFrame="_blank" w:history="1">
        <w:r w:rsidRPr="009838E9">
          <w:rPr>
            <w:rFonts w:ascii="Arial" w:eastAsia="Aptos" w:hAnsi="Arial" w:cs="Arial"/>
            <w:bCs/>
            <w:color w:val="0000FF"/>
            <w:kern w:val="2"/>
            <w:u w:val="single"/>
            <w:lang w:eastAsia="en-US"/>
            <w14:ligatures w14:val="standardContextual"/>
          </w:rPr>
          <w:t>https://doi.org/10.1007/978-94-007-5640-3_4</w:t>
        </w:r>
      </w:hyperlink>
    </w:p>
    <w:p w14:paraId="22ECF657"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Scott, H. R. et al. (2022) ‘Prevalence of post-traumatic stress disorder and common mental disorders in health-care workers in England during the COVID-19 pandemic: a two-phase cross-sectional study’, The Lancet Psychiatry, 10(1), pp. 40–49. Available at: </w:t>
      </w:r>
      <w:hyperlink r:id="rId44" w:tgtFrame="_blank" w:history="1">
        <w:r w:rsidRPr="009838E9">
          <w:rPr>
            <w:rFonts w:ascii="Arial" w:eastAsia="Aptos" w:hAnsi="Arial" w:cs="Arial"/>
            <w:bCs/>
            <w:kern w:val="2"/>
            <w:lang w:eastAsia="en-US"/>
            <w14:ligatures w14:val="standardContextual"/>
          </w:rPr>
          <w:t>https://doi.org/10.1016/s2215-0366(22)00375-3</w:t>
        </w:r>
      </w:hyperlink>
    </w:p>
    <w:p w14:paraId="77B322F2"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Umbetkulova</w:t>
      </w:r>
      <w:proofErr w:type="spellEnd"/>
      <w:r w:rsidRPr="009838E9">
        <w:rPr>
          <w:rFonts w:ascii="Arial" w:eastAsia="Aptos" w:hAnsi="Arial" w:cs="Arial"/>
          <w:bCs/>
          <w:kern w:val="2"/>
          <w:lang w:eastAsia="en-US"/>
          <w14:ligatures w14:val="standardContextual"/>
        </w:rPr>
        <w:t>, S. et al. (2023) ‘Mental health changes in healthcare workers DURING COVID-19 pandemic: A systematic REVIEW of longitudinal studies’, Evaluation &amp; the Health Professions, 47(1), pp. 11–20. Available at: </w:t>
      </w:r>
      <w:hyperlink r:id="rId45" w:tgtFrame="_blank" w:history="1">
        <w:r w:rsidRPr="009838E9">
          <w:rPr>
            <w:rFonts w:ascii="Arial" w:eastAsia="Aptos" w:hAnsi="Arial" w:cs="Arial"/>
            <w:bCs/>
            <w:kern w:val="2"/>
            <w:lang w:eastAsia="en-US"/>
            <w14:ligatures w14:val="standardContextual"/>
          </w:rPr>
          <w:t>https://doi.org/10.1177/01632787231165076</w:t>
        </w:r>
      </w:hyperlink>
    </w:p>
    <w:p w14:paraId="2E5098B9"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United Nations (2020) </w:t>
      </w:r>
      <w:r w:rsidRPr="009838E9">
        <w:rPr>
          <w:rFonts w:ascii="Arial" w:eastAsia="Aptos" w:hAnsi="Arial" w:cs="Arial"/>
          <w:bCs/>
          <w:i/>
          <w:iCs/>
          <w:kern w:val="2"/>
          <w:lang w:eastAsia="en-US"/>
          <w14:ligatures w14:val="standardContextual"/>
        </w:rPr>
        <w:t>UNITED NATIONS POLICY BRIEF: COVID-19 and the Need for Action on Mental Health</w:t>
      </w:r>
      <w:r w:rsidRPr="009838E9">
        <w:rPr>
          <w:rFonts w:ascii="Arial" w:eastAsia="Aptos" w:hAnsi="Arial" w:cs="Arial"/>
          <w:bCs/>
          <w:kern w:val="2"/>
          <w:lang w:eastAsia="en-US"/>
          <w14:ligatures w14:val="standardContextual"/>
        </w:rPr>
        <w:t>. Available at: </w:t>
      </w:r>
      <w:hyperlink r:id="rId46" w:tgtFrame="_blank" w:history="1">
        <w:r w:rsidRPr="009838E9">
          <w:rPr>
            <w:rFonts w:ascii="Arial" w:eastAsia="Aptos" w:hAnsi="Arial" w:cs="Arial"/>
            <w:bCs/>
            <w:color w:val="0000FF"/>
            <w:kern w:val="2"/>
            <w:u w:val="single"/>
            <w:lang w:eastAsia="en-US"/>
            <w14:ligatures w14:val="standardContextual"/>
          </w:rPr>
          <w:t>https://unsdg.un.org/sites/default/files/2020-05/UN-Policy-Brief-COVID-19-and-mental-health.pdf</w:t>
        </w:r>
      </w:hyperlink>
    </w:p>
    <w:p w14:paraId="64FFBFF4"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roofErr w:type="spellStart"/>
      <w:r w:rsidRPr="009838E9">
        <w:rPr>
          <w:rFonts w:ascii="Arial" w:eastAsia="Aptos" w:hAnsi="Arial" w:cs="Arial"/>
          <w:bCs/>
          <w:kern w:val="2"/>
          <w:lang w:eastAsia="en-US"/>
          <w14:ligatures w14:val="standardContextual"/>
        </w:rPr>
        <w:t>Vicarelli</w:t>
      </w:r>
      <w:proofErr w:type="spellEnd"/>
      <w:r w:rsidRPr="009838E9">
        <w:rPr>
          <w:rFonts w:ascii="Arial" w:eastAsia="Aptos" w:hAnsi="Arial" w:cs="Arial"/>
          <w:bCs/>
          <w:kern w:val="2"/>
          <w:lang w:eastAsia="en-US"/>
          <w14:ligatures w14:val="standardContextual"/>
        </w:rPr>
        <w:t>, G. (2024) ‘COVID-19 pandemic in Italy: a brief overview of the role and response of primary care’, </w:t>
      </w:r>
      <w:r w:rsidRPr="009838E9">
        <w:rPr>
          <w:rFonts w:ascii="Arial" w:eastAsia="Aptos" w:hAnsi="Arial" w:cs="Arial"/>
          <w:bCs/>
          <w:i/>
          <w:iCs/>
          <w:kern w:val="2"/>
          <w:lang w:eastAsia="en-US"/>
          <w14:ligatures w14:val="standardContextual"/>
        </w:rPr>
        <w:t xml:space="preserve">La Presse </w:t>
      </w:r>
      <w:proofErr w:type="spellStart"/>
      <w:r w:rsidRPr="009838E9">
        <w:rPr>
          <w:rFonts w:ascii="Arial" w:eastAsia="Aptos" w:hAnsi="Arial" w:cs="Arial"/>
          <w:bCs/>
          <w:i/>
          <w:iCs/>
          <w:kern w:val="2"/>
          <w:lang w:eastAsia="en-US"/>
          <w14:ligatures w14:val="standardContextual"/>
        </w:rPr>
        <w:t>Médicale</w:t>
      </w:r>
      <w:proofErr w:type="spellEnd"/>
      <w:r w:rsidRPr="009838E9">
        <w:rPr>
          <w:rFonts w:ascii="Arial" w:eastAsia="Aptos" w:hAnsi="Arial" w:cs="Arial"/>
          <w:bCs/>
          <w:i/>
          <w:iCs/>
          <w:kern w:val="2"/>
          <w:lang w:eastAsia="en-US"/>
          <w14:ligatures w14:val="standardContextual"/>
        </w:rPr>
        <w:t xml:space="preserve"> Open</w:t>
      </w:r>
      <w:r w:rsidRPr="009838E9">
        <w:rPr>
          <w:rFonts w:ascii="Arial" w:eastAsia="Aptos" w:hAnsi="Arial" w:cs="Arial"/>
          <w:bCs/>
          <w:kern w:val="2"/>
          <w:lang w:eastAsia="en-US"/>
          <w14:ligatures w14:val="standardContextual"/>
        </w:rPr>
        <w:t>, 5(October), p. 100055. Available at: </w:t>
      </w:r>
      <w:hyperlink r:id="rId47" w:tgtFrame="_blank" w:history="1">
        <w:r w:rsidRPr="009838E9">
          <w:rPr>
            <w:rFonts w:ascii="Arial" w:eastAsia="Aptos" w:hAnsi="Arial" w:cs="Arial"/>
            <w:bCs/>
            <w:color w:val="0000FF"/>
            <w:kern w:val="2"/>
            <w:u w:val="single"/>
            <w:lang w:eastAsia="en-US"/>
            <w14:ligatures w14:val="standardContextual"/>
          </w:rPr>
          <w:t>https://doi.org/10.1016/j.lpmope.2024.100055</w:t>
        </w:r>
      </w:hyperlink>
    </w:p>
    <w:p w14:paraId="4273F02C"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Walton, M., Murray, E. and Christian, M. D. (2020) ‘Mental health care for medical staff and affiliated healthcare workers during the COVID-19 pandemic’, </w:t>
      </w:r>
      <w:r w:rsidRPr="009838E9">
        <w:rPr>
          <w:rFonts w:ascii="Arial" w:eastAsia="Aptos" w:hAnsi="Arial" w:cs="Arial"/>
          <w:bCs/>
          <w:i/>
          <w:iCs/>
          <w:kern w:val="2"/>
          <w:lang w:eastAsia="en-US"/>
          <w14:ligatures w14:val="standardContextual"/>
        </w:rPr>
        <w:t>European Heart Journal: Acute Cardiovascular Care</w:t>
      </w:r>
      <w:r w:rsidRPr="009838E9">
        <w:rPr>
          <w:rFonts w:ascii="Arial" w:eastAsia="Aptos" w:hAnsi="Arial" w:cs="Arial"/>
          <w:bCs/>
          <w:kern w:val="2"/>
          <w:lang w:eastAsia="en-US"/>
          <w14:ligatures w14:val="standardContextual"/>
        </w:rPr>
        <w:t>, 9(3), pp. 241–247. Available at: </w:t>
      </w:r>
      <w:hyperlink r:id="rId48" w:tgtFrame="_blank" w:history="1">
        <w:r w:rsidRPr="009838E9">
          <w:rPr>
            <w:rFonts w:ascii="Arial" w:eastAsia="Aptos" w:hAnsi="Arial" w:cs="Arial"/>
            <w:bCs/>
            <w:color w:val="467886"/>
            <w:kern w:val="2"/>
            <w:u w:val="single"/>
            <w:lang w:eastAsia="en-US"/>
            <w14:ligatures w14:val="standardContextual"/>
          </w:rPr>
          <w:t>https://doi.org/10.1177/2048872620922795</w:t>
        </w:r>
      </w:hyperlink>
    </w:p>
    <w:p w14:paraId="74D19D7A"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World Health Organization (2019) </w:t>
      </w:r>
      <w:r w:rsidRPr="009838E9">
        <w:rPr>
          <w:rFonts w:ascii="Arial" w:eastAsia="Aptos" w:hAnsi="Arial" w:cs="Arial"/>
          <w:bCs/>
          <w:i/>
          <w:iCs/>
          <w:kern w:val="2"/>
          <w:lang w:eastAsia="en-US"/>
          <w14:ligatures w14:val="standardContextual"/>
        </w:rPr>
        <w:t>Mental health</w:t>
      </w:r>
      <w:r w:rsidRPr="009838E9">
        <w:rPr>
          <w:rFonts w:ascii="Arial" w:eastAsia="Aptos" w:hAnsi="Arial" w:cs="Arial"/>
          <w:bCs/>
          <w:kern w:val="2"/>
          <w:lang w:eastAsia="en-US"/>
          <w14:ligatures w14:val="standardContextual"/>
        </w:rPr>
        <w:t>. Available at: </w:t>
      </w:r>
      <w:hyperlink r:id="rId49" w:anchor="tab=tab_1" w:tgtFrame="_blank" w:history="1">
        <w:r w:rsidRPr="009838E9">
          <w:rPr>
            <w:rFonts w:ascii="Arial" w:eastAsia="Aptos" w:hAnsi="Arial" w:cs="Arial"/>
            <w:bCs/>
            <w:color w:val="467886"/>
            <w:kern w:val="2"/>
            <w:u w:val="single"/>
            <w:lang w:eastAsia="en-US"/>
            <w14:ligatures w14:val="standardContextual"/>
          </w:rPr>
          <w:t>https://www.who.int/health-topics/mental-health#tab=tab_1</w:t>
        </w:r>
      </w:hyperlink>
      <w:r w:rsidRPr="009838E9">
        <w:rPr>
          <w:rFonts w:ascii="Arial" w:eastAsia="Aptos" w:hAnsi="Arial" w:cs="Arial"/>
          <w:bCs/>
          <w:kern w:val="2"/>
          <w:lang w:eastAsia="en-US"/>
          <w14:ligatures w14:val="standardContextual"/>
        </w:rPr>
        <w:t> (Accessed: 13 October 2025).</w:t>
      </w:r>
    </w:p>
    <w:p w14:paraId="289334D4"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World Health Organization (2025) </w:t>
      </w:r>
      <w:r w:rsidRPr="009838E9">
        <w:rPr>
          <w:rFonts w:ascii="Arial" w:eastAsia="Aptos" w:hAnsi="Arial" w:cs="Arial"/>
          <w:bCs/>
          <w:i/>
          <w:iCs/>
          <w:kern w:val="2"/>
          <w:lang w:eastAsia="en-US"/>
          <w14:ligatures w14:val="standardContextual"/>
        </w:rPr>
        <w:t>Pandemic prevention, preparedness and response agreement</w:t>
      </w:r>
      <w:r w:rsidRPr="009838E9">
        <w:rPr>
          <w:rFonts w:ascii="Arial" w:eastAsia="Aptos" w:hAnsi="Arial" w:cs="Arial"/>
          <w:bCs/>
          <w:kern w:val="2"/>
          <w:lang w:eastAsia="en-US"/>
          <w14:ligatures w14:val="standardContextual"/>
        </w:rPr>
        <w:t>. Available at: </w:t>
      </w:r>
      <w:hyperlink r:id="rId50" w:tgtFrame="_blank" w:history="1">
        <w:r w:rsidRPr="009838E9">
          <w:rPr>
            <w:rFonts w:ascii="Arial" w:eastAsia="Aptos" w:hAnsi="Arial" w:cs="Arial"/>
            <w:bCs/>
            <w:color w:val="0000FF"/>
            <w:kern w:val="2"/>
            <w:u w:val="single"/>
            <w:lang w:eastAsia="en-US"/>
            <w14:ligatures w14:val="standardContextual"/>
          </w:rPr>
          <w:t>https://www.who.int/news-room/questions-and-answers/item/pandemic-prevention--preparedness-and-response-accord</w:t>
        </w:r>
      </w:hyperlink>
      <w:r w:rsidRPr="009838E9">
        <w:rPr>
          <w:rFonts w:ascii="Arial" w:eastAsia="Aptos" w:hAnsi="Arial" w:cs="Arial"/>
          <w:bCs/>
          <w:kern w:val="2"/>
          <w:lang w:eastAsia="en-US"/>
          <w14:ligatures w14:val="standardContextual"/>
        </w:rPr>
        <w:t> (Accessed: 27 October 2025).</w:t>
      </w:r>
    </w:p>
    <w:p w14:paraId="325E64E2"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r w:rsidRPr="009838E9">
        <w:rPr>
          <w:rFonts w:ascii="Arial" w:eastAsia="Aptos" w:hAnsi="Arial" w:cs="Arial"/>
          <w:bCs/>
          <w:kern w:val="2"/>
          <w:lang w:eastAsia="en-US"/>
          <w14:ligatures w14:val="standardContextual"/>
        </w:rPr>
        <w:t>Zhu, H. et al. (2023) ‘Prevalence of burnout and mental health problems among medical staff during the COVID-19 pandemic: a systematic review and meta-analysis’, BMJ Open, 13(7), p. e061945. Available at: </w:t>
      </w:r>
      <w:hyperlink r:id="rId51" w:tgtFrame="_blank" w:history="1">
        <w:r w:rsidRPr="009838E9">
          <w:rPr>
            <w:rFonts w:ascii="Arial" w:eastAsia="Aptos" w:hAnsi="Arial" w:cs="Arial"/>
            <w:bCs/>
            <w:kern w:val="2"/>
            <w:lang w:eastAsia="en-US"/>
            <w14:ligatures w14:val="standardContextual"/>
          </w:rPr>
          <w:t>https://doi.org/10.1136/bmjopen-2022-061945</w:t>
        </w:r>
      </w:hyperlink>
    </w:p>
    <w:p w14:paraId="6A5110F5" w14:textId="77777777" w:rsidR="009838E9" w:rsidRPr="009838E9" w:rsidRDefault="009838E9" w:rsidP="009838E9">
      <w:pPr>
        <w:spacing w:before="240" w:line="360" w:lineRule="auto"/>
        <w:jc w:val="both"/>
        <w:rPr>
          <w:rFonts w:ascii="Arial" w:hAnsi="Arial" w:cs="Arial"/>
        </w:rPr>
      </w:pPr>
      <w:r w:rsidRPr="009838E9">
        <w:rPr>
          <w:rFonts w:ascii="Arial" w:eastAsia="Aptos" w:hAnsi="Arial" w:cs="Arial"/>
          <w:bCs/>
          <w:kern w:val="2"/>
          <w:lang w:eastAsia="en-US"/>
          <w14:ligatures w14:val="standardContextual"/>
        </w:rPr>
        <w:t>Zhu, Z. </w:t>
      </w:r>
      <w:r w:rsidRPr="009838E9">
        <w:rPr>
          <w:rFonts w:ascii="Arial" w:eastAsia="Aptos" w:hAnsi="Arial" w:cs="Arial"/>
          <w:bCs/>
          <w:i/>
          <w:iCs/>
          <w:kern w:val="2"/>
          <w:lang w:eastAsia="en-US"/>
          <w14:ligatures w14:val="standardContextual"/>
        </w:rPr>
        <w:t>et al.</w:t>
      </w:r>
      <w:r w:rsidRPr="009838E9">
        <w:rPr>
          <w:rFonts w:ascii="Arial" w:eastAsia="Aptos" w:hAnsi="Arial" w:cs="Arial"/>
          <w:bCs/>
          <w:kern w:val="2"/>
          <w:lang w:eastAsia="en-US"/>
          <w14:ligatures w14:val="standardContextual"/>
        </w:rPr>
        <w:t xml:space="preserve"> (2020) ‘From SARS and MERS to COVID-19: </w:t>
      </w:r>
      <w:proofErr w:type="gramStart"/>
      <w:r w:rsidRPr="009838E9">
        <w:rPr>
          <w:rFonts w:ascii="Arial" w:eastAsia="Aptos" w:hAnsi="Arial" w:cs="Arial"/>
          <w:bCs/>
          <w:kern w:val="2"/>
          <w:lang w:eastAsia="en-US"/>
          <w14:ligatures w14:val="standardContextual"/>
        </w:rPr>
        <w:t>a brief summary</w:t>
      </w:r>
      <w:proofErr w:type="gramEnd"/>
      <w:r w:rsidRPr="009838E9">
        <w:rPr>
          <w:rFonts w:ascii="Arial" w:eastAsia="Aptos" w:hAnsi="Arial" w:cs="Arial"/>
          <w:bCs/>
          <w:kern w:val="2"/>
          <w:lang w:eastAsia="en-US"/>
          <w14:ligatures w14:val="standardContextual"/>
        </w:rPr>
        <w:t xml:space="preserve"> and comparison of severe acute respiratory infections caused by three highly pathogenic human coronaviruses’, </w:t>
      </w:r>
      <w:r w:rsidRPr="009838E9">
        <w:rPr>
          <w:rFonts w:ascii="Arial" w:eastAsia="Aptos" w:hAnsi="Arial" w:cs="Arial"/>
          <w:bCs/>
          <w:i/>
          <w:iCs/>
          <w:kern w:val="2"/>
          <w:lang w:eastAsia="en-US"/>
          <w14:ligatures w14:val="standardContextual"/>
        </w:rPr>
        <w:t>Respiratory Research</w:t>
      </w:r>
      <w:r w:rsidRPr="009838E9">
        <w:rPr>
          <w:rFonts w:ascii="Arial" w:eastAsia="Aptos" w:hAnsi="Arial" w:cs="Arial"/>
          <w:bCs/>
          <w:kern w:val="2"/>
          <w:lang w:eastAsia="en-US"/>
          <w14:ligatures w14:val="standardContextual"/>
        </w:rPr>
        <w:t>, 21(1). Available at: </w:t>
      </w:r>
      <w:hyperlink r:id="rId52" w:tgtFrame="_blank" w:history="1">
        <w:r w:rsidRPr="009838E9">
          <w:rPr>
            <w:rFonts w:ascii="Arial" w:eastAsia="Aptos" w:hAnsi="Arial" w:cs="Arial"/>
            <w:bCs/>
            <w:color w:val="0000FF"/>
            <w:kern w:val="2"/>
            <w:u w:val="single"/>
            <w:lang w:eastAsia="en-US"/>
            <w14:ligatures w14:val="standardContextual"/>
          </w:rPr>
          <w:t>https://doi.org/10.1186/s12931-020-01479-w</w:t>
        </w:r>
      </w:hyperlink>
    </w:p>
    <w:p w14:paraId="422F3D9E" w14:textId="77777777" w:rsidR="009838E9" w:rsidRPr="009838E9" w:rsidRDefault="009838E9" w:rsidP="009838E9">
      <w:pPr>
        <w:spacing w:before="240" w:line="360" w:lineRule="auto"/>
        <w:jc w:val="both"/>
        <w:rPr>
          <w:rFonts w:ascii="Arial" w:eastAsia="Aptos" w:hAnsi="Arial" w:cs="Arial"/>
          <w:bCs/>
          <w:kern w:val="2"/>
          <w:lang w:eastAsia="en-US"/>
          <w14:ligatures w14:val="standardContextual"/>
        </w:rPr>
      </w:pPr>
    </w:p>
    <w:sectPr w:rsidR="009838E9" w:rsidRPr="009838E9">
      <w:footerReference w:type="default" r:id="rId53"/>
      <w:footerReference w:type="first" r:id="rId54"/>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3A104" w14:textId="77777777" w:rsidR="007E0F66" w:rsidRDefault="007E0F66">
      <w:pPr>
        <w:spacing w:after="0" w:line="240" w:lineRule="auto"/>
      </w:pPr>
      <w:r>
        <w:separator/>
      </w:r>
    </w:p>
  </w:endnote>
  <w:endnote w:type="continuationSeparator" w:id="0">
    <w:p w14:paraId="320925EB" w14:textId="77777777" w:rsidR="007E0F66" w:rsidRDefault="007E0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65DB9A7E-6703-40C6-8983-0505B9EC219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F132A5E-0EF9-4CD2-8FD0-A32E87F64F09}"/>
  </w:font>
  <w:font w:name="Georgia">
    <w:panose1 w:val="02040502050405020303"/>
    <w:charset w:val="00"/>
    <w:family w:val="roman"/>
    <w:pitch w:val="variable"/>
    <w:sig w:usb0="00000287" w:usb1="00000000" w:usb2="00000000" w:usb3="00000000" w:csb0="0000009F" w:csb1="00000000"/>
    <w:embedRegular r:id="rId3" w:fontKey="{15B4A9BC-4FF8-4D1C-8503-A5508988DDA4}"/>
    <w:embedItalic r:id="rId4" w:fontKey="{45541EEB-B744-42C4-8E53-60BC2A7FAA41}"/>
  </w:font>
  <w:font w:name="Calibri Light">
    <w:panose1 w:val="020F0302020204030204"/>
    <w:charset w:val="00"/>
    <w:family w:val="swiss"/>
    <w:pitch w:val="variable"/>
    <w:sig w:usb0="E4002EFF" w:usb1="C200247B" w:usb2="00000009" w:usb3="00000000" w:csb0="000001FF" w:csb1="00000000"/>
    <w:embedRegular r:id="rId5" w:fontKey="{6946318C-4D51-4481-96C2-46A810A9E0AF}"/>
    <w:embedBold r:id="rId6" w:fontKey="{FD44370B-5863-462C-AE5E-CADD9F916093}"/>
  </w:font>
  <w:font w:name="Aptos">
    <w:charset w:val="00"/>
    <w:family w:val="swiss"/>
    <w:pitch w:val="variable"/>
    <w:sig w:usb0="20000287" w:usb1="00000003" w:usb2="00000000" w:usb3="00000000" w:csb0="0000019F" w:csb1="00000000"/>
    <w:embedRegular r:id="rId7" w:fontKey="{C9FAFD87-96C2-48A8-BF33-D915B5646C60}"/>
    <w:embedBold r:id="rId8" w:fontKey="{55AC6947-C35F-4560-B7F1-0FAD30F43FA4}"/>
    <w:embedItalic r:id="rId9" w:fontKey="{A5FE2D6E-E10C-46CE-8022-E87288D6E623}"/>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embedRegular r:id="rId10" w:fontKey="{0099FB5A-CF48-4BD0-83FE-33249AE71AF8}"/>
    <w:embedBold r:id="rId11" w:fontKey="{1696AF10-D5C5-40A9-9102-A730BB9B58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997239"/>
      <w:docPartObj>
        <w:docPartGallery w:val="Page Numbers (Bottom of Page)"/>
        <w:docPartUnique/>
      </w:docPartObj>
    </w:sdtPr>
    <w:sdtEndPr>
      <w:rPr>
        <w:noProof/>
      </w:rPr>
    </w:sdtEndPr>
    <w:sdtContent>
      <w:p w14:paraId="27DF576F" w14:textId="19F56899" w:rsidR="00776D96" w:rsidRPr="00713F40" w:rsidRDefault="00713F40" w:rsidP="00713F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1233525"/>
      <w:docPartObj>
        <w:docPartGallery w:val="Page Numbers (Bottom of Page)"/>
        <w:docPartUnique/>
      </w:docPartObj>
    </w:sdtPr>
    <w:sdtEndPr>
      <w:rPr>
        <w:noProof/>
      </w:rPr>
    </w:sdtEndPr>
    <w:sdtContent>
      <w:p w14:paraId="7413DCF5" w14:textId="4247BF93" w:rsidR="00D449EF" w:rsidRDefault="00D449EF" w:rsidP="00D449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9DB9C" w14:textId="77777777" w:rsidR="007E0F66" w:rsidRDefault="007E0F66">
      <w:pPr>
        <w:spacing w:after="0" w:line="240" w:lineRule="auto"/>
      </w:pPr>
      <w:r>
        <w:separator/>
      </w:r>
    </w:p>
  </w:footnote>
  <w:footnote w:type="continuationSeparator" w:id="0">
    <w:p w14:paraId="6E5E1B2C" w14:textId="77777777" w:rsidR="007E0F66" w:rsidRDefault="007E0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910F6"/>
    <w:multiLevelType w:val="multilevel"/>
    <w:tmpl w:val="BE9CEE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4C25017"/>
    <w:multiLevelType w:val="multilevel"/>
    <w:tmpl w:val="83C225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17F5943"/>
    <w:multiLevelType w:val="multilevel"/>
    <w:tmpl w:val="87D2F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072867">
    <w:abstractNumId w:val="2"/>
  </w:num>
  <w:num w:numId="2" w16cid:durableId="1350331928">
    <w:abstractNumId w:val="0"/>
  </w:num>
  <w:num w:numId="3" w16cid:durableId="1607889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D96"/>
    <w:rsid w:val="0000178F"/>
    <w:rsid w:val="00025108"/>
    <w:rsid w:val="00037195"/>
    <w:rsid w:val="0004262F"/>
    <w:rsid w:val="00077C51"/>
    <w:rsid w:val="000B3FD6"/>
    <w:rsid w:val="00104CA0"/>
    <w:rsid w:val="0012398F"/>
    <w:rsid w:val="001406C0"/>
    <w:rsid w:val="0017445B"/>
    <w:rsid w:val="001916D3"/>
    <w:rsid w:val="001A1297"/>
    <w:rsid w:val="001B20A3"/>
    <w:rsid w:val="001D2E2A"/>
    <w:rsid w:val="002311D5"/>
    <w:rsid w:val="00247C1F"/>
    <w:rsid w:val="00251A47"/>
    <w:rsid w:val="00361810"/>
    <w:rsid w:val="003E1E5B"/>
    <w:rsid w:val="003E2589"/>
    <w:rsid w:val="003E7C2B"/>
    <w:rsid w:val="00433329"/>
    <w:rsid w:val="004A28EC"/>
    <w:rsid w:val="004B29A7"/>
    <w:rsid w:val="004D08C0"/>
    <w:rsid w:val="00545C00"/>
    <w:rsid w:val="0057643F"/>
    <w:rsid w:val="005B1D5A"/>
    <w:rsid w:val="005B365B"/>
    <w:rsid w:val="005B7AD4"/>
    <w:rsid w:val="006060D6"/>
    <w:rsid w:val="00607CE7"/>
    <w:rsid w:val="00617C27"/>
    <w:rsid w:val="0063155D"/>
    <w:rsid w:val="00644375"/>
    <w:rsid w:val="0067175C"/>
    <w:rsid w:val="00690E29"/>
    <w:rsid w:val="00713F40"/>
    <w:rsid w:val="00776D96"/>
    <w:rsid w:val="007A769C"/>
    <w:rsid w:val="007B71F9"/>
    <w:rsid w:val="007E0F66"/>
    <w:rsid w:val="0084115F"/>
    <w:rsid w:val="00841493"/>
    <w:rsid w:val="008723E6"/>
    <w:rsid w:val="008730E5"/>
    <w:rsid w:val="008772BF"/>
    <w:rsid w:val="00896C85"/>
    <w:rsid w:val="00897F2F"/>
    <w:rsid w:val="008C307B"/>
    <w:rsid w:val="009722C7"/>
    <w:rsid w:val="00973F68"/>
    <w:rsid w:val="009838E9"/>
    <w:rsid w:val="009E5DC6"/>
    <w:rsid w:val="009F00AC"/>
    <w:rsid w:val="00A13016"/>
    <w:rsid w:val="00A33605"/>
    <w:rsid w:val="00A479BD"/>
    <w:rsid w:val="00A638AB"/>
    <w:rsid w:val="00A65D57"/>
    <w:rsid w:val="00A949ED"/>
    <w:rsid w:val="00AF1642"/>
    <w:rsid w:val="00B212E1"/>
    <w:rsid w:val="00B42232"/>
    <w:rsid w:val="00BD6898"/>
    <w:rsid w:val="00BD6ECE"/>
    <w:rsid w:val="00C01475"/>
    <w:rsid w:val="00C20BB0"/>
    <w:rsid w:val="00C50AC6"/>
    <w:rsid w:val="00C7145D"/>
    <w:rsid w:val="00C907AB"/>
    <w:rsid w:val="00C93C92"/>
    <w:rsid w:val="00CA2A9D"/>
    <w:rsid w:val="00CB0435"/>
    <w:rsid w:val="00CD2ACB"/>
    <w:rsid w:val="00CD6981"/>
    <w:rsid w:val="00CF5A17"/>
    <w:rsid w:val="00D05133"/>
    <w:rsid w:val="00D3397C"/>
    <w:rsid w:val="00D4090D"/>
    <w:rsid w:val="00D43204"/>
    <w:rsid w:val="00D439C6"/>
    <w:rsid w:val="00D449EF"/>
    <w:rsid w:val="00D5201E"/>
    <w:rsid w:val="00D71659"/>
    <w:rsid w:val="00E507AD"/>
    <w:rsid w:val="00E56AA3"/>
    <w:rsid w:val="00EA1957"/>
    <w:rsid w:val="00EB5994"/>
    <w:rsid w:val="00F22706"/>
    <w:rsid w:val="00F57EBC"/>
    <w:rsid w:val="00F85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C57CF"/>
  <w15:docId w15:val="{050AA728-1446-4218-984E-B6E9CC7A0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981"/>
  </w:style>
  <w:style w:type="paragraph" w:styleId="Heading1">
    <w:name w:val="heading 1"/>
    <w:basedOn w:val="Normal"/>
    <w:next w:val="Normal"/>
    <w:link w:val="Heading1Char"/>
    <w:uiPriority w:val="9"/>
    <w:qFormat/>
    <w:pPr>
      <w:keepNext/>
      <w:keepLines/>
      <w:spacing w:before="240" w:after="0" w:line="360" w:lineRule="auto"/>
      <w:jc w:val="center"/>
      <w:outlineLvl w:val="0"/>
    </w:pPr>
    <w:rPr>
      <w:rFonts w:ascii="Arial" w:eastAsia="Arial" w:hAnsi="Arial" w:cs="Arial"/>
      <w:b/>
      <w:sz w:val="32"/>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Arial" w:eastAsia="Arial" w:hAnsi="Arial" w:cs="Arial"/>
      <w:b/>
      <w:i/>
      <w:sz w:val="28"/>
      <w:szCs w:val="28"/>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paragraph" w:styleId="TOCHeading">
    <w:name w:val="TOC Heading"/>
    <w:basedOn w:val="Heading1"/>
    <w:next w:val="Normal"/>
    <w:uiPriority w:val="39"/>
    <w:unhideWhenUsed/>
    <w:qFormat/>
    <w:rsid w:val="001B20A3"/>
    <w:pPr>
      <w:spacing w:line="259" w:lineRule="auto"/>
      <w:jc w:val="left"/>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1B20A3"/>
    <w:pPr>
      <w:spacing w:after="100"/>
    </w:pPr>
  </w:style>
  <w:style w:type="paragraph" w:styleId="TOC2">
    <w:name w:val="toc 2"/>
    <w:basedOn w:val="Normal"/>
    <w:next w:val="Normal"/>
    <w:autoRedefine/>
    <w:uiPriority w:val="39"/>
    <w:unhideWhenUsed/>
    <w:rsid w:val="001B20A3"/>
    <w:pPr>
      <w:spacing w:after="100"/>
      <w:ind w:left="240"/>
    </w:pPr>
  </w:style>
  <w:style w:type="character" w:styleId="Hyperlink">
    <w:name w:val="Hyperlink"/>
    <w:basedOn w:val="DefaultParagraphFont"/>
    <w:uiPriority w:val="99"/>
    <w:unhideWhenUsed/>
    <w:rsid w:val="001B20A3"/>
    <w:rPr>
      <w:color w:val="0563C1" w:themeColor="hyperlink"/>
      <w:u w:val="single"/>
    </w:rPr>
  </w:style>
  <w:style w:type="character" w:styleId="UnresolvedMention">
    <w:name w:val="Unresolved Mention"/>
    <w:basedOn w:val="DefaultParagraphFont"/>
    <w:uiPriority w:val="99"/>
    <w:semiHidden/>
    <w:unhideWhenUsed/>
    <w:rsid w:val="009838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o.int/news/item/02-03-2022-covid-19-pandemic-triggers-25-increase-in-prevalence-of-anxiety-and-depression-worldwide" TargetMode="External"/><Relationship Id="rId18" Type="http://schemas.openxmlformats.org/officeDocument/2006/relationships/hyperlink" Target="https://doi.org/10.3390/nursrep11040075" TargetMode="External"/><Relationship Id="rId26" Type="http://schemas.openxmlformats.org/officeDocument/2006/relationships/hyperlink" Target="https://doi.org/10.1192/bjo.2020.148" TargetMode="External"/><Relationship Id="rId39" Type="http://schemas.openxmlformats.org/officeDocument/2006/relationships/hyperlink" Target="https://doi.org/10.1080/17441692.2024.2415499" TargetMode="External"/><Relationship Id="rId21" Type="http://schemas.openxmlformats.org/officeDocument/2006/relationships/hyperlink" Target="https://doi.org/10.4103/indianjpsychiatry.indianjpsychiatry_707_23" TargetMode="External"/><Relationship Id="rId34" Type="http://schemas.openxmlformats.org/officeDocument/2006/relationships/hyperlink" Target="https://doi.org/10.1002/14651858.cd013779" TargetMode="External"/><Relationship Id="rId42" Type="http://schemas.openxmlformats.org/officeDocument/2006/relationships/hyperlink" Target="https://doi.org/10.1080/09540261.2019.1586165" TargetMode="External"/><Relationship Id="rId47" Type="http://schemas.openxmlformats.org/officeDocument/2006/relationships/hyperlink" Target="https://doi.org/10.1016/j.lpmope.2024.100055" TargetMode="External"/><Relationship Id="rId50" Type="http://schemas.openxmlformats.org/officeDocument/2006/relationships/hyperlink" Target="https://www.who.int/news-room/questions-and-answers/item/pandemic-prevention--preparedness-and-response-accord"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1/jamanetworkopen.2021.3997" TargetMode="External"/><Relationship Id="rId29" Type="http://schemas.openxmlformats.org/officeDocument/2006/relationships/hyperlink" Target="https://doi.org/10.1186/s12960-021-00651-7" TargetMode="External"/><Relationship Id="rId11" Type="http://schemas.openxmlformats.org/officeDocument/2006/relationships/hyperlink" Target="https://doi.org/10.1002/9781118993811.ch21" TargetMode="External"/><Relationship Id="rId24" Type="http://schemas.openxmlformats.org/officeDocument/2006/relationships/hyperlink" Target="https://doi.org/10.1002/9781118993811.ch27" TargetMode="External"/><Relationship Id="rId32" Type="http://schemas.openxmlformats.org/officeDocument/2006/relationships/hyperlink" Target="https://doi.org/10.3390/epidemiologia2030017" TargetMode="External"/><Relationship Id="rId37" Type="http://schemas.openxmlformats.org/officeDocument/2006/relationships/hyperlink" Target="https://www.who.int/news/item/05-10-2022-world-failing-in--our-duty-of-care--to-protect-mental-health-and-wellbeing-of-health-and-care-workers--finds-report-on-impact-of-covid-19" TargetMode="External"/><Relationship Id="rId40" Type="http://schemas.openxmlformats.org/officeDocument/2006/relationships/hyperlink" Target="https://doi.org/10.1136/bmjopen-2022-061317" TargetMode="External"/><Relationship Id="rId45" Type="http://schemas.openxmlformats.org/officeDocument/2006/relationships/hyperlink" Target="https://doi.org/10.1177/01632787231165076" TargetMode="External"/><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doi.org/10.1080/20008066.2024.2415747" TargetMode="External"/><Relationship Id="rId19" Type="http://schemas.openxmlformats.org/officeDocument/2006/relationships/hyperlink" Target="https://doi.org/10.1177/1088868314544222" TargetMode="External"/><Relationship Id="rId31" Type="http://schemas.openxmlformats.org/officeDocument/2006/relationships/hyperlink" Target="https://doi.org/10.12968/bjhc.2020.0168" TargetMode="External"/><Relationship Id="rId44" Type="http://schemas.openxmlformats.org/officeDocument/2006/relationships/hyperlink" Target="https://doi.org/10.1016/s2215-0366(22)00375-3" TargetMode="External"/><Relationship Id="rId52" Type="http://schemas.openxmlformats.org/officeDocument/2006/relationships/hyperlink" Target="https://doi.org/10.1186/s12931-020-01479-w"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97/jom.0000000000001907" TargetMode="External"/><Relationship Id="rId22" Type="http://schemas.openxmlformats.org/officeDocument/2006/relationships/hyperlink" Target="https://doi.org/10.1136/bmjopen-2024-084826" TargetMode="External"/><Relationship Id="rId27" Type="http://schemas.openxmlformats.org/officeDocument/2006/relationships/hyperlink" Target="https://doi.org/10.1016/j.actpsy.2025.104710" TargetMode="External"/><Relationship Id="rId30" Type="http://schemas.openxmlformats.org/officeDocument/2006/relationships/hyperlink" Target="https://doi.org/10.4018/978-1-6684-3881-7.ch031" TargetMode="External"/><Relationship Id="rId35" Type="http://schemas.openxmlformats.org/officeDocument/2006/relationships/hyperlink" Target="https://doi.org/10.1186/s12960-022-00764-7" TargetMode="External"/><Relationship Id="rId43" Type="http://schemas.openxmlformats.org/officeDocument/2006/relationships/hyperlink" Target="https://doi.org/10.1007/978-94-007-5640-3_4" TargetMode="External"/><Relationship Id="rId48" Type="http://schemas.openxmlformats.org/officeDocument/2006/relationships/hyperlink" Target="https://doi.org/10.1177/2048872620922795"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doi.org/10.1136/bmjopen-2022-061945" TargetMode="External"/><Relationship Id="rId3" Type="http://schemas.openxmlformats.org/officeDocument/2006/relationships/numbering" Target="numbering.xml"/><Relationship Id="rId12" Type="http://schemas.openxmlformats.org/officeDocument/2006/relationships/hyperlink" Target="https://www.bma.org.uk/media/5980/bma-covid-review-report-4-28-july-2022.pdf" TargetMode="External"/><Relationship Id="rId17" Type="http://schemas.openxmlformats.org/officeDocument/2006/relationships/hyperlink" Target="https://doi.org/10.1177/1751143720983182" TargetMode="External"/><Relationship Id="rId25" Type="http://schemas.openxmlformats.org/officeDocument/2006/relationships/hyperlink" Target="https://doi.org/10.1016/j.cegh.2021.100759" TargetMode="External"/><Relationship Id="rId33" Type="http://schemas.openxmlformats.org/officeDocument/2006/relationships/hyperlink" Target="https://www.nhsprofessionals.nhs.uk/nhs-staffing-pool-hub/careers-in-healthcare/healthcare-support-worker-or-healthcare-assistant" TargetMode="External"/><Relationship Id="rId38" Type="http://schemas.openxmlformats.org/officeDocument/2006/relationships/hyperlink" Target="https://doi.org/10.1007/s12144-021-01683-x" TargetMode="External"/><Relationship Id="rId46" Type="http://schemas.openxmlformats.org/officeDocument/2006/relationships/hyperlink" Target="https://unsdg.un.org/sites/default/files/2020-05/UN-Policy-Brief-COVID-19-and-mental-health.pdf" TargetMode="External"/><Relationship Id="rId20" Type="http://schemas.openxmlformats.org/officeDocument/2006/relationships/hyperlink" Target="https://doi.org/10.1177/16094069241244856" TargetMode="External"/><Relationship Id="rId41" Type="http://schemas.openxmlformats.org/officeDocument/2006/relationships/hyperlink" Target="https://doi.org/10.1016/j.emj.2018.06.002"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02/ajim.23256" TargetMode="External"/><Relationship Id="rId23" Type="http://schemas.openxmlformats.org/officeDocument/2006/relationships/hyperlink" Target="https://doi.org/10.1111/tbed.14732" TargetMode="External"/><Relationship Id="rId28" Type="http://schemas.openxmlformats.org/officeDocument/2006/relationships/hyperlink" Target="https://doi.org/10.1111/jade.12177" TargetMode="External"/><Relationship Id="rId36" Type="http://schemas.openxmlformats.org/officeDocument/2006/relationships/hyperlink" Target="https://doi.org/10.1007/s11920-020-01166-z" TargetMode="External"/><Relationship Id="rId49" Type="http://schemas.openxmlformats.org/officeDocument/2006/relationships/hyperlink" Target="https://www.who.int/health-topics/mental-health"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INE9Nu48ZYRVDTTo5+nJABmegQ==">CgMxLjAaHwoBMBIaChgICVIUChJ0YWJsZS5iaHZ5d2tvaDc2eGo4AHIhMVpDbFFfMUs0NnhsOHF6d2FIY3d6aEt5N1Z4Z2lQRXdi</go:docsCustomData>
</go:gDocsCustomXmlDataStorage>
</file>

<file path=customXml/itemProps1.xml><?xml version="1.0" encoding="utf-8"?>
<ds:datastoreItem xmlns:ds="http://schemas.openxmlformats.org/officeDocument/2006/customXml" ds:itemID="{FC6F6505-130D-4E65-BA85-CDE6D0C61B4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Pages>
  <Words>13019</Words>
  <Characters>74214</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Michael Ajuyah (2245019)</cp:lastModifiedBy>
  <cp:revision>24</cp:revision>
  <dcterms:created xsi:type="dcterms:W3CDTF">2025-10-28T10:36:00Z</dcterms:created>
  <dcterms:modified xsi:type="dcterms:W3CDTF">2026-03-21T09:42:00Z</dcterms:modified>
</cp:coreProperties>
</file>