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04790" w14:textId="77777777" w:rsidR="007E4A8F" w:rsidRDefault="007E4A8F" w:rsidP="00A440A8">
      <w:pPr>
        <w:spacing w:before="40" w:after="40" w:line="360" w:lineRule="auto"/>
        <w:jc w:val="both"/>
      </w:pPr>
    </w:p>
    <w:p w14:paraId="02662B4B" w14:textId="39745789" w:rsidR="007E4A8F" w:rsidRDefault="00D106DC" w:rsidP="00D106DC">
      <w:pPr>
        <w:spacing w:before="40" w:after="40" w:line="360" w:lineRule="auto"/>
        <w:jc w:val="center"/>
      </w:pPr>
      <w:r>
        <w:rPr>
          <w:noProof/>
        </w:rPr>
        <w:drawing>
          <wp:inline distT="0" distB="0" distL="0" distR="0" wp14:anchorId="3F4F053A" wp14:editId="55884F78">
            <wp:extent cx="1809524" cy="72381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09524" cy="723810"/>
                    </a:xfrm>
                    <a:prstGeom prst="rect">
                      <a:avLst/>
                    </a:prstGeom>
                  </pic:spPr>
                </pic:pic>
              </a:graphicData>
            </a:graphic>
          </wp:inline>
        </w:drawing>
      </w:r>
    </w:p>
    <w:p w14:paraId="249796C4" w14:textId="77777777" w:rsidR="007E4A8F" w:rsidRDefault="007E4A8F" w:rsidP="00A440A8">
      <w:pPr>
        <w:spacing w:before="40" w:after="40" w:line="360" w:lineRule="auto"/>
        <w:jc w:val="both"/>
      </w:pPr>
    </w:p>
    <w:p w14:paraId="667FB1B9" w14:textId="77777777" w:rsidR="007E4A8F" w:rsidRDefault="007E4A8F" w:rsidP="00A440A8">
      <w:pPr>
        <w:spacing w:before="40" w:after="40" w:line="360" w:lineRule="auto"/>
        <w:jc w:val="both"/>
      </w:pPr>
    </w:p>
    <w:p w14:paraId="4BD1F2DA" w14:textId="4EF66FAB" w:rsidR="007E4A8F" w:rsidRPr="00D106DC" w:rsidRDefault="00B579A2" w:rsidP="00D106DC">
      <w:pPr>
        <w:spacing w:after="60" w:line="360" w:lineRule="auto"/>
        <w:jc w:val="center"/>
        <w:rPr>
          <w:b/>
          <w:bCs/>
          <w:color w:val="000000"/>
          <w:sz w:val="28"/>
          <w:szCs w:val="28"/>
        </w:rPr>
      </w:pPr>
      <w:r w:rsidRPr="00D106DC">
        <w:rPr>
          <w:b/>
          <w:bCs/>
          <w:color w:val="000000"/>
          <w:sz w:val="28"/>
          <w:szCs w:val="28"/>
        </w:rPr>
        <w:t>GLOBAL CHALLENGES</w:t>
      </w:r>
    </w:p>
    <w:p w14:paraId="505E7D92" w14:textId="77777777" w:rsidR="007E4A8F" w:rsidRDefault="00B579A2" w:rsidP="00A440A8">
      <w:pPr>
        <w:spacing w:after="60" w:line="360" w:lineRule="auto"/>
        <w:jc w:val="center"/>
      </w:pPr>
      <w:r>
        <w:rPr>
          <w:b/>
          <w:bCs/>
          <w:color w:val="000000"/>
          <w:sz w:val="28"/>
          <w:szCs w:val="28"/>
        </w:rPr>
        <w:t>Artificial Intelligence, Risk Management and Regulatory Compliance:</w:t>
      </w:r>
    </w:p>
    <w:p w14:paraId="540424DA" w14:textId="1AB7E67D" w:rsidR="007E4A8F" w:rsidRDefault="00B579A2" w:rsidP="00A440A8">
      <w:pPr>
        <w:spacing w:after="300" w:line="360" w:lineRule="auto"/>
        <w:jc w:val="center"/>
        <w:rPr>
          <w:b/>
          <w:bCs/>
          <w:color w:val="000000"/>
          <w:sz w:val="28"/>
          <w:szCs w:val="28"/>
        </w:rPr>
      </w:pPr>
      <w:r>
        <w:rPr>
          <w:b/>
          <w:bCs/>
          <w:color w:val="000000"/>
          <w:sz w:val="28"/>
          <w:szCs w:val="28"/>
        </w:rPr>
        <w:t>An Advisory Report on Standard Chartered plc</w:t>
      </w:r>
    </w:p>
    <w:p w14:paraId="1C11FB2A" w14:textId="78DD451C" w:rsidR="00D106DC" w:rsidRDefault="00D106DC" w:rsidP="00A440A8">
      <w:pPr>
        <w:spacing w:after="300" w:line="360" w:lineRule="auto"/>
        <w:jc w:val="center"/>
        <w:rPr>
          <w:b/>
          <w:bCs/>
          <w:color w:val="000000"/>
          <w:sz w:val="28"/>
          <w:szCs w:val="28"/>
        </w:rPr>
      </w:pPr>
    </w:p>
    <w:p w14:paraId="02323CC5" w14:textId="28D20F2C" w:rsidR="00D106DC" w:rsidRDefault="00D106DC" w:rsidP="00A440A8">
      <w:pPr>
        <w:spacing w:after="300" w:line="360" w:lineRule="auto"/>
        <w:jc w:val="center"/>
        <w:rPr>
          <w:b/>
          <w:bCs/>
          <w:color w:val="000000"/>
          <w:sz w:val="28"/>
          <w:szCs w:val="28"/>
        </w:rPr>
      </w:pPr>
      <w:r>
        <w:rPr>
          <w:b/>
          <w:bCs/>
          <w:color w:val="000000"/>
          <w:sz w:val="28"/>
          <w:szCs w:val="28"/>
        </w:rPr>
        <w:t xml:space="preserve">Student Name: </w:t>
      </w:r>
      <w:r w:rsidRPr="00D106DC">
        <w:rPr>
          <w:b/>
          <w:bCs/>
          <w:color w:val="000000"/>
          <w:sz w:val="28"/>
          <w:szCs w:val="28"/>
        </w:rPr>
        <w:t xml:space="preserve">Md Mujibur Rahman </w:t>
      </w:r>
    </w:p>
    <w:p w14:paraId="5BB12E9E" w14:textId="67BDA43E" w:rsidR="00D106DC" w:rsidRDefault="00D106DC" w:rsidP="00A440A8">
      <w:pPr>
        <w:spacing w:after="300" w:line="360" w:lineRule="auto"/>
        <w:jc w:val="center"/>
        <w:rPr>
          <w:b/>
          <w:bCs/>
          <w:color w:val="000000"/>
          <w:sz w:val="28"/>
          <w:szCs w:val="28"/>
        </w:rPr>
      </w:pPr>
      <w:r>
        <w:rPr>
          <w:b/>
          <w:bCs/>
          <w:color w:val="000000"/>
          <w:sz w:val="28"/>
          <w:szCs w:val="28"/>
        </w:rPr>
        <w:t xml:space="preserve">Student </w:t>
      </w:r>
      <w:r w:rsidRPr="00D106DC">
        <w:rPr>
          <w:b/>
          <w:bCs/>
          <w:color w:val="000000"/>
          <w:sz w:val="28"/>
          <w:szCs w:val="28"/>
        </w:rPr>
        <w:t>ID: 2504300</w:t>
      </w:r>
    </w:p>
    <w:p w14:paraId="05357F48" w14:textId="77777777" w:rsidR="00D106DC" w:rsidRDefault="00D106DC" w:rsidP="00A440A8">
      <w:pPr>
        <w:spacing w:after="300" w:line="360" w:lineRule="auto"/>
        <w:jc w:val="center"/>
      </w:pPr>
    </w:p>
    <w:p w14:paraId="1F04361D" w14:textId="77777777" w:rsidR="007E4A8F" w:rsidRPr="00D106DC" w:rsidRDefault="00B579A2" w:rsidP="00A440A8">
      <w:pPr>
        <w:spacing w:after="80" w:line="360" w:lineRule="auto"/>
        <w:jc w:val="center"/>
        <w:rPr>
          <w:sz w:val="28"/>
          <w:szCs w:val="28"/>
        </w:rPr>
      </w:pPr>
      <w:r w:rsidRPr="00D106DC">
        <w:rPr>
          <w:color w:val="000000"/>
        </w:rPr>
        <w:t>Module: BMMB7006 Global Business Challenges</w:t>
      </w:r>
    </w:p>
    <w:p w14:paraId="7F9CC9A1" w14:textId="77777777" w:rsidR="007E4A8F" w:rsidRPr="00D106DC" w:rsidRDefault="00B579A2" w:rsidP="00A440A8">
      <w:pPr>
        <w:spacing w:after="80" w:line="360" w:lineRule="auto"/>
        <w:jc w:val="center"/>
        <w:rPr>
          <w:sz w:val="28"/>
          <w:szCs w:val="28"/>
        </w:rPr>
      </w:pPr>
      <w:r w:rsidRPr="00D106DC">
        <w:rPr>
          <w:color w:val="000000"/>
        </w:rPr>
        <w:t>University of Wales Trinity Saint David</w:t>
      </w:r>
    </w:p>
    <w:p w14:paraId="3CF01030" w14:textId="44B97B31" w:rsidR="007E4A8F" w:rsidRPr="00D106DC" w:rsidRDefault="00D106DC" w:rsidP="00A440A8">
      <w:pPr>
        <w:spacing w:line="360" w:lineRule="auto"/>
        <w:jc w:val="center"/>
        <w:rPr>
          <w:color w:val="000000"/>
        </w:rPr>
      </w:pPr>
      <w:r w:rsidRPr="00D106DC">
        <w:rPr>
          <w:color w:val="000000"/>
        </w:rPr>
        <w:t xml:space="preserve">27 </w:t>
      </w:r>
      <w:r w:rsidR="00B579A2" w:rsidRPr="00D106DC">
        <w:rPr>
          <w:color w:val="000000"/>
        </w:rPr>
        <w:t>April 2026</w:t>
      </w:r>
    </w:p>
    <w:p w14:paraId="0D398BD3" w14:textId="73B5E056" w:rsidR="00D106DC" w:rsidRDefault="00D106DC" w:rsidP="00A440A8">
      <w:pPr>
        <w:spacing w:line="360" w:lineRule="auto"/>
        <w:jc w:val="center"/>
        <w:rPr>
          <w:color w:val="000000"/>
          <w:sz w:val="22"/>
          <w:szCs w:val="22"/>
        </w:rPr>
      </w:pPr>
    </w:p>
    <w:p w14:paraId="236C3669" w14:textId="406357BF" w:rsidR="00D106DC" w:rsidRDefault="00146357" w:rsidP="00A440A8">
      <w:pPr>
        <w:spacing w:line="360" w:lineRule="auto"/>
        <w:jc w:val="center"/>
        <w:rPr>
          <w:color w:val="000000"/>
          <w:sz w:val="22"/>
          <w:szCs w:val="22"/>
        </w:rPr>
      </w:pPr>
      <w:r>
        <w:rPr>
          <w:color w:val="000000"/>
          <w:sz w:val="22"/>
          <w:szCs w:val="22"/>
        </w:rPr>
        <w:t>Word Count: 5020</w:t>
      </w:r>
    </w:p>
    <w:p w14:paraId="2BD59247" w14:textId="77777777" w:rsidR="00D106DC" w:rsidRDefault="00D106DC" w:rsidP="00A440A8">
      <w:pPr>
        <w:spacing w:line="360" w:lineRule="auto"/>
        <w:jc w:val="center"/>
      </w:pPr>
    </w:p>
    <w:p w14:paraId="60A9CE16" w14:textId="77777777" w:rsidR="007E4A8F" w:rsidRDefault="00B579A2" w:rsidP="00A440A8">
      <w:pPr>
        <w:spacing w:line="360" w:lineRule="auto"/>
        <w:jc w:val="both"/>
      </w:pPr>
      <w:r>
        <w:br w:type="page"/>
      </w:r>
    </w:p>
    <w:p w14:paraId="6D541B39" w14:textId="77777777" w:rsidR="007E4A8F" w:rsidRDefault="00B579A2" w:rsidP="00A440A8">
      <w:pPr>
        <w:pStyle w:val="Heading1"/>
        <w:spacing w:line="360" w:lineRule="auto"/>
        <w:jc w:val="both"/>
      </w:pPr>
      <w:bookmarkStart w:id="0" w:name="_Toc228152120"/>
      <w:r>
        <w:lastRenderedPageBreak/>
        <w:t>Executive Summary</w:t>
      </w:r>
      <w:bookmarkEnd w:id="0"/>
    </w:p>
    <w:p w14:paraId="45984BDD" w14:textId="77777777" w:rsidR="0088511D" w:rsidRDefault="0088511D" w:rsidP="0088511D">
      <w:pPr>
        <w:spacing w:line="360" w:lineRule="auto"/>
        <w:jc w:val="both"/>
      </w:pPr>
      <w:r>
        <w:t>The strategic dilemma Standard Chartered plc (SC) is confronted with is that the artificial intelligence implemented by the principled-based and pro-innovation regime of the UK must be applied by the company with the speed of the said regime, and that the FEAT-based and institutional governance regime of Singapore must be adopted by the company. How SC can resolve that tension will either make or break AI a real source of competitive advantage or a growing source of reputational and compliance risk. This paper discusses this challenge using the PESTLE framework, Porters Diamond and Five Forces models, risk management theory and corporate governance models, specifically the operations of SC in the United Kingdom and Singapore.</w:t>
      </w:r>
    </w:p>
    <w:p w14:paraId="7EA33339" w14:textId="77777777" w:rsidR="0088511D" w:rsidRDefault="0088511D" w:rsidP="0088511D">
      <w:pPr>
        <w:spacing w:line="360" w:lineRule="auto"/>
        <w:jc w:val="both"/>
      </w:pPr>
      <w:r>
        <w:t>The key takeaway is that SC has the most to leverage AI to identify financial crime and aid credit risk modelling, as well as personalise client experiences, despite the need to enhance its governance structure in accordance with its technical ambition. The difference between UK/Singapore regulatory philosophy is not a mere compliance concern - it is an opportunity to be taken by a bank with the global credibility of SC to shape the emerging global standards, provided it takes the initiative.</w:t>
      </w:r>
    </w:p>
    <w:p w14:paraId="037E5734" w14:textId="55F11F05" w:rsidR="007E4A8F" w:rsidRDefault="0088511D" w:rsidP="0088511D">
      <w:pPr>
        <w:spacing w:line="360" w:lineRule="auto"/>
        <w:jc w:val="both"/>
      </w:pPr>
      <w:r>
        <w:t>The report ends with a progressive implementation plan which has given a short term plan of governance improvement, a medium term plan of investing in capabilities and a long term plan of strategic positioning. Recommendations are not aimed to satisfy the existing compliance standards but they are intended to predict the risk of the tightening of the regulatory measures and reputational risk in the future.</w:t>
      </w:r>
      <w:r w:rsidR="00B579A2">
        <w:br w:type="page"/>
      </w:r>
    </w:p>
    <w:sdt>
      <w:sdtPr>
        <w:rPr>
          <w:rFonts w:ascii="Arial" w:eastAsia="Arial" w:hAnsi="Arial" w:cs="Arial"/>
          <w:color w:val="auto"/>
          <w:sz w:val="24"/>
          <w:szCs w:val="24"/>
        </w:rPr>
        <w:id w:val="-1697539093"/>
        <w:docPartObj>
          <w:docPartGallery w:val="Table of Contents"/>
          <w:docPartUnique/>
        </w:docPartObj>
      </w:sdtPr>
      <w:sdtEndPr>
        <w:rPr>
          <w:b/>
          <w:bCs/>
          <w:noProof/>
        </w:rPr>
      </w:sdtEndPr>
      <w:sdtContent>
        <w:p w14:paraId="35117D80" w14:textId="629D739B" w:rsidR="00B579A2" w:rsidRDefault="00B579A2">
          <w:pPr>
            <w:pStyle w:val="TOCHeading"/>
          </w:pPr>
          <w:r>
            <w:t>Table of Contents</w:t>
          </w:r>
        </w:p>
        <w:p w14:paraId="4D47B8E8" w14:textId="6F73564F" w:rsidR="00B579A2" w:rsidRDefault="00B579A2">
          <w:pPr>
            <w:pStyle w:val="TOC1"/>
            <w:tabs>
              <w:tab w:val="right" w:leader="dot" w:pos="9376"/>
            </w:tabs>
            <w:rPr>
              <w:noProof/>
            </w:rPr>
          </w:pPr>
          <w:r>
            <w:fldChar w:fldCharType="begin"/>
          </w:r>
          <w:r>
            <w:instrText xml:space="preserve"> TOC \o "1-3" \h \z \u </w:instrText>
          </w:r>
          <w:r>
            <w:fldChar w:fldCharType="separate"/>
          </w:r>
          <w:hyperlink w:anchor="_Toc228152120" w:history="1">
            <w:r w:rsidRPr="00833D24">
              <w:rPr>
                <w:rStyle w:val="Hyperlink"/>
                <w:noProof/>
              </w:rPr>
              <w:t>Executive Summary</w:t>
            </w:r>
            <w:r>
              <w:rPr>
                <w:noProof/>
                <w:webHidden/>
              </w:rPr>
              <w:tab/>
            </w:r>
            <w:r>
              <w:rPr>
                <w:noProof/>
                <w:webHidden/>
              </w:rPr>
              <w:fldChar w:fldCharType="begin"/>
            </w:r>
            <w:r>
              <w:rPr>
                <w:noProof/>
                <w:webHidden/>
              </w:rPr>
              <w:instrText xml:space="preserve"> PAGEREF _Toc228152120 \h </w:instrText>
            </w:r>
            <w:r>
              <w:rPr>
                <w:noProof/>
                <w:webHidden/>
              </w:rPr>
            </w:r>
            <w:r>
              <w:rPr>
                <w:noProof/>
                <w:webHidden/>
              </w:rPr>
              <w:fldChar w:fldCharType="separate"/>
            </w:r>
            <w:r>
              <w:rPr>
                <w:noProof/>
                <w:webHidden/>
              </w:rPr>
              <w:t>2</w:t>
            </w:r>
            <w:r>
              <w:rPr>
                <w:noProof/>
                <w:webHidden/>
              </w:rPr>
              <w:fldChar w:fldCharType="end"/>
            </w:r>
          </w:hyperlink>
        </w:p>
        <w:p w14:paraId="538D7093" w14:textId="7031AB46" w:rsidR="00B579A2" w:rsidRDefault="00631D48">
          <w:pPr>
            <w:pStyle w:val="TOC1"/>
            <w:tabs>
              <w:tab w:val="right" w:leader="dot" w:pos="9376"/>
            </w:tabs>
            <w:rPr>
              <w:noProof/>
            </w:rPr>
          </w:pPr>
          <w:hyperlink w:anchor="_Toc228152121" w:history="1">
            <w:r w:rsidR="00B579A2" w:rsidRPr="00833D24">
              <w:rPr>
                <w:rStyle w:val="Hyperlink"/>
                <w:noProof/>
              </w:rPr>
              <w:t>1. Introduction</w:t>
            </w:r>
            <w:r w:rsidR="00B579A2">
              <w:rPr>
                <w:noProof/>
                <w:webHidden/>
              </w:rPr>
              <w:tab/>
            </w:r>
            <w:r w:rsidR="00B579A2">
              <w:rPr>
                <w:noProof/>
                <w:webHidden/>
              </w:rPr>
              <w:fldChar w:fldCharType="begin"/>
            </w:r>
            <w:r w:rsidR="00B579A2">
              <w:rPr>
                <w:noProof/>
                <w:webHidden/>
              </w:rPr>
              <w:instrText xml:space="preserve"> PAGEREF _Toc228152121 \h </w:instrText>
            </w:r>
            <w:r w:rsidR="00B579A2">
              <w:rPr>
                <w:noProof/>
                <w:webHidden/>
              </w:rPr>
            </w:r>
            <w:r w:rsidR="00B579A2">
              <w:rPr>
                <w:noProof/>
                <w:webHidden/>
              </w:rPr>
              <w:fldChar w:fldCharType="separate"/>
            </w:r>
            <w:r w:rsidR="00B579A2">
              <w:rPr>
                <w:noProof/>
                <w:webHidden/>
              </w:rPr>
              <w:t>4</w:t>
            </w:r>
            <w:r w:rsidR="00B579A2">
              <w:rPr>
                <w:noProof/>
                <w:webHidden/>
              </w:rPr>
              <w:fldChar w:fldCharType="end"/>
            </w:r>
          </w:hyperlink>
        </w:p>
        <w:p w14:paraId="74249E80" w14:textId="42CDCED0" w:rsidR="00B579A2" w:rsidRDefault="00631D48">
          <w:pPr>
            <w:pStyle w:val="TOC1"/>
            <w:tabs>
              <w:tab w:val="right" w:leader="dot" w:pos="9376"/>
            </w:tabs>
            <w:rPr>
              <w:noProof/>
            </w:rPr>
          </w:pPr>
          <w:hyperlink w:anchor="_Toc228152122" w:history="1">
            <w:r w:rsidR="00B579A2" w:rsidRPr="00833D24">
              <w:rPr>
                <w:rStyle w:val="Hyperlink"/>
                <w:noProof/>
              </w:rPr>
              <w:t>2. Main Findings</w:t>
            </w:r>
            <w:r w:rsidR="00B579A2">
              <w:rPr>
                <w:noProof/>
                <w:webHidden/>
              </w:rPr>
              <w:tab/>
            </w:r>
            <w:r w:rsidR="00B579A2">
              <w:rPr>
                <w:noProof/>
                <w:webHidden/>
              </w:rPr>
              <w:fldChar w:fldCharType="begin"/>
            </w:r>
            <w:r w:rsidR="00B579A2">
              <w:rPr>
                <w:noProof/>
                <w:webHidden/>
              </w:rPr>
              <w:instrText xml:space="preserve"> PAGEREF _Toc228152122 \h </w:instrText>
            </w:r>
            <w:r w:rsidR="00B579A2">
              <w:rPr>
                <w:noProof/>
                <w:webHidden/>
              </w:rPr>
            </w:r>
            <w:r w:rsidR="00B579A2">
              <w:rPr>
                <w:noProof/>
                <w:webHidden/>
              </w:rPr>
              <w:fldChar w:fldCharType="separate"/>
            </w:r>
            <w:r w:rsidR="00B579A2">
              <w:rPr>
                <w:noProof/>
                <w:webHidden/>
              </w:rPr>
              <w:t>6</w:t>
            </w:r>
            <w:r w:rsidR="00B579A2">
              <w:rPr>
                <w:noProof/>
                <w:webHidden/>
              </w:rPr>
              <w:fldChar w:fldCharType="end"/>
            </w:r>
          </w:hyperlink>
        </w:p>
        <w:p w14:paraId="3BE1924E" w14:textId="1A2E6876" w:rsidR="00B579A2" w:rsidRDefault="00631D48">
          <w:pPr>
            <w:pStyle w:val="TOC2"/>
            <w:tabs>
              <w:tab w:val="right" w:leader="dot" w:pos="9376"/>
            </w:tabs>
            <w:rPr>
              <w:noProof/>
            </w:rPr>
          </w:pPr>
          <w:hyperlink w:anchor="_Toc228152123" w:history="1">
            <w:r w:rsidR="00B579A2" w:rsidRPr="00833D24">
              <w:rPr>
                <w:rStyle w:val="Hyperlink"/>
                <w:noProof/>
              </w:rPr>
              <w:t>2.1 PESTLE Analysis</w:t>
            </w:r>
            <w:r w:rsidR="00B579A2">
              <w:rPr>
                <w:noProof/>
                <w:webHidden/>
              </w:rPr>
              <w:tab/>
            </w:r>
            <w:r w:rsidR="00B579A2">
              <w:rPr>
                <w:noProof/>
                <w:webHidden/>
              </w:rPr>
              <w:fldChar w:fldCharType="begin"/>
            </w:r>
            <w:r w:rsidR="00B579A2">
              <w:rPr>
                <w:noProof/>
                <w:webHidden/>
              </w:rPr>
              <w:instrText xml:space="preserve"> PAGEREF _Toc228152123 \h </w:instrText>
            </w:r>
            <w:r w:rsidR="00B579A2">
              <w:rPr>
                <w:noProof/>
                <w:webHidden/>
              </w:rPr>
            </w:r>
            <w:r w:rsidR="00B579A2">
              <w:rPr>
                <w:noProof/>
                <w:webHidden/>
              </w:rPr>
              <w:fldChar w:fldCharType="separate"/>
            </w:r>
            <w:r w:rsidR="00B579A2">
              <w:rPr>
                <w:noProof/>
                <w:webHidden/>
              </w:rPr>
              <w:t>6</w:t>
            </w:r>
            <w:r w:rsidR="00B579A2">
              <w:rPr>
                <w:noProof/>
                <w:webHidden/>
              </w:rPr>
              <w:fldChar w:fldCharType="end"/>
            </w:r>
          </w:hyperlink>
        </w:p>
        <w:p w14:paraId="57B69346" w14:textId="64A75872" w:rsidR="00B579A2" w:rsidRDefault="00631D48">
          <w:pPr>
            <w:pStyle w:val="TOC2"/>
            <w:tabs>
              <w:tab w:val="right" w:leader="dot" w:pos="9376"/>
            </w:tabs>
            <w:rPr>
              <w:noProof/>
            </w:rPr>
          </w:pPr>
          <w:hyperlink w:anchor="_Toc228152124" w:history="1">
            <w:r w:rsidR="00B579A2" w:rsidRPr="00833D24">
              <w:rPr>
                <w:rStyle w:val="Hyperlink"/>
                <w:noProof/>
              </w:rPr>
              <w:t>2.2 Porter's Diamond Model: Standard Chartered's Competitive Position</w:t>
            </w:r>
            <w:r w:rsidR="00B579A2">
              <w:rPr>
                <w:noProof/>
                <w:webHidden/>
              </w:rPr>
              <w:tab/>
            </w:r>
            <w:r w:rsidR="00B579A2">
              <w:rPr>
                <w:noProof/>
                <w:webHidden/>
              </w:rPr>
              <w:fldChar w:fldCharType="begin"/>
            </w:r>
            <w:r w:rsidR="00B579A2">
              <w:rPr>
                <w:noProof/>
                <w:webHidden/>
              </w:rPr>
              <w:instrText xml:space="preserve"> PAGEREF _Toc228152124 \h </w:instrText>
            </w:r>
            <w:r w:rsidR="00B579A2">
              <w:rPr>
                <w:noProof/>
                <w:webHidden/>
              </w:rPr>
            </w:r>
            <w:r w:rsidR="00B579A2">
              <w:rPr>
                <w:noProof/>
                <w:webHidden/>
              </w:rPr>
              <w:fldChar w:fldCharType="separate"/>
            </w:r>
            <w:r w:rsidR="00B579A2">
              <w:rPr>
                <w:noProof/>
                <w:webHidden/>
              </w:rPr>
              <w:t>8</w:t>
            </w:r>
            <w:r w:rsidR="00B579A2">
              <w:rPr>
                <w:noProof/>
                <w:webHidden/>
              </w:rPr>
              <w:fldChar w:fldCharType="end"/>
            </w:r>
          </w:hyperlink>
        </w:p>
        <w:p w14:paraId="123CD593" w14:textId="226D7E82" w:rsidR="00B579A2" w:rsidRDefault="00631D48">
          <w:pPr>
            <w:pStyle w:val="TOC2"/>
            <w:tabs>
              <w:tab w:val="right" w:leader="dot" w:pos="9376"/>
            </w:tabs>
            <w:rPr>
              <w:noProof/>
            </w:rPr>
          </w:pPr>
          <w:hyperlink w:anchor="_Toc228152125" w:history="1">
            <w:r w:rsidR="00B579A2" w:rsidRPr="00833D24">
              <w:rPr>
                <w:rStyle w:val="Hyperlink"/>
                <w:noProof/>
              </w:rPr>
              <w:t>2.3 Porter's Five Forces: Industry Competitive Dynamics</w:t>
            </w:r>
            <w:r w:rsidR="00B579A2">
              <w:rPr>
                <w:noProof/>
                <w:webHidden/>
              </w:rPr>
              <w:tab/>
            </w:r>
            <w:r w:rsidR="00B579A2">
              <w:rPr>
                <w:noProof/>
                <w:webHidden/>
              </w:rPr>
              <w:fldChar w:fldCharType="begin"/>
            </w:r>
            <w:r w:rsidR="00B579A2">
              <w:rPr>
                <w:noProof/>
                <w:webHidden/>
              </w:rPr>
              <w:instrText xml:space="preserve"> PAGEREF _Toc228152125 \h </w:instrText>
            </w:r>
            <w:r w:rsidR="00B579A2">
              <w:rPr>
                <w:noProof/>
                <w:webHidden/>
              </w:rPr>
            </w:r>
            <w:r w:rsidR="00B579A2">
              <w:rPr>
                <w:noProof/>
                <w:webHidden/>
              </w:rPr>
              <w:fldChar w:fldCharType="separate"/>
            </w:r>
            <w:r w:rsidR="00B579A2">
              <w:rPr>
                <w:noProof/>
                <w:webHidden/>
              </w:rPr>
              <w:t>9</w:t>
            </w:r>
            <w:r w:rsidR="00B579A2">
              <w:rPr>
                <w:noProof/>
                <w:webHidden/>
              </w:rPr>
              <w:fldChar w:fldCharType="end"/>
            </w:r>
          </w:hyperlink>
        </w:p>
        <w:p w14:paraId="42DA2685" w14:textId="210E7380" w:rsidR="00B579A2" w:rsidRDefault="00631D48">
          <w:pPr>
            <w:pStyle w:val="TOC2"/>
            <w:tabs>
              <w:tab w:val="right" w:leader="dot" w:pos="9376"/>
            </w:tabs>
            <w:rPr>
              <w:noProof/>
            </w:rPr>
          </w:pPr>
          <w:hyperlink w:anchor="_Toc228152126" w:history="1">
            <w:r w:rsidR="00B579A2" w:rsidRPr="00833D24">
              <w:rPr>
                <w:rStyle w:val="Hyperlink"/>
                <w:noProof/>
              </w:rPr>
              <w:t>2.4 Risk Management and AI</w:t>
            </w:r>
            <w:r w:rsidR="00B579A2">
              <w:rPr>
                <w:noProof/>
                <w:webHidden/>
              </w:rPr>
              <w:tab/>
            </w:r>
            <w:r w:rsidR="00B579A2">
              <w:rPr>
                <w:noProof/>
                <w:webHidden/>
              </w:rPr>
              <w:fldChar w:fldCharType="begin"/>
            </w:r>
            <w:r w:rsidR="00B579A2">
              <w:rPr>
                <w:noProof/>
                <w:webHidden/>
              </w:rPr>
              <w:instrText xml:space="preserve"> PAGEREF _Toc228152126 \h </w:instrText>
            </w:r>
            <w:r w:rsidR="00B579A2">
              <w:rPr>
                <w:noProof/>
                <w:webHidden/>
              </w:rPr>
            </w:r>
            <w:r w:rsidR="00B579A2">
              <w:rPr>
                <w:noProof/>
                <w:webHidden/>
              </w:rPr>
              <w:fldChar w:fldCharType="separate"/>
            </w:r>
            <w:r w:rsidR="00B579A2">
              <w:rPr>
                <w:noProof/>
                <w:webHidden/>
              </w:rPr>
              <w:t>11</w:t>
            </w:r>
            <w:r w:rsidR="00B579A2">
              <w:rPr>
                <w:noProof/>
                <w:webHidden/>
              </w:rPr>
              <w:fldChar w:fldCharType="end"/>
            </w:r>
          </w:hyperlink>
        </w:p>
        <w:p w14:paraId="4604860C" w14:textId="21BC1ED5" w:rsidR="00B579A2" w:rsidRDefault="00631D48">
          <w:pPr>
            <w:pStyle w:val="TOC2"/>
            <w:tabs>
              <w:tab w:val="right" w:leader="dot" w:pos="9376"/>
            </w:tabs>
            <w:rPr>
              <w:noProof/>
            </w:rPr>
          </w:pPr>
          <w:hyperlink w:anchor="_Toc228152127" w:history="1">
            <w:r w:rsidR="00B579A2" w:rsidRPr="00833D24">
              <w:rPr>
                <w:rStyle w:val="Hyperlink"/>
                <w:noProof/>
              </w:rPr>
              <w:t>2.5 Corporate Governance, Ethical AI and Hofstede's Cultural Dimensions</w:t>
            </w:r>
            <w:r w:rsidR="00B579A2">
              <w:rPr>
                <w:noProof/>
                <w:webHidden/>
              </w:rPr>
              <w:tab/>
            </w:r>
            <w:r w:rsidR="00B579A2">
              <w:rPr>
                <w:noProof/>
                <w:webHidden/>
              </w:rPr>
              <w:fldChar w:fldCharType="begin"/>
            </w:r>
            <w:r w:rsidR="00B579A2">
              <w:rPr>
                <w:noProof/>
                <w:webHidden/>
              </w:rPr>
              <w:instrText xml:space="preserve"> PAGEREF _Toc228152127 \h </w:instrText>
            </w:r>
            <w:r w:rsidR="00B579A2">
              <w:rPr>
                <w:noProof/>
                <w:webHidden/>
              </w:rPr>
            </w:r>
            <w:r w:rsidR="00B579A2">
              <w:rPr>
                <w:noProof/>
                <w:webHidden/>
              </w:rPr>
              <w:fldChar w:fldCharType="separate"/>
            </w:r>
            <w:r w:rsidR="00B579A2">
              <w:rPr>
                <w:noProof/>
                <w:webHidden/>
              </w:rPr>
              <w:t>13</w:t>
            </w:r>
            <w:r w:rsidR="00B579A2">
              <w:rPr>
                <w:noProof/>
                <w:webHidden/>
              </w:rPr>
              <w:fldChar w:fldCharType="end"/>
            </w:r>
          </w:hyperlink>
        </w:p>
        <w:p w14:paraId="36974A02" w14:textId="5EEF2658" w:rsidR="00B579A2" w:rsidRDefault="00631D48">
          <w:pPr>
            <w:pStyle w:val="TOC1"/>
            <w:tabs>
              <w:tab w:val="right" w:leader="dot" w:pos="9376"/>
            </w:tabs>
            <w:rPr>
              <w:noProof/>
            </w:rPr>
          </w:pPr>
          <w:hyperlink w:anchor="_Toc228152128" w:history="1">
            <w:r w:rsidR="00B579A2" w:rsidRPr="00833D24">
              <w:rPr>
                <w:rStyle w:val="Hyperlink"/>
                <w:noProof/>
              </w:rPr>
              <w:t>3. Implementation Plan</w:t>
            </w:r>
            <w:r w:rsidR="00B579A2">
              <w:rPr>
                <w:noProof/>
                <w:webHidden/>
              </w:rPr>
              <w:tab/>
            </w:r>
            <w:r w:rsidR="00B579A2">
              <w:rPr>
                <w:noProof/>
                <w:webHidden/>
              </w:rPr>
              <w:fldChar w:fldCharType="begin"/>
            </w:r>
            <w:r w:rsidR="00B579A2">
              <w:rPr>
                <w:noProof/>
                <w:webHidden/>
              </w:rPr>
              <w:instrText xml:space="preserve"> PAGEREF _Toc228152128 \h </w:instrText>
            </w:r>
            <w:r w:rsidR="00B579A2">
              <w:rPr>
                <w:noProof/>
                <w:webHidden/>
              </w:rPr>
            </w:r>
            <w:r w:rsidR="00B579A2">
              <w:rPr>
                <w:noProof/>
                <w:webHidden/>
              </w:rPr>
              <w:fldChar w:fldCharType="separate"/>
            </w:r>
            <w:r w:rsidR="00B579A2">
              <w:rPr>
                <w:noProof/>
                <w:webHidden/>
              </w:rPr>
              <w:t>16</w:t>
            </w:r>
            <w:r w:rsidR="00B579A2">
              <w:rPr>
                <w:noProof/>
                <w:webHidden/>
              </w:rPr>
              <w:fldChar w:fldCharType="end"/>
            </w:r>
          </w:hyperlink>
        </w:p>
        <w:p w14:paraId="64FF0BC9" w14:textId="45FD5886" w:rsidR="00B579A2" w:rsidRDefault="00631D48">
          <w:pPr>
            <w:pStyle w:val="TOC3"/>
            <w:tabs>
              <w:tab w:val="right" w:leader="dot" w:pos="9376"/>
            </w:tabs>
            <w:rPr>
              <w:noProof/>
            </w:rPr>
          </w:pPr>
          <w:hyperlink w:anchor="_Toc228152129" w:history="1">
            <w:r w:rsidR="00B579A2" w:rsidRPr="00833D24">
              <w:rPr>
                <w:rStyle w:val="Hyperlink"/>
                <w:noProof/>
              </w:rPr>
              <w:t>Short-Term (0–12 Months): Governance Foundations</w:t>
            </w:r>
            <w:r w:rsidR="00B579A2">
              <w:rPr>
                <w:noProof/>
                <w:webHidden/>
              </w:rPr>
              <w:tab/>
            </w:r>
            <w:r w:rsidR="00B579A2">
              <w:rPr>
                <w:noProof/>
                <w:webHidden/>
              </w:rPr>
              <w:fldChar w:fldCharType="begin"/>
            </w:r>
            <w:r w:rsidR="00B579A2">
              <w:rPr>
                <w:noProof/>
                <w:webHidden/>
              </w:rPr>
              <w:instrText xml:space="preserve"> PAGEREF _Toc228152129 \h </w:instrText>
            </w:r>
            <w:r w:rsidR="00B579A2">
              <w:rPr>
                <w:noProof/>
                <w:webHidden/>
              </w:rPr>
            </w:r>
            <w:r w:rsidR="00B579A2">
              <w:rPr>
                <w:noProof/>
                <w:webHidden/>
              </w:rPr>
              <w:fldChar w:fldCharType="separate"/>
            </w:r>
            <w:r w:rsidR="00B579A2">
              <w:rPr>
                <w:noProof/>
                <w:webHidden/>
              </w:rPr>
              <w:t>16</w:t>
            </w:r>
            <w:r w:rsidR="00B579A2">
              <w:rPr>
                <w:noProof/>
                <w:webHidden/>
              </w:rPr>
              <w:fldChar w:fldCharType="end"/>
            </w:r>
          </w:hyperlink>
        </w:p>
        <w:p w14:paraId="27740ECA" w14:textId="7EEB9262" w:rsidR="00B579A2" w:rsidRDefault="00631D48">
          <w:pPr>
            <w:pStyle w:val="TOC3"/>
            <w:tabs>
              <w:tab w:val="right" w:leader="dot" w:pos="9376"/>
            </w:tabs>
            <w:rPr>
              <w:noProof/>
            </w:rPr>
          </w:pPr>
          <w:hyperlink w:anchor="_Toc228152130" w:history="1">
            <w:r w:rsidR="00B579A2" w:rsidRPr="00833D24">
              <w:rPr>
                <w:rStyle w:val="Hyperlink"/>
                <w:noProof/>
              </w:rPr>
              <w:t>Medium-Term (1–3 Years): Capability and Compliance Investment</w:t>
            </w:r>
            <w:r w:rsidR="00B579A2">
              <w:rPr>
                <w:noProof/>
                <w:webHidden/>
              </w:rPr>
              <w:tab/>
            </w:r>
            <w:r w:rsidR="00B579A2">
              <w:rPr>
                <w:noProof/>
                <w:webHidden/>
              </w:rPr>
              <w:fldChar w:fldCharType="begin"/>
            </w:r>
            <w:r w:rsidR="00B579A2">
              <w:rPr>
                <w:noProof/>
                <w:webHidden/>
              </w:rPr>
              <w:instrText xml:space="preserve"> PAGEREF _Toc228152130 \h </w:instrText>
            </w:r>
            <w:r w:rsidR="00B579A2">
              <w:rPr>
                <w:noProof/>
                <w:webHidden/>
              </w:rPr>
            </w:r>
            <w:r w:rsidR="00B579A2">
              <w:rPr>
                <w:noProof/>
                <w:webHidden/>
              </w:rPr>
              <w:fldChar w:fldCharType="separate"/>
            </w:r>
            <w:r w:rsidR="00B579A2">
              <w:rPr>
                <w:noProof/>
                <w:webHidden/>
              </w:rPr>
              <w:t>17</w:t>
            </w:r>
            <w:r w:rsidR="00B579A2">
              <w:rPr>
                <w:noProof/>
                <w:webHidden/>
              </w:rPr>
              <w:fldChar w:fldCharType="end"/>
            </w:r>
          </w:hyperlink>
        </w:p>
        <w:p w14:paraId="2A681D06" w14:textId="0DE2FD62" w:rsidR="00B579A2" w:rsidRDefault="00631D48">
          <w:pPr>
            <w:pStyle w:val="TOC3"/>
            <w:tabs>
              <w:tab w:val="right" w:leader="dot" w:pos="9376"/>
            </w:tabs>
            <w:rPr>
              <w:noProof/>
            </w:rPr>
          </w:pPr>
          <w:hyperlink w:anchor="_Toc228152131" w:history="1">
            <w:r w:rsidR="00B579A2" w:rsidRPr="00833D24">
              <w:rPr>
                <w:rStyle w:val="Hyperlink"/>
                <w:noProof/>
              </w:rPr>
              <w:t>Long-Term (3–5 Years): Strategic Positioning and Futureproofing</w:t>
            </w:r>
            <w:r w:rsidR="00B579A2">
              <w:rPr>
                <w:noProof/>
                <w:webHidden/>
              </w:rPr>
              <w:tab/>
            </w:r>
            <w:r w:rsidR="00B579A2">
              <w:rPr>
                <w:noProof/>
                <w:webHidden/>
              </w:rPr>
              <w:fldChar w:fldCharType="begin"/>
            </w:r>
            <w:r w:rsidR="00B579A2">
              <w:rPr>
                <w:noProof/>
                <w:webHidden/>
              </w:rPr>
              <w:instrText xml:space="preserve"> PAGEREF _Toc228152131 \h </w:instrText>
            </w:r>
            <w:r w:rsidR="00B579A2">
              <w:rPr>
                <w:noProof/>
                <w:webHidden/>
              </w:rPr>
            </w:r>
            <w:r w:rsidR="00B579A2">
              <w:rPr>
                <w:noProof/>
                <w:webHidden/>
              </w:rPr>
              <w:fldChar w:fldCharType="separate"/>
            </w:r>
            <w:r w:rsidR="00B579A2">
              <w:rPr>
                <w:noProof/>
                <w:webHidden/>
              </w:rPr>
              <w:t>17</w:t>
            </w:r>
            <w:r w:rsidR="00B579A2">
              <w:rPr>
                <w:noProof/>
                <w:webHidden/>
              </w:rPr>
              <w:fldChar w:fldCharType="end"/>
            </w:r>
          </w:hyperlink>
        </w:p>
        <w:p w14:paraId="772E2726" w14:textId="43579135" w:rsidR="00B579A2" w:rsidRDefault="00631D48">
          <w:pPr>
            <w:pStyle w:val="TOC1"/>
            <w:tabs>
              <w:tab w:val="right" w:leader="dot" w:pos="9376"/>
            </w:tabs>
            <w:rPr>
              <w:noProof/>
            </w:rPr>
          </w:pPr>
          <w:hyperlink w:anchor="_Toc228152132" w:history="1">
            <w:r w:rsidR="00B579A2" w:rsidRPr="00833D24">
              <w:rPr>
                <w:rStyle w:val="Hyperlink"/>
                <w:noProof/>
              </w:rPr>
              <w:t>4. Conclusion</w:t>
            </w:r>
            <w:r w:rsidR="00B579A2">
              <w:rPr>
                <w:noProof/>
                <w:webHidden/>
              </w:rPr>
              <w:tab/>
            </w:r>
            <w:r w:rsidR="00B579A2">
              <w:rPr>
                <w:noProof/>
                <w:webHidden/>
              </w:rPr>
              <w:fldChar w:fldCharType="begin"/>
            </w:r>
            <w:r w:rsidR="00B579A2">
              <w:rPr>
                <w:noProof/>
                <w:webHidden/>
              </w:rPr>
              <w:instrText xml:space="preserve"> PAGEREF _Toc228152132 \h </w:instrText>
            </w:r>
            <w:r w:rsidR="00B579A2">
              <w:rPr>
                <w:noProof/>
                <w:webHidden/>
              </w:rPr>
            </w:r>
            <w:r w:rsidR="00B579A2">
              <w:rPr>
                <w:noProof/>
                <w:webHidden/>
              </w:rPr>
              <w:fldChar w:fldCharType="separate"/>
            </w:r>
            <w:r w:rsidR="00B579A2">
              <w:rPr>
                <w:noProof/>
                <w:webHidden/>
              </w:rPr>
              <w:t>19</w:t>
            </w:r>
            <w:r w:rsidR="00B579A2">
              <w:rPr>
                <w:noProof/>
                <w:webHidden/>
              </w:rPr>
              <w:fldChar w:fldCharType="end"/>
            </w:r>
          </w:hyperlink>
        </w:p>
        <w:p w14:paraId="40A0D0F2" w14:textId="39DF014D" w:rsidR="00B579A2" w:rsidRDefault="00631D48">
          <w:pPr>
            <w:pStyle w:val="TOC1"/>
            <w:tabs>
              <w:tab w:val="right" w:leader="dot" w:pos="9376"/>
            </w:tabs>
            <w:rPr>
              <w:noProof/>
            </w:rPr>
          </w:pPr>
          <w:hyperlink w:anchor="_Toc228152133" w:history="1">
            <w:r w:rsidR="00B579A2" w:rsidRPr="00833D24">
              <w:rPr>
                <w:rStyle w:val="Hyperlink"/>
                <w:noProof/>
              </w:rPr>
              <w:t>5. Bibliography</w:t>
            </w:r>
            <w:r w:rsidR="00B579A2">
              <w:rPr>
                <w:noProof/>
                <w:webHidden/>
              </w:rPr>
              <w:tab/>
            </w:r>
            <w:r w:rsidR="00B579A2">
              <w:rPr>
                <w:noProof/>
                <w:webHidden/>
              </w:rPr>
              <w:fldChar w:fldCharType="begin"/>
            </w:r>
            <w:r w:rsidR="00B579A2">
              <w:rPr>
                <w:noProof/>
                <w:webHidden/>
              </w:rPr>
              <w:instrText xml:space="preserve"> PAGEREF _Toc228152133 \h </w:instrText>
            </w:r>
            <w:r w:rsidR="00B579A2">
              <w:rPr>
                <w:noProof/>
                <w:webHidden/>
              </w:rPr>
            </w:r>
            <w:r w:rsidR="00B579A2">
              <w:rPr>
                <w:noProof/>
                <w:webHidden/>
              </w:rPr>
              <w:fldChar w:fldCharType="separate"/>
            </w:r>
            <w:r w:rsidR="00B579A2">
              <w:rPr>
                <w:noProof/>
                <w:webHidden/>
              </w:rPr>
              <w:t>20</w:t>
            </w:r>
            <w:r w:rsidR="00B579A2">
              <w:rPr>
                <w:noProof/>
                <w:webHidden/>
              </w:rPr>
              <w:fldChar w:fldCharType="end"/>
            </w:r>
          </w:hyperlink>
        </w:p>
        <w:p w14:paraId="7B0857B6" w14:textId="3B41B3DA" w:rsidR="00B579A2" w:rsidRDefault="00B579A2">
          <w:r>
            <w:rPr>
              <w:b/>
              <w:bCs/>
              <w:noProof/>
            </w:rPr>
            <w:fldChar w:fldCharType="end"/>
          </w:r>
        </w:p>
      </w:sdtContent>
    </w:sdt>
    <w:p w14:paraId="4B77FA08" w14:textId="77777777" w:rsidR="00D106DC" w:rsidRDefault="00D106DC" w:rsidP="00A440A8">
      <w:pPr>
        <w:spacing w:line="360" w:lineRule="auto"/>
        <w:jc w:val="both"/>
      </w:pPr>
    </w:p>
    <w:p w14:paraId="5DFC8C23" w14:textId="77777777" w:rsidR="00D106DC" w:rsidRDefault="00D106DC" w:rsidP="00A440A8">
      <w:pPr>
        <w:spacing w:line="360" w:lineRule="auto"/>
        <w:jc w:val="both"/>
      </w:pPr>
    </w:p>
    <w:p w14:paraId="3D06D17C" w14:textId="54BFD288" w:rsidR="007E4A8F" w:rsidRDefault="00B579A2" w:rsidP="00A440A8">
      <w:pPr>
        <w:spacing w:line="360" w:lineRule="auto"/>
        <w:jc w:val="both"/>
      </w:pPr>
      <w:r>
        <w:br w:type="page"/>
      </w:r>
    </w:p>
    <w:p w14:paraId="499F4F26" w14:textId="77777777" w:rsidR="007E4A8F" w:rsidRDefault="00B579A2" w:rsidP="00A440A8">
      <w:pPr>
        <w:pStyle w:val="Heading1"/>
        <w:spacing w:line="360" w:lineRule="auto"/>
        <w:jc w:val="both"/>
      </w:pPr>
      <w:bookmarkStart w:id="1" w:name="_Toc228152121"/>
      <w:r>
        <w:lastRenderedPageBreak/>
        <w:t>1. Introduction</w:t>
      </w:r>
      <w:bookmarkEnd w:id="1"/>
    </w:p>
    <w:p w14:paraId="6D61557D" w14:textId="77777777" w:rsidR="00D71451" w:rsidRDefault="00D71451" w:rsidP="00D71451">
      <w:pPr>
        <w:spacing w:line="360" w:lineRule="auto"/>
        <w:jc w:val="both"/>
      </w:pPr>
      <w:r>
        <w:t>As a cross-border institution and not a domestic retail bank, Standard Chartered plc earns about 90 per cent of its profits in Asia, Africa and the Middle East ( Standard Chartered, 2024). This distinctive indicator implicates the regulation of artificial intelligence, particularly considering that the risks and opportunities generated by AI vary widely among the jurisdictions that SC operates.</w:t>
      </w:r>
    </w:p>
    <w:p w14:paraId="4A199CE9" w14:textId="77777777" w:rsidR="00D71451" w:rsidRDefault="00D71451" w:rsidP="00D71451">
      <w:pPr>
        <w:spacing w:line="360" w:lineRule="auto"/>
        <w:jc w:val="both"/>
      </w:pPr>
      <w:r>
        <w:t>Artificial intelligence is no longer a peripheral technology in the banking industry. Cao (2023) notes that currently, AI has penetrated the financial services industry in almost all areas, such as credit underwriting and fraud detection, customer engagement, and regulatory reporting. With a bank like SC, which deals with markets with different data protection systems, cultural expectations on transparency, level of regulatory maturity, AI governance is not merely a compliance matter, but a strategic one as well. As the Global Risks Report (2026) by the World Economic forum indicates, it is in the list of the most disastrous threats to global business in the near future, which can only justify the need of a systematic approach, the dangers of AI-related risks, including misinformation and cyber insecurity.</w:t>
      </w:r>
    </w:p>
    <w:p w14:paraId="53A58444" w14:textId="77777777" w:rsidR="00D71451" w:rsidRDefault="00D71451" w:rsidP="00D71451">
      <w:pPr>
        <w:spacing w:line="360" w:lineRule="auto"/>
        <w:jc w:val="both"/>
      </w:pPr>
      <w:r>
        <w:t>In this report, the case of SC is contrasted against the two geographical backgrounds of the United Kingdom where the main office of SC is located and is regulated by the Financial Conduct Authority (FCA) and Prudential Regulation Authority (PRA) and Singapore, which is the most significant Asian market of SC and is governed by the Monetary Authority of Singapore (MAS). The distinction between the two regulatory ecosystems is analytically interesting. The UK has selected a principles-based, pro-innovation model of regulating AI (UK Government, 2023). Quite to the contrary, Singapore has developed the FEAT ( Fairness, Ethics, Accountability and Transparency ) principles and the corresponding Veritas Toolkit, which are specific to the financial industry ( Monetary Authority of Singapore, 2020). These two frameworks, together, represent a large slice of the global discourse regarding AI regulation in banking.</w:t>
      </w:r>
    </w:p>
    <w:p w14:paraId="7F06B619" w14:textId="0FCFF494" w:rsidR="007E4A8F" w:rsidRDefault="00D71451" w:rsidP="00D71451">
      <w:pPr>
        <w:spacing w:line="360" w:lineRule="auto"/>
        <w:jc w:val="both"/>
      </w:pPr>
      <w:r>
        <w:t>The report analyses the strategic environment of SC using PESTLE analysis, Porters Diamond and Five Forces models, risk management theory and Hofstede cultural dimensions model. It concludes with a stepped implementation plan which will be proactive and not reactive. It will be intended to demonstrate that responsible AI adoption can also garner sustainable competitive advantage to SC, provided that the governance frameworks are robust enough and progressive in the regulatory direction of travel.</w:t>
      </w:r>
      <w:r w:rsidR="00B579A2">
        <w:br w:type="page"/>
      </w:r>
    </w:p>
    <w:p w14:paraId="3F84E71A" w14:textId="77777777" w:rsidR="007E4A8F" w:rsidRDefault="00B579A2" w:rsidP="00A440A8">
      <w:pPr>
        <w:pStyle w:val="Heading1"/>
        <w:spacing w:line="360" w:lineRule="auto"/>
        <w:jc w:val="both"/>
      </w:pPr>
      <w:bookmarkStart w:id="2" w:name="_Toc228152122"/>
      <w:r>
        <w:lastRenderedPageBreak/>
        <w:t>2. Main Findings</w:t>
      </w:r>
      <w:bookmarkEnd w:id="2"/>
    </w:p>
    <w:p w14:paraId="68A29A66" w14:textId="77777777" w:rsidR="007E4A8F" w:rsidRDefault="00B579A2" w:rsidP="00A440A8">
      <w:pPr>
        <w:pStyle w:val="Heading2"/>
        <w:spacing w:line="360" w:lineRule="auto"/>
        <w:jc w:val="both"/>
      </w:pPr>
      <w:bookmarkStart w:id="3" w:name="_Toc228152123"/>
      <w:r>
        <w:t>2.1 PESTLE Analysis</w:t>
      </w:r>
      <w:bookmarkEnd w:id="3"/>
    </w:p>
    <w:p w14:paraId="3C6B745F" w14:textId="72334C9A" w:rsidR="007E4A8F" w:rsidRDefault="00D13B99" w:rsidP="00A440A8">
      <w:pPr>
        <w:spacing w:before="80" w:after="160" w:line="360" w:lineRule="auto"/>
        <w:jc w:val="both"/>
      </w:pPr>
      <w:r w:rsidRPr="00D13B99">
        <w:t xml:space="preserve">The PESTLE model, proposed by Aguilar (1967) and </w:t>
      </w:r>
      <w:r w:rsidR="00C0770A">
        <w:t xml:space="preserve">widely used in the strategic management literature, is a systematic framework for analysing the macro-environmental factors influencing SC's AI strategy </w:t>
      </w:r>
      <w:r w:rsidRPr="00D13B99">
        <w:t xml:space="preserve">in its two targeted markets. </w:t>
      </w:r>
      <w:r w:rsidR="00C0770A">
        <w:t>The following analysis is presented in tabular form to aid understanding,</w:t>
      </w:r>
      <w:r w:rsidRPr="00D13B99">
        <w:t xml:space="preserve"> followed by elaboration in the discussion below.</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3763"/>
        <w:gridCol w:w="3763"/>
      </w:tblGrid>
      <w:tr w:rsidR="007E4A8F" w14:paraId="44CEE418" w14:textId="77777777">
        <w:trPr>
          <w:tblHeader/>
        </w:trPr>
        <w:tc>
          <w:tcPr>
            <w:tcW w:w="1500" w:type="dxa"/>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vAlign w:val="center"/>
          </w:tcPr>
          <w:p w14:paraId="015C2C0B" w14:textId="77777777" w:rsidR="007E4A8F" w:rsidRDefault="00B579A2" w:rsidP="00A440A8">
            <w:pPr>
              <w:spacing w:line="360" w:lineRule="auto"/>
              <w:jc w:val="both"/>
            </w:pPr>
            <w:r>
              <w:rPr>
                <w:b/>
                <w:bCs/>
                <w:color w:val="FFFFFF"/>
                <w:sz w:val="18"/>
                <w:szCs w:val="18"/>
              </w:rPr>
              <w:t>PESTLE Factor</w:t>
            </w:r>
          </w:p>
        </w:tc>
        <w:tc>
          <w:tcPr>
            <w:tcW w:w="3763" w:type="dxa"/>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vAlign w:val="center"/>
          </w:tcPr>
          <w:p w14:paraId="48125911" w14:textId="77777777" w:rsidR="007E4A8F" w:rsidRDefault="00B579A2" w:rsidP="00A440A8">
            <w:pPr>
              <w:spacing w:line="360" w:lineRule="auto"/>
              <w:jc w:val="both"/>
            </w:pPr>
            <w:r>
              <w:rPr>
                <w:b/>
                <w:bCs/>
                <w:color w:val="FFFFFF"/>
                <w:sz w:val="18"/>
                <w:szCs w:val="18"/>
              </w:rPr>
              <w:t>United Kingdom</w:t>
            </w:r>
          </w:p>
        </w:tc>
        <w:tc>
          <w:tcPr>
            <w:tcW w:w="3763" w:type="dxa"/>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vAlign w:val="center"/>
          </w:tcPr>
          <w:p w14:paraId="02EFCE6D" w14:textId="77777777" w:rsidR="007E4A8F" w:rsidRDefault="00B579A2" w:rsidP="00A440A8">
            <w:pPr>
              <w:spacing w:line="360" w:lineRule="auto"/>
              <w:jc w:val="both"/>
            </w:pPr>
            <w:r>
              <w:rPr>
                <w:b/>
                <w:bCs/>
                <w:color w:val="FFFFFF"/>
                <w:sz w:val="18"/>
                <w:szCs w:val="18"/>
              </w:rPr>
              <w:t>Singapore</w:t>
            </w:r>
          </w:p>
        </w:tc>
      </w:tr>
      <w:tr w:rsidR="007E4A8F" w14:paraId="37626C5E" w14:textId="77777777">
        <w:tc>
          <w:tcPr>
            <w:tcW w:w="15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501144E9" w14:textId="77777777" w:rsidR="007E4A8F" w:rsidRDefault="00B579A2" w:rsidP="00A440A8">
            <w:pPr>
              <w:spacing w:line="360" w:lineRule="auto"/>
              <w:jc w:val="both"/>
            </w:pPr>
            <w:r>
              <w:rPr>
                <w:sz w:val="18"/>
                <w:szCs w:val="18"/>
              </w:rPr>
              <w:t>Political</w:t>
            </w:r>
          </w:p>
        </w:tc>
        <w:tc>
          <w:tcPr>
            <w:tcW w:w="3763"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418D8778" w14:textId="77777777" w:rsidR="007E4A8F" w:rsidRDefault="00B579A2" w:rsidP="00A440A8">
            <w:pPr>
              <w:spacing w:line="360" w:lineRule="auto"/>
              <w:jc w:val="both"/>
            </w:pPr>
            <w:r>
              <w:rPr>
                <w:sz w:val="18"/>
                <w:szCs w:val="18"/>
              </w:rPr>
              <w:t>UK: Pro-innovation AI White Paper (UK Government, 2023); FCA principles-based supervision. Geopolitical rivalry intensifying around financial data and technology supply chains (Guo et al., 2025).</w:t>
            </w:r>
          </w:p>
        </w:tc>
        <w:tc>
          <w:tcPr>
            <w:tcW w:w="3763"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6D92E4DA" w14:textId="77777777" w:rsidR="007E4A8F" w:rsidRDefault="00B579A2" w:rsidP="00A440A8">
            <w:pPr>
              <w:spacing w:line="360" w:lineRule="auto"/>
              <w:jc w:val="both"/>
            </w:pPr>
            <w:r>
              <w:rPr>
                <w:sz w:val="18"/>
                <w:szCs w:val="18"/>
              </w:rPr>
              <w:t>Singapore: MAS FEAT principles (MAS, 2020); Project Mindforge (2023) for generative AI in finance. Strong state-directed AI investment under NAIS.</w:t>
            </w:r>
          </w:p>
        </w:tc>
      </w:tr>
      <w:tr w:rsidR="007E4A8F" w14:paraId="1876FB74" w14:textId="77777777">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55E41EA6" w14:textId="77777777" w:rsidR="007E4A8F" w:rsidRDefault="00B579A2" w:rsidP="00A440A8">
            <w:pPr>
              <w:spacing w:line="360" w:lineRule="auto"/>
              <w:jc w:val="both"/>
            </w:pPr>
            <w:r>
              <w:rPr>
                <w:sz w:val="18"/>
                <w:szCs w:val="18"/>
              </w:rPr>
              <w:t>Economic</w:t>
            </w:r>
          </w:p>
        </w:tc>
        <w:tc>
          <w:tcPr>
            <w:tcW w:w="376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2B78B19B" w14:textId="78691B47" w:rsidR="007E4A8F" w:rsidRDefault="00B579A2" w:rsidP="00A440A8">
            <w:pPr>
              <w:spacing w:line="360" w:lineRule="auto"/>
              <w:jc w:val="both"/>
            </w:pPr>
            <w:r>
              <w:rPr>
                <w:sz w:val="18"/>
                <w:szCs w:val="18"/>
              </w:rPr>
              <w:t xml:space="preserve">UK: High inflation environment, post-Brexit regulatory divergence from </w:t>
            </w:r>
            <w:r w:rsidR="0043104B">
              <w:rPr>
                <w:sz w:val="18"/>
                <w:szCs w:val="18"/>
              </w:rPr>
              <w:t xml:space="preserve">the </w:t>
            </w:r>
            <w:r>
              <w:rPr>
                <w:sz w:val="18"/>
                <w:szCs w:val="18"/>
              </w:rPr>
              <w:t xml:space="preserve">EU. AI </w:t>
            </w:r>
            <w:r w:rsidR="0043104B">
              <w:rPr>
                <w:sz w:val="18"/>
                <w:szCs w:val="18"/>
              </w:rPr>
              <w:t xml:space="preserve">is </w:t>
            </w:r>
            <w:r>
              <w:rPr>
                <w:sz w:val="18"/>
                <w:szCs w:val="18"/>
              </w:rPr>
              <w:t>projected to add significant value to financial sector productivity (Bughin et al., 2018).</w:t>
            </w:r>
          </w:p>
        </w:tc>
        <w:tc>
          <w:tcPr>
            <w:tcW w:w="376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50423EFB" w14:textId="4ACBBDEB" w:rsidR="007E4A8F" w:rsidRDefault="00B579A2" w:rsidP="00A440A8">
            <w:pPr>
              <w:spacing w:line="360" w:lineRule="auto"/>
              <w:jc w:val="both"/>
            </w:pPr>
            <w:r>
              <w:rPr>
                <w:sz w:val="18"/>
                <w:szCs w:val="18"/>
              </w:rPr>
              <w:t xml:space="preserve">Singapore: </w:t>
            </w:r>
            <w:r w:rsidR="0043104B">
              <w:rPr>
                <w:sz w:val="18"/>
                <w:szCs w:val="18"/>
              </w:rPr>
              <w:t xml:space="preserve">A stable, trade-dependent economy with a </w:t>
            </w:r>
            <w:r>
              <w:rPr>
                <w:sz w:val="18"/>
                <w:szCs w:val="18"/>
              </w:rPr>
              <w:t>strong fintech ecosystem. MAS actively incentivises AI investment in financial services.</w:t>
            </w:r>
          </w:p>
        </w:tc>
      </w:tr>
      <w:tr w:rsidR="007E4A8F" w14:paraId="21D49FD9" w14:textId="77777777">
        <w:tc>
          <w:tcPr>
            <w:tcW w:w="15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27994392" w14:textId="77777777" w:rsidR="007E4A8F" w:rsidRDefault="00B579A2" w:rsidP="00A440A8">
            <w:pPr>
              <w:spacing w:line="360" w:lineRule="auto"/>
              <w:jc w:val="both"/>
            </w:pPr>
            <w:r>
              <w:rPr>
                <w:sz w:val="18"/>
                <w:szCs w:val="18"/>
              </w:rPr>
              <w:t>Social</w:t>
            </w:r>
          </w:p>
        </w:tc>
        <w:tc>
          <w:tcPr>
            <w:tcW w:w="3763"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3DC1F4E2" w14:textId="2D8C0537" w:rsidR="007E4A8F" w:rsidRDefault="00B579A2" w:rsidP="00A440A8">
            <w:pPr>
              <w:spacing w:line="360" w:lineRule="auto"/>
              <w:jc w:val="both"/>
            </w:pPr>
            <w:r>
              <w:rPr>
                <w:sz w:val="18"/>
                <w:szCs w:val="18"/>
              </w:rPr>
              <w:t xml:space="preserve">UK: Growing public concern over algorithmic bias and data privacy. </w:t>
            </w:r>
            <w:r w:rsidR="0043104B">
              <w:rPr>
                <w:sz w:val="18"/>
                <w:szCs w:val="18"/>
              </w:rPr>
              <w:t>FCA's</w:t>
            </w:r>
            <w:r>
              <w:rPr>
                <w:sz w:val="18"/>
                <w:szCs w:val="18"/>
              </w:rPr>
              <w:t xml:space="preserve"> emphasis on Consumer Duty reflects shifting expectations around fairness (FCA, 2024).</w:t>
            </w:r>
          </w:p>
        </w:tc>
        <w:tc>
          <w:tcPr>
            <w:tcW w:w="3763"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54DC4875" w14:textId="1D35AD75" w:rsidR="007E4A8F" w:rsidRDefault="00B579A2" w:rsidP="00A440A8">
            <w:pPr>
              <w:spacing w:line="360" w:lineRule="auto"/>
              <w:jc w:val="both"/>
            </w:pPr>
            <w:r>
              <w:rPr>
                <w:sz w:val="18"/>
                <w:szCs w:val="18"/>
              </w:rPr>
              <w:t xml:space="preserve">Singapore: High technology acceptance; cultural orientation towards long-term planning (Hofstede, 2011). Public trust in state-aligned institutions </w:t>
            </w:r>
            <w:r w:rsidR="0043104B">
              <w:rPr>
                <w:sz w:val="18"/>
                <w:szCs w:val="18"/>
              </w:rPr>
              <w:t xml:space="preserve">is </w:t>
            </w:r>
            <w:r>
              <w:rPr>
                <w:sz w:val="18"/>
                <w:szCs w:val="18"/>
              </w:rPr>
              <w:t>generally high.</w:t>
            </w:r>
          </w:p>
        </w:tc>
      </w:tr>
      <w:tr w:rsidR="007E4A8F" w14:paraId="67D41B71" w14:textId="77777777">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75051E85" w14:textId="77777777" w:rsidR="007E4A8F" w:rsidRDefault="00B579A2" w:rsidP="00A440A8">
            <w:pPr>
              <w:spacing w:line="360" w:lineRule="auto"/>
              <w:jc w:val="both"/>
            </w:pPr>
            <w:r>
              <w:rPr>
                <w:sz w:val="18"/>
                <w:szCs w:val="18"/>
              </w:rPr>
              <w:t>Technological</w:t>
            </w:r>
          </w:p>
        </w:tc>
        <w:tc>
          <w:tcPr>
            <w:tcW w:w="376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6070DA96" w14:textId="27F42C65" w:rsidR="007E4A8F" w:rsidRDefault="00B579A2" w:rsidP="00A440A8">
            <w:pPr>
              <w:spacing w:line="360" w:lineRule="auto"/>
              <w:jc w:val="both"/>
            </w:pPr>
            <w:r>
              <w:rPr>
                <w:sz w:val="18"/>
                <w:szCs w:val="18"/>
              </w:rPr>
              <w:t xml:space="preserve">UK: Rapid adoption of AI across financial services — 75% of firms already deploying AI (Bank of England and FCA, 2024). Generative AI use cases </w:t>
            </w:r>
            <w:r w:rsidR="0043104B">
              <w:rPr>
                <w:sz w:val="18"/>
                <w:szCs w:val="18"/>
              </w:rPr>
              <w:t xml:space="preserve">are </w:t>
            </w:r>
            <w:r>
              <w:rPr>
                <w:sz w:val="18"/>
                <w:szCs w:val="18"/>
              </w:rPr>
              <w:t>expanding rapidly.</w:t>
            </w:r>
          </w:p>
        </w:tc>
        <w:tc>
          <w:tcPr>
            <w:tcW w:w="376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647E9983" w14:textId="70C976B5" w:rsidR="007E4A8F" w:rsidRDefault="00B579A2" w:rsidP="00A440A8">
            <w:pPr>
              <w:spacing w:line="360" w:lineRule="auto"/>
              <w:jc w:val="both"/>
            </w:pPr>
            <w:r>
              <w:rPr>
                <w:sz w:val="18"/>
                <w:szCs w:val="18"/>
              </w:rPr>
              <w:t>Singapore: Leading digital infrastructure; Veritas Toolkit operationalises FEAT assessment (MAS, 2023)</w:t>
            </w:r>
            <w:r w:rsidR="0043104B">
              <w:rPr>
                <w:sz w:val="18"/>
                <w:szCs w:val="18"/>
              </w:rPr>
              <w:t>—strong</w:t>
            </w:r>
            <w:r>
              <w:rPr>
                <w:sz w:val="18"/>
                <w:szCs w:val="18"/>
              </w:rPr>
              <w:t xml:space="preserve"> university-industry collaboration in AI research.</w:t>
            </w:r>
          </w:p>
        </w:tc>
      </w:tr>
      <w:tr w:rsidR="007E4A8F" w14:paraId="1A2DA5BF" w14:textId="77777777">
        <w:tc>
          <w:tcPr>
            <w:tcW w:w="15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4F2DAA9F" w14:textId="77777777" w:rsidR="007E4A8F" w:rsidRDefault="00B579A2" w:rsidP="00A440A8">
            <w:pPr>
              <w:spacing w:line="360" w:lineRule="auto"/>
              <w:jc w:val="both"/>
            </w:pPr>
            <w:r>
              <w:rPr>
                <w:sz w:val="18"/>
                <w:szCs w:val="18"/>
              </w:rPr>
              <w:t>Legal</w:t>
            </w:r>
          </w:p>
        </w:tc>
        <w:tc>
          <w:tcPr>
            <w:tcW w:w="3763"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25F7772C" w14:textId="55027DDF" w:rsidR="007E4A8F" w:rsidRDefault="00B579A2" w:rsidP="00A440A8">
            <w:pPr>
              <w:spacing w:line="360" w:lineRule="auto"/>
              <w:jc w:val="both"/>
            </w:pPr>
            <w:r>
              <w:rPr>
                <w:sz w:val="18"/>
                <w:szCs w:val="18"/>
              </w:rPr>
              <w:t xml:space="preserve">UK: UK GDPR and ICO guidance on AI and data protection (ICO, 2023); SM&amp;CR accountability regime extends to AI oversight. </w:t>
            </w:r>
            <w:r w:rsidR="0043104B">
              <w:rPr>
                <w:sz w:val="18"/>
                <w:szCs w:val="18"/>
              </w:rPr>
              <w:t xml:space="preserve">The </w:t>
            </w:r>
            <w:r>
              <w:rPr>
                <w:sz w:val="18"/>
                <w:szCs w:val="18"/>
              </w:rPr>
              <w:t>Financial Services and Markets Act 2023 introduces Critical Third Party powers.</w:t>
            </w:r>
          </w:p>
        </w:tc>
        <w:tc>
          <w:tcPr>
            <w:tcW w:w="3763"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21A38B8F" w14:textId="71B79C74" w:rsidR="007E4A8F" w:rsidRDefault="00B579A2" w:rsidP="00A440A8">
            <w:pPr>
              <w:spacing w:line="360" w:lineRule="auto"/>
              <w:jc w:val="both"/>
            </w:pPr>
            <w:r>
              <w:rPr>
                <w:sz w:val="18"/>
                <w:szCs w:val="18"/>
              </w:rPr>
              <w:t xml:space="preserve">Singapore: PDPC Advisory Guidelines on AI (2024); MAS proposed AI Risk Management Guidelines (MAS, 2025). Complementary to </w:t>
            </w:r>
            <w:r w:rsidR="0043104B">
              <w:rPr>
                <w:sz w:val="18"/>
                <w:szCs w:val="18"/>
              </w:rPr>
              <w:t xml:space="preserve">the </w:t>
            </w:r>
            <w:r>
              <w:rPr>
                <w:sz w:val="18"/>
                <w:szCs w:val="18"/>
              </w:rPr>
              <w:t>FEAT framework.</w:t>
            </w:r>
          </w:p>
        </w:tc>
      </w:tr>
      <w:tr w:rsidR="007E4A8F" w14:paraId="2DDBDDF6" w14:textId="77777777">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643C5E16" w14:textId="77777777" w:rsidR="007E4A8F" w:rsidRDefault="00B579A2" w:rsidP="00A440A8">
            <w:pPr>
              <w:spacing w:line="360" w:lineRule="auto"/>
              <w:jc w:val="both"/>
            </w:pPr>
            <w:r>
              <w:rPr>
                <w:sz w:val="18"/>
                <w:szCs w:val="18"/>
              </w:rPr>
              <w:t>Environmental</w:t>
            </w:r>
          </w:p>
        </w:tc>
        <w:tc>
          <w:tcPr>
            <w:tcW w:w="376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7AF259B1" w14:textId="77777777" w:rsidR="007E4A8F" w:rsidRDefault="00B579A2" w:rsidP="00A440A8">
            <w:pPr>
              <w:spacing w:line="360" w:lineRule="auto"/>
              <w:jc w:val="both"/>
            </w:pPr>
            <w:r>
              <w:rPr>
                <w:sz w:val="18"/>
                <w:szCs w:val="18"/>
              </w:rPr>
              <w:t xml:space="preserve">UK: Growing regulatory and investor pressure on ESG reporting, including the </w:t>
            </w:r>
            <w:r>
              <w:rPr>
                <w:sz w:val="18"/>
                <w:szCs w:val="18"/>
              </w:rPr>
              <w:lastRenderedPageBreak/>
              <w:t>environmental impact of data centre operations and AI compute costs.</w:t>
            </w:r>
          </w:p>
        </w:tc>
        <w:tc>
          <w:tcPr>
            <w:tcW w:w="376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3E67C420" w14:textId="66DEAC29" w:rsidR="007E4A8F" w:rsidRDefault="00B579A2" w:rsidP="00A440A8">
            <w:pPr>
              <w:spacing w:line="360" w:lineRule="auto"/>
              <w:jc w:val="both"/>
            </w:pPr>
            <w:r>
              <w:rPr>
                <w:sz w:val="18"/>
                <w:szCs w:val="18"/>
              </w:rPr>
              <w:lastRenderedPageBreak/>
              <w:t xml:space="preserve">Singapore: Green Data Centre Roadmap 2024; IMDA </w:t>
            </w:r>
            <w:r w:rsidR="0043104B">
              <w:rPr>
                <w:sz w:val="18"/>
                <w:szCs w:val="18"/>
              </w:rPr>
              <w:t>Tropical Data Centre Sustainability Standard</w:t>
            </w:r>
            <w:r>
              <w:rPr>
                <w:sz w:val="18"/>
                <w:szCs w:val="18"/>
              </w:rPr>
              <w:t xml:space="preserve">. AI </w:t>
            </w:r>
            <w:r w:rsidR="0043104B">
              <w:rPr>
                <w:sz w:val="18"/>
                <w:szCs w:val="18"/>
              </w:rPr>
              <w:t xml:space="preserve">computing </w:t>
            </w:r>
            <w:r w:rsidR="0043104B">
              <w:rPr>
                <w:sz w:val="18"/>
                <w:szCs w:val="18"/>
              </w:rPr>
              <w:lastRenderedPageBreak/>
              <w:t xml:space="preserve">carbon footprint is </w:t>
            </w:r>
            <w:r>
              <w:rPr>
                <w:sz w:val="18"/>
                <w:szCs w:val="18"/>
              </w:rPr>
              <w:t>an emerging governance concern.</w:t>
            </w:r>
          </w:p>
        </w:tc>
      </w:tr>
    </w:tbl>
    <w:p w14:paraId="66DEF424" w14:textId="77777777" w:rsidR="007E4A8F" w:rsidRDefault="00B579A2" w:rsidP="00A440A8">
      <w:pPr>
        <w:spacing w:before="80" w:after="160" w:line="360" w:lineRule="auto"/>
        <w:jc w:val="both"/>
      </w:pPr>
      <w:r>
        <w:rPr>
          <w:color w:val="444444"/>
          <w:sz w:val="20"/>
          <w:szCs w:val="20"/>
        </w:rPr>
        <w:lastRenderedPageBreak/>
        <w:t>Table 1: PESTLE Analysis — Standard Chartered plc (UK and Singapore) | Source: Self-made</w:t>
      </w:r>
    </w:p>
    <w:p w14:paraId="1248F7C0" w14:textId="77777777" w:rsidR="007E4A8F" w:rsidRDefault="007E4A8F" w:rsidP="00A440A8">
      <w:pPr>
        <w:spacing w:before="40" w:after="40" w:line="360" w:lineRule="auto"/>
        <w:jc w:val="both"/>
      </w:pPr>
    </w:p>
    <w:p w14:paraId="009C4EA8" w14:textId="4E90A3D8" w:rsidR="00D13B99" w:rsidRDefault="00C0770A" w:rsidP="00A440A8">
      <w:pPr>
        <w:spacing w:before="80" w:after="160" w:line="360" w:lineRule="auto"/>
        <w:jc w:val="both"/>
      </w:pPr>
      <w:r>
        <w:t>From a political perspective, the comparison between the UK and Singapore is instructive</w:t>
      </w:r>
      <w:r w:rsidR="00D13B99">
        <w:t xml:space="preserve">. Prescriptive AI legislation in the UK has been </w:t>
      </w:r>
      <w:r>
        <w:t>deliberately shunned in favour of a principles-based approach by the UK government, which utilises existing regulatory frameworks to address</w:t>
      </w:r>
      <w:r w:rsidR="00D13B99">
        <w:t xml:space="preserve"> AI risk (UK Government, 2023). This provides SC with </w:t>
      </w:r>
      <w:r>
        <w:t>significant operational flexibility but also introduces uncertainty, especially as FCA is still developing</w:t>
      </w:r>
      <w:r w:rsidR="00D13B99">
        <w:t xml:space="preserve"> its AI oversight strategy. According to Guo et al. (2025), geopolitical tensions are increasingly influencing the location of multinational enterprise digital infrastructure and data activities and have a direct impact on cross-border data flows in SC. Singapore, in </w:t>
      </w:r>
      <w:r>
        <w:t>turn, has made a substantial investment in formal governance through the FEAT structure and the Veritas Toolkit, providing SC with a more straightforward compliance route</w:t>
      </w:r>
      <w:r w:rsidR="00D13B99">
        <w:t>.</w:t>
      </w:r>
    </w:p>
    <w:p w14:paraId="07822820" w14:textId="5C74F1A0" w:rsidR="00D13B99" w:rsidRDefault="00D13B99" w:rsidP="00A440A8">
      <w:pPr>
        <w:spacing w:before="80" w:after="160" w:line="360" w:lineRule="auto"/>
        <w:jc w:val="both"/>
      </w:pPr>
      <w:r>
        <w:t xml:space="preserve">The economic background supports the argument </w:t>
      </w:r>
      <w:r w:rsidR="00C0770A">
        <w:t>for</w:t>
      </w:r>
      <w:r>
        <w:t xml:space="preserve"> an expedited AI investment. Bughin et al. (2018) project that AI has the potential to </w:t>
      </w:r>
      <w:r w:rsidR="00C0770A">
        <w:t>add significant value to the global economy by 2030, and financial services are likely to be among the most affected sectors</w:t>
      </w:r>
      <w:r>
        <w:t xml:space="preserve">. In the case of SC, particularly, AI-based automation of operational elements </w:t>
      </w:r>
      <w:r w:rsidR="00C0770A">
        <w:t>such as compliance and risk evaluation would significantly reduce costs through the implementation of AI across</w:t>
      </w:r>
      <w:r>
        <w:t xml:space="preserve"> its 50-plus market presence. The social aspect, however, presents significant limitations. According to the survey by the Bank of England and FCA (2024), the most significant regulation constraint identified by the UK financial services companies to adopt AI was data protection and privacy, which indicates the real interest in the population about the nature of interaction of algorithms with personal financial data.</w:t>
      </w:r>
    </w:p>
    <w:p w14:paraId="6D84085A" w14:textId="4770B18B" w:rsidR="00D13B99" w:rsidRDefault="00D13B99" w:rsidP="00A440A8">
      <w:pPr>
        <w:spacing w:before="80" w:after="160" w:line="360" w:lineRule="auto"/>
        <w:jc w:val="both"/>
      </w:pPr>
      <w:r>
        <w:t xml:space="preserve">The most dynamic </w:t>
      </w:r>
      <w:r w:rsidR="00C0770A">
        <w:t>aspect is the technological one</w:t>
      </w:r>
      <w:r>
        <w:t xml:space="preserve">. According to </w:t>
      </w:r>
      <w:r w:rsidR="00C0770A">
        <w:t>a survey conducted by the Bank of England and the FCA (2024), 75 per cent of UK financial services companies had already implemented AI, and foundation models are increasingly used across</w:t>
      </w:r>
      <w:r>
        <w:t xml:space="preserve"> applications. SC has embraced a hub-and-spoke operating model where the central, accountable AI team manages guardrails orchestrating individual business lines to generate use cases (Tan, 2025). The legal aspect complicates matters since the UK and </w:t>
      </w:r>
      <w:r>
        <w:lastRenderedPageBreak/>
        <w:t>Singapore, although generally in line with their pro-innovation orientation</w:t>
      </w:r>
      <w:r w:rsidR="00C0770A">
        <w:t>,</w:t>
      </w:r>
      <w:r>
        <w:t xml:space="preserve"> have different schedules and focus. </w:t>
      </w:r>
      <w:r w:rsidR="00C0770A">
        <w:t>From an environmental perspective, AI infrastructure is associated with a large and increasing carbon footprint from data centre energy use</w:t>
      </w:r>
      <w:r>
        <w:t xml:space="preserve">. SC has </w:t>
      </w:r>
      <w:r w:rsidR="00C0770A">
        <w:t>promised to go net-zero carbon by 2050, and the needs of large</w:t>
      </w:r>
      <w:r>
        <w:t xml:space="preserve"> AI models are directly incompatible with this undertaking (Standard Chartered, 2024). The quantification and management of this trade-off will have to be explicitly </w:t>
      </w:r>
      <w:r w:rsidR="00C0770A">
        <w:t xml:space="preserve">incorporated into responsible AI governance of SC, especially as regulators and investors increasingly focus </w:t>
      </w:r>
      <w:r>
        <w:t>on the environmental effects of technology investments.</w:t>
      </w:r>
    </w:p>
    <w:p w14:paraId="6EABFE22" w14:textId="77777777" w:rsidR="007E4A8F" w:rsidRDefault="00B579A2" w:rsidP="00A440A8">
      <w:pPr>
        <w:pStyle w:val="Heading2"/>
        <w:spacing w:line="360" w:lineRule="auto"/>
        <w:jc w:val="both"/>
      </w:pPr>
      <w:bookmarkStart w:id="4" w:name="_Toc228152124"/>
      <w:r>
        <w:t>2.2 Porter's Diamond Model: Standard Chartered's Competitive Position</w:t>
      </w:r>
      <w:bookmarkEnd w:id="4"/>
    </w:p>
    <w:p w14:paraId="43F0F15B" w14:textId="2B773C79" w:rsidR="00D13B99" w:rsidRDefault="00C0770A" w:rsidP="00A440A8">
      <w:pPr>
        <w:spacing w:before="80" w:after="160" w:line="360" w:lineRule="auto"/>
        <w:jc w:val="both"/>
      </w:pPr>
      <w:r>
        <w:t>The Porter's Diamond model (Porter, 1990) is a four-determinant model of national competitive advantage that is interdependent, based on factor conditions, demand conditions, related and supporting industries, and firm strategy, structure,</w:t>
      </w:r>
      <w:r w:rsidR="00D13B99" w:rsidRPr="00D13B99">
        <w:t xml:space="preserve"> and rivalry. The model was initially created to describe </w:t>
      </w:r>
      <w:r>
        <w:t xml:space="preserve">national competitiveness; however, as Tsai et al. (2021) show, it can be successfully modified </w:t>
      </w:r>
      <w:r w:rsidR="00D13B99" w:rsidRPr="00D13B99">
        <w:t xml:space="preserve">to determine the competitive positioning of individual companies in their domestic and foreign markets. The framework applied to </w:t>
      </w:r>
      <w:r>
        <w:t xml:space="preserve">SC's AI strategy </w:t>
      </w:r>
      <w:r w:rsidR="00D13B99" w:rsidRPr="00D13B99">
        <w:t>in the UK and Singapore provides the assessment below.</w:t>
      </w:r>
    </w:p>
    <w:p w14:paraId="6A39FF6E" w14:textId="77777777" w:rsidR="00CC46B2" w:rsidRDefault="00CC46B2" w:rsidP="00CC46B2">
      <w:pPr>
        <w:spacing w:before="80" w:after="160" w:line="360" w:lineRule="auto"/>
        <w:jc w:val="center"/>
        <w:rPr>
          <w:color w:val="444444"/>
          <w:sz w:val="20"/>
          <w:szCs w:val="20"/>
        </w:rPr>
      </w:pPr>
      <w:r>
        <w:rPr>
          <w:noProof/>
        </w:rPr>
        <w:drawing>
          <wp:inline distT="0" distB="0" distL="0" distR="0" wp14:anchorId="2213DF41" wp14:editId="5F9FB467">
            <wp:extent cx="5269897" cy="3508587"/>
            <wp:effectExtent l="0" t="0" r="6985" b="0"/>
            <wp:docPr id="54100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06461" name=""/>
                    <pic:cNvPicPr/>
                  </pic:nvPicPr>
                  <pic:blipFill>
                    <a:blip r:embed="rId8"/>
                    <a:stretch>
                      <a:fillRect/>
                    </a:stretch>
                  </pic:blipFill>
                  <pic:spPr>
                    <a:xfrm>
                      <a:off x="0" y="0"/>
                      <a:ext cx="5306234" cy="3532779"/>
                    </a:xfrm>
                    <a:prstGeom prst="rect">
                      <a:avLst/>
                    </a:prstGeom>
                  </pic:spPr>
                </pic:pic>
              </a:graphicData>
            </a:graphic>
          </wp:inline>
        </w:drawing>
      </w:r>
    </w:p>
    <w:p w14:paraId="32C7C995" w14:textId="64108E8F" w:rsidR="007E4A8F" w:rsidRPr="00CC46B2" w:rsidRDefault="00B579A2" w:rsidP="00CC46B2">
      <w:pPr>
        <w:spacing w:before="80" w:after="160" w:line="360" w:lineRule="auto"/>
        <w:jc w:val="center"/>
        <w:rPr>
          <w:color w:val="444444"/>
          <w:sz w:val="20"/>
          <w:szCs w:val="20"/>
        </w:rPr>
      </w:pPr>
      <w:r>
        <w:rPr>
          <w:color w:val="444444"/>
          <w:sz w:val="20"/>
          <w:szCs w:val="20"/>
        </w:rPr>
        <w:t>Diagram 1: Porter's Diamond Model Applied to Standard Chartered plc</w:t>
      </w:r>
      <w:r w:rsidR="00CC46B2">
        <w:rPr>
          <w:color w:val="444444"/>
          <w:sz w:val="20"/>
          <w:szCs w:val="20"/>
        </w:rPr>
        <w:t xml:space="preserve">. </w:t>
      </w:r>
      <w:r>
        <w:rPr>
          <w:color w:val="444444"/>
          <w:sz w:val="20"/>
          <w:szCs w:val="20"/>
        </w:rPr>
        <w:t>Source: Self-made</w:t>
      </w:r>
    </w:p>
    <w:p w14:paraId="358D38D0" w14:textId="77777777" w:rsidR="007E4A8F" w:rsidRDefault="007E4A8F" w:rsidP="00A440A8">
      <w:pPr>
        <w:spacing w:before="40" w:after="40" w:line="360" w:lineRule="auto"/>
        <w:jc w:val="both"/>
      </w:pPr>
    </w:p>
    <w:p w14:paraId="52BCE08F" w14:textId="6A05DD1A" w:rsidR="00D13B99" w:rsidRDefault="00D13B99" w:rsidP="00A440A8">
      <w:pPr>
        <w:spacing w:before="80" w:after="160" w:line="360" w:lineRule="auto"/>
        <w:jc w:val="both"/>
      </w:pPr>
      <w:r>
        <w:t>SC has the advantage of access to large pools of AI talent in London</w:t>
      </w:r>
      <w:r w:rsidR="00C0770A">
        <w:t xml:space="preserve"> and Singapore, two of the most successful global financial technology centres</w:t>
      </w:r>
      <w:r>
        <w:t xml:space="preserve">, in terms of factor conditions. The UK has a robust research portfolio at universities and Singapore has state-sponsored AI skill-development initiatives which offers SC a pool of specialised skills. Importantly, even at SC, the Group Chief Data Officer has stressed that the bank is basing its AI strategy on disciplined data governance, as opposed to technology per se (Tan, 2025), implying that the quality of internal data infrastructure, which is also a type of advanced factor condition, is at the heart of </w:t>
      </w:r>
      <w:r w:rsidR="00C0770A">
        <w:t>SC's</w:t>
      </w:r>
      <w:r>
        <w:t xml:space="preserve"> competitiveness.</w:t>
      </w:r>
    </w:p>
    <w:p w14:paraId="32FFA744" w14:textId="4CF6D323" w:rsidR="00D13B99" w:rsidRDefault="00D13B99" w:rsidP="00A440A8">
      <w:pPr>
        <w:spacing w:before="80" w:after="160" w:line="360" w:lineRule="auto"/>
        <w:jc w:val="both"/>
      </w:pPr>
      <w:r>
        <w:t>The demands in the two markets are advanced. UK institutional and retail customers are growing more demanding of personalised, digitally-based financial services</w:t>
      </w:r>
      <w:r w:rsidR="00C0770A">
        <w:t>, and the FCA Consumer Duty imposes a regulatory imperative to provably</w:t>
      </w:r>
      <w:r>
        <w:t xml:space="preserve"> fair AI-determined decision-making (FCA, 2024). </w:t>
      </w:r>
      <w:r w:rsidR="00C0770A">
        <w:t>The FEAT principles in Singapore make responsible AI an institutional requirement for MAS, which motivates banks to compete on the quality of their governance rather than</w:t>
      </w:r>
      <w:r>
        <w:t xml:space="preserve"> the sophistication of their algorithms.</w:t>
      </w:r>
    </w:p>
    <w:p w14:paraId="14C0A2F7" w14:textId="0403A184" w:rsidR="00D13B99" w:rsidRDefault="00D13B99" w:rsidP="00A440A8">
      <w:pPr>
        <w:spacing w:before="80" w:after="160" w:line="360" w:lineRule="auto"/>
        <w:jc w:val="both"/>
      </w:pPr>
      <w:r>
        <w:t xml:space="preserve">The two have developed related and supporting industries. As a well-established technology ecosystem, SC has recently collaborated with Alibaba Cloud to expand AI </w:t>
      </w:r>
      <w:r w:rsidR="00C0770A">
        <w:t>across client service, risk management,</w:t>
      </w:r>
      <w:r>
        <w:t xml:space="preserve"> and compliance operations (Standard Chartered, 2024). The AI Lab and </w:t>
      </w:r>
      <w:r w:rsidR="00C0770A">
        <w:t>the FCA's regulatory sandbox in the UK provide the supporting infrastructure for</w:t>
      </w:r>
      <w:r>
        <w:t xml:space="preserve"> responsible AI experimentation. Vlados (2019)</w:t>
      </w:r>
      <w:r w:rsidR="00C0770A">
        <w:t>, however, warns that the Diamond framework may exaggerate the importance of home-market conditions for multinationals, and Rugman and D’Cruz (1993) posit that the double diamond model is more appropriate for explaining situations in which companies can extract competitive advantage from</w:t>
      </w:r>
      <w:r>
        <w:t xml:space="preserve"> a mix of national contexts. This is specifically relevant to SC, which </w:t>
      </w:r>
      <w:r w:rsidR="00C0770A">
        <w:t>derives its competitive advantage from its London head office and</w:t>
      </w:r>
      <w:r>
        <w:t xml:space="preserve"> deep operational roots in Singapore and the markets of the rest of Asia-Pacific.</w:t>
      </w:r>
    </w:p>
    <w:p w14:paraId="0FB1F87C" w14:textId="50AAB39F" w:rsidR="00D13B99" w:rsidRDefault="00D13B99" w:rsidP="00A440A8">
      <w:pPr>
        <w:spacing w:before="80" w:after="160" w:line="360" w:lineRule="auto"/>
        <w:jc w:val="both"/>
      </w:pPr>
      <w:r>
        <w:t xml:space="preserve">SC competes with global banks, such as HSBC and Citibank, on firm strategy, structure and rivalry and with regional fintech challengers in Asia. This risk-first approach to AI, as </w:t>
      </w:r>
      <w:r w:rsidR="00C0770A">
        <w:t>practised by the bank, which places governance, scalability, and trust at the centre of its AI application, can be a true differentiator should it be translated into evidently better customer outcomes</w:t>
      </w:r>
      <w:r>
        <w:t xml:space="preserve"> and regulatory trust (SC, 2025).</w:t>
      </w:r>
    </w:p>
    <w:p w14:paraId="4E3AA74D" w14:textId="77777777" w:rsidR="007E4A8F" w:rsidRDefault="00B579A2" w:rsidP="00A440A8">
      <w:pPr>
        <w:pStyle w:val="Heading2"/>
        <w:spacing w:line="360" w:lineRule="auto"/>
        <w:jc w:val="both"/>
      </w:pPr>
      <w:bookmarkStart w:id="5" w:name="_Toc228152125"/>
      <w:r>
        <w:t>2.3 Porter's Five Forces: Industry Competitive Dynamics</w:t>
      </w:r>
      <w:bookmarkEnd w:id="5"/>
    </w:p>
    <w:p w14:paraId="46224FE1" w14:textId="3AC26B12" w:rsidR="00876301" w:rsidRDefault="00A5581B" w:rsidP="00A440A8">
      <w:pPr>
        <w:spacing w:before="40" w:after="40" w:line="360" w:lineRule="auto"/>
        <w:jc w:val="both"/>
      </w:pPr>
      <w:r w:rsidRPr="00A5581B">
        <w:lastRenderedPageBreak/>
        <w:t>The Five Forces model proposed by Porter (1979) provides a complementary approach to the competitive forces which affect AI-based strategic choices of SC. Unlike the source of competitive advantage analysed in the Diamond model, the Five Forces framework analyses the structural attractiveness of an industry and the forces that may constrain profitability.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200"/>
        <w:gridCol w:w="6026"/>
      </w:tblGrid>
      <w:tr w:rsidR="007E4A8F" w14:paraId="706E5FF0" w14:textId="77777777">
        <w:trPr>
          <w:tblHeader/>
        </w:trPr>
        <w:tc>
          <w:tcPr>
            <w:tcW w:w="1800" w:type="dxa"/>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vAlign w:val="center"/>
          </w:tcPr>
          <w:p w14:paraId="6B5F169F" w14:textId="77777777" w:rsidR="007E4A8F" w:rsidRDefault="00B579A2" w:rsidP="00A440A8">
            <w:pPr>
              <w:spacing w:line="360" w:lineRule="auto"/>
              <w:jc w:val="both"/>
            </w:pPr>
            <w:r>
              <w:rPr>
                <w:b/>
                <w:bCs/>
                <w:color w:val="FFFFFF"/>
                <w:sz w:val="18"/>
                <w:szCs w:val="18"/>
              </w:rPr>
              <w:t>Force</w:t>
            </w:r>
          </w:p>
        </w:tc>
        <w:tc>
          <w:tcPr>
            <w:tcW w:w="1200" w:type="dxa"/>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vAlign w:val="center"/>
          </w:tcPr>
          <w:p w14:paraId="39F3C4DA" w14:textId="77777777" w:rsidR="007E4A8F" w:rsidRDefault="00B579A2" w:rsidP="00A440A8">
            <w:pPr>
              <w:spacing w:line="360" w:lineRule="auto"/>
              <w:jc w:val="both"/>
            </w:pPr>
            <w:r>
              <w:rPr>
                <w:b/>
                <w:bCs/>
                <w:color w:val="FFFFFF"/>
                <w:sz w:val="18"/>
                <w:szCs w:val="18"/>
              </w:rPr>
              <w:t>Intensity</w:t>
            </w:r>
          </w:p>
        </w:tc>
        <w:tc>
          <w:tcPr>
            <w:tcW w:w="6026" w:type="dxa"/>
            <w:tcBorders>
              <w:top w:val="single" w:sz="4" w:space="0" w:color="AAAAAA"/>
              <w:left w:val="single" w:sz="4" w:space="0" w:color="AAAAAA"/>
              <w:bottom w:val="single" w:sz="4" w:space="0" w:color="AAAAAA"/>
              <w:right w:val="single" w:sz="4" w:space="0" w:color="AAAAAA"/>
            </w:tcBorders>
            <w:shd w:val="clear" w:color="auto" w:fill="1F4E79"/>
            <w:tcMar>
              <w:top w:w="80" w:type="dxa"/>
              <w:left w:w="120" w:type="dxa"/>
              <w:bottom w:w="80" w:type="dxa"/>
              <w:right w:w="120" w:type="dxa"/>
            </w:tcMar>
            <w:vAlign w:val="center"/>
          </w:tcPr>
          <w:p w14:paraId="57D3B909" w14:textId="77777777" w:rsidR="007E4A8F" w:rsidRDefault="00B579A2" w:rsidP="00A440A8">
            <w:pPr>
              <w:spacing w:line="360" w:lineRule="auto"/>
              <w:jc w:val="both"/>
            </w:pPr>
            <w:r>
              <w:rPr>
                <w:b/>
                <w:bCs/>
                <w:color w:val="FFFFFF"/>
                <w:sz w:val="18"/>
                <w:szCs w:val="18"/>
              </w:rPr>
              <w:t>Implications for Standard Chartered</w:t>
            </w:r>
          </w:p>
        </w:tc>
      </w:tr>
      <w:tr w:rsidR="007E4A8F" w14:paraId="23A5483B" w14:textId="77777777">
        <w:tc>
          <w:tcPr>
            <w:tcW w:w="18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556379F0" w14:textId="77777777" w:rsidR="007E4A8F" w:rsidRDefault="00B579A2" w:rsidP="00A440A8">
            <w:pPr>
              <w:spacing w:line="360" w:lineRule="auto"/>
              <w:jc w:val="both"/>
            </w:pPr>
            <w:r>
              <w:rPr>
                <w:sz w:val="18"/>
                <w:szCs w:val="18"/>
              </w:rPr>
              <w:t>Threat of New Entrants</w:t>
            </w:r>
          </w:p>
        </w:tc>
        <w:tc>
          <w:tcPr>
            <w:tcW w:w="12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6449E0D9" w14:textId="77777777" w:rsidR="007E4A8F" w:rsidRDefault="00B579A2" w:rsidP="00A440A8">
            <w:pPr>
              <w:spacing w:line="360" w:lineRule="auto"/>
              <w:jc w:val="both"/>
            </w:pPr>
            <w:r>
              <w:rPr>
                <w:sz w:val="18"/>
                <w:szCs w:val="18"/>
              </w:rPr>
              <w:t>Moderate-High</w:t>
            </w:r>
          </w:p>
        </w:tc>
        <w:tc>
          <w:tcPr>
            <w:tcW w:w="6026"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0143DDEC" w14:textId="77777777" w:rsidR="007E4A8F" w:rsidRDefault="00B579A2" w:rsidP="00A440A8">
            <w:pPr>
              <w:spacing w:line="360" w:lineRule="auto"/>
              <w:jc w:val="both"/>
            </w:pPr>
            <w:r>
              <w:rPr>
                <w:sz w:val="18"/>
                <w:szCs w:val="18"/>
              </w:rPr>
              <w:t>Fintech challengers and digital-native banks (e.g., Revolut, Grab Financial) are deploying AI at lower cost bases. Regulatory barriers provide partial protection for incumbents like SC, but AI reduces traditional moats around data and distribution.</w:t>
            </w:r>
          </w:p>
        </w:tc>
      </w:tr>
      <w:tr w:rsidR="007E4A8F" w14:paraId="1BCD4468" w14:textId="77777777">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16D0BA55" w14:textId="77777777" w:rsidR="007E4A8F" w:rsidRDefault="00B579A2" w:rsidP="00A440A8">
            <w:pPr>
              <w:spacing w:line="360" w:lineRule="auto"/>
              <w:jc w:val="both"/>
            </w:pPr>
            <w:r>
              <w:rPr>
                <w:sz w:val="18"/>
                <w:szCs w:val="18"/>
              </w:rPr>
              <w:t>Bargaining Power of Suppliers</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60890503" w14:textId="77777777" w:rsidR="007E4A8F" w:rsidRDefault="00B579A2" w:rsidP="00A440A8">
            <w:pPr>
              <w:spacing w:line="360" w:lineRule="auto"/>
              <w:jc w:val="both"/>
            </w:pPr>
            <w:r>
              <w:rPr>
                <w:sz w:val="18"/>
                <w:szCs w:val="18"/>
              </w:rPr>
              <w:t>High</w:t>
            </w:r>
          </w:p>
        </w:tc>
        <w:tc>
          <w:tcPr>
            <w:tcW w:w="60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03923A25" w14:textId="77777777" w:rsidR="007E4A8F" w:rsidRDefault="00B579A2" w:rsidP="00A440A8">
            <w:pPr>
              <w:spacing w:line="360" w:lineRule="auto"/>
              <w:jc w:val="both"/>
            </w:pPr>
            <w:r>
              <w:rPr>
                <w:sz w:val="18"/>
                <w:szCs w:val="18"/>
              </w:rPr>
              <w:t>SC's AI strategy relies on third-party cloud and AI model providers (e.g., Alibaba Cloud, Microsoft). The UK Financial Services and Markets Act 2023 introduced Critical Third Party powers precisely because regulator dependence on a small number of technology vendors is a systemic concern (Bank of England and FCA, 2024).</w:t>
            </w:r>
          </w:p>
        </w:tc>
      </w:tr>
      <w:tr w:rsidR="007E4A8F" w14:paraId="36756CEF" w14:textId="77777777">
        <w:tc>
          <w:tcPr>
            <w:tcW w:w="18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2CC60EA4" w14:textId="77777777" w:rsidR="007E4A8F" w:rsidRDefault="00B579A2" w:rsidP="00A440A8">
            <w:pPr>
              <w:spacing w:line="360" w:lineRule="auto"/>
              <w:jc w:val="both"/>
            </w:pPr>
            <w:r>
              <w:rPr>
                <w:sz w:val="18"/>
                <w:szCs w:val="18"/>
              </w:rPr>
              <w:t>Bargaining Power of Buyers</w:t>
            </w:r>
          </w:p>
        </w:tc>
        <w:tc>
          <w:tcPr>
            <w:tcW w:w="12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452C80A5" w14:textId="77777777" w:rsidR="007E4A8F" w:rsidRDefault="00B579A2" w:rsidP="00A440A8">
            <w:pPr>
              <w:spacing w:line="360" w:lineRule="auto"/>
              <w:jc w:val="both"/>
            </w:pPr>
            <w:r>
              <w:rPr>
                <w:sz w:val="18"/>
                <w:szCs w:val="18"/>
              </w:rPr>
              <w:t>High</w:t>
            </w:r>
          </w:p>
        </w:tc>
        <w:tc>
          <w:tcPr>
            <w:tcW w:w="6026"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57501654" w14:textId="352B4A3D" w:rsidR="007E4A8F" w:rsidRDefault="00B579A2" w:rsidP="00A440A8">
            <w:pPr>
              <w:spacing w:line="360" w:lineRule="auto"/>
              <w:jc w:val="both"/>
            </w:pPr>
            <w:r>
              <w:rPr>
                <w:sz w:val="18"/>
                <w:szCs w:val="18"/>
              </w:rPr>
              <w:t xml:space="preserve">Corporate and affluent retail clients have growing alternatives and are increasingly sophisticated in evaluating AI-enabled financial services. </w:t>
            </w:r>
            <w:r w:rsidR="0043104B">
              <w:rPr>
                <w:sz w:val="18"/>
                <w:szCs w:val="18"/>
              </w:rPr>
              <w:t>The Consumer Duty in the UK heightens accountability for</w:t>
            </w:r>
            <w:r>
              <w:rPr>
                <w:sz w:val="18"/>
                <w:szCs w:val="18"/>
              </w:rPr>
              <w:t xml:space="preserve"> client outcomes.</w:t>
            </w:r>
          </w:p>
        </w:tc>
      </w:tr>
      <w:tr w:rsidR="007E4A8F" w14:paraId="588A07FB" w14:textId="77777777">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51E0CD30" w14:textId="77777777" w:rsidR="007E4A8F" w:rsidRDefault="00B579A2" w:rsidP="00A440A8">
            <w:pPr>
              <w:spacing w:line="360" w:lineRule="auto"/>
              <w:jc w:val="both"/>
            </w:pPr>
            <w:r>
              <w:rPr>
                <w:sz w:val="18"/>
                <w:szCs w:val="18"/>
              </w:rPr>
              <w:t>Threat of Substitutes</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382C8567" w14:textId="77777777" w:rsidR="007E4A8F" w:rsidRDefault="00B579A2" w:rsidP="00A440A8">
            <w:pPr>
              <w:spacing w:line="360" w:lineRule="auto"/>
              <w:jc w:val="both"/>
            </w:pPr>
            <w:r>
              <w:rPr>
                <w:sz w:val="18"/>
                <w:szCs w:val="18"/>
              </w:rPr>
              <w:t>Moderate</w:t>
            </w:r>
          </w:p>
        </w:tc>
        <w:tc>
          <w:tcPr>
            <w:tcW w:w="60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tcPr>
          <w:p w14:paraId="1F068787" w14:textId="77777777" w:rsidR="007E4A8F" w:rsidRDefault="00B579A2" w:rsidP="00A440A8">
            <w:pPr>
              <w:spacing w:line="360" w:lineRule="auto"/>
              <w:jc w:val="both"/>
            </w:pPr>
            <w:r>
              <w:rPr>
                <w:sz w:val="18"/>
                <w:szCs w:val="18"/>
              </w:rPr>
              <w:t>Embedded finance, cryptocurrency platforms and peer-to-peer lending represent substitution risks, though SC's cross-border institutional focus provides some insulation. AI capability could reduce this risk by enhancing product personalisation.</w:t>
            </w:r>
          </w:p>
        </w:tc>
      </w:tr>
      <w:tr w:rsidR="007E4A8F" w14:paraId="56BFE57F" w14:textId="77777777">
        <w:tc>
          <w:tcPr>
            <w:tcW w:w="18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4260FC07" w14:textId="77777777" w:rsidR="007E4A8F" w:rsidRDefault="00B579A2" w:rsidP="00A440A8">
            <w:pPr>
              <w:spacing w:line="360" w:lineRule="auto"/>
              <w:jc w:val="both"/>
            </w:pPr>
            <w:r>
              <w:rPr>
                <w:sz w:val="18"/>
                <w:szCs w:val="18"/>
              </w:rPr>
              <w:t>Competitive Rivalry</w:t>
            </w:r>
          </w:p>
        </w:tc>
        <w:tc>
          <w:tcPr>
            <w:tcW w:w="1200"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1DB17C33" w14:textId="77777777" w:rsidR="007E4A8F" w:rsidRDefault="00B579A2" w:rsidP="00A440A8">
            <w:pPr>
              <w:spacing w:line="360" w:lineRule="auto"/>
              <w:jc w:val="both"/>
            </w:pPr>
            <w:r>
              <w:rPr>
                <w:sz w:val="18"/>
                <w:szCs w:val="18"/>
              </w:rPr>
              <w:t>High</w:t>
            </w:r>
          </w:p>
        </w:tc>
        <w:tc>
          <w:tcPr>
            <w:tcW w:w="6026" w:type="dxa"/>
            <w:tcBorders>
              <w:top w:val="single" w:sz="4" w:space="0" w:color="AAAAAA"/>
              <w:left w:val="single" w:sz="4" w:space="0" w:color="AAAAAA"/>
              <w:bottom w:val="single" w:sz="4" w:space="0" w:color="AAAAAA"/>
              <w:right w:val="single" w:sz="4" w:space="0" w:color="AAAAAA"/>
            </w:tcBorders>
            <w:shd w:val="clear" w:color="auto" w:fill="EBF3FB"/>
            <w:tcMar>
              <w:top w:w="80" w:type="dxa"/>
              <w:left w:w="120" w:type="dxa"/>
              <w:bottom w:w="80" w:type="dxa"/>
              <w:right w:w="120" w:type="dxa"/>
            </w:tcMar>
          </w:tcPr>
          <w:p w14:paraId="3CF67A55" w14:textId="77777777" w:rsidR="007E4A8F" w:rsidRDefault="00B579A2" w:rsidP="00A440A8">
            <w:pPr>
              <w:spacing w:line="360" w:lineRule="auto"/>
              <w:jc w:val="both"/>
            </w:pPr>
            <w:r>
              <w:rPr>
                <w:sz w:val="18"/>
                <w:szCs w:val="18"/>
              </w:rPr>
              <w:t>Global banks (HSBC, Citibank, DBS), regional fintechs and technology firms with financial licences intensify competition. AI is rapidly becoming a parity capability rather than a differentiator, which increases pressure on governance quality as the key differentiator.</w:t>
            </w:r>
          </w:p>
        </w:tc>
      </w:tr>
    </w:tbl>
    <w:p w14:paraId="1AD41214" w14:textId="77777777" w:rsidR="007E4A8F" w:rsidRDefault="00B579A2" w:rsidP="00A440A8">
      <w:pPr>
        <w:spacing w:before="80" w:after="160" w:line="360" w:lineRule="auto"/>
        <w:jc w:val="both"/>
      </w:pPr>
      <w:r>
        <w:rPr>
          <w:color w:val="444444"/>
          <w:sz w:val="20"/>
          <w:szCs w:val="20"/>
        </w:rPr>
        <w:t>Table 2: Porter's Five Forces Analysis — Standard Chartered plc | Source: Self-made</w:t>
      </w:r>
    </w:p>
    <w:p w14:paraId="1AB7FD37" w14:textId="77777777" w:rsidR="00A5581B" w:rsidRDefault="00A5581B" w:rsidP="00A5581B">
      <w:pPr>
        <w:spacing w:before="80" w:after="160" w:line="360" w:lineRule="auto"/>
        <w:jc w:val="both"/>
      </w:pPr>
      <w:r>
        <w:t xml:space="preserve">The most significant force is the bargaining power of the suppliers of the technology that is utilized in SC. This partnership between SC and Alibaba Cloud, though strategically advantageous, puts a dependency on a third-party provider that can be exposed to various geopolitical pressures (Standard Chartered, 2024). The UK regulatory framework: the Critical Third Party Regime under the Financial Services and Markets Act 2023 explicitly acknowledges this issue: the FCA and PRA can have increased powers of control over technology service providers whose services are regarded as systemic. SC will need to make sure that their Alibaba Cloud relationship is configured to meet these </w:t>
      </w:r>
      <w:r>
        <w:lastRenderedPageBreak/>
        <w:t>new requirements such as contractual agreements on resiliency, access to data, and audit rights.</w:t>
      </w:r>
    </w:p>
    <w:p w14:paraId="32D345E6" w14:textId="1F79EA91" w:rsidR="00A5581B" w:rsidRDefault="00A5581B" w:rsidP="00A5581B">
      <w:pPr>
        <w:spacing w:before="80" w:after="160" w:line="360" w:lineRule="auto"/>
        <w:jc w:val="both"/>
      </w:pPr>
      <w:r>
        <w:t>The aspect of competition rivalry is also imperative. According to Cao (2023), AI is quickly changing into both a competitive advantage and a capability that at the very least is a base in the financial services sector. It is likely that the difference will be the quality of AI government of SC, not its complexity of algorithms. A bank that is able to demonstrate to regulators, clients and investors that its AI is operating in a transparent, fair and healthy fashion, stands on a better position to avoid the reputational and regulatory risk that other financial institutions have already encountered, including those mentioned by Fuster et al. (2021) in the context of algorithmic bias in credit markets.</w:t>
      </w:r>
    </w:p>
    <w:p w14:paraId="57D04A5F" w14:textId="77777777" w:rsidR="007E4A8F" w:rsidRDefault="00B579A2" w:rsidP="00A440A8">
      <w:pPr>
        <w:pStyle w:val="Heading2"/>
        <w:spacing w:line="360" w:lineRule="auto"/>
        <w:jc w:val="both"/>
      </w:pPr>
      <w:bookmarkStart w:id="6" w:name="_Toc228152126"/>
      <w:r>
        <w:t>2.4 Risk Management and AI</w:t>
      </w:r>
      <w:bookmarkEnd w:id="6"/>
    </w:p>
    <w:p w14:paraId="7B78F68E" w14:textId="2C66A505" w:rsidR="005751A3" w:rsidRDefault="005751A3" w:rsidP="00A440A8">
      <w:pPr>
        <w:spacing w:before="80" w:after="160" w:line="360" w:lineRule="auto"/>
        <w:jc w:val="both"/>
      </w:pPr>
      <w:r w:rsidRPr="005751A3">
        <w:t xml:space="preserve">The concept of risk management in the context of AI </w:t>
      </w:r>
      <w:r w:rsidR="00EE3830">
        <w:t>must be viewed through a variety of interconnected lenses: model risk, data risk, regulatory risk,</w:t>
      </w:r>
      <w:r w:rsidRPr="005751A3">
        <w:t xml:space="preserve"> and reputational risk. Hopkin (2018) claims that the risk management of an enterprise should be </w:t>
      </w:r>
      <w:r w:rsidR="00EE3830">
        <w:t>organised</w:t>
      </w:r>
      <w:r w:rsidRPr="005751A3">
        <w:t xml:space="preserve"> into a lifecycle, i.e. it should be identified and evaluated, and it should be monitored and reviewed</w:t>
      </w:r>
      <w:r w:rsidR="00EE3830">
        <w:t>. This</w:t>
      </w:r>
      <w:r w:rsidRPr="005751A3">
        <w:t xml:space="preserve"> conclusion is especially relevant to AI-based systems, which may generate unforeseen results and are prone to change in relation to the environment.</w:t>
      </w:r>
    </w:p>
    <w:p w14:paraId="01EFEED7" w14:textId="1C1CD65B" w:rsidR="00CC46B2" w:rsidRDefault="00CC46B2" w:rsidP="00CC46B2">
      <w:pPr>
        <w:spacing w:before="80" w:after="160" w:line="360" w:lineRule="auto"/>
        <w:jc w:val="center"/>
        <w:rPr>
          <w:color w:val="444444"/>
          <w:sz w:val="20"/>
          <w:szCs w:val="20"/>
        </w:rPr>
      </w:pPr>
      <w:r>
        <w:rPr>
          <w:noProof/>
        </w:rPr>
        <w:lastRenderedPageBreak/>
        <w:drawing>
          <wp:inline distT="0" distB="0" distL="0" distR="0" wp14:anchorId="19581AFC" wp14:editId="2C3283F3">
            <wp:extent cx="4280747" cy="4280747"/>
            <wp:effectExtent l="0" t="0" r="5715" b="5715"/>
            <wp:docPr id="1115751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751041" name=""/>
                    <pic:cNvPicPr/>
                  </pic:nvPicPr>
                  <pic:blipFill>
                    <a:blip r:embed="rId9"/>
                    <a:stretch>
                      <a:fillRect/>
                    </a:stretch>
                  </pic:blipFill>
                  <pic:spPr>
                    <a:xfrm>
                      <a:off x="0" y="0"/>
                      <a:ext cx="4287571" cy="4287571"/>
                    </a:xfrm>
                    <a:prstGeom prst="rect">
                      <a:avLst/>
                    </a:prstGeom>
                  </pic:spPr>
                </pic:pic>
              </a:graphicData>
            </a:graphic>
          </wp:inline>
        </w:drawing>
      </w:r>
    </w:p>
    <w:p w14:paraId="52F6911E" w14:textId="2BF24FB9" w:rsidR="007E4A8F" w:rsidRDefault="00B579A2" w:rsidP="00CC46B2">
      <w:pPr>
        <w:spacing w:before="80" w:after="160" w:line="360" w:lineRule="auto"/>
        <w:jc w:val="center"/>
      </w:pPr>
      <w:r>
        <w:rPr>
          <w:color w:val="444444"/>
          <w:sz w:val="20"/>
          <w:szCs w:val="20"/>
        </w:rPr>
        <w:t xml:space="preserve">Diagram 2: AI Risk Management Lifecycle </w:t>
      </w:r>
      <w:r w:rsidR="00CC46B2">
        <w:rPr>
          <w:color w:val="444444"/>
          <w:sz w:val="20"/>
          <w:szCs w:val="20"/>
        </w:rPr>
        <w:t>-</w:t>
      </w:r>
      <w:r>
        <w:rPr>
          <w:color w:val="444444"/>
          <w:sz w:val="20"/>
          <w:szCs w:val="20"/>
        </w:rPr>
        <w:t xml:space="preserve"> Standard Chartered plc</w:t>
      </w:r>
      <w:r w:rsidR="00CC46B2">
        <w:rPr>
          <w:color w:val="444444"/>
          <w:sz w:val="20"/>
          <w:szCs w:val="20"/>
        </w:rPr>
        <w:t>.</w:t>
      </w:r>
      <w:r>
        <w:rPr>
          <w:color w:val="444444"/>
          <w:sz w:val="20"/>
          <w:szCs w:val="20"/>
        </w:rPr>
        <w:t xml:space="preserve"> Source: Self-made</w:t>
      </w:r>
    </w:p>
    <w:p w14:paraId="582A1300" w14:textId="77777777" w:rsidR="007E4A8F" w:rsidRDefault="007E4A8F" w:rsidP="00A440A8">
      <w:pPr>
        <w:spacing w:before="40" w:after="40" w:line="360" w:lineRule="auto"/>
        <w:jc w:val="both"/>
      </w:pPr>
    </w:p>
    <w:p w14:paraId="1FFD4B1E" w14:textId="6D0F78FA" w:rsidR="005751A3" w:rsidRDefault="005751A3" w:rsidP="00A440A8">
      <w:pPr>
        <w:spacing w:before="80" w:after="160" w:line="360" w:lineRule="auto"/>
        <w:jc w:val="both"/>
      </w:pPr>
      <w:r>
        <w:t xml:space="preserve">Fritz-Morgenthal et al. (2022) also posit </w:t>
      </w:r>
      <w:r w:rsidR="00EE3830">
        <w:t>that AI models must be explainable to be trusted for</w:t>
      </w:r>
      <w:r>
        <w:t xml:space="preserve"> deployment in financial services. The current AI strategy of SC understands that: the bank has integrated the FEAT principles, which were first of its kind created by the former Chief Data and Innovation Officer at MAS in SC, into its own global AI governance approach (SC, 2025). This is important as it implies that SC is not merely accepting a regulatory regime </w:t>
      </w:r>
      <w:r w:rsidR="00EE3830">
        <w:t xml:space="preserve">imposed upon it, but is developing </w:t>
      </w:r>
      <w:r>
        <w:t>a tradition of governance that was in part self-inflicted. Transparency, accountability, and bias mitigation are also considered to be foundational risk controls in the NIST AI Risk Management Framework (2023), which offers a globally recognised taxonomy of AI risk.</w:t>
      </w:r>
    </w:p>
    <w:p w14:paraId="53377C76" w14:textId="683116BC" w:rsidR="005751A3" w:rsidRDefault="005751A3" w:rsidP="00A440A8">
      <w:pPr>
        <w:spacing w:before="80" w:after="160" w:line="360" w:lineRule="auto"/>
        <w:jc w:val="both"/>
      </w:pPr>
      <w:r>
        <w:t xml:space="preserve">A similar but different risk area is data governance. According to Aldboush and Ferdous (2023), the first ethical issues related to AI-driven financial services are data quality, the management of privacy and consent. In the case of SC, where client data is processed at different levels across jurisdictions with varying data protection regimes, it is not simple to ensure that internal data governance policies are in line with the UK GDPR (as applied </w:t>
      </w:r>
      <w:r>
        <w:lastRenderedPageBreak/>
        <w:t>by the ICO) and Singapore PDPC Advisory Guidelines. Guidance on AI and data protection</w:t>
      </w:r>
      <w:r w:rsidR="00EE3830">
        <w:t xml:space="preserve"> published by the ICO (2023) highlights that purpose limitation, data minimisation,</w:t>
      </w:r>
      <w:r>
        <w:t xml:space="preserve"> and meaningful explainability of automated decisions affecting individuals are required.</w:t>
      </w:r>
    </w:p>
    <w:p w14:paraId="2608DA44" w14:textId="00065411" w:rsidR="00E8744F" w:rsidRDefault="00E8744F" w:rsidP="00E8744F">
      <w:pPr>
        <w:spacing w:before="80" w:after="160" w:line="360" w:lineRule="auto"/>
        <w:jc w:val="both"/>
      </w:pPr>
      <w:r>
        <w:t xml:space="preserve">Regulatory risk is the most rapidly evolving dimension. FCA (2024) has confirmed that its principles-based approach means that companies can explain their AI risk management to their seniors whenever they need to, without necessarily having a prescriptive set of rules. This </w:t>
      </w:r>
      <w:r w:rsidR="00242B6B">
        <w:t>creates regulatory ambiguity, something SC must address</w:t>
      </w:r>
      <w:r>
        <w:t xml:space="preserve">. The MAS </w:t>
      </w:r>
      <w:r w:rsidR="00DA1D3F">
        <w:t xml:space="preserve">has issued AI Risk Management Guidelines (2025) in Singapore, with more specific requirements for the controls of the </w:t>
      </w:r>
      <w:r>
        <w:t>AI lifecycle that would directly relate to the work of SC in Singapore. The fact that these two regimes cannot be aligned: one grounded in principles, the other more orderly and predictive, requires that SC come up with structures of governance that are flexible enough to accommodate both.</w:t>
      </w:r>
    </w:p>
    <w:p w14:paraId="1FF7C83F" w14:textId="0A9A1C00" w:rsidR="00E8744F" w:rsidRDefault="00E8744F" w:rsidP="00E8744F">
      <w:pPr>
        <w:spacing w:before="80" w:after="160" w:line="360" w:lineRule="auto"/>
        <w:jc w:val="both"/>
      </w:pPr>
      <w:r>
        <w:t xml:space="preserve">The picture is filled with reputational risk. Mittelstadt et al. (2016) observe that, despite a lack of discriminatory intent, algorithmic systems can be discriminative, and the fact that the underlying models are rather complex makes it difficult to detect the discrimination before it is too late. A high profile AI failure, whether in the credit decisioning process, fraud detection or client communication, will cost their years of relationship capital in the case of a bank where SC is concerned with client trust. The risk-first approach SC is putting </w:t>
      </w:r>
      <w:r w:rsidR="00DA1D3F">
        <w:t xml:space="preserve">in place, as articulated by SC (2025), is therefore not a mere compliance exercise but a </w:t>
      </w:r>
      <w:r>
        <w:t>reputational investment.</w:t>
      </w:r>
    </w:p>
    <w:p w14:paraId="4AA4536B" w14:textId="77777777" w:rsidR="007E4A8F" w:rsidRDefault="00B579A2" w:rsidP="00A440A8">
      <w:pPr>
        <w:pStyle w:val="Heading2"/>
        <w:spacing w:line="360" w:lineRule="auto"/>
        <w:jc w:val="both"/>
      </w:pPr>
      <w:bookmarkStart w:id="7" w:name="_Toc228152127"/>
      <w:r>
        <w:t>2.5 Corporate Governance, Ethical AI and Hofstede's Cultural Dimensions</w:t>
      </w:r>
      <w:bookmarkEnd w:id="7"/>
    </w:p>
    <w:p w14:paraId="30142CD1" w14:textId="77777777" w:rsidR="000A34C5" w:rsidRDefault="000A34C5" w:rsidP="000A34C5">
      <w:pPr>
        <w:spacing w:line="360" w:lineRule="auto"/>
        <w:jc w:val="both"/>
      </w:pPr>
      <w:r>
        <w:t>Corporate governance offers the organisational structure and approach to the AI risk and establishment of ethical norms. As indicated by Mishra and Mishra (2025), AI control at board level has significantly increased in large financial institutions and in most cases, audit and risk committees have been made the main stakeholders of AI risk. In SC, a dual listing company where both the UK and Hong Kong listing laws have been used, the AI governance role of the board is fulfilled in more than one jurisdiction at the same time.</w:t>
      </w:r>
    </w:p>
    <w:p w14:paraId="11081E07" w14:textId="77777777" w:rsidR="000A34C5" w:rsidRDefault="000A34C5" w:rsidP="000A34C5">
      <w:pPr>
        <w:spacing w:line="360" w:lineRule="auto"/>
        <w:jc w:val="both"/>
      </w:pPr>
      <w:r>
        <w:t xml:space="preserve">McNulty and Nordberg (2015) argue that good governance should not merely imply the formal sharing of responsibility, but the actual board engagement in the substantive risks. This is particularly challenging in AI, where board members might not be technologically </w:t>
      </w:r>
      <w:r>
        <w:lastRenderedPageBreak/>
        <w:t>qualified to challenge assumptions of management. There is a possibility that this challenge is already being tackled, with SC having stated that it will present a formal AI strategy to its board in 2025 (Tan, 2025). However, the presence of directors with actual AI knowledge to provide effective challenge will still define the effectiveness of board supervision.</w:t>
      </w:r>
    </w:p>
    <w:p w14:paraId="5C27FD4E" w14:textId="7F74ACAF" w:rsidR="000A34C5" w:rsidRDefault="000A34C5" w:rsidP="000A34C5">
      <w:pPr>
        <w:spacing w:line="360" w:lineRule="auto"/>
        <w:jc w:val="both"/>
      </w:pPr>
      <w:r>
        <w:t>A more serious aspect is brought up by Power (2004), who cautions that risk management systems can become ritualised compliance programs rather than being potentially useful tools to aid in risk identification and mitigation. It is one of the problems directly connected to AI governance: a hub-and-spoke system of SC and responsible AI guardrails can become a box-ticking activity, unless it is linked to effective accountability policies and consequences of the absence of regulation.</w:t>
      </w:r>
    </w:p>
    <w:p w14:paraId="05F12C8D" w14:textId="2F3E7D0E" w:rsidR="003F7E5D" w:rsidRDefault="003F7E5D" w:rsidP="003F7E5D">
      <w:pPr>
        <w:spacing w:line="360" w:lineRule="auto"/>
        <w:jc w:val="both"/>
      </w:pPr>
      <w:r>
        <w:t xml:space="preserve">The cultural dimensions framework, developed by Hofstede (Hofstede, 2011), provides a useful contextual explanation as to why AI governance will not be experienced in the same way in the UK and Singapore. The score of power distance and individualism in the UK is quite low and high respectively and can be discussed as a cultural belief that people have a right to know and question the decisions made concerning them. It is precisely this expectation that guides the ICO emphasis on explainability and the FCA Consumer Duty (Beugelsdijk and Welzel, 2018). Singapore, however, scores higher on power distance and long-term orientation, which </w:t>
      </w:r>
      <w:r w:rsidR="00242B6B">
        <w:t>are cultural orientations towards state development</w:t>
      </w:r>
      <w:r>
        <w:t xml:space="preserve"> and a belief in institutions. That is why the FEAT structure of MAS did not receive the financial </w:t>
      </w:r>
      <w:r w:rsidR="00242B6B">
        <w:t>support of Singaporean society with much</w:t>
      </w:r>
      <w:r>
        <w:t xml:space="preserve"> resistance: the cultural background predisposes one to follow the standards of governance advocated by the state.</w:t>
      </w:r>
    </w:p>
    <w:p w14:paraId="1046D6EC" w14:textId="77777777" w:rsidR="003F7E5D" w:rsidRDefault="003F7E5D" w:rsidP="003F7E5D">
      <w:pPr>
        <w:spacing w:line="360" w:lineRule="auto"/>
        <w:jc w:val="both"/>
      </w:pPr>
      <w:r>
        <w:t>Beugelsdijk et al. (2017) caution that Hofstede dimensions are not predictors of behaviour, but general indicators of it and that there is a lot of within-country variation. Nevertheless, practical implications of the difference in the cultures of the two target markets of SC on the design of AI governance are practical. The communication to the clients in the UK on AI-driven decisions will need to be more transparent and disapprovable. At the same time, the governance processes in Singapore may be based even more on the institutional frameworks and professional norms. This is not just a compliance matter, but a very practical difference between what the customers desire and what regulators will deem acceptable.</w:t>
      </w:r>
    </w:p>
    <w:p w14:paraId="25480D46" w14:textId="03CF3471" w:rsidR="007E4A8F" w:rsidRDefault="00DA1D3F" w:rsidP="003F7E5D">
      <w:pPr>
        <w:spacing w:line="360" w:lineRule="auto"/>
        <w:jc w:val="both"/>
      </w:pPr>
      <w:r>
        <w:t>The ethical</w:t>
      </w:r>
      <w:r w:rsidR="003F7E5D">
        <w:t xml:space="preserve"> issue of AI in banking extends beyond regulatory compliance. Jobin et al. (2019) state that there are 84 AI ethics principles </w:t>
      </w:r>
      <w:r>
        <w:t xml:space="preserve">worldwide, and that </w:t>
      </w:r>
      <w:r w:rsidR="003F7E5D">
        <w:t xml:space="preserve">transparency, justice, and non-maleficence are the most common. Floridi et al. (2018) argue that an </w:t>
      </w:r>
      <w:r w:rsidR="003F7E5D">
        <w:lastRenderedPageBreak/>
        <w:t xml:space="preserve">ethical framework of AI ought to rely on beneficence, non-maleficence, autonomy, justice, and explicability. With SC, it is not just a question of integrating these principles </w:t>
      </w:r>
      <w:r>
        <w:t>into its AI governance, but of maintaining the confidence of its clients, employees,</w:t>
      </w:r>
      <w:r w:rsidR="003F7E5D">
        <w:t xml:space="preserve"> and investors in culturally diverse markets.</w:t>
      </w:r>
      <w:r w:rsidR="00B579A2">
        <w:br w:type="page"/>
      </w:r>
    </w:p>
    <w:p w14:paraId="5832052E" w14:textId="77777777" w:rsidR="007E4A8F" w:rsidRDefault="00B579A2" w:rsidP="00A440A8">
      <w:pPr>
        <w:pStyle w:val="Heading1"/>
        <w:spacing w:line="360" w:lineRule="auto"/>
        <w:jc w:val="both"/>
      </w:pPr>
      <w:bookmarkStart w:id="8" w:name="_Toc228152128"/>
      <w:r>
        <w:lastRenderedPageBreak/>
        <w:t>3. Implementation Plan</w:t>
      </w:r>
      <w:bookmarkEnd w:id="8"/>
    </w:p>
    <w:p w14:paraId="4786C162" w14:textId="00B852C7" w:rsidR="00CA1B47" w:rsidRPr="00266AFE" w:rsidRDefault="00CA1B47" w:rsidP="00A440A8">
      <w:pPr>
        <w:spacing w:before="80" w:after="160" w:line="360" w:lineRule="auto"/>
        <w:jc w:val="both"/>
        <w:rPr>
          <w:highlight w:val="yellow"/>
        </w:rPr>
      </w:pPr>
      <w:r w:rsidRPr="00CA1B47">
        <w:t>The following implementation plan will illustrate the methods of converting the analytical findings of this report into practical recommendations to SC. The plan is divided into three horizons, short-term (12 months), medium-term (13 years) and long-term (35 years). The recommendations are future-oriented and proactive and not based on the needs at the moment. There are indicative cost estimates as required, but these will have to be reconciled with the SC internal cost budgeting processes.</w:t>
      </w:r>
    </w:p>
    <w:p w14:paraId="46EC0C3B" w14:textId="77777777" w:rsidR="007E4A8F" w:rsidRPr="00CA1B47" w:rsidRDefault="00B579A2" w:rsidP="00A440A8">
      <w:pPr>
        <w:pStyle w:val="Heading3"/>
        <w:spacing w:line="360" w:lineRule="auto"/>
        <w:jc w:val="both"/>
      </w:pPr>
      <w:bookmarkStart w:id="9" w:name="_Toc228152129"/>
      <w:r w:rsidRPr="00CA1B47">
        <w:t>Short-Term (0–12 Months): Governance Foundations</w:t>
      </w:r>
      <w:bookmarkEnd w:id="9"/>
    </w:p>
    <w:p w14:paraId="56A728A3" w14:textId="3F356F4B" w:rsidR="000818C5" w:rsidRDefault="000818C5" w:rsidP="00A440A8">
      <w:pPr>
        <w:spacing w:before="80" w:after="160" w:line="360" w:lineRule="auto"/>
        <w:jc w:val="both"/>
      </w:pPr>
      <w:r w:rsidRPr="000818C5">
        <w:t>The highest priority is the formalisation of the AI governance framework of SC at the board level. The board presentation 2025 offers a chance to introduce a special AI Risk Sub-Committee into the existing Risk Committee structure, having obvious terms of reference, which would consider model risk, data governance, regulatory compliance, and ethical AI controls. This committee should include at least two non-executive directors who have demonstrated experience in AI, and report to both Chief Data Officer and Chief Risk Officer. This design would align with the fact that the FCA expects organisations to be in a position to explain their AI risk management to supervisors (FCA, 2024) and with the Harvard Law School Forum noting that AI oversight on the board level is emerging as a norm in the market (Mishra and Mishra, 2025).</w:t>
      </w:r>
    </w:p>
    <w:p w14:paraId="37DF7D53" w14:textId="1034EAB8" w:rsidR="00C0770A" w:rsidRDefault="00C0770A" w:rsidP="00A440A8">
      <w:pPr>
        <w:spacing w:before="80" w:after="160" w:line="360" w:lineRule="auto"/>
        <w:jc w:val="both"/>
      </w:pPr>
      <w:r>
        <w:t xml:space="preserve">At the same time, SC ought to undertake a thorough AI inventory audit </w:t>
      </w:r>
      <w:r w:rsidR="00EE3830">
        <w:t>across all business lines and report existing AI usage cases by materiality, regulatory jurisdiction,</w:t>
      </w:r>
      <w:r>
        <w:t xml:space="preserve"> and data sensitivity. This exercise has a taxonomy that is well </w:t>
      </w:r>
      <w:r w:rsidR="00EE3830">
        <w:t>organised</w:t>
      </w:r>
      <w:r>
        <w:t xml:space="preserve"> by the NIST AI Risk Management Framework (2023). The audit needs to </w:t>
      </w:r>
      <w:r w:rsidR="00EE3830">
        <w:t>identify the current deployments that fail to meet the ICO (2023) explainability requirements or the MAS (2020) FEAT assessment criteria, and prioritise their remediation</w:t>
      </w:r>
      <w:r>
        <w:t>.</w:t>
      </w:r>
    </w:p>
    <w:p w14:paraId="13D7BD1C" w14:textId="5079FAC1" w:rsidR="00C0770A" w:rsidRDefault="00C0770A" w:rsidP="00A440A8">
      <w:pPr>
        <w:spacing w:before="80" w:after="160" w:line="360" w:lineRule="auto"/>
        <w:jc w:val="both"/>
      </w:pPr>
      <w:r>
        <w:t xml:space="preserve">In the case of Singapore in particular, SC ought to </w:t>
      </w:r>
      <w:r w:rsidR="00EE3830">
        <w:t>ensure that its current AI implementations are evaluated in accordance with the proposed AI Risk Management Guidelines (2025) of MAS before they come into effect, so that the bank can demonstrate proactive adherence</w:t>
      </w:r>
      <w:r>
        <w:t>. This would also place SC in a good position in case of any supervisory dialogue with MAS in the future.</w:t>
      </w:r>
    </w:p>
    <w:p w14:paraId="58A85055" w14:textId="600519EA" w:rsidR="00C0770A" w:rsidRDefault="00C0770A" w:rsidP="00A440A8">
      <w:pPr>
        <w:spacing w:before="80" w:after="160" w:line="360" w:lineRule="auto"/>
        <w:jc w:val="both"/>
      </w:pPr>
      <w:r>
        <w:t xml:space="preserve">Estimate investment: The restructuring of internal governance is mainly a people-and-process expense. With </w:t>
      </w:r>
      <w:r w:rsidR="00EE3830">
        <w:t xml:space="preserve">risk, compliance, and data functions, and external advisory </w:t>
      </w:r>
      <w:r w:rsidR="00EE3830">
        <w:lastRenderedPageBreak/>
        <w:t>support for the audit, the estimated short-term cost is about 10 additional full-time equivalents (FTEs), totalling</w:t>
      </w:r>
      <w:r>
        <w:t xml:space="preserve"> GBP 2-3 million.</w:t>
      </w:r>
    </w:p>
    <w:p w14:paraId="5380D572" w14:textId="77777777" w:rsidR="007E4A8F" w:rsidRDefault="00B579A2" w:rsidP="00A440A8">
      <w:pPr>
        <w:pStyle w:val="Heading3"/>
        <w:spacing w:line="360" w:lineRule="auto"/>
        <w:jc w:val="both"/>
      </w:pPr>
      <w:bookmarkStart w:id="10" w:name="_Toc228152130"/>
      <w:r>
        <w:t>Medium-Term (1–3 Years): Capability and Compliance Investment</w:t>
      </w:r>
      <w:bookmarkEnd w:id="10"/>
    </w:p>
    <w:p w14:paraId="12E40522" w14:textId="4E90F00F" w:rsidR="00C0770A" w:rsidRDefault="00C0770A" w:rsidP="00A440A8">
      <w:pPr>
        <w:spacing w:before="80" w:after="160" w:line="360" w:lineRule="auto"/>
        <w:jc w:val="both"/>
      </w:pPr>
      <w:r>
        <w:t xml:space="preserve">In the medium term, SC ought to invest in the technical infrastructure needed to scale up to ethical AI. This implies building internal model explainability features, which might be informed by models like Shapley Additive Explanations (SHAP) or other interpretability systems, to </w:t>
      </w:r>
      <w:r w:rsidR="00EE3830">
        <w:t>ensure that AI-driven credit, fraud, and client decisions are transparent to clients and regulators upon</w:t>
      </w:r>
      <w:r>
        <w:t xml:space="preserve"> request. Doshi-Velez and Kim (2017) offer a </w:t>
      </w:r>
      <w:r w:rsidR="00EE3830">
        <w:t>rigorous basis for interpreting what interpretability demands in practice, and their conceptualisation</w:t>
      </w:r>
      <w:r>
        <w:t xml:space="preserve"> may inform </w:t>
      </w:r>
      <w:r w:rsidR="008C4137">
        <w:t>SC's technical development priorities</w:t>
      </w:r>
      <w:r>
        <w:t>.</w:t>
      </w:r>
    </w:p>
    <w:p w14:paraId="50A59C27" w14:textId="6D37C8B8" w:rsidR="00C0770A" w:rsidRDefault="00C0770A" w:rsidP="00A440A8">
      <w:pPr>
        <w:spacing w:before="80" w:after="160" w:line="360" w:lineRule="auto"/>
        <w:jc w:val="both"/>
      </w:pPr>
      <w:r>
        <w:t xml:space="preserve">SC also needs to invest in </w:t>
      </w:r>
      <w:r w:rsidR="00EE3830">
        <w:t>transparency around AI for clients in both the UK and Singapore, which would be culturally appropriate given</w:t>
      </w:r>
      <w:r>
        <w:t xml:space="preserve"> the Hofstede analysis above. This could include in the UK more comprehensive disclosure of the use of AI in credit decisioning, such as the right to ask algorithms be reviewed by a human in compliance with the UK GDPR requirements (ICO, 2023). Transparency mechanisms in Singapore may be more institution-based, such as releasing an annual FEAT compliance assessment</w:t>
      </w:r>
      <w:r w:rsidR="00EE3830">
        <w:t>,</w:t>
      </w:r>
      <w:r>
        <w:t xml:space="preserve"> in line with the Veritas Toolkit (MAS, 2023).</w:t>
      </w:r>
    </w:p>
    <w:p w14:paraId="7C6463D9" w14:textId="3FA226BE" w:rsidR="00C0770A" w:rsidRDefault="00C0770A" w:rsidP="00A440A8">
      <w:pPr>
        <w:spacing w:before="80" w:after="160" w:line="360" w:lineRule="auto"/>
        <w:jc w:val="both"/>
      </w:pPr>
      <w:r>
        <w:t xml:space="preserve">During this time, the Alibaba Cloud partnership is to be assessed in its resilience and compatibility with regulations. In particular, SC must </w:t>
      </w:r>
      <w:r w:rsidR="00EE3830">
        <w:t>ensure that the contractual terms for data repatriation, audit rights, and service continuity comply</w:t>
      </w:r>
      <w:r>
        <w:t xml:space="preserve"> with the new Critical Third Party standards currently under development by the FCA and PRA (Bank of England and FCA, 2024). </w:t>
      </w:r>
      <w:r w:rsidR="00EE3830">
        <w:t>If the partnership cannot be designed to meet these standards, SC may need to consider</w:t>
      </w:r>
      <w:r>
        <w:t xml:space="preserve"> creating a multi-cloud strategy to mitigate concentration risk.</w:t>
      </w:r>
    </w:p>
    <w:p w14:paraId="69D275EF" w14:textId="44588F75" w:rsidR="00C0770A" w:rsidRDefault="00C0770A" w:rsidP="00A440A8">
      <w:pPr>
        <w:spacing w:before="80" w:after="160" w:line="360" w:lineRule="auto"/>
        <w:jc w:val="both"/>
      </w:pPr>
      <w:r>
        <w:t>Estimated investment: Technology capability uplift, such as model interpretability infrastructure and client-facing transparency tools</w:t>
      </w:r>
      <w:r w:rsidR="00EE3830">
        <w:t>,</w:t>
      </w:r>
      <w:r>
        <w:t xml:space="preserve"> would be estimated at GBP 15-25 million </w:t>
      </w:r>
      <w:r w:rsidR="00EE3830">
        <w:t>over three years, based on the level of modernisation required for the legacy systems</w:t>
      </w:r>
      <w:r>
        <w:t xml:space="preserve">. This aligns with the size of AI investment </w:t>
      </w:r>
      <w:r w:rsidR="00EE3830">
        <w:t>pursued by the largest banking organisations in the UK, as recorded in the Bank of England and FCA (2024) survey</w:t>
      </w:r>
      <w:r>
        <w:t>.</w:t>
      </w:r>
    </w:p>
    <w:p w14:paraId="3F9137A5" w14:textId="5BF5F546" w:rsidR="007E4A8F" w:rsidRDefault="00B579A2" w:rsidP="00A440A8">
      <w:pPr>
        <w:pStyle w:val="Heading3"/>
        <w:spacing w:line="360" w:lineRule="auto"/>
        <w:jc w:val="both"/>
      </w:pPr>
      <w:bookmarkStart w:id="11" w:name="_Toc228152131"/>
      <w:r>
        <w:t>Long-Term (3–5 Years): Strategic Positioning and Futureproofing</w:t>
      </w:r>
      <w:bookmarkEnd w:id="11"/>
    </w:p>
    <w:p w14:paraId="6DD4BE2F" w14:textId="7E7A3313" w:rsidR="00C0770A" w:rsidRDefault="00C0770A" w:rsidP="00A440A8">
      <w:pPr>
        <w:spacing w:line="360" w:lineRule="auto"/>
        <w:jc w:val="both"/>
      </w:pPr>
      <w:r>
        <w:t xml:space="preserve">In the long run, the goal of SC must be to establish responsible AI governance as a true competitive advantage and not a regulatory expense. Stulz (2019) contends that </w:t>
      </w:r>
      <w:r w:rsidR="00EE3830">
        <w:t xml:space="preserve">banks </w:t>
      </w:r>
      <w:r w:rsidR="00EE3830">
        <w:lastRenderedPageBreak/>
        <w:t>best placed to take advantage of technology-driven disruption will be those that integrate strong client relationships with high data and analytics capabilities</w:t>
      </w:r>
      <w:r>
        <w:t>. The cross-border presence of SC and client-centric approach is quite consistent with this thesis, as long as AI governance is in line with AI capability.</w:t>
      </w:r>
    </w:p>
    <w:p w14:paraId="1590F8C7" w14:textId="2371FDD9" w:rsidR="00C0770A" w:rsidRDefault="00C0770A" w:rsidP="00A440A8">
      <w:pPr>
        <w:spacing w:line="360" w:lineRule="auto"/>
        <w:jc w:val="both"/>
      </w:pPr>
      <w:r>
        <w:t xml:space="preserve">SC must be proactive in </w:t>
      </w:r>
      <w:r w:rsidR="00EE3830">
        <w:t>developing international standards for AI governance, building</w:t>
      </w:r>
      <w:r>
        <w:t xml:space="preserve"> on its current engagement with MAS and existing relationships with UK regulators. As Buchanan (2019) points out, the financial sector has long been a pioneer in establishing industry-wide governance standards, such as </w:t>
      </w:r>
      <w:r w:rsidR="00EE3830">
        <w:t xml:space="preserve">stress testing and capital adequacy, and </w:t>
      </w:r>
      <w:r w:rsidR="008C4137">
        <w:t>SC may</w:t>
      </w:r>
      <w:r w:rsidR="00EE3830">
        <w:t xml:space="preserve"> play a similar</w:t>
      </w:r>
      <w:r>
        <w:t xml:space="preserve"> role in AI governance, especially in the Asia-Pacific region.</w:t>
      </w:r>
    </w:p>
    <w:p w14:paraId="75A4ACC0" w14:textId="1B255A8F" w:rsidR="00C0770A" w:rsidRDefault="00C0770A" w:rsidP="00A440A8">
      <w:pPr>
        <w:spacing w:line="360" w:lineRule="auto"/>
        <w:jc w:val="both"/>
      </w:pPr>
      <w:r>
        <w:t xml:space="preserve">The development of the EU AI Act, which does not </w:t>
      </w:r>
      <w:r w:rsidR="00EE3830">
        <w:t xml:space="preserve">yet directly affect SC's operations but already shapes regulatory thinking in the UK and Singapore, is also something </w:t>
      </w:r>
      <w:r>
        <w:t xml:space="preserve">SC should look forward to. Floridi et al. (2018) posit that ethical AI systems must be future-proofed to deal with the rise of more powerful AI systems, such as generative AI and, in due course, artificial general intelligence. The governance structures of SC must be planned in this direction, </w:t>
      </w:r>
      <w:r w:rsidR="00EE3830">
        <w:t>rather than optimised for the AI systems available today</w:t>
      </w:r>
      <w:r>
        <w:t>.</w:t>
      </w:r>
    </w:p>
    <w:p w14:paraId="4984465F" w14:textId="513A3D88" w:rsidR="00C0770A" w:rsidRDefault="00C0770A" w:rsidP="00A440A8">
      <w:pPr>
        <w:spacing w:line="360" w:lineRule="auto"/>
        <w:jc w:val="both"/>
      </w:pPr>
      <w:r>
        <w:t xml:space="preserve">Estimated investment: Long-term strategic positioning entails continuous investment in talent, partnerships and regulatory involvement. A proposed indicative budget of GBP 5-10 million annually on a specific responsible AI role, including research, regulatory affairs, training and external partnerships is suggested. It should not be considered </w:t>
      </w:r>
      <w:r w:rsidR="00EE3830">
        <w:t>a cost centre but a long-term investment in risk reduction and brand building</w:t>
      </w:r>
      <w:r>
        <w:t xml:space="preserve"> with a long-term payback.</w:t>
      </w:r>
    </w:p>
    <w:p w14:paraId="63882A5F" w14:textId="728C97D4" w:rsidR="007E4A8F" w:rsidRDefault="00C0770A" w:rsidP="00A440A8">
      <w:pPr>
        <w:spacing w:line="360" w:lineRule="auto"/>
        <w:jc w:val="both"/>
      </w:pPr>
      <w:r>
        <w:t> </w:t>
      </w:r>
      <w:r w:rsidR="00B579A2">
        <w:br w:type="page"/>
      </w:r>
    </w:p>
    <w:p w14:paraId="79CE61DD" w14:textId="77777777" w:rsidR="007E4A8F" w:rsidRDefault="00B579A2" w:rsidP="00A440A8">
      <w:pPr>
        <w:pStyle w:val="Heading1"/>
        <w:spacing w:line="360" w:lineRule="auto"/>
        <w:jc w:val="both"/>
      </w:pPr>
      <w:bookmarkStart w:id="12" w:name="_Toc228152132"/>
      <w:r>
        <w:lastRenderedPageBreak/>
        <w:t>4. Conclusion</w:t>
      </w:r>
      <w:bookmarkEnd w:id="12"/>
    </w:p>
    <w:p w14:paraId="02FA48F7" w14:textId="176C151F" w:rsidR="00C0770A" w:rsidRDefault="00C0770A" w:rsidP="00A440A8">
      <w:pPr>
        <w:spacing w:line="360" w:lineRule="auto"/>
        <w:jc w:val="both"/>
      </w:pPr>
      <w:r>
        <w:t xml:space="preserve">Standard Chartered plc finds itself at a truly significant crossroad with artificial intelligence. The analytical models used in the current report, PESTLE, </w:t>
      </w:r>
      <w:r w:rsidR="00EE3830">
        <w:t>Porter's</w:t>
      </w:r>
      <w:r>
        <w:t xml:space="preserve"> Diamond and Five Forces, risk management theory, corporate governance and cultural dimensions of Hofstede are united by a common conclusion: AI presents SC with a significant competitive strategy, but the realisation of that strategy is dependent on the quality and credibility of its governance and not merely the complexity of its technology.</w:t>
      </w:r>
    </w:p>
    <w:p w14:paraId="6E534BC8" w14:textId="6F7EA7AC" w:rsidR="000818C5" w:rsidRDefault="000818C5" w:rsidP="00A440A8">
      <w:pPr>
        <w:spacing w:line="360" w:lineRule="auto"/>
        <w:jc w:val="both"/>
      </w:pPr>
      <w:r w:rsidRPr="000818C5">
        <w:t>The UK and Singapore regulatory environment is evolving fast and, overall, on a very broad scale, in accordance with the current strategic direction of SC. Both the principles-based regime of the UK and the FEAT-consistent regulatory framework of Singapore seek to achieve transparent, accountable, fair, and robust AI. Nevertheless, they could follow other directions. The most important strength of SC is that it helped to create the FEAT framework and is already implementing it on the global level (SC, 2025), which gives it a credibility advantage in regulatory discussion, which needs to be capitalized on.</w:t>
      </w:r>
    </w:p>
    <w:p w14:paraId="7732F957" w14:textId="16C1275C" w:rsidR="00242B6B" w:rsidRDefault="00242B6B" w:rsidP="00A440A8">
      <w:pPr>
        <w:spacing w:line="360" w:lineRule="auto"/>
        <w:jc w:val="both"/>
      </w:pPr>
      <w:r w:rsidRPr="00242B6B">
        <w:t>The risks, however, are not to be underestimated. The characteristics of AI infrastructure, in which several technology providers dominate</w:t>
      </w:r>
      <w:r w:rsidR="008C4137">
        <w:t xml:space="preserve">, the opacity of complex models, the pace of regulatory transformation, and the heterogeneity of SC's client base </w:t>
      </w:r>
      <w:r w:rsidRPr="00242B6B">
        <w:t>all introduce governance issues that need to be resolved on a long-term scale at the highest levels of the organisation. The caution that Power (2004) advises about the ritualisation of risk management is rather timely: governance mechanisms that seem to shine brightly on paper but will never translate into accountability will not withstand regulatory or reputational audit.</w:t>
      </w:r>
    </w:p>
    <w:p w14:paraId="73B71956" w14:textId="61CCBAF2" w:rsidR="00C0770A" w:rsidRDefault="00C0770A" w:rsidP="00A440A8">
      <w:pPr>
        <w:spacing w:line="360" w:lineRule="auto"/>
        <w:jc w:val="both"/>
      </w:pPr>
      <w:r>
        <w:t xml:space="preserve">The implementation plan </w:t>
      </w:r>
      <w:r w:rsidR="00A440A8">
        <w:t xml:space="preserve">in this report is structured in phases because intentions are unlikely to result in long-lasting change without the </w:t>
      </w:r>
      <w:r>
        <w:t xml:space="preserve">commitment of resources. The leadership in SC has a </w:t>
      </w:r>
      <w:r w:rsidR="00A440A8">
        <w:t>3- to 5-year window to develop a responsible AI team that can be used by the industry, especially in the Asia-Pacific region, where regulatory frameworks are still in the offing</w:t>
      </w:r>
      <w:r w:rsidR="008C4137">
        <w:t>,</w:t>
      </w:r>
      <w:r w:rsidR="00A440A8">
        <w:t xml:space="preserve"> and SC has significant</w:t>
      </w:r>
      <w:r>
        <w:t xml:space="preserve"> influence in shaping the industry.</w:t>
      </w:r>
    </w:p>
    <w:p w14:paraId="70BD444B" w14:textId="7E3EEF0B" w:rsidR="007E4A8F" w:rsidRDefault="00C0770A" w:rsidP="00A440A8">
      <w:pPr>
        <w:spacing w:line="360" w:lineRule="auto"/>
        <w:jc w:val="both"/>
      </w:pPr>
      <w:r>
        <w:t>But, finally, the question that this report attempted to answer, namely how SC can deal with the risks and opportunities of AI, answers the question in a simple rule, namely govern first, scale second. Not the fastest to deploy AI, but the most responsible will be the banks that will gain the longest lasting competitive advantage of AI. In the case of Standard Chartered, and its unique cross-border presence, and its current dedication to responsible AI, that principle is not only a limitation, but a very real strategic opportunity.</w:t>
      </w:r>
      <w:r w:rsidR="00B579A2">
        <w:br w:type="page"/>
      </w:r>
    </w:p>
    <w:p w14:paraId="27F1F63F" w14:textId="77777777" w:rsidR="007E4A8F" w:rsidRDefault="00B579A2" w:rsidP="00A440A8">
      <w:pPr>
        <w:pStyle w:val="Heading1"/>
        <w:spacing w:line="360" w:lineRule="auto"/>
        <w:jc w:val="both"/>
      </w:pPr>
      <w:bookmarkStart w:id="13" w:name="_Toc228152133"/>
      <w:r>
        <w:lastRenderedPageBreak/>
        <w:t>5. Bibliography</w:t>
      </w:r>
      <w:bookmarkEnd w:id="13"/>
    </w:p>
    <w:p w14:paraId="08809240" w14:textId="6E1CB570" w:rsidR="007E4A8F" w:rsidRDefault="00B579A2" w:rsidP="00B579A2">
      <w:pPr>
        <w:spacing w:before="60" w:after="60" w:line="360" w:lineRule="auto"/>
        <w:jc w:val="both"/>
      </w:pPr>
      <w:r>
        <w:rPr>
          <w:sz w:val="20"/>
          <w:szCs w:val="20"/>
        </w:rPr>
        <w:t xml:space="preserve">Acemoglu, D. (2021). Harms of AI. [online] National Bureau of Economic Research. Available at: </w:t>
      </w:r>
      <w:hyperlink r:id="rId10" w:history="1">
        <w:r w:rsidRPr="00DC0F7B">
          <w:rPr>
            <w:rStyle w:val="Hyperlink"/>
            <w:sz w:val="20"/>
            <w:szCs w:val="20"/>
          </w:rPr>
          <w:t>https://www.nber.org/papers/w29247</w:t>
        </w:r>
      </w:hyperlink>
      <w:r>
        <w:rPr>
          <w:sz w:val="20"/>
          <w:szCs w:val="20"/>
        </w:rPr>
        <w:t xml:space="preserve">. </w:t>
      </w:r>
    </w:p>
    <w:p w14:paraId="4777600A" w14:textId="0292B3C1" w:rsidR="007E4A8F" w:rsidRDefault="00B579A2" w:rsidP="00B579A2">
      <w:pPr>
        <w:spacing w:before="60" w:after="60" w:line="360" w:lineRule="auto"/>
        <w:jc w:val="both"/>
      </w:pPr>
      <w:r>
        <w:rPr>
          <w:sz w:val="20"/>
          <w:szCs w:val="20"/>
        </w:rPr>
        <w:t xml:space="preserve">Antràs, P., Fort, T.C. and Tintelnot, F. (2017). The margins of global sourcing: theory and evidence from US firms. American Economic Review, 107(9), pp.2514–2564. doi: </w:t>
      </w:r>
      <w:hyperlink r:id="rId11" w:history="1">
        <w:r w:rsidRPr="00DC0F7B">
          <w:rPr>
            <w:rStyle w:val="Hyperlink"/>
            <w:sz w:val="20"/>
            <w:szCs w:val="20"/>
          </w:rPr>
          <w:t>https://doi.org/10.1257/aer.20141685</w:t>
        </w:r>
      </w:hyperlink>
      <w:r>
        <w:rPr>
          <w:sz w:val="20"/>
          <w:szCs w:val="20"/>
        </w:rPr>
        <w:t xml:space="preserve">. </w:t>
      </w:r>
    </w:p>
    <w:p w14:paraId="49AC41B7" w14:textId="35D2E62C" w:rsidR="007E4A8F" w:rsidRDefault="0043104B" w:rsidP="00B579A2">
      <w:pPr>
        <w:spacing w:before="60" w:after="60" w:line="360" w:lineRule="auto"/>
        <w:jc w:val="both"/>
      </w:pPr>
      <w:r>
        <w:rPr>
          <w:sz w:val="20"/>
          <w:szCs w:val="20"/>
        </w:rPr>
        <w:t>article details</w:t>
      </w:r>
      <w:r w:rsidR="00B579A2">
        <w:rPr>
          <w:sz w:val="20"/>
          <w:szCs w:val="20"/>
        </w:rPr>
        <w:t xml:space="preserve"> (2026). Standard Chartered's risk-first approach to scaling AI globally. [online] Theasianbanker.com. Available at: </w:t>
      </w:r>
      <w:hyperlink r:id="rId12" w:history="1">
        <w:r w:rsidR="00B579A2" w:rsidRPr="00DC0F7B">
          <w:rPr>
            <w:rStyle w:val="Hyperlink"/>
            <w:sz w:val="20"/>
            <w:szCs w:val="20"/>
          </w:rPr>
          <w:t>https://www.theasianbanker.com/updates-and-articles/standard-chartered-s-risk-first-approach-to-scaling-ai-globally</w:t>
        </w:r>
      </w:hyperlink>
      <w:r w:rsidR="00B579A2">
        <w:rPr>
          <w:sz w:val="20"/>
          <w:szCs w:val="20"/>
        </w:rPr>
        <w:t xml:space="preserve">  [Accessed 20 April 2026]. </w:t>
      </w:r>
    </w:p>
    <w:p w14:paraId="7061DA67" w14:textId="2A1A47D8" w:rsidR="007E4A8F" w:rsidRDefault="00B579A2" w:rsidP="00B579A2">
      <w:pPr>
        <w:spacing w:before="60" w:after="60" w:line="360" w:lineRule="auto"/>
        <w:jc w:val="both"/>
      </w:pPr>
      <w:r>
        <w:rPr>
          <w:sz w:val="20"/>
          <w:szCs w:val="20"/>
        </w:rPr>
        <w:t xml:space="preserve">Bednarski, L., Subramanian, N., Roscoe, S. and Blome, C. (2025). Geopolitical rivalry over strategically important industries: understanding the effects on global supply chain design. Production Planning and Control, pp.1–23. doi: </w:t>
      </w:r>
      <w:hyperlink r:id="rId13" w:history="1">
        <w:r w:rsidRPr="00DC0F7B">
          <w:rPr>
            <w:rStyle w:val="Hyperlink"/>
            <w:sz w:val="20"/>
            <w:szCs w:val="20"/>
          </w:rPr>
          <w:t>https://doi.org/10.1080/09537287.2025.2570203</w:t>
        </w:r>
      </w:hyperlink>
      <w:r>
        <w:rPr>
          <w:sz w:val="20"/>
          <w:szCs w:val="20"/>
        </w:rPr>
        <w:t xml:space="preserve">. </w:t>
      </w:r>
    </w:p>
    <w:p w14:paraId="750481D9" w14:textId="087734D2" w:rsidR="007E4A8F" w:rsidRDefault="00B579A2" w:rsidP="00B579A2">
      <w:pPr>
        <w:spacing w:before="60" w:after="60" w:line="360" w:lineRule="auto"/>
        <w:jc w:val="both"/>
      </w:pPr>
      <w:r>
        <w:rPr>
          <w:sz w:val="20"/>
          <w:szCs w:val="20"/>
        </w:rPr>
        <w:t xml:space="preserve">Beugelsdijk, S., Kostova, T. and Roth, K. (2017). An overview of Hofstede-inspired country-level culture research in international business since 2006. Journal of International Business Studies, 48(1), pp.30–47. doi: </w:t>
      </w:r>
      <w:hyperlink r:id="rId14" w:history="1">
        <w:r w:rsidRPr="00DC0F7B">
          <w:rPr>
            <w:rStyle w:val="Hyperlink"/>
            <w:sz w:val="20"/>
            <w:szCs w:val="20"/>
          </w:rPr>
          <w:t>https://doi.org/10.1057/s41267-016-0038-8</w:t>
        </w:r>
      </w:hyperlink>
      <w:r>
        <w:rPr>
          <w:sz w:val="20"/>
          <w:szCs w:val="20"/>
        </w:rPr>
        <w:t xml:space="preserve">. </w:t>
      </w:r>
    </w:p>
    <w:p w14:paraId="48F65958" w14:textId="1C46CF13" w:rsidR="007E4A8F" w:rsidRDefault="00B579A2" w:rsidP="00B579A2">
      <w:pPr>
        <w:spacing w:before="60" w:after="60" w:line="360" w:lineRule="auto"/>
        <w:jc w:val="both"/>
      </w:pPr>
      <w:r>
        <w:rPr>
          <w:sz w:val="20"/>
          <w:szCs w:val="20"/>
        </w:rPr>
        <w:t xml:space="preserve">Beugelsdijk, S. and Welzel, C. (2018). Dimensions and dynamics of national culture: </w:t>
      </w:r>
      <w:r w:rsidR="00A440A8">
        <w:rPr>
          <w:sz w:val="20"/>
          <w:szCs w:val="20"/>
        </w:rPr>
        <w:t>synthesising</w:t>
      </w:r>
      <w:r>
        <w:rPr>
          <w:sz w:val="20"/>
          <w:szCs w:val="20"/>
        </w:rPr>
        <w:t xml:space="preserve"> Hofstede with Inglehart. Journal of Cross-Cultural Psychology, 49(10), pp.1469–1505. doi: </w:t>
      </w:r>
      <w:hyperlink r:id="rId15" w:history="1">
        <w:r w:rsidRPr="00DC0F7B">
          <w:rPr>
            <w:rStyle w:val="Hyperlink"/>
            <w:sz w:val="20"/>
            <w:szCs w:val="20"/>
          </w:rPr>
          <w:t>https://doi.org/10.1177/0022022118798505</w:t>
        </w:r>
      </w:hyperlink>
      <w:r>
        <w:rPr>
          <w:sz w:val="20"/>
          <w:szCs w:val="20"/>
        </w:rPr>
        <w:t xml:space="preserve">. </w:t>
      </w:r>
    </w:p>
    <w:p w14:paraId="2DCE5405" w14:textId="66126491" w:rsidR="007E4A8F" w:rsidRDefault="00B579A2" w:rsidP="00B579A2">
      <w:pPr>
        <w:spacing w:before="60" w:after="60" w:line="360" w:lineRule="auto"/>
        <w:jc w:val="both"/>
      </w:pPr>
      <w:r>
        <w:rPr>
          <w:sz w:val="20"/>
          <w:szCs w:val="20"/>
        </w:rPr>
        <w:t xml:space="preserve">Buchanan, B. (2019). Artificial intelligence in finance. The Alan Turing Institute. doi: </w:t>
      </w:r>
      <w:hyperlink r:id="rId16" w:history="1">
        <w:r w:rsidRPr="00DC0F7B">
          <w:rPr>
            <w:rStyle w:val="Hyperlink"/>
            <w:sz w:val="20"/>
            <w:szCs w:val="20"/>
          </w:rPr>
          <w:t>https://doi.org/10.5281/zenodo.2612537</w:t>
        </w:r>
      </w:hyperlink>
      <w:r>
        <w:rPr>
          <w:sz w:val="20"/>
          <w:szCs w:val="20"/>
        </w:rPr>
        <w:t xml:space="preserve">. </w:t>
      </w:r>
    </w:p>
    <w:p w14:paraId="5F7A0F7E" w14:textId="3A28D6F3" w:rsidR="007E4A8F" w:rsidRDefault="00B579A2" w:rsidP="00B579A2">
      <w:pPr>
        <w:spacing w:before="60" w:after="60" w:line="360" w:lineRule="auto"/>
        <w:jc w:val="both"/>
      </w:pPr>
      <w:r>
        <w:rPr>
          <w:sz w:val="20"/>
          <w:szCs w:val="20"/>
        </w:rPr>
        <w:t xml:space="preserve">Bughin, J., Seong, J., Manyika, J., Chui, M. and Joshi, R. (2018). Notes from the AI frontier: modeling the impact of AI on the world economy. [online] McKinsey and Company. Available at: </w:t>
      </w:r>
      <w:hyperlink r:id="rId17" w:history="1">
        <w:r w:rsidRPr="00DC0F7B">
          <w:rPr>
            <w:rStyle w:val="Hyperlink"/>
            <w:sz w:val="20"/>
            <w:szCs w:val="20"/>
          </w:rPr>
          <w:t>https://www.mckinsey.com/featured-insights/artificial-intelligence/notes-from-the-ai-frontier-modeling-the-impact-of-ai-on-the-world-economy</w:t>
        </w:r>
      </w:hyperlink>
      <w:r>
        <w:rPr>
          <w:sz w:val="20"/>
          <w:szCs w:val="20"/>
        </w:rPr>
        <w:t xml:space="preserve">. </w:t>
      </w:r>
    </w:p>
    <w:p w14:paraId="68B14025" w14:textId="5FCFC427" w:rsidR="007E4A8F" w:rsidRDefault="00B579A2" w:rsidP="00B579A2">
      <w:pPr>
        <w:spacing w:before="60" w:after="60" w:line="360" w:lineRule="auto"/>
        <w:jc w:val="both"/>
      </w:pPr>
      <w:r>
        <w:rPr>
          <w:sz w:val="20"/>
          <w:szCs w:val="20"/>
        </w:rPr>
        <w:t xml:space="preserve">Caldara, D. and Iacoviello, M. (2022). Measuring geopolitical risk. American Economic Review, 112(4), pp.1194–1225. doi: </w:t>
      </w:r>
      <w:hyperlink r:id="rId18" w:history="1">
        <w:r w:rsidRPr="00DC0F7B">
          <w:rPr>
            <w:rStyle w:val="Hyperlink"/>
            <w:sz w:val="20"/>
            <w:szCs w:val="20"/>
          </w:rPr>
          <w:t>https://doi.org/10.1257/aer.20191823</w:t>
        </w:r>
      </w:hyperlink>
      <w:r>
        <w:rPr>
          <w:sz w:val="20"/>
          <w:szCs w:val="20"/>
        </w:rPr>
        <w:t xml:space="preserve">. </w:t>
      </w:r>
    </w:p>
    <w:p w14:paraId="72F6B071" w14:textId="76266D78" w:rsidR="007E4A8F" w:rsidRDefault="00B579A2" w:rsidP="00B579A2">
      <w:pPr>
        <w:spacing w:before="60" w:after="60" w:line="360" w:lineRule="auto"/>
        <w:jc w:val="both"/>
      </w:pPr>
      <w:r>
        <w:rPr>
          <w:sz w:val="20"/>
          <w:szCs w:val="20"/>
        </w:rPr>
        <w:t xml:space="preserve">Cao, L. (2023). AI in finance: challenges, techniques, and opportunities. ACM Computing Surveys, 55(3), pp.1–38. doi: </w:t>
      </w:r>
      <w:hyperlink r:id="rId19" w:history="1">
        <w:r w:rsidRPr="00DC0F7B">
          <w:rPr>
            <w:rStyle w:val="Hyperlink"/>
            <w:sz w:val="20"/>
            <w:szCs w:val="20"/>
          </w:rPr>
          <w:t>https://dl.acm.org/doi/abs/10.1145/3502289</w:t>
        </w:r>
      </w:hyperlink>
      <w:r>
        <w:rPr>
          <w:sz w:val="20"/>
          <w:szCs w:val="20"/>
        </w:rPr>
        <w:t xml:space="preserve">. </w:t>
      </w:r>
    </w:p>
    <w:p w14:paraId="7CDBD98E" w14:textId="4072CF35" w:rsidR="007E4A8F" w:rsidRDefault="00B579A2" w:rsidP="00B579A2">
      <w:pPr>
        <w:spacing w:before="60" w:after="60" w:line="360" w:lineRule="auto"/>
        <w:jc w:val="both"/>
      </w:pPr>
      <w:r>
        <w:rPr>
          <w:sz w:val="20"/>
          <w:szCs w:val="20"/>
        </w:rPr>
        <w:t xml:space="preserve">Davenport, T.H. and Ronanki, R. (2018). Artificial intelligence for the real world. [online] Harvard Business Review. Available at: </w:t>
      </w:r>
      <w:hyperlink r:id="rId20" w:history="1">
        <w:r w:rsidRPr="00DC0F7B">
          <w:rPr>
            <w:rStyle w:val="Hyperlink"/>
            <w:sz w:val="20"/>
            <w:szCs w:val="20"/>
          </w:rPr>
          <w:t>https://hbr.org/2018/01/artificial-intelligence-for-the-real-world</w:t>
        </w:r>
      </w:hyperlink>
      <w:r>
        <w:rPr>
          <w:sz w:val="20"/>
          <w:szCs w:val="20"/>
        </w:rPr>
        <w:t xml:space="preserve">. </w:t>
      </w:r>
    </w:p>
    <w:p w14:paraId="19361C31" w14:textId="2DA32C00" w:rsidR="007E4A8F" w:rsidRDefault="00B579A2" w:rsidP="00B579A2">
      <w:pPr>
        <w:spacing w:before="60" w:after="60" w:line="360" w:lineRule="auto"/>
        <w:jc w:val="both"/>
      </w:pPr>
      <w:r>
        <w:rPr>
          <w:sz w:val="20"/>
          <w:szCs w:val="20"/>
        </w:rPr>
        <w:t xml:space="preserve">Doshi-Velez, F. and Kim, B. (2017). Towards a rigorous science of interpretable machine learning. arXiv:1702.08608. Available at: </w:t>
      </w:r>
      <w:hyperlink r:id="rId21" w:history="1">
        <w:r w:rsidRPr="00DC0F7B">
          <w:rPr>
            <w:rStyle w:val="Hyperlink"/>
            <w:sz w:val="20"/>
            <w:szCs w:val="20"/>
          </w:rPr>
          <w:t>https://arxiv.org/abs/1702.08608</w:t>
        </w:r>
      </w:hyperlink>
      <w:r>
        <w:rPr>
          <w:sz w:val="20"/>
          <w:szCs w:val="20"/>
        </w:rPr>
        <w:t xml:space="preserve">. </w:t>
      </w:r>
    </w:p>
    <w:p w14:paraId="4BE4442A" w14:textId="70671E21" w:rsidR="007E4A8F" w:rsidRDefault="00B579A2" w:rsidP="00B579A2">
      <w:pPr>
        <w:spacing w:before="60" w:after="60" w:line="360" w:lineRule="auto"/>
        <w:jc w:val="both"/>
      </w:pPr>
      <w:r>
        <w:rPr>
          <w:sz w:val="20"/>
          <w:szCs w:val="20"/>
        </w:rPr>
        <w:t xml:space="preserve">Financial Conduct Authority (2024). AI update: how FCA rules apply to AI. [online] London: FCA. Available at: </w:t>
      </w:r>
      <w:hyperlink r:id="rId22" w:history="1">
        <w:r w:rsidRPr="00DC0F7B">
          <w:rPr>
            <w:rStyle w:val="Hyperlink"/>
            <w:sz w:val="20"/>
            <w:szCs w:val="20"/>
          </w:rPr>
          <w:t>https://www.fca.org.uk/publication/corporate/ai-update.pdf</w:t>
        </w:r>
      </w:hyperlink>
      <w:r>
        <w:rPr>
          <w:sz w:val="20"/>
          <w:szCs w:val="20"/>
        </w:rPr>
        <w:t xml:space="preserve">  [Accessed 21 April 2026].</w:t>
      </w:r>
    </w:p>
    <w:p w14:paraId="0F17DA39" w14:textId="7FE3FDF8" w:rsidR="007E4A8F" w:rsidRDefault="00B579A2" w:rsidP="00B579A2">
      <w:pPr>
        <w:spacing w:before="60" w:after="60" w:line="360" w:lineRule="auto"/>
        <w:jc w:val="both"/>
      </w:pPr>
      <w:r>
        <w:rPr>
          <w:sz w:val="20"/>
          <w:szCs w:val="20"/>
        </w:rPr>
        <w:t xml:space="preserve">Floridi, L., Cowls, J., Beltrametti, M., Chatila, R., Chazerand, P., Dignum, V., Luetge, C., Madelin, R., Pagallo, U., Rossi, F., Schafer, B., Valcke, P. and Vayena, E. (2018). AI4People: an ethical framework for a good AI society: opportunities, risks, principles, and recommendations. Minds and Machines, 28(4), pp.689–707. doi: </w:t>
      </w:r>
      <w:hyperlink r:id="rId23" w:history="1">
        <w:r w:rsidRPr="00DC0F7B">
          <w:rPr>
            <w:rStyle w:val="Hyperlink"/>
            <w:sz w:val="20"/>
            <w:szCs w:val="20"/>
          </w:rPr>
          <w:t>https://doi.org/10.1007/s11023-018-9482-5</w:t>
        </w:r>
      </w:hyperlink>
      <w:r>
        <w:rPr>
          <w:sz w:val="20"/>
          <w:szCs w:val="20"/>
        </w:rPr>
        <w:t xml:space="preserve">. </w:t>
      </w:r>
    </w:p>
    <w:p w14:paraId="211B83D1" w14:textId="0D64A061" w:rsidR="007E4A8F" w:rsidRDefault="00B579A2" w:rsidP="00B579A2">
      <w:pPr>
        <w:spacing w:before="60" w:after="60" w:line="360" w:lineRule="auto"/>
        <w:jc w:val="both"/>
      </w:pPr>
      <w:r>
        <w:rPr>
          <w:sz w:val="20"/>
          <w:szCs w:val="20"/>
        </w:rPr>
        <w:lastRenderedPageBreak/>
        <w:t xml:space="preserve">Fuster, A., Goldsmith-Pinkham, P., Ramadorai, T. and Walther, A. (2021). Predictably unequal? The effects of machine learning on credit markets. The Journal of Finance, 77(1), pp.5–47. doi: </w:t>
      </w:r>
      <w:hyperlink r:id="rId24" w:history="1">
        <w:r w:rsidRPr="00DC0F7B">
          <w:rPr>
            <w:rStyle w:val="Hyperlink"/>
            <w:sz w:val="20"/>
            <w:szCs w:val="20"/>
          </w:rPr>
          <w:t>https://doi.org/10.1111/jofi.13090</w:t>
        </w:r>
      </w:hyperlink>
      <w:r>
        <w:rPr>
          <w:sz w:val="20"/>
          <w:szCs w:val="20"/>
        </w:rPr>
        <w:t xml:space="preserve">. </w:t>
      </w:r>
    </w:p>
    <w:p w14:paraId="379CAADD" w14:textId="4E24D415" w:rsidR="007E4A8F" w:rsidRDefault="00B579A2" w:rsidP="00B579A2">
      <w:pPr>
        <w:spacing w:before="60" w:after="60" w:line="360" w:lineRule="auto"/>
        <w:jc w:val="both"/>
      </w:pPr>
      <w:r>
        <w:rPr>
          <w:sz w:val="20"/>
          <w:szCs w:val="20"/>
        </w:rPr>
        <w:t xml:space="preserve">Guo, Z., Liang, Y. and Yang, R. (2025). Tariffs, geopolitical risks, and location choices of multinational enterprises. Systems, 13(12), p.1086. doi: </w:t>
      </w:r>
      <w:hyperlink r:id="rId25" w:history="1">
        <w:r w:rsidRPr="00DC0F7B">
          <w:rPr>
            <w:rStyle w:val="Hyperlink"/>
            <w:sz w:val="20"/>
            <w:szCs w:val="20"/>
          </w:rPr>
          <w:t>https://doi.org/10.3390/systems13121086</w:t>
        </w:r>
      </w:hyperlink>
      <w:r>
        <w:rPr>
          <w:sz w:val="20"/>
          <w:szCs w:val="20"/>
        </w:rPr>
        <w:t xml:space="preserve">. </w:t>
      </w:r>
    </w:p>
    <w:p w14:paraId="1053B422" w14:textId="298E1848" w:rsidR="007E4A8F" w:rsidRDefault="00B579A2" w:rsidP="00B579A2">
      <w:pPr>
        <w:spacing w:before="60" w:after="60" w:line="360" w:lineRule="auto"/>
        <w:jc w:val="both"/>
      </w:pPr>
      <w:r>
        <w:rPr>
          <w:sz w:val="20"/>
          <w:szCs w:val="20"/>
        </w:rPr>
        <w:t xml:space="preserve">Hofstede, G. (2011). Dimensionalizing cultures: the Hofstede model in context. Online Readings in Psychology and Culture, 2(1), pp.1–26. doi: </w:t>
      </w:r>
      <w:hyperlink r:id="rId26" w:history="1">
        <w:r w:rsidRPr="00DC0F7B">
          <w:rPr>
            <w:rStyle w:val="Hyperlink"/>
            <w:sz w:val="20"/>
            <w:szCs w:val="20"/>
          </w:rPr>
          <w:t>https://doi.org/10.9707/2307-0919.1014</w:t>
        </w:r>
      </w:hyperlink>
      <w:r>
        <w:rPr>
          <w:sz w:val="20"/>
          <w:szCs w:val="20"/>
        </w:rPr>
        <w:t xml:space="preserve">. </w:t>
      </w:r>
    </w:p>
    <w:p w14:paraId="763239A4" w14:textId="77777777" w:rsidR="007E4A8F" w:rsidRDefault="00B579A2" w:rsidP="00B579A2">
      <w:pPr>
        <w:spacing w:before="60" w:after="60" w:line="360" w:lineRule="auto"/>
        <w:jc w:val="both"/>
      </w:pPr>
      <w:r>
        <w:rPr>
          <w:sz w:val="20"/>
          <w:szCs w:val="20"/>
        </w:rPr>
        <w:t>House, R., Javidan, M., Hanges, P. and Dorfman, P. (2002). Understanding cultures and implicit leadership theories across the globe: an introduction to Project GLOBE. Journal of World Business, 37(1), pp.3–10.</w:t>
      </w:r>
    </w:p>
    <w:p w14:paraId="7FDA38BE" w14:textId="6FC02DE5" w:rsidR="007E4A8F" w:rsidRDefault="00B579A2" w:rsidP="00B579A2">
      <w:pPr>
        <w:spacing w:before="60" w:after="60" w:line="360" w:lineRule="auto"/>
        <w:jc w:val="both"/>
      </w:pPr>
      <w:r>
        <w:rPr>
          <w:sz w:val="20"/>
          <w:szCs w:val="20"/>
        </w:rPr>
        <w:t xml:space="preserve">Information Commissioner's Office (2023). Artificial intelligence. [online] ico.org.uk. Available at: </w:t>
      </w:r>
      <w:hyperlink r:id="rId27" w:history="1">
        <w:r w:rsidRPr="00DC0F7B">
          <w:rPr>
            <w:rStyle w:val="Hyperlink"/>
            <w:sz w:val="20"/>
            <w:szCs w:val="20"/>
          </w:rPr>
          <w:t>https://ico.org.uk/for-organisations/uk-gdpr-guidance-and-resources/artificial-intelligence/</w:t>
        </w:r>
      </w:hyperlink>
      <w:r>
        <w:rPr>
          <w:sz w:val="20"/>
          <w:szCs w:val="20"/>
        </w:rPr>
        <w:t xml:space="preserve">  [Accessed 20 April 2026].</w:t>
      </w:r>
    </w:p>
    <w:p w14:paraId="71BFCE13" w14:textId="0F0B4975" w:rsidR="007E4A8F" w:rsidRDefault="00B579A2" w:rsidP="00B579A2">
      <w:pPr>
        <w:spacing w:before="60" w:after="60" w:line="360" w:lineRule="auto"/>
        <w:jc w:val="both"/>
      </w:pPr>
      <w:r>
        <w:rPr>
          <w:sz w:val="20"/>
          <w:szCs w:val="20"/>
        </w:rPr>
        <w:t xml:space="preserve">Jagtiani, J. and Lemieux, C. (2019). The roles of alternative data and machine learning in fintech lending: evidence from the LendingClub consumer platform. Financial Management, 48(4), pp.1009–1029. doi: </w:t>
      </w:r>
      <w:hyperlink r:id="rId28" w:history="1">
        <w:r w:rsidRPr="00DC0F7B">
          <w:rPr>
            <w:rStyle w:val="Hyperlink"/>
            <w:sz w:val="20"/>
            <w:szCs w:val="20"/>
          </w:rPr>
          <w:t>https://doi.org/10.1111/fima.12295</w:t>
        </w:r>
      </w:hyperlink>
      <w:r>
        <w:rPr>
          <w:sz w:val="20"/>
          <w:szCs w:val="20"/>
        </w:rPr>
        <w:t xml:space="preserve">. </w:t>
      </w:r>
    </w:p>
    <w:p w14:paraId="6651B53F" w14:textId="017AED77" w:rsidR="007E4A8F" w:rsidRDefault="00B579A2" w:rsidP="00B579A2">
      <w:pPr>
        <w:spacing w:before="60" w:after="60" w:line="360" w:lineRule="auto"/>
        <w:jc w:val="both"/>
      </w:pPr>
      <w:r>
        <w:rPr>
          <w:sz w:val="20"/>
          <w:szCs w:val="20"/>
        </w:rPr>
        <w:t xml:space="preserve">Jobin, A., Ienca, M. and Vayena, E. (2019). The global landscape of AI ethics guidelines. Nature Machine Intelligence, 1(9), pp.389–399. doi: </w:t>
      </w:r>
      <w:hyperlink r:id="rId29" w:history="1">
        <w:r w:rsidRPr="00DC0F7B">
          <w:rPr>
            <w:rStyle w:val="Hyperlink"/>
            <w:sz w:val="20"/>
            <w:szCs w:val="20"/>
          </w:rPr>
          <w:t>https://doi.org/10.1038/s42256-019-0088-2</w:t>
        </w:r>
      </w:hyperlink>
      <w:r>
        <w:rPr>
          <w:sz w:val="20"/>
          <w:szCs w:val="20"/>
        </w:rPr>
        <w:t xml:space="preserve">. </w:t>
      </w:r>
    </w:p>
    <w:p w14:paraId="67A325F3" w14:textId="082EEA79" w:rsidR="007E4A8F" w:rsidRDefault="00B579A2" w:rsidP="00B579A2">
      <w:pPr>
        <w:spacing w:before="60" w:after="60" w:line="360" w:lineRule="auto"/>
        <w:jc w:val="both"/>
      </w:pPr>
      <w:r>
        <w:rPr>
          <w:sz w:val="20"/>
          <w:szCs w:val="20"/>
        </w:rPr>
        <w:t xml:space="preserve">Ketels, C. (2024). Porter's diamond model. In: Edward Elgar Publishing eBooks, pp.337–343. doi: </w:t>
      </w:r>
      <w:hyperlink r:id="rId30" w:history="1">
        <w:r w:rsidRPr="00DC0F7B">
          <w:rPr>
            <w:rStyle w:val="Hyperlink"/>
            <w:sz w:val="20"/>
            <w:szCs w:val="20"/>
          </w:rPr>
          <w:t>https://doi.org/10.4337/9781800884045.ch84</w:t>
        </w:r>
      </w:hyperlink>
      <w:r>
        <w:rPr>
          <w:sz w:val="20"/>
          <w:szCs w:val="20"/>
        </w:rPr>
        <w:t xml:space="preserve">. </w:t>
      </w:r>
    </w:p>
    <w:p w14:paraId="78F3C2FA" w14:textId="01F170C0" w:rsidR="007E4A8F" w:rsidRDefault="00B579A2" w:rsidP="00B579A2">
      <w:pPr>
        <w:spacing w:before="60" w:after="60" w:line="360" w:lineRule="auto"/>
        <w:jc w:val="both"/>
      </w:pPr>
      <w:r>
        <w:rPr>
          <w:sz w:val="20"/>
          <w:szCs w:val="20"/>
        </w:rPr>
        <w:t xml:space="preserve">Kim, D.-H. and Park, H. (2025). The UK's AI governance strategy: building trust as infrastructure. Society for Standards Certification and Safety, 15(3), pp.79–94. doi: </w:t>
      </w:r>
      <w:hyperlink r:id="rId31" w:history="1">
        <w:r w:rsidRPr="00DC0F7B">
          <w:rPr>
            <w:rStyle w:val="Hyperlink"/>
            <w:sz w:val="20"/>
            <w:szCs w:val="20"/>
          </w:rPr>
          <w:t>https://doi.org/10.34139/jscs.2025.15.3.79</w:t>
        </w:r>
      </w:hyperlink>
      <w:r>
        <w:rPr>
          <w:sz w:val="20"/>
          <w:szCs w:val="20"/>
        </w:rPr>
        <w:t xml:space="preserve">. </w:t>
      </w:r>
    </w:p>
    <w:p w14:paraId="3A8BD9A5" w14:textId="35CD5E9F" w:rsidR="007E4A8F" w:rsidRDefault="00B579A2" w:rsidP="00B579A2">
      <w:pPr>
        <w:spacing w:before="60" w:after="60" w:line="360" w:lineRule="auto"/>
        <w:jc w:val="both"/>
      </w:pPr>
      <w:r>
        <w:rPr>
          <w:sz w:val="20"/>
          <w:szCs w:val="20"/>
        </w:rPr>
        <w:t xml:space="preserve">Leonaviciene, E. and Burinskiene, A. (2022). Accelerating cultural dimensions at international companies in the evidence of internationalisation. Sustainability, 14(3). doi: </w:t>
      </w:r>
      <w:hyperlink r:id="rId32" w:history="1">
        <w:r w:rsidRPr="00DC0F7B">
          <w:rPr>
            <w:rStyle w:val="Hyperlink"/>
            <w:sz w:val="20"/>
            <w:szCs w:val="20"/>
          </w:rPr>
          <w:t>https://doi.org/10.3390/su14031524</w:t>
        </w:r>
      </w:hyperlink>
      <w:r>
        <w:rPr>
          <w:sz w:val="20"/>
          <w:szCs w:val="20"/>
        </w:rPr>
        <w:t xml:space="preserve">. </w:t>
      </w:r>
    </w:p>
    <w:p w14:paraId="22296D47" w14:textId="7D1A9325" w:rsidR="007E4A8F" w:rsidRDefault="00B579A2" w:rsidP="00B579A2">
      <w:pPr>
        <w:spacing w:before="60" w:after="60" w:line="360" w:lineRule="auto"/>
        <w:jc w:val="both"/>
      </w:pPr>
      <w:r>
        <w:rPr>
          <w:sz w:val="20"/>
          <w:szCs w:val="20"/>
        </w:rPr>
        <w:t xml:space="preserve">Liu, D. and Hsu, H. (2009). An international comparison of empirical generalised double diamond model approaches to Taiwan and Korea. Competitiveness Review, 19(3), pp.160–174. doi: </w:t>
      </w:r>
      <w:hyperlink r:id="rId33" w:history="1">
        <w:r w:rsidRPr="00DC0F7B">
          <w:rPr>
            <w:rStyle w:val="Hyperlink"/>
            <w:sz w:val="20"/>
            <w:szCs w:val="20"/>
          </w:rPr>
          <w:t>https://doi.org/10.1108/10595420910962043</w:t>
        </w:r>
      </w:hyperlink>
      <w:r>
        <w:rPr>
          <w:sz w:val="20"/>
          <w:szCs w:val="20"/>
        </w:rPr>
        <w:t xml:space="preserve">. </w:t>
      </w:r>
    </w:p>
    <w:p w14:paraId="2A520A92" w14:textId="2148B631" w:rsidR="007E4A8F" w:rsidRDefault="00B579A2" w:rsidP="00B579A2">
      <w:pPr>
        <w:spacing w:before="60" w:after="60" w:line="360" w:lineRule="auto"/>
        <w:jc w:val="both"/>
      </w:pPr>
      <w:r>
        <w:rPr>
          <w:sz w:val="20"/>
          <w:szCs w:val="20"/>
        </w:rPr>
        <w:t xml:space="preserve">Mahmood, Z. (1998). Michael E. Porter. The competitive advantage of nations. New York: Free Press, 1990. 855 pages. The Pakistan Development Review, 37(1), pp.90–94. doi: </w:t>
      </w:r>
      <w:hyperlink r:id="rId34" w:history="1">
        <w:r w:rsidRPr="00DC0F7B">
          <w:rPr>
            <w:rStyle w:val="Hyperlink"/>
            <w:sz w:val="20"/>
            <w:szCs w:val="20"/>
          </w:rPr>
          <w:t>https://doi.org/10.30541/v37i1pp.90-94</w:t>
        </w:r>
      </w:hyperlink>
      <w:r>
        <w:rPr>
          <w:sz w:val="20"/>
          <w:szCs w:val="20"/>
        </w:rPr>
        <w:t xml:space="preserve">. </w:t>
      </w:r>
    </w:p>
    <w:p w14:paraId="286C4B59" w14:textId="13F51A35" w:rsidR="007E4A8F" w:rsidRDefault="00B579A2" w:rsidP="00B579A2">
      <w:pPr>
        <w:spacing w:before="60" w:after="60" w:line="360" w:lineRule="auto"/>
        <w:jc w:val="both"/>
      </w:pPr>
      <w:r>
        <w:rPr>
          <w:sz w:val="20"/>
          <w:szCs w:val="20"/>
        </w:rPr>
        <w:t xml:space="preserve">McNulty, T. and Nordberg, D. (2015). Ownership, activism and engagement: institutional investors as active owners. Corporate Governance: An International Review, 24(3), pp.346–358. doi: </w:t>
      </w:r>
      <w:hyperlink r:id="rId35" w:history="1">
        <w:r w:rsidRPr="00DC0F7B">
          <w:rPr>
            <w:rStyle w:val="Hyperlink"/>
            <w:sz w:val="20"/>
            <w:szCs w:val="20"/>
          </w:rPr>
          <w:t>https://doi.org/10.1111/corg.12143</w:t>
        </w:r>
      </w:hyperlink>
      <w:r>
        <w:rPr>
          <w:sz w:val="20"/>
          <w:szCs w:val="20"/>
        </w:rPr>
        <w:t xml:space="preserve">. </w:t>
      </w:r>
    </w:p>
    <w:p w14:paraId="5D9353AC" w14:textId="389E9904" w:rsidR="007E4A8F" w:rsidRDefault="00B579A2" w:rsidP="00B579A2">
      <w:pPr>
        <w:spacing w:before="60" w:after="60" w:line="360" w:lineRule="auto"/>
        <w:jc w:val="both"/>
      </w:pPr>
      <w:r>
        <w:rPr>
          <w:sz w:val="20"/>
          <w:szCs w:val="20"/>
        </w:rPr>
        <w:t xml:space="preserve">Minkov, M. and Hofstede, G. (2013). Clustering of 316 European regions on measures of values. Cross-Cultural Research, 48(2), pp.144–176. doi: </w:t>
      </w:r>
      <w:hyperlink r:id="rId36" w:history="1">
        <w:r w:rsidRPr="00DC0F7B">
          <w:rPr>
            <w:rStyle w:val="Hyperlink"/>
            <w:sz w:val="20"/>
            <w:szCs w:val="20"/>
          </w:rPr>
          <w:t>https://doi.org/10.1177/1069397113510866</w:t>
        </w:r>
      </w:hyperlink>
      <w:r>
        <w:rPr>
          <w:sz w:val="20"/>
          <w:szCs w:val="20"/>
        </w:rPr>
        <w:t xml:space="preserve">. </w:t>
      </w:r>
    </w:p>
    <w:p w14:paraId="77FDCC1E" w14:textId="0760FDE2" w:rsidR="007E4A8F" w:rsidRDefault="00B579A2" w:rsidP="00B579A2">
      <w:pPr>
        <w:spacing w:before="60" w:after="60" w:line="360" w:lineRule="auto"/>
        <w:jc w:val="both"/>
      </w:pPr>
      <w:r>
        <w:rPr>
          <w:sz w:val="20"/>
          <w:szCs w:val="20"/>
        </w:rPr>
        <w:t xml:space="preserve">Mishra, S. and Mishra, S. (2025). AI in focus in 2025: boards and shareholders set their sights on AI. [online] The Harvard Law School Forum on Corporate Governance. Available at: </w:t>
      </w:r>
      <w:hyperlink r:id="rId37" w:history="1">
        <w:r w:rsidRPr="00DC0F7B">
          <w:rPr>
            <w:rStyle w:val="Hyperlink"/>
            <w:sz w:val="20"/>
            <w:szCs w:val="20"/>
          </w:rPr>
          <w:t>https://corpgov.law.harvard.edu/2025/04/02/ai-in-focus-in-2025-boards-and-shareholders-set-their-sights-on-ai/</w:t>
        </w:r>
      </w:hyperlink>
      <w:r>
        <w:rPr>
          <w:sz w:val="20"/>
          <w:szCs w:val="20"/>
        </w:rPr>
        <w:t xml:space="preserve">  [Accessed 21 April 2026].</w:t>
      </w:r>
    </w:p>
    <w:p w14:paraId="5E8C848C" w14:textId="58464CF9" w:rsidR="007E4A8F" w:rsidRDefault="00B579A2" w:rsidP="00B579A2">
      <w:pPr>
        <w:spacing w:before="60" w:after="60" w:line="360" w:lineRule="auto"/>
        <w:jc w:val="both"/>
      </w:pPr>
      <w:r>
        <w:rPr>
          <w:sz w:val="20"/>
          <w:szCs w:val="20"/>
        </w:rPr>
        <w:lastRenderedPageBreak/>
        <w:t xml:space="preserve">Mittelstadt, B.D., Allo, P., Taddeo, M., Wachter, S. and Floridi, L. (2016). The ethics of algorithms: mapping the debate. Big Data and Society, 3(2), pp.1–21. doi: </w:t>
      </w:r>
      <w:hyperlink r:id="rId38" w:history="1">
        <w:r w:rsidRPr="00DC0F7B">
          <w:rPr>
            <w:rStyle w:val="Hyperlink"/>
            <w:sz w:val="20"/>
            <w:szCs w:val="20"/>
          </w:rPr>
          <w:t>https://doi.org/10.1177/2053951716679679</w:t>
        </w:r>
      </w:hyperlink>
      <w:r>
        <w:rPr>
          <w:sz w:val="20"/>
          <w:szCs w:val="20"/>
        </w:rPr>
        <w:t xml:space="preserve">. </w:t>
      </w:r>
    </w:p>
    <w:p w14:paraId="4FC5CD32" w14:textId="7560DE2A" w:rsidR="007E4A8F" w:rsidRDefault="00B579A2" w:rsidP="00B579A2">
      <w:pPr>
        <w:spacing w:before="60" w:after="60" w:line="360" w:lineRule="auto"/>
        <w:jc w:val="both"/>
      </w:pPr>
      <w:r>
        <w:rPr>
          <w:sz w:val="20"/>
          <w:szCs w:val="20"/>
        </w:rPr>
        <w:t xml:space="preserve">Monetary Authority of Singapore (2020). Principles to promote fairness, ethics, accountability and transparency (FEAT) in the use of artificial intelligence and data analytics in Singapore's financial sector. [online] www.mas.gov.sg. Available at: </w:t>
      </w:r>
      <w:hyperlink r:id="rId39" w:history="1">
        <w:r w:rsidRPr="00DC0F7B">
          <w:rPr>
            <w:rStyle w:val="Hyperlink"/>
            <w:sz w:val="20"/>
            <w:szCs w:val="20"/>
          </w:rPr>
          <w:t>https://www.mas.gov.sg/publications/monographs-or-information-paper/2018/feat</w:t>
        </w:r>
      </w:hyperlink>
      <w:r>
        <w:rPr>
          <w:sz w:val="20"/>
          <w:szCs w:val="20"/>
        </w:rPr>
        <w:t xml:space="preserve">  [Accessed 20 April 2026].</w:t>
      </w:r>
    </w:p>
    <w:p w14:paraId="725DC4F0" w14:textId="532BED8E" w:rsidR="007E4A8F" w:rsidRDefault="00B579A2" w:rsidP="00B579A2">
      <w:pPr>
        <w:spacing w:before="60" w:after="60" w:line="360" w:lineRule="auto"/>
        <w:jc w:val="both"/>
      </w:pPr>
      <w:r>
        <w:rPr>
          <w:sz w:val="20"/>
          <w:szCs w:val="20"/>
        </w:rPr>
        <w:t xml:space="preserve">Monetary Authority of Singapore (2023). MAS-led industry consortium releases toolkit for responsible use of AI in the financial sector. [online] Singapore: MAS. Available at: </w:t>
      </w:r>
      <w:hyperlink r:id="rId40" w:history="1">
        <w:r w:rsidRPr="00DC0F7B">
          <w:rPr>
            <w:rStyle w:val="Hyperlink"/>
            <w:sz w:val="20"/>
            <w:szCs w:val="20"/>
          </w:rPr>
          <w:t>https://www.mas.gov.sg/news/media-releases/2023/toolkit-for-responsible-use-of-ai-in-the-financial-sector</w:t>
        </w:r>
      </w:hyperlink>
      <w:r>
        <w:rPr>
          <w:sz w:val="20"/>
          <w:szCs w:val="20"/>
        </w:rPr>
        <w:t xml:space="preserve">  [Accessed 21 April 2026].</w:t>
      </w:r>
    </w:p>
    <w:p w14:paraId="125919DC" w14:textId="322EC0C2" w:rsidR="007E4A8F" w:rsidRDefault="00B579A2" w:rsidP="00B579A2">
      <w:pPr>
        <w:spacing w:before="60" w:after="60" w:line="360" w:lineRule="auto"/>
        <w:jc w:val="both"/>
      </w:pPr>
      <w:r>
        <w:rPr>
          <w:sz w:val="20"/>
          <w:szCs w:val="20"/>
        </w:rPr>
        <w:t xml:space="preserve">Monetary Authority of Singapore (2025). Consultation paper on proposed guidelines on artificial intelligence risk management for financial institutions. [online] Singapore: MAS. Available at: </w:t>
      </w:r>
      <w:hyperlink r:id="rId41" w:history="1">
        <w:r w:rsidRPr="00DC0F7B">
          <w:rPr>
            <w:rStyle w:val="Hyperlink"/>
            <w:sz w:val="20"/>
            <w:szCs w:val="20"/>
          </w:rPr>
          <w:t>https://www.mas.gov.sg/publications/consultations/2025/consultation-paper-on-guidelines-on-artificial-intelligence-risk-management</w:t>
        </w:r>
      </w:hyperlink>
      <w:r>
        <w:rPr>
          <w:sz w:val="20"/>
          <w:szCs w:val="20"/>
        </w:rPr>
        <w:t xml:space="preserve">  [Accessed 21 April 2026].</w:t>
      </w:r>
    </w:p>
    <w:p w14:paraId="7F41CB55" w14:textId="77FEA252" w:rsidR="007E4A8F" w:rsidRDefault="00B579A2" w:rsidP="00B579A2">
      <w:pPr>
        <w:spacing w:before="60" w:after="60" w:line="360" w:lineRule="auto"/>
        <w:jc w:val="both"/>
      </w:pPr>
      <w:r>
        <w:rPr>
          <w:sz w:val="20"/>
          <w:szCs w:val="20"/>
        </w:rPr>
        <w:t xml:space="preserve">Nicholls, J., Kuppa, A. and Le-Khac, N.-A. (2021). Financial cybercrime: a comprehensive survey of deep learning approaches to tackle the evolving financial crime landscape. IEEE Access, 9, pp.163965–163986. doi: </w:t>
      </w:r>
      <w:hyperlink r:id="rId42" w:history="1">
        <w:r w:rsidRPr="00DC0F7B">
          <w:rPr>
            <w:rStyle w:val="Hyperlink"/>
            <w:sz w:val="20"/>
            <w:szCs w:val="20"/>
          </w:rPr>
          <w:t>https://doi.org/10.1109/access.2021.3134076</w:t>
        </w:r>
      </w:hyperlink>
      <w:r>
        <w:rPr>
          <w:sz w:val="20"/>
          <w:szCs w:val="20"/>
        </w:rPr>
        <w:t xml:space="preserve">. </w:t>
      </w:r>
    </w:p>
    <w:p w14:paraId="1A2287D9" w14:textId="2D8B49DB" w:rsidR="007E4A8F" w:rsidRDefault="00B579A2" w:rsidP="00B579A2">
      <w:pPr>
        <w:spacing w:before="60" w:after="60" w:line="360" w:lineRule="auto"/>
        <w:jc w:val="both"/>
      </w:pPr>
      <w:r>
        <w:rPr>
          <w:sz w:val="20"/>
          <w:szCs w:val="20"/>
        </w:rPr>
        <w:t xml:space="preserve">NIST (2023). AI risk management framework. Artificial Intelligence Risk Management Framework (AI RMF 1.0). doi: </w:t>
      </w:r>
      <w:hyperlink r:id="rId43" w:history="1">
        <w:r w:rsidRPr="00DC0F7B">
          <w:rPr>
            <w:rStyle w:val="Hyperlink"/>
            <w:sz w:val="20"/>
            <w:szCs w:val="20"/>
          </w:rPr>
          <w:t>https://doi.org/10.6028/nist.ai.100-1</w:t>
        </w:r>
      </w:hyperlink>
      <w:r>
        <w:rPr>
          <w:sz w:val="20"/>
          <w:szCs w:val="20"/>
        </w:rPr>
        <w:t xml:space="preserve">. </w:t>
      </w:r>
    </w:p>
    <w:p w14:paraId="39C24EFF" w14:textId="017BD98F" w:rsidR="007E4A8F" w:rsidRDefault="00B579A2" w:rsidP="00B579A2">
      <w:pPr>
        <w:spacing w:before="60" w:after="60" w:line="360" w:lineRule="auto"/>
        <w:jc w:val="both"/>
      </w:pPr>
      <w:r>
        <w:rPr>
          <w:sz w:val="20"/>
          <w:szCs w:val="20"/>
        </w:rPr>
        <w:t xml:space="preserve">Ocampo, D., Branzoli, N. and Cusmano, L. (2023). Crypto, tokens and DeFi: navigating the regulatory landscape. Bank for International Settlements. Available at: </w:t>
      </w:r>
      <w:hyperlink r:id="rId44" w:history="1">
        <w:r w:rsidRPr="00DC0F7B">
          <w:rPr>
            <w:rStyle w:val="Hyperlink"/>
            <w:sz w:val="20"/>
            <w:szCs w:val="20"/>
          </w:rPr>
          <w:t>https://www.bis.org/fsi/publ/insights49.pdf</w:t>
        </w:r>
      </w:hyperlink>
      <w:r>
        <w:rPr>
          <w:sz w:val="20"/>
          <w:szCs w:val="20"/>
        </w:rPr>
        <w:t xml:space="preserve">. </w:t>
      </w:r>
    </w:p>
    <w:p w14:paraId="6E5D6B32" w14:textId="4D1519B6" w:rsidR="007E4A8F" w:rsidRDefault="00B579A2" w:rsidP="00B579A2">
      <w:pPr>
        <w:spacing w:before="60" w:after="60" w:line="360" w:lineRule="auto"/>
        <w:jc w:val="both"/>
      </w:pPr>
      <w:r>
        <w:rPr>
          <w:sz w:val="20"/>
          <w:szCs w:val="20"/>
        </w:rPr>
        <w:t xml:space="preserve">Bank of England and Financial Conduct Authority (2024). Artificial intelligence in UK financial services — 2024. [online] London: Bank of England. Available at: </w:t>
      </w:r>
      <w:hyperlink r:id="rId45" w:history="1">
        <w:r w:rsidRPr="00DC0F7B">
          <w:rPr>
            <w:rStyle w:val="Hyperlink"/>
            <w:sz w:val="20"/>
            <w:szCs w:val="20"/>
          </w:rPr>
          <w:t>https://www.bankofengland.co.uk/report/2024/artificial-intelligence-in-uk-financial-services-2024</w:t>
        </w:r>
      </w:hyperlink>
      <w:r>
        <w:rPr>
          <w:sz w:val="20"/>
          <w:szCs w:val="20"/>
        </w:rPr>
        <w:t xml:space="preserve">  [Accessed 20 April 2026].</w:t>
      </w:r>
    </w:p>
    <w:p w14:paraId="10E63FD9" w14:textId="32034BF7" w:rsidR="007E4A8F" w:rsidRDefault="00B579A2" w:rsidP="00B579A2">
      <w:pPr>
        <w:spacing w:before="60" w:after="60" w:line="360" w:lineRule="auto"/>
        <w:jc w:val="both"/>
      </w:pPr>
      <w:r>
        <w:rPr>
          <w:sz w:val="20"/>
          <w:szCs w:val="20"/>
        </w:rPr>
        <w:t xml:space="preserve">Piotrowska, M.Z. and Piotrowski, J. (2023). Hofstede's cultural dimensions theory. In: Encyclopedia of Sexual Psychology and Behavior. doi: </w:t>
      </w:r>
      <w:hyperlink r:id="rId46" w:history="1">
        <w:r w:rsidRPr="00DC0F7B">
          <w:rPr>
            <w:rStyle w:val="Hyperlink"/>
            <w:sz w:val="20"/>
            <w:szCs w:val="20"/>
          </w:rPr>
          <w:t>https://doi.org/10.1007/978-3-031-08956-5_1124-1</w:t>
        </w:r>
      </w:hyperlink>
      <w:r>
        <w:rPr>
          <w:sz w:val="20"/>
          <w:szCs w:val="20"/>
        </w:rPr>
        <w:t xml:space="preserve">. </w:t>
      </w:r>
    </w:p>
    <w:p w14:paraId="6C2C23D9" w14:textId="3EE7E050" w:rsidR="007E4A8F" w:rsidRDefault="00B579A2" w:rsidP="00B579A2">
      <w:pPr>
        <w:spacing w:before="60" w:after="60" w:line="360" w:lineRule="auto"/>
        <w:jc w:val="both"/>
      </w:pPr>
      <w:r>
        <w:rPr>
          <w:sz w:val="20"/>
          <w:szCs w:val="20"/>
        </w:rPr>
        <w:t xml:space="preserve">Porter, M.E. (1979). How competitive forces shape strategy. [online] Harvard Business Review. Available at: </w:t>
      </w:r>
      <w:hyperlink r:id="rId47" w:history="1">
        <w:r w:rsidRPr="00DC0F7B">
          <w:rPr>
            <w:rStyle w:val="Hyperlink"/>
            <w:sz w:val="20"/>
            <w:szCs w:val="20"/>
          </w:rPr>
          <w:t>https://hbr.org/1979/03/how-competitive-forces-shape-strategy</w:t>
        </w:r>
      </w:hyperlink>
      <w:r>
        <w:rPr>
          <w:sz w:val="20"/>
          <w:szCs w:val="20"/>
        </w:rPr>
        <w:t xml:space="preserve">. </w:t>
      </w:r>
    </w:p>
    <w:p w14:paraId="746828A0" w14:textId="77777777" w:rsidR="007E4A8F" w:rsidRDefault="00B579A2" w:rsidP="00B579A2">
      <w:pPr>
        <w:spacing w:before="60" w:after="60" w:line="360" w:lineRule="auto"/>
        <w:jc w:val="both"/>
      </w:pPr>
      <w:r>
        <w:rPr>
          <w:sz w:val="20"/>
          <w:szCs w:val="20"/>
        </w:rPr>
        <w:t>Porter, M.E. (1990). The competitive advantage of nations. New York: Free Press.</w:t>
      </w:r>
    </w:p>
    <w:p w14:paraId="5AEB786F" w14:textId="2A704A4E" w:rsidR="007E4A8F" w:rsidRDefault="00B579A2" w:rsidP="00B579A2">
      <w:pPr>
        <w:spacing w:before="60" w:after="60" w:line="360" w:lineRule="auto"/>
        <w:jc w:val="both"/>
      </w:pPr>
      <w:r>
        <w:rPr>
          <w:sz w:val="20"/>
          <w:szCs w:val="20"/>
        </w:rPr>
        <w:t xml:space="preserve">Power, M. (2004). The risk management of everything. The Journal of Risk Finance, 5(3), pp.58–65. doi: </w:t>
      </w:r>
      <w:hyperlink r:id="rId48" w:history="1">
        <w:r w:rsidRPr="00DC0F7B">
          <w:rPr>
            <w:rStyle w:val="Hyperlink"/>
            <w:sz w:val="20"/>
            <w:szCs w:val="20"/>
          </w:rPr>
          <w:t>https://doi.org/10.1108/eb023001</w:t>
        </w:r>
      </w:hyperlink>
      <w:r>
        <w:rPr>
          <w:sz w:val="20"/>
          <w:szCs w:val="20"/>
        </w:rPr>
        <w:t xml:space="preserve">. </w:t>
      </w:r>
    </w:p>
    <w:p w14:paraId="16783356" w14:textId="77777777" w:rsidR="007E4A8F" w:rsidRDefault="00B579A2" w:rsidP="00B579A2">
      <w:pPr>
        <w:spacing w:before="60" w:after="60" w:line="360" w:lineRule="auto"/>
        <w:jc w:val="both"/>
      </w:pPr>
      <w:r>
        <w:rPr>
          <w:sz w:val="20"/>
          <w:szCs w:val="20"/>
        </w:rPr>
        <w:t>Rugman, A.M. and D'Cruz, J.R. (1993). The double diamond model of international competitiveness: the Canadian experience. Management International Review, 33(2), pp.17–39.</w:t>
      </w:r>
    </w:p>
    <w:p w14:paraId="1C562B22" w14:textId="036600CE" w:rsidR="007E4A8F" w:rsidRDefault="00B579A2" w:rsidP="00B579A2">
      <w:pPr>
        <w:spacing w:before="60" w:after="60" w:line="360" w:lineRule="auto"/>
        <w:jc w:val="both"/>
      </w:pPr>
      <w:r>
        <w:rPr>
          <w:sz w:val="20"/>
          <w:szCs w:val="20"/>
        </w:rPr>
        <w:t xml:space="preserve">Standard Chartered (2024). Annual report and accounts 2024. [online] Sc.com. Available at: </w:t>
      </w:r>
      <w:hyperlink r:id="rId49" w:history="1">
        <w:r w:rsidRPr="00DC0F7B">
          <w:rPr>
            <w:rStyle w:val="Hyperlink"/>
            <w:sz w:val="20"/>
            <w:szCs w:val="20"/>
          </w:rPr>
          <w:t>https://www.sc.com/en/investors/financial-results/annual-report/</w:t>
        </w:r>
      </w:hyperlink>
      <w:r>
        <w:rPr>
          <w:sz w:val="20"/>
          <w:szCs w:val="20"/>
        </w:rPr>
        <w:t xml:space="preserve">  [Accessed 20 April 2026]. </w:t>
      </w:r>
    </w:p>
    <w:p w14:paraId="30C1765E" w14:textId="1A369428" w:rsidR="007E4A8F" w:rsidRDefault="00B579A2" w:rsidP="00B579A2">
      <w:pPr>
        <w:spacing w:before="60" w:after="60" w:line="360" w:lineRule="auto"/>
        <w:jc w:val="both"/>
      </w:pPr>
      <w:r>
        <w:rPr>
          <w:sz w:val="20"/>
          <w:szCs w:val="20"/>
        </w:rPr>
        <w:t xml:space="preserve">Standard Chartered (2025). Standard Chartered's risk-first approach to scaling AI globally. [online] The Asian Banker. Available at: </w:t>
      </w:r>
      <w:hyperlink r:id="rId50" w:history="1">
        <w:r w:rsidRPr="00DC0F7B">
          <w:rPr>
            <w:rStyle w:val="Hyperlink"/>
            <w:sz w:val="20"/>
            <w:szCs w:val="20"/>
          </w:rPr>
          <w:t>https://www.theasianbanker.com/updates-and-articles/standard-chartered-s-risk-first-approach-to-scaling-ai-globally</w:t>
        </w:r>
      </w:hyperlink>
      <w:r>
        <w:rPr>
          <w:sz w:val="20"/>
          <w:szCs w:val="20"/>
        </w:rPr>
        <w:t xml:space="preserve">  [Accessed 20 April 2026].</w:t>
      </w:r>
    </w:p>
    <w:p w14:paraId="08E6C4C6" w14:textId="65860932" w:rsidR="007E4A8F" w:rsidRDefault="00B579A2" w:rsidP="00B579A2">
      <w:pPr>
        <w:spacing w:before="60" w:after="60" w:line="360" w:lineRule="auto"/>
        <w:jc w:val="both"/>
      </w:pPr>
      <w:r>
        <w:rPr>
          <w:sz w:val="20"/>
          <w:szCs w:val="20"/>
        </w:rPr>
        <w:lastRenderedPageBreak/>
        <w:t xml:space="preserve">Stulz, R.M. (2019). FinTech, BigTech, and the future of banks. Journal of Applied Corporate Finance, 31(4), pp.86–97. doi: </w:t>
      </w:r>
      <w:hyperlink r:id="rId51" w:history="1">
        <w:r w:rsidRPr="00DC0F7B">
          <w:rPr>
            <w:rStyle w:val="Hyperlink"/>
            <w:sz w:val="20"/>
            <w:szCs w:val="20"/>
          </w:rPr>
          <w:t>https://doi.org/10.1111/jacf.12378</w:t>
        </w:r>
      </w:hyperlink>
      <w:r>
        <w:rPr>
          <w:sz w:val="20"/>
          <w:szCs w:val="20"/>
        </w:rPr>
        <w:t xml:space="preserve">. </w:t>
      </w:r>
    </w:p>
    <w:p w14:paraId="1817A47E" w14:textId="45B6E8DD" w:rsidR="007E4A8F" w:rsidRDefault="00B579A2" w:rsidP="00B579A2">
      <w:pPr>
        <w:spacing w:before="60" w:after="60" w:line="360" w:lineRule="auto"/>
        <w:jc w:val="both"/>
      </w:pPr>
      <w:r>
        <w:rPr>
          <w:sz w:val="20"/>
          <w:szCs w:val="20"/>
        </w:rPr>
        <w:t xml:space="preserve">Tan, A. (2025). Standard Chartered grounds AI ambitions in data governance. [online] ComputerWeekly.com. Available at: </w:t>
      </w:r>
      <w:hyperlink r:id="rId52" w:history="1">
        <w:r w:rsidRPr="00DC0F7B">
          <w:rPr>
            <w:rStyle w:val="Hyperlink"/>
            <w:sz w:val="20"/>
            <w:szCs w:val="20"/>
          </w:rPr>
          <w:t>https://www.computerweekly.com/news/366622934/Standard-Chartered-grounds-AI-ambitions-in-data-governance</w:t>
        </w:r>
      </w:hyperlink>
      <w:r>
        <w:rPr>
          <w:sz w:val="20"/>
          <w:szCs w:val="20"/>
        </w:rPr>
        <w:t xml:space="preserve">  [Accessed 20 April 2026].</w:t>
      </w:r>
    </w:p>
    <w:p w14:paraId="5E0E30F7" w14:textId="23779942" w:rsidR="007E4A8F" w:rsidRDefault="00B579A2" w:rsidP="00B579A2">
      <w:pPr>
        <w:spacing w:before="60" w:after="60" w:line="360" w:lineRule="auto"/>
        <w:jc w:val="both"/>
      </w:pPr>
      <w:r>
        <w:rPr>
          <w:sz w:val="20"/>
          <w:szCs w:val="20"/>
        </w:rPr>
        <w:t xml:space="preserve">Tsai, P.-H., Chen, C.-J. and Yang, H.-C. (2021). Using Porter's Diamond Model to assess the competitiveness of Taiwan's solar photovoltaic industry. SAGE Open, 11(1). doi: </w:t>
      </w:r>
      <w:hyperlink r:id="rId53" w:history="1">
        <w:r w:rsidRPr="00DC0F7B">
          <w:rPr>
            <w:rStyle w:val="Hyperlink"/>
            <w:sz w:val="20"/>
            <w:szCs w:val="20"/>
          </w:rPr>
          <w:t>https://doi.org/10.1177/2158244020988286</w:t>
        </w:r>
      </w:hyperlink>
      <w:r>
        <w:rPr>
          <w:sz w:val="20"/>
          <w:szCs w:val="20"/>
        </w:rPr>
        <w:t xml:space="preserve">. </w:t>
      </w:r>
    </w:p>
    <w:p w14:paraId="61796099" w14:textId="37109413" w:rsidR="007E4A8F" w:rsidRDefault="00B579A2" w:rsidP="00B579A2">
      <w:pPr>
        <w:spacing w:before="60" w:after="60" w:line="360" w:lineRule="auto"/>
        <w:jc w:val="both"/>
      </w:pPr>
      <w:r>
        <w:rPr>
          <w:sz w:val="20"/>
          <w:szCs w:val="20"/>
        </w:rPr>
        <w:t xml:space="preserve">UK Government (2023). AI regulation: a pro-innovation approach. [online] GOV.UK. Available at: </w:t>
      </w:r>
      <w:hyperlink r:id="rId54" w:history="1">
        <w:r w:rsidRPr="00DC0F7B">
          <w:rPr>
            <w:rStyle w:val="Hyperlink"/>
            <w:sz w:val="20"/>
            <w:szCs w:val="20"/>
          </w:rPr>
          <w:t>https://www.gov.uk/government/publications/ai-regulation-a-pro-innovation-approach</w:t>
        </w:r>
      </w:hyperlink>
      <w:r>
        <w:rPr>
          <w:sz w:val="20"/>
          <w:szCs w:val="20"/>
        </w:rPr>
        <w:t xml:space="preserve">  [Accessed 20 April 2026].</w:t>
      </w:r>
    </w:p>
    <w:p w14:paraId="087BCADE" w14:textId="067ADBA6" w:rsidR="007E4A8F" w:rsidRDefault="00B579A2" w:rsidP="00B579A2">
      <w:pPr>
        <w:spacing w:before="60" w:after="60" w:line="360" w:lineRule="auto"/>
        <w:jc w:val="both"/>
      </w:pPr>
      <w:r>
        <w:rPr>
          <w:sz w:val="20"/>
          <w:szCs w:val="20"/>
        </w:rPr>
        <w:t xml:space="preserve">Vlados, C. (2019). Porter's Diamond approaches and the competitiveness web. [online] papers.ssrn.com. Available at: </w:t>
      </w:r>
      <w:hyperlink r:id="rId55" w:history="1">
        <w:r w:rsidRPr="00DC0F7B">
          <w:rPr>
            <w:rStyle w:val="Hyperlink"/>
            <w:sz w:val="20"/>
            <w:szCs w:val="20"/>
          </w:rPr>
          <w:t>https://ssrn.com/abstract=3452402</w:t>
        </w:r>
      </w:hyperlink>
      <w:r>
        <w:rPr>
          <w:sz w:val="20"/>
          <w:szCs w:val="20"/>
        </w:rPr>
        <w:t xml:space="preserve">. </w:t>
      </w:r>
    </w:p>
    <w:p w14:paraId="10224EBD" w14:textId="4AE309B2" w:rsidR="007E4A8F" w:rsidRDefault="00B579A2" w:rsidP="00B579A2">
      <w:pPr>
        <w:spacing w:before="60" w:after="60" w:line="360" w:lineRule="auto"/>
        <w:jc w:val="both"/>
      </w:pPr>
      <w:r>
        <w:rPr>
          <w:sz w:val="20"/>
          <w:szCs w:val="20"/>
        </w:rPr>
        <w:t xml:space="preserve">World Economic Forum (2026). Global risks report 2026. [online] World Economic Forum. Available at: </w:t>
      </w:r>
      <w:hyperlink r:id="rId56" w:history="1">
        <w:r w:rsidRPr="00DC0F7B">
          <w:rPr>
            <w:rStyle w:val="Hyperlink"/>
            <w:sz w:val="20"/>
            <w:szCs w:val="20"/>
          </w:rPr>
          <w:t>https://www.weforum.org/reports/global-risks-report-2026</w:t>
        </w:r>
      </w:hyperlink>
      <w:r>
        <w:rPr>
          <w:sz w:val="20"/>
          <w:szCs w:val="20"/>
        </w:rPr>
        <w:t xml:space="preserve">  [Accessed 20 April 2026].</w:t>
      </w:r>
    </w:p>
    <w:p w14:paraId="0F3362F5" w14:textId="7FB136BD" w:rsidR="007E4A8F" w:rsidRDefault="00B579A2" w:rsidP="00B579A2">
      <w:pPr>
        <w:spacing w:before="60" w:after="60" w:line="360" w:lineRule="auto"/>
        <w:jc w:val="both"/>
      </w:pPr>
      <w:r>
        <w:rPr>
          <w:sz w:val="20"/>
          <w:szCs w:val="20"/>
        </w:rPr>
        <w:t xml:space="preserve">Zalengera, C., Blanchard, R.E., Eames, P.C., Juma, A.M., Chitawo, M.L. and Gondwe, K.T. (2014). Overview of the Malawi energy situation and a PESTLE analysis for sustainable development of renewable energy. Renewable and Sustainable Energy Reviews, 38(1), pp.335–347. doi: </w:t>
      </w:r>
      <w:hyperlink r:id="rId57" w:history="1">
        <w:r w:rsidRPr="00DC0F7B">
          <w:rPr>
            <w:rStyle w:val="Hyperlink"/>
            <w:sz w:val="20"/>
            <w:szCs w:val="20"/>
          </w:rPr>
          <w:t>https://doi.org/10.1016/j.rser.2014.05.050</w:t>
        </w:r>
      </w:hyperlink>
      <w:r>
        <w:rPr>
          <w:sz w:val="20"/>
          <w:szCs w:val="20"/>
        </w:rPr>
        <w:t xml:space="preserve">. </w:t>
      </w:r>
    </w:p>
    <w:p w14:paraId="4168109E" w14:textId="135F136F" w:rsidR="007E4A8F" w:rsidRDefault="007E4A8F" w:rsidP="00A440A8">
      <w:pPr>
        <w:spacing w:line="360" w:lineRule="auto"/>
        <w:jc w:val="both"/>
      </w:pPr>
    </w:p>
    <w:sectPr w:rsidR="007E4A8F" w:rsidSect="00D106DC">
      <w:footerReference w:type="default" r:id="rId58"/>
      <w:pgSz w:w="11906" w:h="16838"/>
      <w:pgMar w:top="1440" w:right="1260" w:bottom="1440" w:left="126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026E5" w14:textId="77777777" w:rsidR="00631D48" w:rsidRDefault="00631D48">
      <w:r>
        <w:separator/>
      </w:r>
    </w:p>
  </w:endnote>
  <w:endnote w:type="continuationSeparator" w:id="0">
    <w:p w14:paraId="3322FE6C" w14:textId="77777777" w:rsidR="00631D48" w:rsidRDefault="00631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097569"/>
      <w:docPartObj>
        <w:docPartGallery w:val="Page Numbers (Bottom of Page)"/>
        <w:docPartUnique/>
      </w:docPartObj>
    </w:sdtPr>
    <w:sdtEndPr>
      <w:rPr>
        <w:noProof/>
      </w:rPr>
    </w:sdtEndPr>
    <w:sdtContent>
      <w:p w14:paraId="238DEAE5" w14:textId="62E7B963" w:rsidR="00B579A2" w:rsidRDefault="00B579A2" w:rsidP="00D106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7DE0A" w14:textId="77777777" w:rsidR="00631D48" w:rsidRDefault="00631D48">
      <w:r>
        <w:separator/>
      </w:r>
    </w:p>
  </w:footnote>
  <w:footnote w:type="continuationSeparator" w:id="0">
    <w:p w14:paraId="56BC247B" w14:textId="77777777" w:rsidR="00631D48" w:rsidRDefault="00631D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2722C"/>
    <w:multiLevelType w:val="hybridMultilevel"/>
    <w:tmpl w:val="AB8EE8EC"/>
    <w:lvl w:ilvl="0" w:tplc="25DCD398">
      <w:start w:val="1"/>
      <w:numFmt w:val="bullet"/>
      <w:lvlText w:val="●"/>
      <w:lvlJc w:val="left"/>
      <w:pPr>
        <w:ind w:left="720" w:hanging="360"/>
      </w:pPr>
    </w:lvl>
    <w:lvl w:ilvl="1" w:tplc="043A9364">
      <w:start w:val="1"/>
      <w:numFmt w:val="bullet"/>
      <w:lvlText w:val="○"/>
      <w:lvlJc w:val="left"/>
      <w:pPr>
        <w:ind w:left="1440" w:hanging="360"/>
      </w:pPr>
    </w:lvl>
    <w:lvl w:ilvl="2" w:tplc="F2009B76">
      <w:start w:val="1"/>
      <w:numFmt w:val="bullet"/>
      <w:lvlText w:val="■"/>
      <w:lvlJc w:val="left"/>
      <w:pPr>
        <w:ind w:left="2160" w:hanging="360"/>
      </w:pPr>
    </w:lvl>
    <w:lvl w:ilvl="3" w:tplc="8F8C5A9A">
      <w:start w:val="1"/>
      <w:numFmt w:val="bullet"/>
      <w:lvlText w:val="●"/>
      <w:lvlJc w:val="left"/>
      <w:pPr>
        <w:ind w:left="2880" w:hanging="360"/>
      </w:pPr>
    </w:lvl>
    <w:lvl w:ilvl="4" w:tplc="36DABCF4">
      <w:start w:val="1"/>
      <w:numFmt w:val="bullet"/>
      <w:lvlText w:val="○"/>
      <w:lvlJc w:val="left"/>
      <w:pPr>
        <w:ind w:left="3600" w:hanging="360"/>
      </w:pPr>
    </w:lvl>
    <w:lvl w:ilvl="5" w:tplc="587CDF10">
      <w:start w:val="1"/>
      <w:numFmt w:val="bullet"/>
      <w:lvlText w:val="■"/>
      <w:lvlJc w:val="left"/>
      <w:pPr>
        <w:ind w:left="4320" w:hanging="360"/>
      </w:pPr>
    </w:lvl>
    <w:lvl w:ilvl="6" w:tplc="ED84893C">
      <w:start w:val="1"/>
      <w:numFmt w:val="bullet"/>
      <w:lvlText w:val="●"/>
      <w:lvlJc w:val="left"/>
      <w:pPr>
        <w:ind w:left="5040" w:hanging="360"/>
      </w:pPr>
    </w:lvl>
    <w:lvl w:ilvl="7" w:tplc="23887386">
      <w:start w:val="1"/>
      <w:numFmt w:val="bullet"/>
      <w:lvlText w:val="●"/>
      <w:lvlJc w:val="left"/>
      <w:pPr>
        <w:ind w:left="5760" w:hanging="360"/>
      </w:pPr>
    </w:lvl>
    <w:lvl w:ilvl="8" w:tplc="4D228B7C">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A8F"/>
    <w:rsid w:val="000818C5"/>
    <w:rsid w:val="000A34C5"/>
    <w:rsid w:val="00146357"/>
    <w:rsid w:val="00242B6B"/>
    <w:rsid w:val="00266AFE"/>
    <w:rsid w:val="003F7E5D"/>
    <w:rsid w:val="0043104B"/>
    <w:rsid w:val="005751A3"/>
    <w:rsid w:val="00591A11"/>
    <w:rsid w:val="00631D48"/>
    <w:rsid w:val="007E4A8F"/>
    <w:rsid w:val="00876301"/>
    <w:rsid w:val="0088511D"/>
    <w:rsid w:val="008C4137"/>
    <w:rsid w:val="00A31AD6"/>
    <w:rsid w:val="00A440A8"/>
    <w:rsid w:val="00A5581B"/>
    <w:rsid w:val="00B579A2"/>
    <w:rsid w:val="00B929A9"/>
    <w:rsid w:val="00C0770A"/>
    <w:rsid w:val="00CA1B47"/>
    <w:rsid w:val="00CC46B2"/>
    <w:rsid w:val="00D106DC"/>
    <w:rsid w:val="00D13B99"/>
    <w:rsid w:val="00D64F7D"/>
    <w:rsid w:val="00D71451"/>
    <w:rsid w:val="00DA1D3F"/>
    <w:rsid w:val="00E8744F"/>
    <w:rsid w:val="00EE3830"/>
    <w:rsid w:val="00F056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C89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4E79"/>
      <w:sz w:val="32"/>
      <w:szCs w:val="32"/>
    </w:rPr>
  </w:style>
  <w:style w:type="paragraph" w:styleId="Heading2">
    <w:name w:val="heading 2"/>
    <w:uiPriority w:val="9"/>
    <w:unhideWhenUsed/>
    <w:qFormat/>
    <w:pPr>
      <w:spacing w:before="240" w:after="120"/>
      <w:outlineLvl w:val="1"/>
    </w:pPr>
    <w:rPr>
      <w:b/>
      <w:bCs/>
      <w:color w:val="2E75B6"/>
      <w:sz w:val="28"/>
      <w:szCs w:val="28"/>
    </w:rPr>
  </w:style>
  <w:style w:type="paragraph" w:styleId="Heading3">
    <w:name w:val="heading 3"/>
    <w:uiPriority w:val="9"/>
    <w:unhideWhenUsed/>
    <w:qFormat/>
    <w:pPr>
      <w:spacing w:before="180" w:after="80"/>
      <w:outlineLvl w:val="2"/>
    </w:pPr>
    <w:rPr>
      <w:b/>
      <w:bCs/>
      <w:color w:val="4472C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3104B"/>
    <w:pPr>
      <w:tabs>
        <w:tab w:val="center" w:pos="4680"/>
        <w:tab w:val="right" w:pos="9360"/>
      </w:tabs>
    </w:pPr>
  </w:style>
  <w:style w:type="character" w:customStyle="1" w:styleId="HeaderChar">
    <w:name w:val="Header Char"/>
    <w:basedOn w:val="DefaultParagraphFont"/>
    <w:link w:val="Header"/>
    <w:uiPriority w:val="99"/>
    <w:rsid w:val="0043104B"/>
  </w:style>
  <w:style w:type="paragraph" w:styleId="Footer">
    <w:name w:val="footer"/>
    <w:basedOn w:val="Normal"/>
    <w:link w:val="FooterChar"/>
    <w:uiPriority w:val="99"/>
    <w:unhideWhenUsed/>
    <w:rsid w:val="0043104B"/>
    <w:pPr>
      <w:tabs>
        <w:tab w:val="center" w:pos="4680"/>
        <w:tab w:val="right" w:pos="9360"/>
      </w:tabs>
    </w:pPr>
  </w:style>
  <w:style w:type="character" w:customStyle="1" w:styleId="FooterChar">
    <w:name w:val="Footer Char"/>
    <w:basedOn w:val="DefaultParagraphFont"/>
    <w:link w:val="Footer"/>
    <w:uiPriority w:val="99"/>
    <w:rsid w:val="0043104B"/>
  </w:style>
  <w:style w:type="character" w:styleId="UnresolvedMention">
    <w:name w:val="Unresolved Mention"/>
    <w:basedOn w:val="DefaultParagraphFont"/>
    <w:uiPriority w:val="99"/>
    <w:semiHidden/>
    <w:unhideWhenUsed/>
    <w:rsid w:val="00B579A2"/>
    <w:rPr>
      <w:color w:val="605E5C"/>
      <w:shd w:val="clear" w:color="auto" w:fill="E1DFDD"/>
    </w:rPr>
  </w:style>
  <w:style w:type="paragraph" w:styleId="TOCHeading">
    <w:name w:val="TOC Heading"/>
    <w:basedOn w:val="Heading1"/>
    <w:next w:val="Normal"/>
    <w:uiPriority w:val="39"/>
    <w:unhideWhenUsed/>
    <w:qFormat/>
    <w:rsid w:val="00B579A2"/>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B579A2"/>
    <w:pPr>
      <w:spacing w:after="100"/>
    </w:pPr>
  </w:style>
  <w:style w:type="paragraph" w:styleId="TOC2">
    <w:name w:val="toc 2"/>
    <w:basedOn w:val="Normal"/>
    <w:next w:val="Normal"/>
    <w:autoRedefine/>
    <w:uiPriority w:val="39"/>
    <w:unhideWhenUsed/>
    <w:rsid w:val="00B579A2"/>
    <w:pPr>
      <w:spacing w:after="100"/>
      <w:ind w:left="240"/>
    </w:pPr>
  </w:style>
  <w:style w:type="paragraph" w:styleId="TOC3">
    <w:name w:val="toc 3"/>
    <w:basedOn w:val="Normal"/>
    <w:next w:val="Normal"/>
    <w:autoRedefine/>
    <w:uiPriority w:val="39"/>
    <w:unhideWhenUsed/>
    <w:rsid w:val="00B579A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80/09537287.2025.2570203" TargetMode="External"/><Relationship Id="rId18" Type="http://schemas.openxmlformats.org/officeDocument/2006/relationships/hyperlink" Target="https://doi.org/10.1257/aer.20191823" TargetMode="External"/><Relationship Id="rId26" Type="http://schemas.openxmlformats.org/officeDocument/2006/relationships/hyperlink" Target="https://doi.org/10.9707/2307-0919.1014" TargetMode="External"/><Relationship Id="rId39" Type="http://schemas.openxmlformats.org/officeDocument/2006/relationships/hyperlink" Target="https://www.mas.gov.sg/publications/monographs-or-information-paper/2018/feat" TargetMode="External"/><Relationship Id="rId21" Type="http://schemas.openxmlformats.org/officeDocument/2006/relationships/hyperlink" Target="https://arxiv.org/abs/1702.08608" TargetMode="External"/><Relationship Id="rId34" Type="http://schemas.openxmlformats.org/officeDocument/2006/relationships/hyperlink" Target="https://doi.org/10.30541/v37i1pp.90-94" TargetMode="External"/><Relationship Id="rId42" Type="http://schemas.openxmlformats.org/officeDocument/2006/relationships/hyperlink" Target="https://doi.org/10.1109/access.2021.3134076" TargetMode="External"/><Relationship Id="rId47" Type="http://schemas.openxmlformats.org/officeDocument/2006/relationships/hyperlink" Target="https://hbr.org/1979/03/how-competitive-forces-shape-strategy" TargetMode="External"/><Relationship Id="rId50" Type="http://schemas.openxmlformats.org/officeDocument/2006/relationships/hyperlink" Target="https://www.theasianbanker.com/updates-and-articles/standard-chartered-s-risk-first-approach-to-scaling-ai-globally" TargetMode="External"/><Relationship Id="rId55" Type="http://schemas.openxmlformats.org/officeDocument/2006/relationships/hyperlink" Target="https://ssrn.com/abstract=345240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5281/zenodo.2612537" TargetMode="External"/><Relationship Id="rId29" Type="http://schemas.openxmlformats.org/officeDocument/2006/relationships/hyperlink" Target="https://doi.org/10.1038/s42256-019-0088-2" TargetMode="External"/><Relationship Id="rId11" Type="http://schemas.openxmlformats.org/officeDocument/2006/relationships/hyperlink" Target="https://doi.org/10.1257/aer.20141685" TargetMode="External"/><Relationship Id="rId24" Type="http://schemas.openxmlformats.org/officeDocument/2006/relationships/hyperlink" Target="https://doi.org/10.1111/jofi.13090" TargetMode="External"/><Relationship Id="rId32" Type="http://schemas.openxmlformats.org/officeDocument/2006/relationships/hyperlink" Target="https://doi.org/10.3390/su14031524" TargetMode="External"/><Relationship Id="rId37" Type="http://schemas.openxmlformats.org/officeDocument/2006/relationships/hyperlink" Target="https://corpgov.law.harvard.edu/2025/04/02/ai-in-focus-in-2025-boards-and-shareholders-set-their-sights-on-ai/" TargetMode="External"/><Relationship Id="rId40" Type="http://schemas.openxmlformats.org/officeDocument/2006/relationships/hyperlink" Target="https://www.mas.gov.sg/news/media-releases/2023/toolkit-for-responsible-use-of-ai-in-the-financial-sector" TargetMode="External"/><Relationship Id="rId45" Type="http://schemas.openxmlformats.org/officeDocument/2006/relationships/hyperlink" Target="https://www.bankofengland.co.uk/report/2024/artificial-intelligence-in-uk-financial-services-2024" TargetMode="External"/><Relationship Id="rId53" Type="http://schemas.openxmlformats.org/officeDocument/2006/relationships/hyperlink" Target="https://doi.org/10.1177/2158244020988286"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dl.acm.org/doi/abs/10.1145/350228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57/s41267-016-0038-8" TargetMode="External"/><Relationship Id="rId22" Type="http://schemas.openxmlformats.org/officeDocument/2006/relationships/hyperlink" Target="https://www.fca.org.uk/publication/corporate/ai-update.pdf" TargetMode="External"/><Relationship Id="rId27" Type="http://schemas.openxmlformats.org/officeDocument/2006/relationships/hyperlink" Target="https://ico.org.uk/for-organisations/uk-gdpr-guidance-and-resources/artificial-intelligence/" TargetMode="External"/><Relationship Id="rId30" Type="http://schemas.openxmlformats.org/officeDocument/2006/relationships/hyperlink" Target="https://doi.org/10.4337/9781800884045.ch84" TargetMode="External"/><Relationship Id="rId35" Type="http://schemas.openxmlformats.org/officeDocument/2006/relationships/hyperlink" Target="https://doi.org/10.1111/corg.12143" TargetMode="External"/><Relationship Id="rId43" Type="http://schemas.openxmlformats.org/officeDocument/2006/relationships/hyperlink" Target="https://doi.org/10.6028/nist.ai.100-1" TargetMode="External"/><Relationship Id="rId48" Type="http://schemas.openxmlformats.org/officeDocument/2006/relationships/hyperlink" Target="https://doi.org/10.1108/eb023001" TargetMode="External"/><Relationship Id="rId56" Type="http://schemas.openxmlformats.org/officeDocument/2006/relationships/hyperlink" Target="https://www.weforum.org/reports/global-risks-report-2026" TargetMode="External"/><Relationship Id="rId8" Type="http://schemas.openxmlformats.org/officeDocument/2006/relationships/image" Target="media/image2.png"/><Relationship Id="rId51" Type="http://schemas.openxmlformats.org/officeDocument/2006/relationships/hyperlink" Target="https://doi.org/10.1111/jacf.12378" TargetMode="External"/><Relationship Id="rId3" Type="http://schemas.openxmlformats.org/officeDocument/2006/relationships/settings" Target="settings.xml"/><Relationship Id="rId12" Type="http://schemas.openxmlformats.org/officeDocument/2006/relationships/hyperlink" Target="https://www.theasianbanker.com/updates-and-articles/standard-chartered-s-risk-first-approach-to-scaling-ai-globally" TargetMode="External"/><Relationship Id="rId17" Type="http://schemas.openxmlformats.org/officeDocument/2006/relationships/hyperlink" Target="https://www.mckinsey.com/featured-insights/artificial-intelligence/notes-from-the-ai-frontier-modeling-the-impact-of-ai-on-the-world-economy" TargetMode="External"/><Relationship Id="rId25" Type="http://schemas.openxmlformats.org/officeDocument/2006/relationships/hyperlink" Target="https://doi.org/10.3390/systems13121086" TargetMode="External"/><Relationship Id="rId33" Type="http://schemas.openxmlformats.org/officeDocument/2006/relationships/hyperlink" Target="https://doi.org/10.1108/10595420910962043" TargetMode="External"/><Relationship Id="rId38" Type="http://schemas.openxmlformats.org/officeDocument/2006/relationships/hyperlink" Target="https://doi.org/10.1177/2053951716679679" TargetMode="External"/><Relationship Id="rId46" Type="http://schemas.openxmlformats.org/officeDocument/2006/relationships/hyperlink" Target="https://doi.org/10.1007/978-3-031-08956-5_1124-1" TargetMode="External"/><Relationship Id="rId59" Type="http://schemas.openxmlformats.org/officeDocument/2006/relationships/fontTable" Target="fontTable.xml"/><Relationship Id="rId20" Type="http://schemas.openxmlformats.org/officeDocument/2006/relationships/hyperlink" Target="https://hbr.org/2018/01/artificial-intelligence-for-the-real-world" TargetMode="External"/><Relationship Id="rId41" Type="http://schemas.openxmlformats.org/officeDocument/2006/relationships/hyperlink" Target="https://www.mas.gov.sg/publications/consultations/2025/consultation-paper-on-guidelines-on-artificial-intelligence-risk-management" TargetMode="External"/><Relationship Id="rId54" Type="http://schemas.openxmlformats.org/officeDocument/2006/relationships/hyperlink" Target="https://www.gov.uk/government/publications/ai-regulation-a-pro-innovation-approach"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0022022118798505" TargetMode="External"/><Relationship Id="rId23" Type="http://schemas.openxmlformats.org/officeDocument/2006/relationships/hyperlink" Target="https://doi.org/10.1007/s11023-018-9482-5" TargetMode="External"/><Relationship Id="rId28" Type="http://schemas.openxmlformats.org/officeDocument/2006/relationships/hyperlink" Target="https://doi.org/10.1111/fima.12295" TargetMode="External"/><Relationship Id="rId36" Type="http://schemas.openxmlformats.org/officeDocument/2006/relationships/hyperlink" Target="https://doi.org/10.1177/1069397113510866" TargetMode="External"/><Relationship Id="rId49" Type="http://schemas.openxmlformats.org/officeDocument/2006/relationships/hyperlink" Target="https://www.sc.com/en/investors/financial-results/annual-report/" TargetMode="External"/><Relationship Id="rId57" Type="http://schemas.openxmlformats.org/officeDocument/2006/relationships/hyperlink" Target="https://doi.org/10.1016/j.rser.2014.05.050" TargetMode="External"/><Relationship Id="rId10" Type="http://schemas.openxmlformats.org/officeDocument/2006/relationships/hyperlink" Target="https://www.nber.org/papers/w29247" TargetMode="External"/><Relationship Id="rId31" Type="http://schemas.openxmlformats.org/officeDocument/2006/relationships/hyperlink" Target="https://doi.org/10.34139/jscs.2025.15.3.79" TargetMode="External"/><Relationship Id="rId44" Type="http://schemas.openxmlformats.org/officeDocument/2006/relationships/hyperlink" Target="https://www.bis.org/fsi/publ/insights49.pdf" TargetMode="External"/><Relationship Id="rId52" Type="http://schemas.openxmlformats.org/officeDocument/2006/relationships/hyperlink" Target="https://www.computerweekly.com/news/366622934/Standard-Chartered-grounds-AI-ambitions-in-data-governanc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7441</Words>
  <Characters>42419</Characters>
  <Application>Microsoft Office Word</Application>
  <DocSecurity>0</DocSecurity>
  <Lines>353</Lines>
  <Paragraphs>99</Paragraphs>
  <ScaleCrop>false</ScaleCrop>
  <Company/>
  <LinksUpToDate>false</LinksUpToDate>
  <CharactersWithSpaces>49761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2026-04-27T09:23:00Z</dcterms:created>
  <dcterms:modified xsi:type="dcterms:W3CDTF">2026-04-27T17:36:00Z</dcterms:modified>
</cp:coreProperties>
</file>