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5633234" wp14:paraId="58CA1A79" wp14:textId="0F92F3D7">
      <w:pPr>
        <w:spacing w:line="360" w:lineRule="auto"/>
        <w:jc w:val="center"/>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6"/>
          <w:szCs w:val="36"/>
          <w:u w:val="single"/>
          <w:lang w:val="en-GB"/>
        </w:rPr>
        <w:t>Rationale</w:t>
      </w: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 </w:t>
      </w:r>
    </w:p>
    <w:p xmlns:wp14="http://schemas.microsoft.com/office/word/2010/wordml" w:rsidP="25633234" wp14:paraId="05C30F66" wp14:textId="30914225">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This paper will examine the rationale and theoretical framework that support the use of this resource pack as an effective means to address challenging behaviours and to support a consistent, positive, and proactive approach to behaviour management in classroom settings. Additionally, it will demonstrate how the resource pack facilitates the development of various skills while fostering a positive educational environment. The primary aim of this resource is to support practitioners in creating a structured and engaging environment for all students. While this resource pack supports positive behaviour expectations, it also reinforces the importance of established routines and structures that support engagement in the learning process. This resource pack will include visual behaviour cues, a reflection sheet, circle time guidelines, feelings reflection sheet, and clearly defined classroom expectations. These components will help reinforce positive behaviour, promote accountability, and provide opportunities for self-regulation. By using the resource pack, practitioners are equipped to respond to challenges with greater consistency and confidence. This resource is designed to reduce disruptions and foster stronger teacher-student relationships (Morin, 2022). </w:t>
      </w:r>
    </w:p>
    <w:p xmlns:wp14="http://schemas.microsoft.com/office/word/2010/wordml" w:rsidP="25633234" wp14:paraId="0818B0BD" wp14:textId="68372F14">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Classroom management resources have experienced significant changes over the years. These changes have reflected on educational theories, societal expectations, and an increased focus on inclusion and student-centred learning. During the mid-1900s, authoritarian methods were used to enforce discipline through strict rules and teacher-centred instruction. Resources were limited, and rules were displayed on posters around the classroom, alongside punitive consequences for behaviour (Fiveable, 2025). Corporal punishment was also common, involving physical punishment such as slapping (Child Law Advice, 2019). </w:t>
      </w:r>
    </w:p>
    <w:p xmlns:wp14="http://schemas.microsoft.com/office/word/2010/wordml" w:rsidP="25633234" wp14:paraId="10BD6CBA" wp14:textId="315431D0">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Skinner's (1938) primary concept emphasised that both rewards and consequences play a crucial role in shaping behaviour. He believed that positive reinforcement, such as praise, privileges, or tangible rewards, could significantly encourage and increase the frequency of desired behaviours in students. To effectively manage classroom behaviour, Skinner advocated for the use of clear and consistent consequences for misbehaviour, which could include methods such as time-outs, loss of privileges, or other corrective measures, ensuring that students understood the repercussions of their actions. Furthermore, he emphasised the importance of establishing structured routines. This not only helps students feel secure but also aids them in internalising behavioural expectations, making it easier for them to manage their learning environment and develop self-discipline over time (Teaching Channel, 2021). </w:t>
      </w:r>
    </w:p>
    <w:p xmlns:wp14="http://schemas.microsoft.com/office/word/2010/wordml" w:rsidP="25633234" wp14:paraId="0662C548" wp14:textId="538D2CD9">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Rogers (1959) advocated for a Humanistic, Student-Centred Approach, placing a strong emphasis on personal growth through the core principles of empathy, trust, and unconditional positive regard. He believed in an integrated approach, building strong teacher-student relationships, fostering autonomy, encouraging self-expression, and ensuring emotional safety by creating a non-judgmental environment that allowed students to feel free to learn and grow. This framework allows students to make choices which enhance their engagement (Main, 2022). </w:t>
      </w:r>
    </w:p>
    <w:p xmlns:wp14="http://schemas.microsoft.com/office/word/2010/wordml" w:rsidP="25633234" wp14:paraId="17CBF271" wp14:textId="4AB8016D">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In contrast, William Glasser (1998) emphasised the importance of meeting students' needs and fostering relationships. He concluded that all behaviour is driven from within, irrespective of external influences. Glasser's theory, known as choice theory, suggests that five basic human needs drive all behaviour. These needs are survival, freedom, love and belonging, fun and power. He believes that by focusing on these needs, we ensure that students feel in control of their education and wellbeing, setting them up for long-term success both in and out of school (Glasser Institute for Choice Theory, 2019). </w:t>
      </w:r>
    </w:p>
    <w:p xmlns:wp14="http://schemas.microsoft.com/office/word/2010/wordml" w:rsidP="25633234" wp14:paraId="6DFDE158" wp14:textId="144B1DF8">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Restorative Justice, first implemented in the criminal justice system during the 1990s and 2000s by Sir Charles Pollard, has since evolved into a broader approach known as restorative practice. This framework focuses on repairing harm caused by criminal behaviour through facilitated dialogue between victims, offenders, and the community. Over the years, restorative practices have expanded beyond traditional justice settings to include schools, workplaces, and community organisations, providing effective ways to address conflict, promote healing, and foster accountability (Restorative Solutions, 2022). While restorative practice can offer significant benefits, several challenges exist, including limited time and resources, inadequate training, and the difficulty of maintaining consistency in larger schools. The lack of proper training can leave educators feeling unprepared to facilitate restorative dialogues and manage conflict effectively.</w:t>
      </w:r>
    </w:p>
    <w:p xmlns:wp14="http://schemas.microsoft.com/office/word/2010/wordml" w:rsidP="25633234" wp14:paraId="6404CBAE" wp14:textId="54422EF0">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In addition, some staff may resist change from traditional disciplinary methods to a more restorative approach due to scepticism about its effectiveness or a lack of understanding of its principles. A successful implementation requires a comprehensive, whole-school approach. This means actively involving not only students but also parents and the community. This enables a more collaborative environment, ensuring that everyone understands their role in promoting restorative practice and shares the same goals (Psychology Today, 2019). </w:t>
      </w:r>
    </w:p>
    <w:p xmlns:wp14="http://schemas.microsoft.com/office/word/2010/wordml" w:rsidP="25633234" wp14:paraId="41A0F269" wp14:textId="504A5453">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The Restorative Practice approach aims to foster a significant cultural shift within educational settings by moving away from traditional punitive measures and instead focusing on understanding and addressing the root causes of behaviour. This methodology emphasises the importance of building strong relationships and repairing harm, fostering a more positive, supportive, and inclusive learning environment. It significantly influences classroom management by reducing the need for exclusion. By reducing exclusion, it enhances student retention and promotes a sense of belonging, which is key for academic success (Lodi et al., 2021). </w:t>
      </w:r>
    </w:p>
    <w:p xmlns:wp14="http://schemas.microsoft.com/office/word/2010/wordml" w:rsidP="25633234" wp14:paraId="3CE6297D" wp14:textId="3642EC47">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Restorative practice aligns with the new Curriculum for Wales (2022) by enhancing the skills and values emphasised in the Areas of Learning and Experience (AoLEs) and cross-curricular responsibilities. It fosters the development of relationships, wellbeing, and personal responsibility by prioritising communication, accountability, and the process of repairing harm. This approach aligns with the curriculum's objective of equipping learners for an ever-changing world (Welsh Government, 2024). The Well-being of Future Generations (Wales) Act 2015 plays a pivotal role in shaping the new Curriculum in Wales (2022), emphasising a long-term approach to educational sustainability and societal welfare (Future Generations Commissioner for Wales, 2025). Additionally, the incorporation of the United Nations Convention on the Rights of the Child (UNCRC) within the curriculum ensures that children's rights are prioritised, fostering an environment where learners are not only aware of their rights but also empowered to advocate for themselves and engage actively in their communities. Together, these frameworks aim to create a holistic educational experience that nurtures the wellbeing of all learners, promoting social justice (Save the Children, 2011). </w:t>
      </w:r>
    </w:p>
    <w:p xmlns:wp14="http://schemas.microsoft.com/office/word/2010/wordml" w:rsidP="25633234" wp14:paraId="461ADD52" wp14:textId="39D00E92">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Children with additional learning needs often display a wide range of challenging behaviours. These behaviours may include heightened anxiety, withdrawal from peer interactions, or difficulty following instructions. Such responses can occur when they face obstacles in communication, understanding complex tasks, or navigating social situations. As a result, children may lash out, withdraw, or demonstrate defiance. Understanding the underlying emotions driving these behaviours is crucial, as it allows for the development of tailored strategies to support the child's learning and emotional wellbeing effectively (Local Authority, 2021). Child A has been diagnosed with Tourette's syndrome, a neurological disorder that affects the ability to control movements and sounds. This can sometimes lead to child A being misunderstood. This condition means that struggling to adapt to changes in routine can cause child A to engage in ritualistic behaviours. It is essential to acknowledge that these behaviours are neurologically driven and that child A is not in control of them (NHS website, 2017). Research indicates that positive behaviour support is effective in addressing these challenges, rather than resorting to punishment (Anti-Bullying Alliance, 2023). Child A accesses a nurture group designed to provide support for his Tourette syndrome. This safe and nurturing environment focuses on emotional and social development, offering tailored interventions and strategies that help manage symptoms while fostering positive peer interactions. Through this programme, Child A engages in various activities that promote self-expression, coping skills, and increased understanding of the condition, all aimed at enhancing overall wellbeing and confidence (Nurture UK, 2023). </w:t>
      </w:r>
    </w:p>
    <w:p xmlns:wp14="http://schemas.microsoft.com/office/word/2010/wordml" w:rsidP="25633234" wp14:paraId="6806F5DB" wp14:textId="40D3B355">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The decision has been made to utilise restorative practice as the resource pack to support child A. The reason for this inclusive approach lies in its ability to promote understanding of involuntary behaviour, prioritise communication over punishment, build empathy and inclusion, support emotional regulation, and encourage ownership without blame. Child A frequently experiences frustration when other children imitate his tics, which are associated with Tourette syndrome. This behaviour can exacerbate his tics and is particularly challenging in social situations, where he already feels vulnerable. The imitation from peers not only distracts him but also makes him self-conscious, leading to feelings of isolation and sadness. It is important for those around him to understand the impact of such actions and to foster an environment of empathy and support. </w:t>
      </w:r>
    </w:p>
    <w:p xmlns:wp14="http://schemas.microsoft.com/office/word/2010/wordml" w:rsidP="25633234" wp14:paraId="74474E96" wp14:textId="408B23FF">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The guidance provided will support staff in implementing restorative practice effectively with child A, ensuring that interventions are supportive, inclusive, and informed by an understanding of neurological development. Restorative practice aligns closely with  Dewey's philosophy (1916), reflecting a shared emphasis on experiential learning, community engagement, and reflective practices to foster practical skills and social awareness. Dewey's concept of learning by doing is central to restorative practices' focus on hands-on, community-based problem-solving aimed at repairing harm and nurturing relationships (Cloke, 2023). Both approaches also advocate for the development of social skills, critical thinking, and a sense of responsibility within a democratic community framework (Vaandering, 2010). Restorative practice actively reinforces the four core purposes of the Curriculum for Wales (2022) by cultivating social awareness and fostering effective learning values. Through its emphasis on building relationships, encouraging open communication, and promoting accountability, restorative practices create an inclusive environment where individuals can thrive socially and academically. This approach not only addresses conflicts but also prioritises personal growth, empathy, and resilience, reinforcing the importance of community and collaboration in the learning process (Welsh Government, 2022). Restorative practice provides an alternative approach to addressing discipline and behavioural issues, offering a consistent framework for responding to challenges. </w:t>
      </w:r>
    </w:p>
    <w:p xmlns:wp14="http://schemas.microsoft.com/office/word/2010/wordml" w:rsidP="25633234" wp14:paraId="4F32D9D7" wp14:textId="36AF89F3">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The four Rs of reflective practice provide a framework for critical thinking about experiences. These include reporting,</w:t>
      </w:r>
      <w:r w:rsidRPr="25633234" w:rsidR="442D91BD">
        <w:rPr>
          <w:rFonts w:ascii="Times New Roman" w:hAnsi="Times New Roman" w:eastAsia="Times New Roman" w:cs="Times New Roman"/>
          <w:b w:val="1"/>
          <w:bCs w:val="1"/>
          <w:i w:val="0"/>
          <w:iCs w:val="0"/>
          <w:caps w:val="0"/>
          <w:smallCaps w:val="0"/>
          <w:noProof w:val="0"/>
          <w:color w:val="0E101A"/>
          <w:sz w:val="24"/>
          <w:szCs w:val="24"/>
          <w:lang w:val="en-GB"/>
        </w:rPr>
        <w:t xml:space="preserve"> </w:t>
      </w: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which involves describing what happened during an event, outlining the context and actions taken without judgment. Responding involves expressing feelings and reactions to the experience, fostering a personal connection to the learning. Requiring evaluates what was needed in the situation, assessing the effectiveness of actions and available support. Finally, reconstructing focuses on planning future actions based on insights gained, setting goals and strategies for improvement. Together, these steps promote continuous growth and enhance future practice. </w:t>
      </w:r>
    </w:p>
    <w:p xmlns:wp14="http://schemas.microsoft.com/office/word/2010/wordml" w:rsidP="25633234" wp14:paraId="7D6CCBFD" wp14:textId="38324D1A">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E101A"/>
          <w:sz w:val="24"/>
          <w:szCs w:val="24"/>
          <w:lang w:val="en-GB"/>
        </w:rPr>
      </w:pPr>
    </w:p>
    <w:p xmlns:wp14="http://schemas.microsoft.com/office/word/2010/wordml" w:rsidP="25633234" wp14:paraId="5353B84E" wp14:textId="6B11B73F">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Here are some prompts to guide restorative conversations and assist you.</w:t>
      </w:r>
    </w:p>
    <w:p xmlns:wp14="http://schemas.microsoft.com/office/word/2010/wordml" w:rsidP="25633234" wp14:paraId="67BC2182" wp14:textId="23852758">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E101A"/>
          <w:sz w:val="24"/>
          <w:szCs w:val="24"/>
          <w:lang w:val="en-GB"/>
        </w:rPr>
      </w:pPr>
    </w:p>
    <w:p xmlns:wp14="http://schemas.microsoft.com/office/word/2010/wordml" w:rsidP="25633234" wp14:paraId="60FEFC22" wp14:textId="2DA45DC5">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442D91BD">
        <w:drawing>
          <wp:inline xmlns:wp14="http://schemas.microsoft.com/office/word/2010/wordprocessingDrawing" wp14:editId="16372FE5" wp14:anchorId="4C6A8EF6">
            <wp:extent cx="4010025" cy="1962150"/>
            <wp:effectExtent l="0" t="0" r="0" b="0"/>
            <wp:docPr id="12204360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0436040" name=""/>
                    <pic:cNvPicPr/>
                  </pic:nvPicPr>
                  <pic:blipFill>
                    <a:blip xmlns:r="http://schemas.openxmlformats.org/officeDocument/2006/relationships" r:embed="rId787409242">
                      <a:extLst>
                        <a:ext xmlns:a="http://schemas.openxmlformats.org/drawingml/2006/main" uri="{28A0092B-C50C-407E-A947-70E740481C1C}">
                          <a14:useLocalDpi xmlns:a14="http://schemas.microsoft.com/office/drawing/2010/main" val="0"/>
                        </a:ext>
                      </a:extLst>
                    </a:blip>
                    <a:stretch>
                      <a:fillRect/>
                    </a:stretch>
                  </pic:blipFill>
                  <pic:spPr>
                    <a:xfrm>
                      <a:off x="0" y="0"/>
                      <a:ext cx="4010025" cy="1962150"/>
                    </a:xfrm>
                    <a:prstGeom prst="rect">
                      <a:avLst/>
                    </a:prstGeom>
                  </pic:spPr>
                </pic:pic>
              </a:graphicData>
            </a:graphic>
          </wp:inline>
        </w:drawing>
      </w:r>
    </w:p>
    <w:p xmlns:wp14="http://schemas.microsoft.com/office/word/2010/wordml" w:rsidP="25633234" wp14:paraId="147AC775" wp14:textId="7D6BAF43">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E101A"/>
          <w:sz w:val="24"/>
          <w:szCs w:val="24"/>
          <w:lang w:val="en-GB"/>
        </w:rPr>
      </w:pPr>
    </w:p>
    <w:p xmlns:wp14="http://schemas.microsoft.com/office/word/2010/wordml" w:rsidP="25633234" wp14:paraId="518F74D6" wp14:textId="751FCB76">
      <w:pPr>
        <w:spacing w:before="240" w:beforeAutospacing="off" w:after="24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1"/>
          <w:bCs w:val="1"/>
          <w:i w:val="0"/>
          <w:iCs w:val="0"/>
          <w:caps w:val="0"/>
          <w:smallCaps w:val="0"/>
          <w:strike w:val="0"/>
          <w:dstrike w:val="0"/>
          <w:noProof w:val="0"/>
          <w:color w:val="0E101A"/>
          <w:sz w:val="24"/>
          <w:szCs w:val="24"/>
          <w:u w:val="single"/>
          <w:lang w:val="en-GB"/>
        </w:rPr>
        <w:t>Instructions for a restorative practice session</w:t>
      </w:r>
    </w:p>
    <w:p xmlns:wp14="http://schemas.microsoft.com/office/word/2010/wordml" w:rsidP="25633234" wp14:paraId="42AAB832" wp14:textId="666B1FC7">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1"/>
          <w:bCs w:val="1"/>
          <w:i w:val="0"/>
          <w:iCs w:val="0"/>
          <w:caps w:val="0"/>
          <w:smallCaps w:val="0"/>
          <w:noProof w:val="0"/>
          <w:color w:val="0E101A"/>
          <w:sz w:val="28"/>
          <w:szCs w:val="28"/>
          <w:lang w:val="en-GB"/>
        </w:rPr>
        <w:t>Before</w:t>
      </w: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 engaging in conversation with the child/children</w:t>
      </w:r>
    </w:p>
    <w:p xmlns:wp14="http://schemas.microsoft.com/office/word/2010/wordml" w:rsidP="25633234" wp14:paraId="1FF608A2" wp14:textId="4F6FEC61">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 </w:t>
      </w:r>
    </w:p>
    <w:p xmlns:wp14="http://schemas.microsoft.com/office/word/2010/wordml" w:rsidP="25633234" wp14:paraId="06C4811D" wp14:textId="6D4E9898">
      <w:pPr>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highlight w:val="yellow"/>
          <w:lang w:val="en-GB"/>
        </w:rPr>
        <w:t>Regulate your own emotions – de-escalate from the situation</w:t>
      </w:r>
    </w:p>
    <w:p xmlns:wp14="http://schemas.microsoft.com/office/word/2010/wordml" w:rsidP="25633234" wp14:paraId="390B8892" wp14:textId="4CBB392C">
      <w:pPr>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highlight w:val="yellow"/>
          <w:lang w:val="en-GB"/>
        </w:rPr>
        <w:t>Remain calm</w:t>
      </w:r>
    </w:p>
    <w:p xmlns:wp14="http://schemas.microsoft.com/office/word/2010/wordml" w:rsidP="25633234" wp14:paraId="144AF8E2" wp14:textId="2A439DDC">
      <w:pPr>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highlight w:val="yellow"/>
          <w:lang w:val="en-GB"/>
        </w:rPr>
        <w:t>Establish a safe environment – physically and psychologically</w:t>
      </w:r>
    </w:p>
    <w:p xmlns:wp14="http://schemas.microsoft.com/office/word/2010/wordml" w:rsidP="25633234" wp14:paraId="3CD79B54" wp14:textId="42DABD9A">
      <w:pPr>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highlight w:val="yellow"/>
          <w:lang w:val="en-GB"/>
        </w:rPr>
        <w:t>Separate behaviour from the child - address the action</w:t>
      </w:r>
    </w:p>
    <w:p xmlns:wp14="http://schemas.microsoft.com/office/word/2010/wordml" w:rsidP="25633234" wp14:paraId="16569DDC" wp14:textId="0F6CFB7F">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 </w:t>
      </w:r>
    </w:p>
    <w:p xmlns:wp14="http://schemas.microsoft.com/office/word/2010/wordml" w:rsidP="25633234" wp14:paraId="05CAF8EE" wp14:textId="78FCB942">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1"/>
          <w:bCs w:val="1"/>
          <w:i w:val="0"/>
          <w:iCs w:val="0"/>
          <w:caps w:val="0"/>
          <w:smallCaps w:val="0"/>
          <w:noProof w:val="0"/>
          <w:color w:val="0E101A"/>
          <w:sz w:val="28"/>
          <w:szCs w:val="28"/>
          <w:lang w:val="en-GB"/>
        </w:rPr>
        <w:t>During</w:t>
      </w: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 the conversation with the child/children</w:t>
      </w:r>
    </w:p>
    <w:p xmlns:wp14="http://schemas.microsoft.com/office/word/2010/wordml" w:rsidP="25633234" wp14:paraId="6C2BE867" wp14:textId="20B3FAA3">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p>
    <w:p xmlns:wp14="http://schemas.microsoft.com/office/word/2010/wordml" w:rsidP="25633234" wp14:paraId="53D06DC2" wp14:textId="743A0A76">
      <w:pPr>
        <w:pStyle w:val="ListParagraph"/>
        <w:numPr>
          <w:ilvl w:val="0"/>
          <w:numId w:val="2"/>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highlight w:val="yellow"/>
          <w:lang w:val="en-GB"/>
        </w:rPr>
        <w:t>Invite the child/children involved to share what has happened</w:t>
      </w:r>
    </w:p>
    <w:p xmlns:wp14="http://schemas.microsoft.com/office/word/2010/wordml" w:rsidP="25633234" wp14:paraId="4B372DBF" wp14:textId="69AD3AF9">
      <w:pPr>
        <w:pStyle w:val="ListParagraph"/>
        <w:numPr>
          <w:ilvl w:val="0"/>
          <w:numId w:val="2"/>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highlight w:val="yellow"/>
          <w:lang w:val="en-GB"/>
        </w:rPr>
        <w:t>Address the harm caused, the needs of those affected, and the root cause of the conflict</w:t>
      </w: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 </w:t>
      </w:r>
    </w:p>
    <w:p xmlns:wp14="http://schemas.microsoft.com/office/word/2010/wordml" w:rsidP="25633234" wp14:paraId="21E6D38B" wp14:textId="795FDFE1">
      <w:pPr>
        <w:pStyle w:val="ListParagraph"/>
        <w:numPr>
          <w:ilvl w:val="0"/>
          <w:numId w:val="2"/>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highlight w:val="yellow"/>
          <w:lang w:val="en-GB"/>
        </w:rPr>
        <w:t>Ask what they were thinking then/now</w:t>
      </w: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 </w:t>
      </w:r>
    </w:p>
    <w:p xmlns:wp14="http://schemas.microsoft.com/office/word/2010/wordml" w:rsidP="25633234" wp14:paraId="468FCB20" wp14:textId="51F3C3B5">
      <w:pPr>
        <w:pStyle w:val="ListParagraph"/>
        <w:numPr>
          <w:ilvl w:val="0"/>
          <w:numId w:val="2"/>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highlight w:val="yellow"/>
          <w:lang w:val="en-GB"/>
        </w:rPr>
        <w:t>Discuss the impact – who has been affected?</w:t>
      </w: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 </w:t>
      </w:r>
    </w:p>
    <w:p xmlns:wp14="http://schemas.microsoft.com/office/word/2010/wordml" w:rsidP="25633234" wp14:paraId="50EEFD1E" wp14:textId="017F0385">
      <w:pPr>
        <w:pStyle w:val="ListParagraph"/>
        <w:numPr>
          <w:ilvl w:val="0"/>
          <w:numId w:val="2"/>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highlight w:val="yellow"/>
          <w:lang w:val="en-GB"/>
        </w:rPr>
        <w:t>Facilitate reflection – ready to move forward</w:t>
      </w: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 </w:t>
      </w:r>
    </w:p>
    <w:p xmlns:wp14="http://schemas.microsoft.com/office/word/2010/wordml" w:rsidP="25633234" wp14:paraId="5E24529D" wp14:textId="29AA10EC">
      <w:pPr>
        <w:spacing w:before="0" w:beforeAutospacing="off" w:after="0" w:afterAutospacing="off" w:line="360" w:lineRule="auto"/>
        <w:ind w:left="720"/>
        <w:jc w:val="left"/>
        <w:rPr>
          <w:rFonts w:ascii="Times New Roman" w:hAnsi="Times New Roman" w:eastAsia="Times New Roman" w:cs="Times New Roman"/>
          <w:b w:val="0"/>
          <w:bCs w:val="0"/>
          <w:i w:val="0"/>
          <w:iCs w:val="0"/>
          <w:caps w:val="0"/>
          <w:smallCaps w:val="0"/>
          <w:noProof w:val="0"/>
          <w:color w:val="0E101A"/>
          <w:sz w:val="24"/>
          <w:szCs w:val="24"/>
          <w:lang w:val="en-GB"/>
        </w:rPr>
      </w:pPr>
    </w:p>
    <w:p xmlns:wp14="http://schemas.microsoft.com/office/word/2010/wordml" w:rsidP="25633234" wp14:paraId="6BCF2A3D" wp14:textId="3ED68095">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1"/>
          <w:bCs w:val="1"/>
          <w:i w:val="0"/>
          <w:iCs w:val="0"/>
          <w:caps w:val="0"/>
          <w:smallCaps w:val="0"/>
          <w:noProof w:val="0"/>
          <w:color w:val="0E101A"/>
          <w:sz w:val="28"/>
          <w:szCs w:val="28"/>
          <w:lang w:val="en-GB"/>
        </w:rPr>
        <w:t>After</w:t>
      </w:r>
      <w:r w:rsidRPr="25633234" w:rsidR="442D91BD">
        <w:rPr>
          <w:rFonts w:ascii="Times New Roman" w:hAnsi="Times New Roman" w:eastAsia="Times New Roman" w:cs="Times New Roman"/>
          <w:b w:val="1"/>
          <w:bCs w:val="1"/>
          <w:i w:val="0"/>
          <w:iCs w:val="0"/>
          <w:caps w:val="0"/>
          <w:smallCaps w:val="0"/>
          <w:noProof w:val="0"/>
          <w:color w:val="0E101A"/>
          <w:sz w:val="24"/>
          <w:szCs w:val="24"/>
          <w:lang w:val="en-GB"/>
        </w:rPr>
        <w:t xml:space="preserve"> </w:t>
      </w: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the</w:t>
      </w:r>
      <w:r w:rsidRPr="25633234" w:rsidR="442D91BD">
        <w:rPr>
          <w:rFonts w:ascii="Times New Roman" w:hAnsi="Times New Roman" w:eastAsia="Times New Roman" w:cs="Times New Roman"/>
          <w:b w:val="1"/>
          <w:bCs w:val="1"/>
          <w:i w:val="0"/>
          <w:iCs w:val="0"/>
          <w:caps w:val="0"/>
          <w:smallCaps w:val="0"/>
          <w:noProof w:val="0"/>
          <w:color w:val="0E101A"/>
          <w:sz w:val="24"/>
          <w:szCs w:val="24"/>
          <w:lang w:val="en-GB"/>
        </w:rPr>
        <w:t xml:space="preserve"> </w:t>
      </w: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conversation with the child/children</w:t>
      </w:r>
    </w:p>
    <w:p xmlns:wp14="http://schemas.microsoft.com/office/word/2010/wordml" w:rsidP="25633234" wp14:paraId="639B0F5A" wp14:textId="1D213256">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p>
    <w:p xmlns:wp14="http://schemas.microsoft.com/office/word/2010/wordml" w:rsidP="25633234" wp14:paraId="6083449D" wp14:textId="77CBE2EF">
      <w:pPr>
        <w:pStyle w:val="ListParagraph"/>
        <w:numPr>
          <w:ilvl w:val="0"/>
          <w:numId w:val="3"/>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highlight w:val="yellow"/>
          <w:lang w:val="en-GB"/>
        </w:rPr>
        <w:t>Identify acceptable outcomes</w:t>
      </w: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 </w:t>
      </w:r>
    </w:p>
    <w:p xmlns:wp14="http://schemas.microsoft.com/office/word/2010/wordml" w:rsidP="25633234" wp14:paraId="7091CACD" wp14:textId="130E62F0">
      <w:pPr>
        <w:spacing w:before="0" w:beforeAutospacing="off" w:after="0" w:afterAutospacing="off" w:line="360" w:lineRule="auto"/>
        <w:ind w:left="720"/>
        <w:jc w:val="left"/>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highlight w:val="yellow"/>
          <w:lang w:val="en-GB"/>
        </w:rPr>
        <w:t xml:space="preserve">Take action based on the plans established  </w:t>
      </w: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                    </w:t>
      </w:r>
    </w:p>
    <w:p xmlns:wp14="http://schemas.microsoft.com/office/word/2010/wordml" w:rsidP="25633234" wp14:paraId="1BE258F3" wp14:textId="638549BC">
      <w:pPr>
        <w:spacing w:before="0" w:beforeAutospacing="off" w:after="0" w:afterAutospacing="off" w:line="360" w:lineRule="auto"/>
        <w:ind w:left="720"/>
        <w:jc w:val="left"/>
        <w:rPr>
          <w:rFonts w:ascii="Times New Roman" w:hAnsi="Times New Roman" w:eastAsia="Times New Roman" w:cs="Times New Roman"/>
          <w:b w:val="0"/>
          <w:bCs w:val="0"/>
          <w:i w:val="0"/>
          <w:iCs w:val="0"/>
          <w:caps w:val="0"/>
          <w:smallCaps w:val="0"/>
          <w:noProof w:val="0"/>
          <w:color w:val="0E101A"/>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                                                                                                   </w:t>
      </w:r>
    </w:p>
    <w:p xmlns:wp14="http://schemas.microsoft.com/office/word/2010/wordml" w:rsidP="25633234" wp14:paraId="15BBDF79" wp14:textId="7E0EC06F">
      <w:pPr>
        <w:spacing w:before="0" w:beforeAutospacing="off" w:after="0" w:afterAutospacing="off" w:line="360" w:lineRule="auto"/>
        <w:ind w:left="720"/>
        <w:jc w:val="left"/>
        <w:rPr>
          <w:rFonts w:ascii="Times New Roman" w:hAnsi="Times New Roman" w:eastAsia="Times New Roman" w:cs="Times New Roman"/>
          <w:b w:val="0"/>
          <w:bCs w:val="0"/>
          <w:i w:val="0"/>
          <w:iCs w:val="0"/>
          <w:caps w:val="0"/>
          <w:smallCaps w:val="0"/>
          <w:noProof w:val="0"/>
          <w:color w:val="0E101A"/>
          <w:sz w:val="24"/>
          <w:szCs w:val="24"/>
          <w:lang w:val="en-GB"/>
        </w:rPr>
      </w:pPr>
    </w:p>
    <w:p xmlns:wp14="http://schemas.microsoft.com/office/word/2010/wordml" w:rsidP="25633234" wp14:paraId="5FCBD712" wp14:textId="1BA923AE">
      <w:pPr>
        <w:spacing w:before="0" w:beforeAutospacing="off" w:after="0" w:afterAutospacing="off" w:line="360" w:lineRule="auto"/>
        <w:ind w:left="72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442D91BD">
        <w:drawing>
          <wp:inline xmlns:wp14="http://schemas.microsoft.com/office/word/2010/wordprocessingDrawing" wp14:editId="673FFADA" wp14:anchorId="55AA082D">
            <wp:extent cx="1800225" cy="1762125"/>
            <wp:effectExtent l="0" t="0" r="0" b="0"/>
            <wp:docPr id="3160888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6088892" name=""/>
                    <pic:cNvPicPr/>
                  </pic:nvPicPr>
                  <pic:blipFill>
                    <a:blip xmlns:r="http://schemas.openxmlformats.org/officeDocument/2006/relationships" r:embed="rId311866430">
                      <a:extLst>
                        <a:ext xmlns:a="http://schemas.openxmlformats.org/drawingml/2006/main" uri="{28A0092B-C50C-407E-A947-70E740481C1C}">
                          <a14:useLocalDpi xmlns:a14="http://schemas.microsoft.com/office/drawing/2010/main" val="0"/>
                        </a:ext>
                      </a:extLst>
                    </a:blip>
                    <a:stretch>
                      <a:fillRect/>
                    </a:stretch>
                  </pic:blipFill>
                  <pic:spPr>
                    <a:xfrm>
                      <a:off x="0" y="0"/>
                      <a:ext cx="1800225" cy="1762125"/>
                    </a:xfrm>
                    <a:prstGeom prst="rect">
                      <a:avLst/>
                    </a:prstGeom>
                  </pic:spPr>
                </pic:pic>
              </a:graphicData>
            </a:graphic>
          </wp:inline>
        </w:drawing>
      </w:r>
      <w:r w:rsidRPr="25633234" w:rsidR="442D91BD">
        <w:rPr>
          <w:rFonts w:ascii="Times New Roman" w:hAnsi="Times New Roman" w:eastAsia="Times New Roman" w:cs="Times New Roman"/>
          <w:b w:val="0"/>
          <w:bCs w:val="0"/>
          <w:i w:val="0"/>
          <w:iCs w:val="0"/>
          <w:caps w:val="0"/>
          <w:smallCaps w:val="0"/>
          <w:noProof w:val="0"/>
          <w:color w:val="0E101A"/>
          <w:sz w:val="24"/>
          <w:szCs w:val="24"/>
          <w:lang w:val="en-GB"/>
        </w:rPr>
        <w:t xml:space="preserve">                           </w:t>
      </w:r>
      <w:r w:rsidR="442D91BD">
        <w:drawing>
          <wp:inline xmlns:wp14="http://schemas.microsoft.com/office/word/2010/wordprocessingDrawing" wp14:editId="763226AB" wp14:anchorId="27B4868E">
            <wp:extent cx="1933575" cy="1733550"/>
            <wp:effectExtent l="0" t="0" r="0" b="0"/>
            <wp:docPr id="1813882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388262" name=""/>
                    <pic:cNvPicPr/>
                  </pic:nvPicPr>
                  <pic:blipFill>
                    <a:blip xmlns:r="http://schemas.openxmlformats.org/officeDocument/2006/relationships" r:embed="rId43996089">
                      <a:extLst>
                        <a:ext xmlns:a="http://schemas.openxmlformats.org/drawingml/2006/main" uri="{28A0092B-C50C-407E-A947-70E740481C1C}">
                          <a14:useLocalDpi xmlns:a14="http://schemas.microsoft.com/office/drawing/2010/main" val="0"/>
                        </a:ext>
                      </a:extLst>
                    </a:blip>
                    <a:stretch>
                      <a:fillRect/>
                    </a:stretch>
                  </pic:blipFill>
                  <pic:spPr>
                    <a:xfrm>
                      <a:off x="0" y="0"/>
                      <a:ext cx="1933575" cy="1733550"/>
                    </a:xfrm>
                    <a:prstGeom prst="rect">
                      <a:avLst/>
                    </a:prstGeom>
                  </pic:spPr>
                </pic:pic>
              </a:graphicData>
            </a:graphic>
          </wp:inline>
        </w:drawing>
      </w:r>
    </w:p>
    <w:p xmlns:wp14="http://schemas.microsoft.com/office/word/2010/wordml" w:rsidP="25633234" wp14:paraId="68ED5033" wp14:textId="299B2D9D">
      <w:pPr>
        <w:spacing w:before="0" w:beforeAutospacing="off" w:after="0" w:afterAutospacing="off" w:line="360" w:lineRule="auto"/>
        <w:ind w:left="720"/>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5633234" wp14:paraId="21245B1F" wp14:textId="57BF5225">
      <w:pPr>
        <w:spacing w:before="0" w:beforeAutospacing="off" w:after="0" w:afterAutospacing="off" w:line="360" w:lineRule="auto"/>
        <w:ind w:left="720"/>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5633234" wp14:paraId="37FA89E0" wp14:textId="3031D67B">
      <w:pPr>
        <w:spacing w:before="0" w:beforeAutospacing="off" w:after="0" w:afterAutospacing="off" w:line="360" w:lineRule="auto"/>
        <w:ind w:left="72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442D91BD">
        <w:drawing>
          <wp:inline xmlns:wp14="http://schemas.microsoft.com/office/word/2010/wordprocessingDrawing" wp14:editId="4805FD6F" wp14:anchorId="5E48984D">
            <wp:extent cx="1571625" cy="2000250"/>
            <wp:effectExtent l="0" t="0" r="0" b="0"/>
            <wp:docPr id="7172420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7242071" name=""/>
                    <pic:cNvPicPr/>
                  </pic:nvPicPr>
                  <pic:blipFill>
                    <a:blip xmlns:r="http://schemas.openxmlformats.org/officeDocument/2006/relationships" r:embed="rId1934953977">
                      <a:extLst>
                        <a:ext xmlns:a="http://schemas.openxmlformats.org/drawingml/2006/main" uri="{28A0092B-C50C-407E-A947-70E740481C1C}">
                          <a14:useLocalDpi xmlns:a14="http://schemas.microsoft.com/office/drawing/2010/main" val="0"/>
                        </a:ext>
                      </a:extLst>
                    </a:blip>
                    <a:stretch>
                      <a:fillRect/>
                    </a:stretch>
                  </pic:blipFill>
                  <pic:spPr>
                    <a:xfrm>
                      <a:off x="0" y="0"/>
                      <a:ext cx="1571625" cy="2000250"/>
                    </a:xfrm>
                    <a:prstGeom prst="rect">
                      <a:avLst/>
                    </a:prstGeom>
                  </pic:spPr>
                </pic:pic>
              </a:graphicData>
            </a:graphic>
          </wp:inline>
        </w:drawing>
      </w:r>
      <w:r w:rsidRPr="25633234" w:rsidR="442D91B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442D91BD">
        <w:drawing>
          <wp:inline xmlns:wp14="http://schemas.microsoft.com/office/word/2010/wordprocessingDrawing" wp14:editId="45F0C64E" wp14:anchorId="495AE0AC">
            <wp:extent cx="1581150" cy="2028825"/>
            <wp:effectExtent l="0" t="0" r="0" b="0"/>
            <wp:docPr id="19920797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2079754" name=""/>
                    <pic:cNvPicPr/>
                  </pic:nvPicPr>
                  <pic:blipFill>
                    <a:blip xmlns:r="http://schemas.openxmlformats.org/officeDocument/2006/relationships" r:embed="rId1274364056">
                      <a:extLst>
                        <a:ext xmlns:a="http://schemas.openxmlformats.org/drawingml/2006/main" uri="{28A0092B-C50C-407E-A947-70E740481C1C}">
                          <a14:useLocalDpi xmlns:a14="http://schemas.microsoft.com/office/drawing/2010/main" val="0"/>
                        </a:ext>
                      </a:extLst>
                    </a:blip>
                    <a:stretch>
                      <a:fillRect/>
                    </a:stretch>
                  </pic:blipFill>
                  <pic:spPr>
                    <a:xfrm>
                      <a:off x="0" y="0"/>
                      <a:ext cx="1581150" cy="2028825"/>
                    </a:xfrm>
                    <a:prstGeom prst="rect">
                      <a:avLst/>
                    </a:prstGeom>
                  </pic:spPr>
                </pic:pic>
              </a:graphicData>
            </a:graphic>
          </wp:inline>
        </w:drawing>
      </w:r>
    </w:p>
    <w:p xmlns:wp14="http://schemas.microsoft.com/office/word/2010/wordml" w:rsidP="25633234" wp14:paraId="5C2A9850" wp14:textId="03EDD1AB">
      <w:pPr>
        <w:spacing w:before="0" w:beforeAutospacing="off" w:after="0" w:afterAutospacing="off" w:line="360" w:lineRule="auto"/>
        <w:ind w:left="720"/>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5633234" wp14:paraId="30D68069" wp14:textId="0EE3B55A">
      <w:pPr>
        <w:spacing w:before="0" w:beforeAutospacing="off" w:after="0" w:afterAutospacing="off" w:line="360" w:lineRule="auto"/>
        <w:ind w:left="720"/>
        <w:jc w:val="both"/>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5633234" wp14:paraId="2BD96FDD" wp14:textId="451FB92E">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5633234" w:rsidR="442D9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These resources will equip you with the tools and knowledge needed to facilitate a restorative practice session effectively. By employing the strategies and techniques outlined in these materials, you can create a safe and supportive environment that encourages open dialogue, fosters empathy, and promotes accountability among children. Whether you are working with an individual or a group, these resources will guide you in developing the essential skills for leading restorative conversations aimed at repairing harm and strengthening relationships.</w:t>
      </w:r>
    </w:p>
    <w:p xmlns:wp14="http://schemas.microsoft.com/office/word/2010/wordml" wp14:paraId="5E5787A5" wp14:textId="29BB5687"/>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1849e6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fc745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dc97b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37375D"/>
    <w:rsid w:val="1337375D"/>
    <w:rsid w:val="25633234"/>
    <w:rsid w:val="442D9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48A15"/>
  <w15:chartTrackingRefBased/>
  <w15:docId w15:val="{6836A8AB-0203-48E6-A4CA-F8D63EF840C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563323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87409242" /><Relationship Type="http://schemas.openxmlformats.org/officeDocument/2006/relationships/image" Target="/media/image2.png" Id="rId311866430" /><Relationship Type="http://schemas.openxmlformats.org/officeDocument/2006/relationships/image" Target="/media/image3.png" Id="rId43996089" /><Relationship Type="http://schemas.openxmlformats.org/officeDocument/2006/relationships/image" Target="/media/image4.png" Id="rId1934953977" /><Relationship Type="http://schemas.openxmlformats.org/officeDocument/2006/relationships/image" Target="/media/image5.png" Id="rId1274364056" /><Relationship Type="http://schemas.openxmlformats.org/officeDocument/2006/relationships/numbering" Target="/word/numbering.xml" Id="Ra06017133a34444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Thomas (2223470)</dc:creator>
  <keywords/>
  <dc:description/>
  <lastModifiedBy>Lisa Thomas (2223470)</lastModifiedBy>
  <revision>2</revision>
  <dcterms:created xsi:type="dcterms:W3CDTF">2025-11-02T21:54:40.6234067Z</dcterms:created>
  <dcterms:modified xsi:type="dcterms:W3CDTF">2025-11-02T21:55:20.8320388Z</dcterms:modified>
</coreProperties>
</file>