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7F362" w14:textId="77777777" w:rsidR="005F6AEC" w:rsidRDefault="005F6AEC" w:rsidP="005F6AEC"/>
    <w:p w14:paraId="60B5DB95" w14:textId="77777777" w:rsidR="005F6AEC" w:rsidRDefault="005F6AEC" w:rsidP="005F6AEC">
      <w:pPr>
        <w:jc w:val="center"/>
      </w:pPr>
      <w:r>
        <w:rPr>
          <w:noProof/>
        </w:rPr>
        <w:drawing>
          <wp:inline distT="0" distB="0" distL="0" distR="0" wp14:anchorId="25C9AFF7" wp14:editId="45705BD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4B100EDD" w14:textId="77777777" w:rsidR="005F6AEC" w:rsidRDefault="005F6AEC" w:rsidP="005F6AEC">
      <w:pPr>
        <w:spacing w:line="240" w:lineRule="auto"/>
        <w:jc w:val="center"/>
      </w:pPr>
    </w:p>
    <w:p w14:paraId="4217037C" w14:textId="77777777" w:rsidR="005F6AEC" w:rsidRDefault="005F6AEC" w:rsidP="005F6AEC">
      <w:pPr>
        <w:spacing w:line="240" w:lineRule="auto"/>
        <w:jc w:val="center"/>
        <w:rPr>
          <w:rFonts w:eastAsia="Aptos"/>
          <w:b/>
          <w:bCs/>
          <w:sz w:val="28"/>
          <w:szCs w:val="28"/>
        </w:rPr>
      </w:pPr>
      <w:r>
        <w:rPr>
          <w:rFonts w:eastAsia="Aptos"/>
          <w:b/>
          <w:bCs/>
          <w:sz w:val="28"/>
          <w:szCs w:val="28"/>
        </w:rPr>
        <w:t>Student Name:</w:t>
      </w:r>
    </w:p>
    <w:p w14:paraId="73B5056E" w14:textId="258C1958" w:rsidR="005F6AEC" w:rsidRDefault="005F6AEC" w:rsidP="005F6AEC">
      <w:pPr>
        <w:spacing w:line="240" w:lineRule="auto"/>
        <w:jc w:val="center"/>
        <w:rPr>
          <w:rFonts w:eastAsia="Aptos"/>
          <w:b/>
          <w:bCs/>
          <w:sz w:val="28"/>
          <w:szCs w:val="28"/>
        </w:rPr>
      </w:pPr>
      <w:r>
        <w:rPr>
          <w:rFonts w:eastAsia="Aptos"/>
          <w:b/>
          <w:bCs/>
          <w:sz w:val="28"/>
          <w:szCs w:val="28"/>
        </w:rPr>
        <w:t xml:space="preserve">Arya </w:t>
      </w:r>
      <w:proofErr w:type="spellStart"/>
      <w:r>
        <w:rPr>
          <w:rFonts w:eastAsia="Aptos"/>
          <w:b/>
          <w:bCs/>
          <w:sz w:val="28"/>
          <w:szCs w:val="28"/>
        </w:rPr>
        <w:t>Bharatbhai</w:t>
      </w:r>
      <w:proofErr w:type="spellEnd"/>
      <w:r>
        <w:rPr>
          <w:rFonts w:eastAsia="Aptos"/>
          <w:b/>
          <w:bCs/>
          <w:sz w:val="28"/>
          <w:szCs w:val="28"/>
        </w:rPr>
        <w:t xml:space="preserve"> Ravaliya</w:t>
      </w:r>
    </w:p>
    <w:p w14:paraId="30DC0AC8" w14:textId="77777777" w:rsidR="005F6AEC" w:rsidRDefault="005F6AEC" w:rsidP="005F6AEC">
      <w:pPr>
        <w:spacing w:line="240" w:lineRule="auto"/>
        <w:jc w:val="center"/>
        <w:rPr>
          <w:rFonts w:eastAsia="Aptos"/>
          <w:b/>
          <w:bCs/>
          <w:sz w:val="28"/>
          <w:szCs w:val="28"/>
        </w:rPr>
      </w:pPr>
    </w:p>
    <w:p w14:paraId="141086A5" w14:textId="41992AEC" w:rsidR="005F6AEC" w:rsidRDefault="005F6AEC" w:rsidP="005F6AEC">
      <w:pPr>
        <w:tabs>
          <w:tab w:val="left" w:pos="3108"/>
          <w:tab w:val="center" w:pos="4333"/>
        </w:tabs>
        <w:spacing w:line="240" w:lineRule="auto"/>
        <w:jc w:val="center"/>
        <w:rPr>
          <w:rFonts w:eastAsia="Aptos"/>
          <w:b/>
          <w:bCs/>
          <w:sz w:val="28"/>
          <w:szCs w:val="28"/>
        </w:rPr>
      </w:pPr>
      <w:r>
        <w:rPr>
          <w:rFonts w:eastAsia="Aptos"/>
          <w:b/>
          <w:bCs/>
          <w:sz w:val="28"/>
          <w:szCs w:val="28"/>
        </w:rPr>
        <w:t>Student ID</w:t>
      </w:r>
      <w:proofErr w:type="gramStart"/>
      <w:r>
        <w:rPr>
          <w:rFonts w:eastAsia="Aptos"/>
          <w:b/>
          <w:bCs/>
          <w:sz w:val="28"/>
          <w:szCs w:val="28"/>
        </w:rPr>
        <w:t>:</w:t>
      </w:r>
      <w:r>
        <w:rPr>
          <w:rFonts w:eastAsia="Aptos"/>
          <w:b/>
          <w:bCs/>
          <w:sz w:val="28"/>
          <w:szCs w:val="28"/>
        </w:rPr>
        <w:t xml:space="preserve">  </w:t>
      </w:r>
      <w:r>
        <w:rPr>
          <w:rFonts w:eastAsia="Aptos"/>
          <w:b/>
          <w:bCs/>
          <w:sz w:val="28"/>
          <w:szCs w:val="28"/>
        </w:rPr>
        <w:t>254</w:t>
      </w:r>
      <w:r>
        <w:rPr>
          <w:rFonts w:eastAsia="Aptos"/>
          <w:b/>
          <w:bCs/>
          <w:sz w:val="28"/>
          <w:szCs w:val="28"/>
        </w:rPr>
        <w:t>5070</w:t>
      </w:r>
      <w:proofErr w:type="gramEnd"/>
    </w:p>
    <w:p w14:paraId="5EC4CBD5" w14:textId="115EFCC1" w:rsidR="005F6AEC" w:rsidRPr="005F6AEC" w:rsidRDefault="005F6AEC" w:rsidP="005F6AEC">
      <w:pPr>
        <w:spacing w:line="240" w:lineRule="auto"/>
        <w:jc w:val="center"/>
        <w:rPr>
          <w:rFonts w:eastAsia="Aptos"/>
          <w:b/>
          <w:bCs/>
          <w:sz w:val="28"/>
          <w:szCs w:val="28"/>
        </w:rPr>
      </w:pPr>
    </w:p>
    <w:p w14:paraId="1D0D9DA0" w14:textId="77777777" w:rsidR="005F6AEC" w:rsidRDefault="005F6AEC" w:rsidP="005F6AEC">
      <w:pPr>
        <w:spacing w:line="240" w:lineRule="auto"/>
        <w:jc w:val="center"/>
        <w:rPr>
          <w:rFonts w:eastAsia="Aptos"/>
          <w:b/>
          <w:bCs/>
          <w:sz w:val="28"/>
          <w:szCs w:val="28"/>
        </w:rPr>
      </w:pPr>
      <w:r>
        <w:rPr>
          <w:rFonts w:eastAsia="Aptos"/>
          <w:b/>
          <w:bCs/>
          <w:sz w:val="28"/>
          <w:szCs w:val="28"/>
        </w:rPr>
        <w:t>Module Name:</w:t>
      </w:r>
      <w:r>
        <w:rPr>
          <w:rFonts w:eastAsia="Aptos"/>
          <w:b/>
          <w:bCs/>
          <w:sz w:val="28"/>
          <w:szCs w:val="28"/>
        </w:rPr>
        <w:t xml:space="preserve"> </w:t>
      </w:r>
    </w:p>
    <w:p w14:paraId="4A858126" w14:textId="700F7BCF" w:rsidR="005F6AEC" w:rsidRDefault="005F6AEC" w:rsidP="005F6AEC">
      <w:pPr>
        <w:spacing w:line="240" w:lineRule="auto"/>
        <w:jc w:val="center"/>
        <w:rPr>
          <w:rFonts w:eastAsia="Aptos"/>
          <w:b/>
          <w:bCs/>
          <w:sz w:val="28"/>
          <w:szCs w:val="28"/>
        </w:rPr>
      </w:pPr>
      <w:r>
        <w:rPr>
          <w:rFonts w:eastAsia="Aptos"/>
          <w:b/>
          <w:bCs/>
          <w:sz w:val="28"/>
          <w:szCs w:val="28"/>
        </w:rPr>
        <w:t>Marketing Management</w:t>
      </w:r>
    </w:p>
    <w:p w14:paraId="03D290C6" w14:textId="6D3A2002" w:rsidR="005F6AEC" w:rsidRDefault="005F6AEC" w:rsidP="005F6AEC">
      <w:pPr>
        <w:spacing w:line="240" w:lineRule="auto"/>
        <w:rPr>
          <w:rFonts w:eastAsia="Aptos"/>
          <w:b/>
          <w:bCs/>
          <w:sz w:val="28"/>
          <w:szCs w:val="28"/>
        </w:rPr>
      </w:pPr>
    </w:p>
    <w:p w14:paraId="4FB9BAD0" w14:textId="6C055DDA" w:rsidR="005F6AEC" w:rsidRDefault="005F6AEC" w:rsidP="005F6AEC">
      <w:pPr>
        <w:spacing w:line="240" w:lineRule="auto"/>
        <w:jc w:val="center"/>
        <w:rPr>
          <w:rFonts w:eastAsia="Aptos"/>
          <w:b/>
          <w:bCs/>
          <w:sz w:val="28"/>
          <w:szCs w:val="28"/>
        </w:rPr>
      </w:pPr>
      <w:r>
        <w:rPr>
          <w:rFonts w:eastAsia="Aptos"/>
          <w:b/>
          <w:bCs/>
          <w:sz w:val="28"/>
          <w:szCs w:val="28"/>
        </w:rPr>
        <w:t>Module Code:</w:t>
      </w:r>
      <w:r>
        <w:rPr>
          <w:rFonts w:eastAsia="Aptos"/>
          <w:b/>
          <w:bCs/>
          <w:sz w:val="28"/>
          <w:szCs w:val="28"/>
        </w:rPr>
        <w:t xml:space="preserve"> </w:t>
      </w:r>
      <w:r>
        <w:rPr>
          <w:rFonts w:eastAsia="Aptos"/>
          <w:b/>
          <w:bCs/>
          <w:sz w:val="28"/>
          <w:szCs w:val="28"/>
        </w:rPr>
        <w:t>LCMB7024</w:t>
      </w:r>
    </w:p>
    <w:p w14:paraId="58DDC1B3" w14:textId="74ACF6E9" w:rsidR="005F6AEC" w:rsidRDefault="005F6AEC" w:rsidP="005F6AEC">
      <w:pPr>
        <w:spacing w:line="240" w:lineRule="auto"/>
        <w:jc w:val="center"/>
        <w:rPr>
          <w:rFonts w:eastAsia="Aptos"/>
          <w:b/>
          <w:bCs/>
          <w:sz w:val="28"/>
          <w:szCs w:val="28"/>
        </w:rPr>
      </w:pPr>
    </w:p>
    <w:p w14:paraId="4E5CD3C2" w14:textId="77777777" w:rsidR="005F6AEC" w:rsidRDefault="005F6AEC" w:rsidP="005F6AEC">
      <w:pPr>
        <w:spacing w:line="240" w:lineRule="auto"/>
        <w:jc w:val="center"/>
        <w:rPr>
          <w:rFonts w:eastAsia="Aptos"/>
          <w:b/>
          <w:bCs/>
          <w:sz w:val="28"/>
          <w:szCs w:val="28"/>
        </w:rPr>
      </w:pPr>
      <w:r>
        <w:rPr>
          <w:rFonts w:eastAsia="Aptos"/>
          <w:b/>
          <w:bCs/>
          <w:sz w:val="28"/>
          <w:szCs w:val="28"/>
        </w:rPr>
        <w:t>Lecturer’s Name:</w:t>
      </w:r>
    </w:p>
    <w:p w14:paraId="54FC7BA5" w14:textId="2A894C85" w:rsidR="005F6AEC" w:rsidRDefault="005F6AEC" w:rsidP="005F6AEC">
      <w:pPr>
        <w:spacing w:line="240" w:lineRule="auto"/>
        <w:jc w:val="center"/>
        <w:rPr>
          <w:rFonts w:eastAsia="Aptos"/>
          <w:b/>
          <w:bCs/>
          <w:sz w:val="28"/>
          <w:szCs w:val="28"/>
        </w:rPr>
      </w:pPr>
      <w:r w:rsidRPr="00FF719B">
        <w:rPr>
          <w:rFonts w:eastAsia="Aptos"/>
          <w:b/>
          <w:bCs/>
          <w:sz w:val="28"/>
          <w:szCs w:val="28"/>
        </w:rPr>
        <w:t>Sinan He</w:t>
      </w:r>
    </w:p>
    <w:p w14:paraId="23548017" w14:textId="77777777" w:rsidR="005F6AEC" w:rsidRDefault="005F6AEC" w:rsidP="005F6AEC">
      <w:pPr>
        <w:spacing w:line="240" w:lineRule="auto"/>
        <w:jc w:val="center"/>
        <w:rPr>
          <w:rFonts w:eastAsia="Aptos"/>
          <w:b/>
          <w:bCs/>
          <w:sz w:val="28"/>
          <w:szCs w:val="28"/>
        </w:rPr>
      </w:pPr>
    </w:p>
    <w:p w14:paraId="3EED2E9E" w14:textId="017411B9" w:rsidR="005F6AEC" w:rsidRPr="005F6AEC" w:rsidRDefault="005F6AEC" w:rsidP="005F6AEC">
      <w:pPr>
        <w:pStyle w:val="Title"/>
        <w:rPr>
          <w:rFonts w:cs="Arial"/>
          <w:b/>
          <w:bCs/>
          <w:i w:val="0"/>
          <w:iCs/>
          <w:sz w:val="28"/>
          <w:szCs w:val="28"/>
        </w:rPr>
      </w:pPr>
      <w:proofErr w:type="gramStart"/>
      <w:r w:rsidRPr="005F6AEC">
        <w:rPr>
          <w:rFonts w:eastAsia="Aptos"/>
          <w:b/>
          <w:bCs/>
          <w:i w:val="0"/>
          <w:iCs/>
          <w:sz w:val="28"/>
          <w:szCs w:val="28"/>
        </w:rPr>
        <w:t>Topic</w:t>
      </w:r>
      <w:r w:rsidRPr="005F6AEC">
        <w:rPr>
          <w:rFonts w:eastAsia="Aptos"/>
          <w:b/>
          <w:bCs/>
          <w:sz w:val="28"/>
          <w:szCs w:val="28"/>
        </w:rPr>
        <w:t xml:space="preserve"> :</w:t>
      </w:r>
      <w:proofErr w:type="gramEnd"/>
      <w:r w:rsidRPr="005F6AEC">
        <w:rPr>
          <w:rFonts w:cs="Arial"/>
          <w:b/>
          <w:bCs/>
          <w:iCs/>
          <w:sz w:val="28"/>
          <w:szCs w:val="28"/>
        </w:rPr>
        <w:t xml:space="preserve"> </w:t>
      </w:r>
      <w:r w:rsidRPr="005F6AEC">
        <w:rPr>
          <w:rFonts w:cs="Arial"/>
          <w:b/>
          <w:bCs/>
          <w:i w:val="0"/>
          <w:iCs/>
          <w:sz w:val="28"/>
          <w:szCs w:val="28"/>
        </w:rPr>
        <w:t>BHP’s Transition to Lower-Carbon Products: Marketing Environment Analysis, Product Development and Competitive Positioning</w:t>
      </w:r>
    </w:p>
    <w:p w14:paraId="11A3E632" w14:textId="2C2235D2" w:rsidR="005F6AEC" w:rsidRDefault="005F6AEC" w:rsidP="005F6AEC">
      <w:pPr>
        <w:spacing w:line="240" w:lineRule="auto"/>
        <w:jc w:val="center"/>
        <w:rPr>
          <w:rFonts w:eastAsia="Aptos"/>
          <w:b/>
          <w:bCs/>
          <w:sz w:val="28"/>
          <w:szCs w:val="28"/>
        </w:rPr>
      </w:pPr>
    </w:p>
    <w:p w14:paraId="69060E90" w14:textId="04FF7A98" w:rsidR="005F6AEC" w:rsidRDefault="005F6AEC" w:rsidP="005F6AEC">
      <w:pPr>
        <w:spacing w:line="240" w:lineRule="auto"/>
        <w:jc w:val="center"/>
        <w:rPr>
          <w:rFonts w:eastAsia="Aptos"/>
          <w:b/>
          <w:bCs/>
          <w:sz w:val="28"/>
          <w:szCs w:val="28"/>
        </w:rPr>
      </w:pPr>
      <w:r>
        <w:rPr>
          <w:rFonts w:eastAsia="Aptos"/>
          <w:b/>
          <w:bCs/>
          <w:sz w:val="28"/>
          <w:szCs w:val="28"/>
        </w:rPr>
        <w:t xml:space="preserve">Word </w:t>
      </w:r>
      <w:proofErr w:type="gramStart"/>
      <w:r>
        <w:rPr>
          <w:rFonts w:eastAsia="Aptos"/>
          <w:b/>
          <w:bCs/>
          <w:sz w:val="28"/>
          <w:szCs w:val="28"/>
        </w:rPr>
        <w:t>Count</w:t>
      </w:r>
      <w:r>
        <w:rPr>
          <w:rFonts w:eastAsia="Aptos"/>
          <w:b/>
          <w:bCs/>
          <w:sz w:val="28"/>
          <w:szCs w:val="28"/>
        </w:rPr>
        <w:t xml:space="preserve">  </w:t>
      </w:r>
      <w:r>
        <w:rPr>
          <w:rFonts w:eastAsia="Aptos"/>
          <w:b/>
          <w:bCs/>
          <w:sz w:val="28"/>
          <w:szCs w:val="28"/>
        </w:rPr>
        <w:t>:</w:t>
      </w:r>
      <w:proofErr w:type="gramEnd"/>
      <w:r>
        <w:rPr>
          <w:rFonts w:eastAsia="Aptos"/>
          <w:b/>
          <w:bCs/>
          <w:sz w:val="28"/>
          <w:szCs w:val="28"/>
        </w:rPr>
        <w:t xml:space="preserve">  </w:t>
      </w:r>
      <w:r>
        <w:rPr>
          <w:rFonts w:eastAsia="Aptos"/>
          <w:b/>
          <w:bCs/>
          <w:sz w:val="28"/>
          <w:szCs w:val="28"/>
        </w:rPr>
        <w:t>2500</w:t>
      </w:r>
    </w:p>
    <w:p w14:paraId="75F16E96" w14:textId="48C838E5" w:rsidR="005F6AEC" w:rsidRDefault="005F6AEC" w:rsidP="005F6AEC">
      <w:pPr>
        <w:spacing w:line="240" w:lineRule="auto"/>
        <w:jc w:val="center"/>
        <w:rPr>
          <w:rFonts w:eastAsia="Aptos"/>
          <w:b/>
          <w:bCs/>
          <w:sz w:val="28"/>
          <w:szCs w:val="28"/>
        </w:rPr>
      </w:pPr>
    </w:p>
    <w:p w14:paraId="3609365B" w14:textId="5B4D471B" w:rsidR="00BA5614" w:rsidRPr="005F6AEC" w:rsidRDefault="005F6AEC" w:rsidP="005F6AEC">
      <w:pPr>
        <w:spacing w:line="240" w:lineRule="auto"/>
        <w:jc w:val="center"/>
        <w:rPr>
          <w:rFonts w:eastAsia="Aptos"/>
          <w:b/>
          <w:bCs/>
          <w:sz w:val="28"/>
          <w:szCs w:val="28"/>
        </w:rPr>
      </w:pPr>
      <w:r>
        <w:rPr>
          <w:rFonts w:eastAsia="Aptos"/>
          <w:b/>
          <w:bCs/>
          <w:sz w:val="28"/>
          <w:szCs w:val="28"/>
        </w:rPr>
        <w:t>Term 1</w:t>
      </w:r>
    </w:p>
    <w:sdt>
      <w:sdtPr>
        <w:rPr>
          <w:rFonts w:ascii="Arial" w:eastAsiaTheme="minorHAnsi" w:hAnsi="Arial" w:cs="Arial"/>
          <w:b w:val="0"/>
          <w:color w:val="000000" w:themeColor="text1"/>
          <w:kern w:val="2"/>
          <w:sz w:val="24"/>
          <w:szCs w:val="24"/>
          <w14:ligatures w14:val="standardContextual"/>
        </w:rPr>
        <w:id w:val="1766269224"/>
        <w:docPartObj>
          <w:docPartGallery w:val="Table of Contents"/>
          <w:docPartUnique/>
        </w:docPartObj>
      </w:sdtPr>
      <w:sdtEndPr>
        <w:rPr>
          <w:bCs/>
          <w:noProof/>
        </w:rPr>
      </w:sdtEndPr>
      <w:sdtContent>
        <w:p w14:paraId="659FA11E" w14:textId="217FFB4D" w:rsidR="00BA5614" w:rsidRPr="001B5614" w:rsidRDefault="00BA5614" w:rsidP="001B5614">
          <w:pPr>
            <w:pStyle w:val="TOCHeading"/>
            <w:spacing w:line="360" w:lineRule="auto"/>
            <w:rPr>
              <w:rFonts w:ascii="Arial" w:hAnsi="Arial" w:cs="Arial"/>
            </w:rPr>
          </w:pPr>
          <w:r w:rsidRPr="001B5614">
            <w:rPr>
              <w:rFonts w:ascii="Arial" w:hAnsi="Arial" w:cs="Arial"/>
            </w:rPr>
            <w:t>Table of Contents</w:t>
          </w:r>
        </w:p>
        <w:p w14:paraId="1389C595" w14:textId="371B9FA6" w:rsidR="001B5614" w:rsidRDefault="00BA5614">
          <w:pPr>
            <w:pStyle w:val="TOC1"/>
            <w:tabs>
              <w:tab w:val="right" w:leader="dot" w:pos="9350"/>
            </w:tabs>
            <w:rPr>
              <w:rFonts w:asciiTheme="minorHAnsi" w:eastAsiaTheme="minorEastAsia" w:hAnsiTheme="minorHAnsi"/>
              <w:noProof/>
              <w:color w:val="auto"/>
            </w:rPr>
          </w:pPr>
          <w:r w:rsidRPr="001B5614">
            <w:rPr>
              <w:rFonts w:cs="Arial"/>
            </w:rPr>
            <w:fldChar w:fldCharType="begin"/>
          </w:r>
          <w:r w:rsidRPr="001B5614">
            <w:rPr>
              <w:rFonts w:cs="Arial"/>
            </w:rPr>
            <w:instrText xml:space="preserve"> TOC \o "1-3" \h \z \u </w:instrText>
          </w:r>
          <w:r w:rsidRPr="001B5614">
            <w:rPr>
              <w:rFonts w:cs="Arial"/>
            </w:rPr>
            <w:fldChar w:fldCharType="separate"/>
          </w:r>
          <w:hyperlink w:anchor="_Toc235717394" w:history="1">
            <w:r w:rsidR="001B5614" w:rsidRPr="009A4CE7">
              <w:rPr>
                <w:rStyle w:val="Hyperlink"/>
                <w:rFonts w:cs="Arial"/>
                <w:noProof/>
              </w:rPr>
              <w:t>Task 1: Marketing Environment Analysis</w:t>
            </w:r>
            <w:r w:rsidR="001B5614">
              <w:rPr>
                <w:noProof/>
                <w:webHidden/>
              </w:rPr>
              <w:tab/>
            </w:r>
            <w:r w:rsidR="001B5614">
              <w:rPr>
                <w:noProof/>
                <w:webHidden/>
              </w:rPr>
              <w:fldChar w:fldCharType="begin"/>
            </w:r>
            <w:r w:rsidR="001B5614">
              <w:rPr>
                <w:noProof/>
                <w:webHidden/>
              </w:rPr>
              <w:instrText xml:space="preserve"> PAGEREF _Toc235717394 \h </w:instrText>
            </w:r>
            <w:r w:rsidR="001B5614">
              <w:rPr>
                <w:noProof/>
                <w:webHidden/>
              </w:rPr>
            </w:r>
            <w:r w:rsidR="001B5614">
              <w:rPr>
                <w:noProof/>
                <w:webHidden/>
              </w:rPr>
              <w:fldChar w:fldCharType="separate"/>
            </w:r>
            <w:r w:rsidR="001B5614">
              <w:rPr>
                <w:noProof/>
                <w:webHidden/>
              </w:rPr>
              <w:t>1</w:t>
            </w:r>
            <w:r w:rsidR="001B5614">
              <w:rPr>
                <w:noProof/>
                <w:webHidden/>
              </w:rPr>
              <w:fldChar w:fldCharType="end"/>
            </w:r>
          </w:hyperlink>
        </w:p>
        <w:p w14:paraId="276D9E00" w14:textId="57B2D170" w:rsidR="001B5614" w:rsidRDefault="001B5614">
          <w:pPr>
            <w:pStyle w:val="TOC2"/>
            <w:tabs>
              <w:tab w:val="right" w:leader="dot" w:pos="9350"/>
            </w:tabs>
            <w:rPr>
              <w:rFonts w:asciiTheme="minorHAnsi" w:eastAsiaTheme="minorEastAsia" w:hAnsiTheme="minorHAnsi"/>
              <w:noProof/>
              <w:color w:val="auto"/>
            </w:rPr>
          </w:pPr>
          <w:hyperlink w:anchor="_Toc235717395" w:history="1">
            <w:r w:rsidRPr="009A4CE7">
              <w:rPr>
                <w:rStyle w:val="Hyperlink"/>
                <w:rFonts w:cs="Arial"/>
                <w:noProof/>
              </w:rPr>
              <w:t>1.1 BHP and the Analytical Focus</w:t>
            </w:r>
            <w:r>
              <w:rPr>
                <w:noProof/>
                <w:webHidden/>
              </w:rPr>
              <w:tab/>
            </w:r>
            <w:r>
              <w:rPr>
                <w:noProof/>
                <w:webHidden/>
              </w:rPr>
              <w:fldChar w:fldCharType="begin"/>
            </w:r>
            <w:r>
              <w:rPr>
                <w:noProof/>
                <w:webHidden/>
              </w:rPr>
              <w:instrText xml:space="preserve"> PAGEREF _Toc235717395 \h </w:instrText>
            </w:r>
            <w:r>
              <w:rPr>
                <w:noProof/>
                <w:webHidden/>
              </w:rPr>
            </w:r>
            <w:r>
              <w:rPr>
                <w:noProof/>
                <w:webHidden/>
              </w:rPr>
              <w:fldChar w:fldCharType="separate"/>
            </w:r>
            <w:r>
              <w:rPr>
                <w:noProof/>
                <w:webHidden/>
              </w:rPr>
              <w:t>1</w:t>
            </w:r>
            <w:r>
              <w:rPr>
                <w:noProof/>
                <w:webHidden/>
              </w:rPr>
              <w:fldChar w:fldCharType="end"/>
            </w:r>
          </w:hyperlink>
        </w:p>
        <w:p w14:paraId="33533AAC" w14:textId="297EA166" w:rsidR="001B5614" w:rsidRDefault="001B5614">
          <w:pPr>
            <w:pStyle w:val="TOC2"/>
            <w:tabs>
              <w:tab w:val="right" w:leader="dot" w:pos="9350"/>
            </w:tabs>
            <w:rPr>
              <w:rFonts w:asciiTheme="minorHAnsi" w:eastAsiaTheme="minorEastAsia" w:hAnsiTheme="minorHAnsi"/>
              <w:noProof/>
              <w:color w:val="auto"/>
            </w:rPr>
          </w:pPr>
          <w:hyperlink w:anchor="_Toc235717396" w:history="1">
            <w:r w:rsidRPr="009A4CE7">
              <w:rPr>
                <w:rStyle w:val="Hyperlink"/>
                <w:rFonts w:cs="Arial"/>
                <w:noProof/>
              </w:rPr>
              <w:t>1.2 Natural Environment Actor</w:t>
            </w:r>
            <w:r>
              <w:rPr>
                <w:noProof/>
                <w:webHidden/>
              </w:rPr>
              <w:tab/>
            </w:r>
            <w:r>
              <w:rPr>
                <w:noProof/>
                <w:webHidden/>
              </w:rPr>
              <w:fldChar w:fldCharType="begin"/>
            </w:r>
            <w:r>
              <w:rPr>
                <w:noProof/>
                <w:webHidden/>
              </w:rPr>
              <w:instrText xml:space="preserve"> PAGEREF _Toc235717396 \h </w:instrText>
            </w:r>
            <w:r>
              <w:rPr>
                <w:noProof/>
                <w:webHidden/>
              </w:rPr>
            </w:r>
            <w:r>
              <w:rPr>
                <w:noProof/>
                <w:webHidden/>
              </w:rPr>
              <w:fldChar w:fldCharType="separate"/>
            </w:r>
            <w:r>
              <w:rPr>
                <w:noProof/>
                <w:webHidden/>
              </w:rPr>
              <w:t>1</w:t>
            </w:r>
            <w:r>
              <w:rPr>
                <w:noProof/>
                <w:webHidden/>
              </w:rPr>
              <w:fldChar w:fldCharType="end"/>
            </w:r>
          </w:hyperlink>
        </w:p>
        <w:p w14:paraId="1AFE95B4" w14:textId="4E33859A" w:rsidR="001B5614" w:rsidRDefault="001B5614">
          <w:pPr>
            <w:pStyle w:val="TOC2"/>
            <w:tabs>
              <w:tab w:val="right" w:leader="dot" w:pos="9350"/>
            </w:tabs>
            <w:rPr>
              <w:rFonts w:asciiTheme="minorHAnsi" w:eastAsiaTheme="minorEastAsia" w:hAnsiTheme="minorHAnsi"/>
              <w:noProof/>
              <w:color w:val="auto"/>
            </w:rPr>
          </w:pPr>
          <w:hyperlink w:anchor="_Toc235717397" w:history="1">
            <w:r w:rsidRPr="009A4CE7">
              <w:rPr>
                <w:rStyle w:val="Hyperlink"/>
                <w:rFonts w:cs="Arial"/>
                <w:noProof/>
              </w:rPr>
              <w:t>1.3 Government and Regulatory Bodies</w:t>
            </w:r>
            <w:r>
              <w:rPr>
                <w:noProof/>
                <w:webHidden/>
              </w:rPr>
              <w:tab/>
            </w:r>
            <w:r>
              <w:rPr>
                <w:noProof/>
                <w:webHidden/>
              </w:rPr>
              <w:fldChar w:fldCharType="begin"/>
            </w:r>
            <w:r>
              <w:rPr>
                <w:noProof/>
                <w:webHidden/>
              </w:rPr>
              <w:instrText xml:space="preserve"> PAGEREF _Toc235717397 \h </w:instrText>
            </w:r>
            <w:r>
              <w:rPr>
                <w:noProof/>
                <w:webHidden/>
              </w:rPr>
            </w:r>
            <w:r>
              <w:rPr>
                <w:noProof/>
                <w:webHidden/>
              </w:rPr>
              <w:fldChar w:fldCharType="separate"/>
            </w:r>
            <w:r>
              <w:rPr>
                <w:noProof/>
                <w:webHidden/>
              </w:rPr>
              <w:t>3</w:t>
            </w:r>
            <w:r>
              <w:rPr>
                <w:noProof/>
                <w:webHidden/>
              </w:rPr>
              <w:fldChar w:fldCharType="end"/>
            </w:r>
          </w:hyperlink>
        </w:p>
        <w:p w14:paraId="33C1DD3A" w14:textId="7A744F60" w:rsidR="001B5614" w:rsidRDefault="001B5614">
          <w:pPr>
            <w:pStyle w:val="TOC2"/>
            <w:tabs>
              <w:tab w:val="right" w:leader="dot" w:pos="9350"/>
            </w:tabs>
            <w:rPr>
              <w:rFonts w:asciiTheme="minorHAnsi" w:eastAsiaTheme="minorEastAsia" w:hAnsiTheme="minorHAnsi"/>
              <w:noProof/>
              <w:color w:val="auto"/>
            </w:rPr>
          </w:pPr>
          <w:hyperlink w:anchor="_Toc235717398" w:history="1">
            <w:r w:rsidRPr="009A4CE7">
              <w:rPr>
                <w:rStyle w:val="Hyperlink"/>
                <w:rFonts w:cs="Arial"/>
                <w:noProof/>
              </w:rPr>
              <w:t>1.4 Task 1 Synthesis</w:t>
            </w:r>
            <w:r>
              <w:rPr>
                <w:noProof/>
                <w:webHidden/>
              </w:rPr>
              <w:tab/>
            </w:r>
            <w:r>
              <w:rPr>
                <w:noProof/>
                <w:webHidden/>
              </w:rPr>
              <w:fldChar w:fldCharType="begin"/>
            </w:r>
            <w:r>
              <w:rPr>
                <w:noProof/>
                <w:webHidden/>
              </w:rPr>
              <w:instrText xml:space="preserve"> PAGEREF _Toc235717398 \h </w:instrText>
            </w:r>
            <w:r>
              <w:rPr>
                <w:noProof/>
                <w:webHidden/>
              </w:rPr>
            </w:r>
            <w:r>
              <w:rPr>
                <w:noProof/>
                <w:webHidden/>
              </w:rPr>
              <w:fldChar w:fldCharType="separate"/>
            </w:r>
            <w:r>
              <w:rPr>
                <w:noProof/>
                <w:webHidden/>
              </w:rPr>
              <w:t>4</w:t>
            </w:r>
            <w:r>
              <w:rPr>
                <w:noProof/>
                <w:webHidden/>
              </w:rPr>
              <w:fldChar w:fldCharType="end"/>
            </w:r>
          </w:hyperlink>
        </w:p>
        <w:p w14:paraId="2F50D4CF" w14:textId="7582BB3D" w:rsidR="001B5614" w:rsidRDefault="001B5614">
          <w:pPr>
            <w:pStyle w:val="TOC1"/>
            <w:tabs>
              <w:tab w:val="right" w:leader="dot" w:pos="9350"/>
            </w:tabs>
            <w:rPr>
              <w:rFonts w:asciiTheme="minorHAnsi" w:eastAsiaTheme="minorEastAsia" w:hAnsiTheme="minorHAnsi"/>
              <w:noProof/>
              <w:color w:val="auto"/>
            </w:rPr>
          </w:pPr>
          <w:hyperlink w:anchor="_Toc235717399" w:history="1">
            <w:r w:rsidRPr="009A4CE7">
              <w:rPr>
                <w:rStyle w:val="Hyperlink"/>
                <w:rFonts w:cs="Arial"/>
                <w:noProof/>
              </w:rPr>
              <w:t>Task 2: Strategic Growth and Competitive Positioning</w:t>
            </w:r>
            <w:r>
              <w:rPr>
                <w:noProof/>
                <w:webHidden/>
              </w:rPr>
              <w:tab/>
            </w:r>
            <w:r>
              <w:rPr>
                <w:noProof/>
                <w:webHidden/>
              </w:rPr>
              <w:fldChar w:fldCharType="begin"/>
            </w:r>
            <w:r>
              <w:rPr>
                <w:noProof/>
                <w:webHidden/>
              </w:rPr>
              <w:instrText xml:space="preserve"> PAGEREF _Toc235717399 \h </w:instrText>
            </w:r>
            <w:r>
              <w:rPr>
                <w:noProof/>
                <w:webHidden/>
              </w:rPr>
            </w:r>
            <w:r>
              <w:rPr>
                <w:noProof/>
                <w:webHidden/>
              </w:rPr>
              <w:fldChar w:fldCharType="separate"/>
            </w:r>
            <w:r>
              <w:rPr>
                <w:noProof/>
                <w:webHidden/>
              </w:rPr>
              <w:t>4</w:t>
            </w:r>
            <w:r>
              <w:rPr>
                <w:noProof/>
                <w:webHidden/>
              </w:rPr>
              <w:fldChar w:fldCharType="end"/>
            </w:r>
          </w:hyperlink>
        </w:p>
        <w:p w14:paraId="4B00E1C4" w14:textId="07AA8E8A" w:rsidR="001B5614" w:rsidRDefault="001B5614">
          <w:pPr>
            <w:pStyle w:val="TOC2"/>
            <w:tabs>
              <w:tab w:val="right" w:leader="dot" w:pos="9350"/>
            </w:tabs>
            <w:rPr>
              <w:rFonts w:asciiTheme="minorHAnsi" w:eastAsiaTheme="minorEastAsia" w:hAnsiTheme="minorHAnsi"/>
              <w:noProof/>
              <w:color w:val="auto"/>
            </w:rPr>
          </w:pPr>
          <w:hyperlink w:anchor="_Toc235717400" w:history="1">
            <w:r w:rsidRPr="009A4CE7">
              <w:rPr>
                <w:rStyle w:val="Hyperlink"/>
                <w:rFonts w:cs="Arial"/>
                <w:noProof/>
              </w:rPr>
              <w:t>2.1 Critical Application of the Ansoff Matrix</w:t>
            </w:r>
            <w:r>
              <w:rPr>
                <w:noProof/>
                <w:webHidden/>
              </w:rPr>
              <w:tab/>
            </w:r>
            <w:r>
              <w:rPr>
                <w:noProof/>
                <w:webHidden/>
              </w:rPr>
              <w:fldChar w:fldCharType="begin"/>
            </w:r>
            <w:r>
              <w:rPr>
                <w:noProof/>
                <w:webHidden/>
              </w:rPr>
              <w:instrText xml:space="preserve"> PAGEREF _Toc235717400 \h </w:instrText>
            </w:r>
            <w:r>
              <w:rPr>
                <w:noProof/>
                <w:webHidden/>
              </w:rPr>
            </w:r>
            <w:r>
              <w:rPr>
                <w:noProof/>
                <w:webHidden/>
              </w:rPr>
              <w:fldChar w:fldCharType="separate"/>
            </w:r>
            <w:r>
              <w:rPr>
                <w:noProof/>
                <w:webHidden/>
              </w:rPr>
              <w:t>4</w:t>
            </w:r>
            <w:r>
              <w:rPr>
                <w:noProof/>
                <w:webHidden/>
              </w:rPr>
              <w:fldChar w:fldCharType="end"/>
            </w:r>
          </w:hyperlink>
        </w:p>
        <w:p w14:paraId="7BE1EA80" w14:textId="4CA08AE3" w:rsidR="001B5614" w:rsidRDefault="001B5614">
          <w:pPr>
            <w:pStyle w:val="TOC2"/>
            <w:tabs>
              <w:tab w:val="right" w:leader="dot" w:pos="9350"/>
            </w:tabs>
            <w:rPr>
              <w:rFonts w:asciiTheme="minorHAnsi" w:eastAsiaTheme="minorEastAsia" w:hAnsiTheme="minorHAnsi"/>
              <w:noProof/>
              <w:color w:val="auto"/>
            </w:rPr>
          </w:pPr>
          <w:hyperlink w:anchor="_Toc235717401" w:history="1">
            <w:r w:rsidRPr="009A4CE7">
              <w:rPr>
                <w:rStyle w:val="Hyperlink"/>
                <w:rFonts w:cs="Arial"/>
                <w:noProof/>
              </w:rPr>
              <w:t>2.2 Recommended Product-Development Strategy</w:t>
            </w:r>
            <w:r>
              <w:rPr>
                <w:noProof/>
                <w:webHidden/>
              </w:rPr>
              <w:tab/>
            </w:r>
            <w:r>
              <w:rPr>
                <w:noProof/>
                <w:webHidden/>
              </w:rPr>
              <w:fldChar w:fldCharType="begin"/>
            </w:r>
            <w:r>
              <w:rPr>
                <w:noProof/>
                <w:webHidden/>
              </w:rPr>
              <w:instrText xml:space="preserve"> PAGEREF _Toc235717401 \h </w:instrText>
            </w:r>
            <w:r>
              <w:rPr>
                <w:noProof/>
                <w:webHidden/>
              </w:rPr>
            </w:r>
            <w:r>
              <w:rPr>
                <w:noProof/>
                <w:webHidden/>
              </w:rPr>
              <w:fldChar w:fldCharType="separate"/>
            </w:r>
            <w:r>
              <w:rPr>
                <w:noProof/>
                <w:webHidden/>
              </w:rPr>
              <w:t>5</w:t>
            </w:r>
            <w:r>
              <w:rPr>
                <w:noProof/>
                <w:webHidden/>
              </w:rPr>
              <w:fldChar w:fldCharType="end"/>
            </w:r>
          </w:hyperlink>
        </w:p>
        <w:p w14:paraId="24EE2996" w14:textId="15B3E581" w:rsidR="001B5614" w:rsidRDefault="001B5614">
          <w:pPr>
            <w:pStyle w:val="TOC2"/>
            <w:tabs>
              <w:tab w:val="right" w:leader="dot" w:pos="9350"/>
            </w:tabs>
            <w:rPr>
              <w:rFonts w:asciiTheme="minorHAnsi" w:eastAsiaTheme="minorEastAsia" w:hAnsiTheme="minorHAnsi"/>
              <w:noProof/>
              <w:color w:val="auto"/>
            </w:rPr>
          </w:pPr>
          <w:hyperlink w:anchor="_Toc235717402" w:history="1">
            <w:r w:rsidRPr="009A4CE7">
              <w:rPr>
                <w:rStyle w:val="Hyperlink"/>
                <w:rFonts w:cs="Arial"/>
                <w:noProof/>
              </w:rPr>
              <w:t>2.3 Competitive Advantage and Positioning</w:t>
            </w:r>
            <w:r>
              <w:rPr>
                <w:noProof/>
                <w:webHidden/>
              </w:rPr>
              <w:tab/>
            </w:r>
            <w:r>
              <w:rPr>
                <w:noProof/>
                <w:webHidden/>
              </w:rPr>
              <w:fldChar w:fldCharType="begin"/>
            </w:r>
            <w:r>
              <w:rPr>
                <w:noProof/>
                <w:webHidden/>
              </w:rPr>
              <w:instrText xml:space="preserve"> PAGEREF _Toc235717402 \h </w:instrText>
            </w:r>
            <w:r>
              <w:rPr>
                <w:noProof/>
                <w:webHidden/>
              </w:rPr>
            </w:r>
            <w:r>
              <w:rPr>
                <w:noProof/>
                <w:webHidden/>
              </w:rPr>
              <w:fldChar w:fldCharType="separate"/>
            </w:r>
            <w:r>
              <w:rPr>
                <w:noProof/>
                <w:webHidden/>
              </w:rPr>
              <w:t>6</w:t>
            </w:r>
            <w:r>
              <w:rPr>
                <w:noProof/>
                <w:webHidden/>
              </w:rPr>
              <w:fldChar w:fldCharType="end"/>
            </w:r>
          </w:hyperlink>
        </w:p>
        <w:p w14:paraId="5FBE2759" w14:textId="6B98B7A6" w:rsidR="001B5614" w:rsidRDefault="001B5614">
          <w:pPr>
            <w:pStyle w:val="TOC2"/>
            <w:tabs>
              <w:tab w:val="right" w:leader="dot" w:pos="9350"/>
            </w:tabs>
            <w:rPr>
              <w:rFonts w:asciiTheme="minorHAnsi" w:eastAsiaTheme="minorEastAsia" w:hAnsiTheme="minorHAnsi"/>
              <w:noProof/>
              <w:color w:val="auto"/>
            </w:rPr>
          </w:pPr>
          <w:hyperlink w:anchor="_Toc235717403" w:history="1">
            <w:r w:rsidRPr="009A4CE7">
              <w:rPr>
                <w:rStyle w:val="Hyperlink"/>
                <w:rFonts w:cs="Arial"/>
                <w:noProof/>
              </w:rPr>
              <w:t>2.4 Marketing Implementation, Controls and KPIs</w:t>
            </w:r>
            <w:r>
              <w:rPr>
                <w:noProof/>
                <w:webHidden/>
              </w:rPr>
              <w:tab/>
            </w:r>
            <w:r>
              <w:rPr>
                <w:noProof/>
                <w:webHidden/>
              </w:rPr>
              <w:fldChar w:fldCharType="begin"/>
            </w:r>
            <w:r>
              <w:rPr>
                <w:noProof/>
                <w:webHidden/>
              </w:rPr>
              <w:instrText xml:space="preserve"> PAGEREF _Toc235717403 \h </w:instrText>
            </w:r>
            <w:r>
              <w:rPr>
                <w:noProof/>
                <w:webHidden/>
              </w:rPr>
            </w:r>
            <w:r>
              <w:rPr>
                <w:noProof/>
                <w:webHidden/>
              </w:rPr>
              <w:fldChar w:fldCharType="separate"/>
            </w:r>
            <w:r>
              <w:rPr>
                <w:noProof/>
                <w:webHidden/>
              </w:rPr>
              <w:t>7</w:t>
            </w:r>
            <w:r>
              <w:rPr>
                <w:noProof/>
                <w:webHidden/>
              </w:rPr>
              <w:fldChar w:fldCharType="end"/>
            </w:r>
          </w:hyperlink>
        </w:p>
        <w:p w14:paraId="1CF86297" w14:textId="550976BE" w:rsidR="001B5614" w:rsidRDefault="001B5614">
          <w:pPr>
            <w:pStyle w:val="TOC1"/>
            <w:tabs>
              <w:tab w:val="right" w:leader="dot" w:pos="9350"/>
            </w:tabs>
            <w:rPr>
              <w:rFonts w:asciiTheme="minorHAnsi" w:eastAsiaTheme="minorEastAsia" w:hAnsiTheme="minorHAnsi"/>
              <w:noProof/>
              <w:color w:val="auto"/>
            </w:rPr>
          </w:pPr>
          <w:hyperlink w:anchor="_Toc235717404" w:history="1">
            <w:r w:rsidRPr="009A4CE7">
              <w:rPr>
                <w:rStyle w:val="Hyperlink"/>
                <w:rFonts w:cs="Arial"/>
                <w:noProof/>
              </w:rPr>
              <w:t>Task 3: Critical Reflection on AI Usage</w:t>
            </w:r>
            <w:r>
              <w:rPr>
                <w:noProof/>
                <w:webHidden/>
              </w:rPr>
              <w:tab/>
            </w:r>
            <w:r>
              <w:rPr>
                <w:noProof/>
                <w:webHidden/>
              </w:rPr>
              <w:fldChar w:fldCharType="begin"/>
            </w:r>
            <w:r>
              <w:rPr>
                <w:noProof/>
                <w:webHidden/>
              </w:rPr>
              <w:instrText xml:space="preserve"> PAGEREF _Toc235717404 \h </w:instrText>
            </w:r>
            <w:r>
              <w:rPr>
                <w:noProof/>
                <w:webHidden/>
              </w:rPr>
            </w:r>
            <w:r>
              <w:rPr>
                <w:noProof/>
                <w:webHidden/>
              </w:rPr>
              <w:fldChar w:fldCharType="separate"/>
            </w:r>
            <w:r>
              <w:rPr>
                <w:noProof/>
                <w:webHidden/>
              </w:rPr>
              <w:t>8</w:t>
            </w:r>
            <w:r>
              <w:rPr>
                <w:noProof/>
                <w:webHidden/>
              </w:rPr>
              <w:fldChar w:fldCharType="end"/>
            </w:r>
          </w:hyperlink>
        </w:p>
        <w:p w14:paraId="7FEB0BD9" w14:textId="652208E1" w:rsidR="001B5614" w:rsidRDefault="001B5614">
          <w:pPr>
            <w:pStyle w:val="TOC2"/>
            <w:tabs>
              <w:tab w:val="right" w:leader="dot" w:pos="9350"/>
            </w:tabs>
            <w:rPr>
              <w:rFonts w:asciiTheme="minorHAnsi" w:eastAsiaTheme="minorEastAsia" w:hAnsiTheme="minorHAnsi"/>
              <w:noProof/>
              <w:color w:val="auto"/>
            </w:rPr>
          </w:pPr>
          <w:hyperlink w:anchor="_Toc235717405" w:history="1">
            <w:r w:rsidRPr="009A4CE7">
              <w:rPr>
                <w:rStyle w:val="Hyperlink"/>
                <w:rFonts w:cs="Arial"/>
                <w:noProof/>
              </w:rPr>
              <w:t>3.1 Tool Disclosure</w:t>
            </w:r>
            <w:r>
              <w:rPr>
                <w:noProof/>
                <w:webHidden/>
              </w:rPr>
              <w:tab/>
            </w:r>
            <w:r>
              <w:rPr>
                <w:noProof/>
                <w:webHidden/>
              </w:rPr>
              <w:fldChar w:fldCharType="begin"/>
            </w:r>
            <w:r>
              <w:rPr>
                <w:noProof/>
                <w:webHidden/>
              </w:rPr>
              <w:instrText xml:space="preserve"> PAGEREF _Toc235717405 \h </w:instrText>
            </w:r>
            <w:r>
              <w:rPr>
                <w:noProof/>
                <w:webHidden/>
              </w:rPr>
            </w:r>
            <w:r>
              <w:rPr>
                <w:noProof/>
                <w:webHidden/>
              </w:rPr>
              <w:fldChar w:fldCharType="separate"/>
            </w:r>
            <w:r>
              <w:rPr>
                <w:noProof/>
                <w:webHidden/>
              </w:rPr>
              <w:t>8</w:t>
            </w:r>
            <w:r>
              <w:rPr>
                <w:noProof/>
                <w:webHidden/>
              </w:rPr>
              <w:fldChar w:fldCharType="end"/>
            </w:r>
          </w:hyperlink>
        </w:p>
        <w:p w14:paraId="77329198" w14:textId="668139EC" w:rsidR="001B5614" w:rsidRDefault="001B5614">
          <w:pPr>
            <w:pStyle w:val="TOC2"/>
            <w:tabs>
              <w:tab w:val="right" w:leader="dot" w:pos="9350"/>
            </w:tabs>
            <w:rPr>
              <w:rFonts w:asciiTheme="minorHAnsi" w:eastAsiaTheme="minorEastAsia" w:hAnsiTheme="minorHAnsi"/>
              <w:noProof/>
              <w:color w:val="auto"/>
            </w:rPr>
          </w:pPr>
          <w:hyperlink w:anchor="_Toc235717406" w:history="1">
            <w:r w:rsidRPr="009A4CE7">
              <w:rPr>
                <w:rStyle w:val="Hyperlink"/>
                <w:rFonts w:cs="Arial"/>
                <w:noProof/>
              </w:rPr>
              <w:t>3.2 Verification and Correction</w:t>
            </w:r>
            <w:r>
              <w:rPr>
                <w:noProof/>
                <w:webHidden/>
              </w:rPr>
              <w:tab/>
            </w:r>
            <w:r>
              <w:rPr>
                <w:noProof/>
                <w:webHidden/>
              </w:rPr>
              <w:fldChar w:fldCharType="begin"/>
            </w:r>
            <w:r>
              <w:rPr>
                <w:noProof/>
                <w:webHidden/>
              </w:rPr>
              <w:instrText xml:space="preserve"> PAGEREF _Toc235717406 \h </w:instrText>
            </w:r>
            <w:r>
              <w:rPr>
                <w:noProof/>
                <w:webHidden/>
              </w:rPr>
            </w:r>
            <w:r>
              <w:rPr>
                <w:noProof/>
                <w:webHidden/>
              </w:rPr>
              <w:fldChar w:fldCharType="separate"/>
            </w:r>
            <w:r>
              <w:rPr>
                <w:noProof/>
                <w:webHidden/>
              </w:rPr>
              <w:t>8</w:t>
            </w:r>
            <w:r>
              <w:rPr>
                <w:noProof/>
                <w:webHidden/>
              </w:rPr>
              <w:fldChar w:fldCharType="end"/>
            </w:r>
          </w:hyperlink>
        </w:p>
        <w:p w14:paraId="6A086788" w14:textId="12EA7510" w:rsidR="001B5614" w:rsidRDefault="001B5614">
          <w:pPr>
            <w:pStyle w:val="TOC2"/>
            <w:tabs>
              <w:tab w:val="right" w:leader="dot" w:pos="9350"/>
            </w:tabs>
            <w:rPr>
              <w:rFonts w:asciiTheme="minorHAnsi" w:eastAsiaTheme="minorEastAsia" w:hAnsiTheme="minorHAnsi"/>
              <w:noProof/>
              <w:color w:val="auto"/>
            </w:rPr>
          </w:pPr>
          <w:hyperlink w:anchor="_Toc235717407" w:history="1">
            <w:r w:rsidRPr="009A4CE7">
              <w:rPr>
                <w:rStyle w:val="Hyperlink"/>
                <w:rFonts w:cs="Arial"/>
                <w:noProof/>
              </w:rPr>
              <w:t>3.3 Contribution Analysis</w:t>
            </w:r>
            <w:r>
              <w:rPr>
                <w:noProof/>
                <w:webHidden/>
              </w:rPr>
              <w:tab/>
            </w:r>
            <w:r>
              <w:rPr>
                <w:noProof/>
                <w:webHidden/>
              </w:rPr>
              <w:fldChar w:fldCharType="begin"/>
            </w:r>
            <w:r>
              <w:rPr>
                <w:noProof/>
                <w:webHidden/>
              </w:rPr>
              <w:instrText xml:space="preserve"> PAGEREF _Toc235717407 \h </w:instrText>
            </w:r>
            <w:r>
              <w:rPr>
                <w:noProof/>
                <w:webHidden/>
              </w:rPr>
            </w:r>
            <w:r>
              <w:rPr>
                <w:noProof/>
                <w:webHidden/>
              </w:rPr>
              <w:fldChar w:fldCharType="separate"/>
            </w:r>
            <w:r>
              <w:rPr>
                <w:noProof/>
                <w:webHidden/>
              </w:rPr>
              <w:t>9</w:t>
            </w:r>
            <w:r>
              <w:rPr>
                <w:noProof/>
                <w:webHidden/>
              </w:rPr>
              <w:fldChar w:fldCharType="end"/>
            </w:r>
          </w:hyperlink>
        </w:p>
        <w:p w14:paraId="5F78BB39" w14:textId="69AFC6D7" w:rsidR="001B5614" w:rsidRDefault="001B5614">
          <w:pPr>
            <w:pStyle w:val="TOC2"/>
            <w:tabs>
              <w:tab w:val="right" w:leader="dot" w:pos="9350"/>
            </w:tabs>
            <w:rPr>
              <w:rFonts w:asciiTheme="minorHAnsi" w:eastAsiaTheme="minorEastAsia" w:hAnsiTheme="minorHAnsi"/>
              <w:noProof/>
              <w:color w:val="auto"/>
            </w:rPr>
          </w:pPr>
          <w:hyperlink w:anchor="_Toc235717408" w:history="1">
            <w:r w:rsidRPr="009A4CE7">
              <w:rPr>
                <w:rStyle w:val="Hyperlink"/>
                <w:rFonts w:cs="Arial"/>
                <w:noProof/>
              </w:rPr>
              <w:t>3.4 Ethical and Professional Reflection</w:t>
            </w:r>
            <w:r>
              <w:rPr>
                <w:noProof/>
                <w:webHidden/>
              </w:rPr>
              <w:tab/>
            </w:r>
            <w:r>
              <w:rPr>
                <w:noProof/>
                <w:webHidden/>
              </w:rPr>
              <w:fldChar w:fldCharType="begin"/>
            </w:r>
            <w:r>
              <w:rPr>
                <w:noProof/>
                <w:webHidden/>
              </w:rPr>
              <w:instrText xml:space="preserve"> PAGEREF _Toc235717408 \h </w:instrText>
            </w:r>
            <w:r>
              <w:rPr>
                <w:noProof/>
                <w:webHidden/>
              </w:rPr>
            </w:r>
            <w:r>
              <w:rPr>
                <w:noProof/>
                <w:webHidden/>
              </w:rPr>
              <w:fldChar w:fldCharType="separate"/>
            </w:r>
            <w:r>
              <w:rPr>
                <w:noProof/>
                <w:webHidden/>
              </w:rPr>
              <w:t>9</w:t>
            </w:r>
            <w:r>
              <w:rPr>
                <w:noProof/>
                <w:webHidden/>
              </w:rPr>
              <w:fldChar w:fldCharType="end"/>
            </w:r>
          </w:hyperlink>
        </w:p>
        <w:p w14:paraId="35B36C59" w14:textId="26634BC9" w:rsidR="001B5614" w:rsidRDefault="001B5614">
          <w:pPr>
            <w:pStyle w:val="TOC1"/>
            <w:tabs>
              <w:tab w:val="right" w:leader="dot" w:pos="9350"/>
            </w:tabs>
            <w:rPr>
              <w:rFonts w:asciiTheme="minorHAnsi" w:eastAsiaTheme="minorEastAsia" w:hAnsiTheme="minorHAnsi"/>
              <w:noProof/>
              <w:color w:val="auto"/>
            </w:rPr>
          </w:pPr>
          <w:hyperlink w:anchor="_Toc235717409" w:history="1">
            <w:r w:rsidRPr="009A4CE7">
              <w:rPr>
                <w:rStyle w:val="Hyperlink"/>
                <w:rFonts w:cs="Arial"/>
                <w:noProof/>
              </w:rPr>
              <w:t>References:</w:t>
            </w:r>
            <w:r>
              <w:rPr>
                <w:noProof/>
                <w:webHidden/>
              </w:rPr>
              <w:tab/>
            </w:r>
            <w:r>
              <w:rPr>
                <w:noProof/>
                <w:webHidden/>
              </w:rPr>
              <w:fldChar w:fldCharType="begin"/>
            </w:r>
            <w:r>
              <w:rPr>
                <w:noProof/>
                <w:webHidden/>
              </w:rPr>
              <w:instrText xml:space="preserve"> PAGEREF _Toc235717409 \h </w:instrText>
            </w:r>
            <w:r>
              <w:rPr>
                <w:noProof/>
                <w:webHidden/>
              </w:rPr>
            </w:r>
            <w:r>
              <w:rPr>
                <w:noProof/>
                <w:webHidden/>
              </w:rPr>
              <w:fldChar w:fldCharType="separate"/>
            </w:r>
            <w:r>
              <w:rPr>
                <w:noProof/>
                <w:webHidden/>
              </w:rPr>
              <w:t>10</w:t>
            </w:r>
            <w:r>
              <w:rPr>
                <w:noProof/>
                <w:webHidden/>
              </w:rPr>
              <w:fldChar w:fldCharType="end"/>
            </w:r>
          </w:hyperlink>
        </w:p>
        <w:p w14:paraId="37F4F1C3" w14:textId="3F5068BA" w:rsidR="00BA5614" w:rsidRPr="001B5614" w:rsidRDefault="00BA5614" w:rsidP="001B5614">
          <w:pPr>
            <w:jc w:val="left"/>
            <w:rPr>
              <w:rFonts w:cs="Arial"/>
            </w:rPr>
          </w:pPr>
          <w:r w:rsidRPr="001B5614">
            <w:rPr>
              <w:rFonts w:cs="Arial"/>
              <w:b/>
              <w:bCs/>
              <w:noProof/>
            </w:rPr>
            <w:fldChar w:fldCharType="end"/>
          </w:r>
        </w:p>
      </w:sdtContent>
    </w:sdt>
    <w:p w14:paraId="66540B11" w14:textId="77777777" w:rsidR="00BA5614" w:rsidRPr="001B5614" w:rsidRDefault="00BA5614" w:rsidP="001B5614">
      <w:pPr>
        <w:jc w:val="left"/>
        <w:rPr>
          <w:rFonts w:cs="Arial"/>
        </w:rPr>
      </w:pPr>
    </w:p>
    <w:p w14:paraId="654C99D3" w14:textId="77777777" w:rsidR="004D212D" w:rsidRPr="001B5614" w:rsidRDefault="004D212D" w:rsidP="001B5614">
      <w:pPr>
        <w:jc w:val="left"/>
        <w:rPr>
          <w:rFonts w:cs="Arial"/>
        </w:rPr>
        <w:sectPr w:rsidR="004D212D" w:rsidRPr="001B5614" w:rsidSect="00F75951">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5472D1A" w14:textId="52A028DD" w:rsidR="001F52D9" w:rsidRPr="001B5614" w:rsidRDefault="001F52D9" w:rsidP="001B5614">
      <w:pPr>
        <w:pStyle w:val="Heading1"/>
        <w:jc w:val="left"/>
        <w:rPr>
          <w:rFonts w:cs="Arial"/>
        </w:rPr>
      </w:pPr>
      <w:bookmarkStart w:id="0" w:name="_Toc235717394"/>
      <w:r w:rsidRPr="001B5614">
        <w:rPr>
          <w:rFonts w:cs="Arial"/>
        </w:rPr>
        <w:lastRenderedPageBreak/>
        <w:t>Task 1: Marketing Environment Analysis</w:t>
      </w:r>
      <w:bookmarkEnd w:id="0"/>
    </w:p>
    <w:p w14:paraId="569A07A6" w14:textId="77777777" w:rsidR="001F52D9" w:rsidRPr="001B5614" w:rsidRDefault="001F52D9" w:rsidP="001B5614">
      <w:pPr>
        <w:pStyle w:val="Heading2"/>
        <w:jc w:val="left"/>
        <w:rPr>
          <w:rFonts w:cs="Arial"/>
        </w:rPr>
      </w:pPr>
      <w:bookmarkStart w:id="1" w:name="_Toc235717395"/>
      <w:r w:rsidRPr="001B5614">
        <w:rPr>
          <w:rFonts w:cs="Arial"/>
        </w:rPr>
        <w:t>1.1 BHP and the Analytical Focus</w:t>
      </w:r>
      <w:bookmarkEnd w:id="1"/>
    </w:p>
    <w:p w14:paraId="6E2456E6" w14:textId="1E6CE3FE" w:rsidR="001F52D9" w:rsidRPr="001B5614" w:rsidRDefault="000819CC" w:rsidP="001B5614">
      <w:pPr>
        <w:jc w:val="left"/>
        <w:rPr>
          <w:rFonts w:cs="Arial"/>
        </w:rPr>
      </w:pPr>
      <w:r w:rsidRPr="001B5614">
        <w:rPr>
          <w:rFonts w:cs="Arial"/>
        </w:rPr>
        <w:t xml:space="preserve">BHP's iron ore, copper, metallurgical coal and potash business connects its </w:t>
      </w:r>
      <w:r w:rsidR="00BA5614" w:rsidRPr="001B5614">
        <w:rPr>
          <w:rFonts w:cs="Arial"/>
        </w:rPr>
        <w:t>carbon-heavy</w:t>
      </w:r>
      <w:r w:rsidRPr="001B5614">
        <w:rPr>
          <w:rFonts w:cs="Arial"/>
        </w:rPr>
        <w:t xml:space="preserve"> steelmaking side with the increasing demand for transition minerals. It used the </w:t>
      </w:r>
      <w:r w:rsidR="00BA5614" w:rsidRPr="001B5614">
        <w:rPr>
          <w:rFonts w:cs="Arial"/>
        </w:rPr>
        <w:t>terms</w:t>
      </w:r>
      <w:r w:rsidRPr="001B5614">
        <w:rPr>
          <w:rFonts w:cs="Arial"/>
        </w:rPr>
        <w:t xml:space="preserve"> climate resilience and portfolio positioning as value drivers for the long term in its FY2025 report, although it cannot demonstrate the speed or viability of transition</w:t>
      </w:r>
      <w:r w:rsidR="00DF3AF0" w:rsidRPr="001B5614">
        <w:rPr>
          <w:rFonts w:cs="Arial"/>
        </w:rPr>
        <w:t xml:space="preserve"> </w:t>
      </w:r>
      <w:r w:rsidR="00D50D12" w:rsidRPr="001B5614">
        <w:rPr>
          <w:rFonts w:cs="Arial"/>
        </w:rPr>
        <w:fldChar w:fldCharType="begin" w:fldLock="1"/>
      </w:r>
      <w:r w:rsidR="002A1F0B" w:rsidRPr="001B5614">
        <w:rPr>
          <w:rFonts w:cs="Arial"/>
        </w:rPr>
        <w:instrText>ADDIN CSL_CITATION {"citationItems":[{"id":"ITEM-1","itemData":{"author":[{"dropping-particle":"","family":"BHP","given":"","non-dropping-particle":"","parse-names":false,"suffix":""}],"id":"ITEM-1","issued":{"date-parts":[["2025"]]},"title":"Annual Report 2025","type":"article-journal"},"uris":["http://www.mendeley.com/documents/?uuid=15cf327b-640f-4c3e-a8d7-4c3b5e739751"]}],"mendeley":{"formattedCitation":"(BHP, 2025a)","plainTextFormattedCitation":"(BHP, 2025a)","previouslyFormattedCitation":"(BHP, 2025a)"},"properties":{"noteIndex":0},"schema":"https://github.com/citation-style-language/schema/raw/master/csl-citation.json"}</w:instrText>
      </w:r>
      <w:r w:rsidR="00D50D12" w:rsidRPr="001B5614">
        <w:rPr>
          <w:rFonts w:cs="Arial"/>
        </w:rPr>
        <w:fldChar w:fldCharType="separate"/>
      </w:r>
      <w:r w:rsidR="002A1F0B" w:rsidRPr="001B5614">
        <w:rPr>
          <w:rFonts w:cs="Arial"/>
          <w:noProof/>
        </w:rPr>
        <w:t>(BHP, 2025a)</w:t>
      </w:r>
      <w:r w:rsidR="00D50D12" w:rsidRPr="001B5614">
        <w:rPr>
          <w:rFonts w:cs="Arial"/>
        </w:rPr>
        <w:fldChar w:fldCharType="end"/>
      </w:r>
      <w:r w:rsidRPr="001B5614">
        <w:rPr>
          <w:rFonts w:cs="Arial"/>
        </w:rPr>
        <w:t xml:space="preserve">. </w:t>
      </w:r>
      <w:r w:rsidR="001F52D9" w:rsidRPr="001B5614">
        <w:rPr>
          <w:rFonts w:cs="Arial"/>
        </w:rPr>
        <w:t xml:space="preserve">Two outside marketing-environment </w:t>
      </w:r>
      <w:r w:rsidR="004E3B2D" w:rsidRPr="001B5614">
        <w:rPr>
          <w:rFonts w:cs="Arial"/>
        </w:rPr>
        <w:t>factors</w:t>
      </w:r>
      <w:r w:rsidR="001F52D9" w:rsidRPr="001B5614">
        <w:rPr>
          <w:rFonts w:cs="Arial"/>
        </w:rPr>
        <w:t xml:space="preserve"> are thus </w:t>
      </w:r>
      <w:r w:rsidR="004E3B2D" w:rsidRPr="001B5614">
        <w:rPr>
          <w:rFonts w:cs="Arial"/>
        </w:rPr>
        <w:t>analyses</w:t>
      </w:r>
      <w:r w:rsidR="001F52D9" w:rsidRPr="001B5614">
        <w:rPr>
          <w:rFonts w:cs="Arial"/>
        </w:rPr>
        <w:t>: the Natural Environment</w:t>
      </w:r>
      <w:r w:rsidR="00BA5614" w:rsidRPr="001B5614">
        <w:rPr>
          <w:rFonts w:cs="Arial"/>
        </w:rPr>
        <w:t>,</w:t>
      </w:r>
      <w:r w:rsidR="001F52D9" w:rsidRPr="001B5614">
        <w:rPr>
          <w:rFonts w:cs="Arial"/>
        </w:rPr>
        <w:t xml:space="preserve"> which is given the most coverage</w:t>
      </w:r>
      <w:r w:rsidR="00BA5614" w:rsidRPr="001B5614">
        <w:rPr>
          <w:rFonts w:cs="Arial"/>
        </w:rPr>
        <w:t>,</w:t>
      </w:r>
      <w:r w:rsidR="001F52D9" w:rsidRPr="001B5614">
        <w:rPr>
          <w:rFonts w:cs="Arial"/>
        </w:rPr>
        <w:t xml:space="preserve"> and government and regulatory. The underlying thesis is that BHP needs to monetise the environmental and regulatory pressure into tangible values for its products, rather than just making broad sustainability statements. </w:t>
      </w:r>
    </w:p>
    <w:p w14:paraId="0326AF78" w14:textId="77777777" w:rsidR="001F52D9" w:rsidRPr="001B5614" w:rsidRDefault="001F52D9" w:rsidP="001B5614">
      <w:pPr>
        <w:pStyle w:val="Heading2"/>
        <w:jc w:val="left"/>
        <w:rPr>
          <w:rFonts w:cs="Arial"/>
        </w:rPr>
      </w:pPr>
      <w:bookmarkStart w:id="2" w:name="_Toc235717396"/>
      <w:r w:rsidRPr="001B5614">
        <w:rPr>
          <w:rFonts w:cs="Arial"/>
        </w:rPr>
        <w:t>1.2 Natural Environment Actor</w:t>
      </w:r>
      <w:bookmarkEnd w:id="2"/>
    </w:p>
    <w:p w14:paraId="37EAF07D" w14:textId="77AEFC0D" w:rsidR="00EB778A" w:rsidRPr="001B5614" w:rsidRDefault="00EB778A" w:rsidP="001B5614">
      <w:pPr>
        <w:jc w:val="left"/>
        <w:rPr>
          <w:rFonts w:cs="Arial"/>
          <w:b/>
          <w:bCs/>
        </w:rPr>
      </w:pPr>
      <w:r w:rsidRPr="001B5614">
        <w:rPr>
          <w:rFonts w:cs="Arial"/>
          <w:b/>
          <w:bCs/>
        </w:rPr>
        <w:t>Physical Climate, Resource Security and Stakeholder Confidence</w:t>
      </w:r>
    </w:p>
    <w:p w14:paraId="471FAAFB" w14:textId="4DE97797" w:rsidR="00EB778A" w:rsidRPr="001B5614" w:rsidRDefault="001F52D9" w:rsidP="001B5614">
      <w:pPr>
        <w:jc w:val="left"/>
        <w:rPr>
          <w:rFonts w:cs="Arial"/>
        </w:rPr>
      </w:pPr>
      <w:r w:rsidRPr="001B5614">
        <w:rPr>
          <w:rFonts w:cs="Arial"/>
        </w:rPr>
        <w:t>Mining requires reliable access to water, energy, land, transport and resilient infrastructure to climate change.</w:t>
      </w:r>
      <w:r w:rsidR="00D50D12" w:rsidRPr="001B5614">
        <w:rPr>
          <w:rFonts w:cs="Arial"/>
        </w:rPr>
        <w:t xml:space="preserve"> </w:t>
      </w:r>
      <w:r w:rsidR="00D50D12" w:rsidRPr="001B5614">
        <w:rPr>
          <w:rFonts w:cs="Arial"/>
        </w:rPr>
        <w:fldChar w:fldCharType="begin" w:fldLock="1"/>
      </w:r>
      <w:r w:rsidR="00793634" w:rsidRPr="001B5614">
        <w:rPr>
          <w:rFonts w:cs="Arial"/>
        </w:rPr>
        <w:instrText>ADDIN CSL_CITATION {"citationItems":[{"id":"ITEM-1","itemData":{"author":[{"dropping-particle":"","family":"BHP","given":"","non-dropping-particle":"","parse-names":false,"suffix":""}],"id":"ITEM-1","issued":{"date-parts":[["2026"]]},"title":"Physical climate-related risk and adaptation","type":"article-journal"},"uris":["http://www.mendeley.com/documents/?uuid=f556fa97-f0ca-490a-947c-8cd7b04517fd"]}],"mendeley":{"formattedCitation":"(BHP, 2026b)","manualFormatting":"BHP (2026)","plainTextFormattedCitation":"(BHP, 2026b)","previouslyFormattedCitation":"(BHP, 2026b)"},"properties":{"noteIndex":0},"schema":"https://github.com/citation-style-language/schema/raw/master/csl-citation.json"}</w:instrText>
      </w:r>
      <w:r w:rsidR="00D50D12" w:rsidRPr="001B5614">
        <w:rPr>
          <w:rFonts w:cs="Arial"/>
        </w:rPr>
        <w:fldChar w:fldCharType="separate"/>
      </w:r>
      <w:r w:rsidR="00D50D12" w:rsidRPr="001B5614">
        <w:rPr>
          <w:rFonts w:cs="Arial"/>
          <w:noProof/>
        </w:rPr>
        <w:t>BHP (2026)</w:t>
      </w:r>
      <w:r w:rsidR="00D50D12" w:rsidRPr="001B5614">
        <w:rPr>
          <w:rFonts w:cs="Arial"/>
        </w:rPr>
        <w:fldChar w:fldCharType="end"/>
      </w:r>
      <w:r w:rsidRPr="001B5614">
        <w:rPr>
          <w:rFonts w:cs="Arial"/>
        </w:rPr>
        <w:t xml:space="preserve"> identifies both acute risks (like floods, cyclones and heatwaves) and chronic risks (like more </w:t>
      </w:r>
      <w:r w:rsidR="00BA5614" w:rsidRPr="001B5614">
        <w:rPr>
          <w:rFonts w:cs="Arial"/>
        </w:rPr>
        <w:t>extreme heat</w:t>
      </w:r>
      <w:r w:rsidRPr="001B5614">
        <w:rPr>
          <w:rFonts w:cs="Arial"/>
        </w:rPr>
        <w:t xml:space="preserve"> days and rising sea levels). The </w:t>
      </w:r>
      <w:r w:rsidR="00D50D12" w:rsidRPr="001B5614">
        <w:rPr>
          <w:rFonts w:cs="Arial"/>
        </w:rPr>
        <w:fldChar w:fldCharType="begin" w:fldLock="1"/>
      </w:r>
      <w:r w:rsidR="00D50D12" w:rsidRPr="001B5614">
        <w:rPr>
          <w:rFonts w:cs="Arial"/>
        </w:rPr>
        <w:instrText>ADDIN CSL_CITATION {"citationItems":[{"id":"ITEM-1","itemData":{"author":[{"dropping-particle":"","family":"IPCC","given":"","non-dropping-particle":"","parse-names":false,"suffix":""}],"id":"ITEM-1","issued":{"date-parts":[["2019"]]},"title":"Home","type":"article-journal"},"uris":["http://www.mendeley.com/documents/?uuid=33fdcc20-bf7b-46bf-a722-a4607492477c"]}],"mendeley":{"formattedCitation":"(IPCC, 2019)","manualFormatting":"IPCC (2019)","plainTextFormattedCitation":"(IPCC, 2019)","previouslyFormattedCitation":"(IPCC, 2019)"},"properties":{"noteIndex":0},"schema":"https://github.com/citation-style-language/schema/raw/master/csl-citation.json"}</w:instrText>
      </w:r>
      <w:r w:rsidR="00D50D12" w:rsidRPr="001B5614">
        <w:rPr>
          <w:rFonts w:cs="Arial"/>
        </w:rPr>
        <w:fldChar w:fldCharType="separate"/>
      </w:r>
      <w:r w:rsidR="00D50D12" w:rsidRPr="001B5614">
        <w:rPr>
          <w:rFonts w:cs="Arial"/>
          <w:noProof/>
        </w:rPr>
        <w:t>IPCC (2019)</w:t>
      </w:r>
      <w:r w:rsidR="00D50D12" w:rsidRPr="001B5614">
        <w:rPr>
          <w:rFonts w:cs="Arial"/>
        </w:rPr>
        <w:fldChar w:fldCharType="end"/>
      </w:r>
      <w:r w:rsidRPr="001B5614">
        <w:rPr>
          <w:rFonts w:cs="Arial"/>
        </w:rPr>
        <w:t xml:space="preserve"> has been explaining the effects of climate change on water security, and the material efficiency and electrification of industry, combined with </w:t>
      </w:r>
      <w:r w:rsidR="00BA5614" w:rsidRPr="001B5614">
        <w:rPr>
          <w:rFonts w:cs="Arial"/>
        </w:rPr>
        <w:t>low-emissions</w:t>
      </w:r>
      <w:r w:rsidRPr="001B5614">
        <w:rPr>
          <w:rFonts w:cs="Arial"/>
        </w:rPr>
        <w:t xml:space="preserve"> fuels and carbon management. </w:t>
      </w:r>
      <w:r w:rsidR="00D50D12" w:rsidRPr="001B5614">
        <w:rPr>
          <w:rFonts w:cs="Arial"/>
        </w:rPr>
        <w:fldChar w:fldCharType="begin" w:fldLock="1"/>
      </w:r>
      <w:r w:rsidR="00793634" w:rsidRPr="001B5614">
        <w:rPr>
          <w:rFonts w:cs="Arial"/>
        </w:rPr>
        <w:instrText>ADDIN CSL_CITATION {"citationItems":[{"id":"ITEM-1","itemData":{"author":[{"dropping-particle":"","family":"UNEP","given":"","non-dropping-particle":"","parse-names":false,"suffix":""}],"id":"ITEM-1","issued":{"date-parts":[["2024"]]},"title":"Climate Risks in the Metals and Mining Sector","type":"article-journal"},"uris":["http://www.mendeley.com/documents/?uuid=eb536013-bba2-44cd-8e2c-77bf54f2373c"]}],"mendeley":{"formattedCitation":"(UNEP, 2024)","manualFormatting":"UNEP (2024)","plainTextFormattedCitation":"(UNEP, 2024)","previouslyFormattedCitation":"(UNEP, 2024)"},"properties":{"noteIndex":0},"schema":"https://github.com/citation-style-language/schema/raw/master/csl-citation.json"}</w:instrText>
      </w:r>
      <w:r w:rsidR="00D50D12" w:rsidRPr="001B5614">
        <w:rPr>
          <w:rFonts w:cs="Arial"/>
        </w:rPr>
        <w:fldChar w:fldCharType="separate"/>
      </w:r>
      <w:r w:rsidR="00D50D12" w:rsidRPr="001B5614">
        <w:rPr>
          <w:rFonts w:cs="Arial"/>
          <w:noProof/>
        </w:rPr>
        <w:t>UNEP (2024)</w:t>
      </w:r>
      <w:r w:rsidR="00D50D12" w:rsidRPr="001B5614">
        <w:rPr>
          <w:rFonts w:cs="Arial"/>
        </w:rPr>
        <w:fldChar w:fldCharType="end"/>
      </w:r>
      <w:r w:rsidRPr="001B5614">
        <w:rPr>
          <w:rFonts w:cs="Arial"/>
        </w:rPr>
        <w:t xml:space="preserve"> Finance Initiative also identifies physical and transition risks </w:t>
      </w:r>
      <w:r w:rsidR="00581DDD" w:rsidRPr="001B5614">
        <w:rPr>
          <w:rFonts w:cs="Arial"/>
        </w:rPr>
        <w:t>regarding</w:t>
      </w:r>
      <w:r w:rsidRPr="001B5614">
        <w:rPr>
          <w:rFonts w:cs="Arial"/>
        </w:rPr>
        <w:t xml:space="preserve"> mining exposure, </w:t>
      </w:r>
      <w:proofErr w:type="gramStart"/>
      <w:r w:rsidRPr="001B5614">
        <w:rPr>
          <w:rFonts w:cs="Arial"/>
        </w:rPr>
        <w:t>including to</w:t>
      </w:r>
      <w:proofErr w:type="gramEnd"/>
      <w:r w:rsidRPr="001B5614">
        <w:rPr>
          <w:rFonts w:cs="Arial"/>
        </w:rPr>
        <w:t xml:space="preserve"> operations, finance and asset values. </w:t>
      </w:r>
      <w:r w:rsidR="000819CC" w:rsidRPr="001B5614">
        <w:rPr>
          <w:rFonts w:cs="Arial"/>
        </w:rPr>
        <w:t xml:space="preserve">Stakeholder confidence diminishes through disruption of supply and degradation of the environment and water resources. </w:t>
      </w:r>
    </w:p>
    <w:p w14:paraId="574ECDCF" w14:textId="0BBE718A" w:rsidR="00BA5614" w:rsidRPr="001B5614" w:rsidRDefault="00EB778A" w:rsidP="001B5614">
      <w:pPr>
        <w:jc w:val="left"/>
        <w:rPr>
          <w:rFonts w:cs="Arial"/>
          <w:b/>
          <w:bCs/>
        </w:rPr>
      </w:pPr>
      <w:r w:rsidRPr="001B5614">
        <w:rPr>
          <w:rFonts w:cs="Arial"/>
          <w:b/>
          <w:bCs/>
        </w:rPr>
        <w:t>Operational Decarbonisation and Marketing Credibilit</w:t>
      </w:r>
      <w:r w:rsidR="00BA5614" w:rsidRPr="001B5614">
        <w:rPr>
          <w:rFonts w:cs="Arial"/>
          <w:b/>
          <w:bCs/>
        </w:rPr>
        <w:t>y</w:t>
      </w:r>
    </w:p>
    <w:p w14:paraId="1A0F9D41" w14:textId="64C0ED8C" w:rsidR="001F52D9" w:rsidRPr="001B5614" w:rsidRDefault="00793634" w:rsidP="001B5614">
      <w:pPr>
        <w:jc w:val="left"/>
        <w:rPr>
          <w:rFonts w:cs="Arial"/>
        </w:rPr>
      </w:pPr>
      <w:r w:rsidRPr="001B5614">
        <w:rPr>
          <w:rFonts w:cs="Arial"/>
        </w:rPr>
        <w:fldChar w:fldCharType="begin" w:fldLock="1"/>
      </w:r>
      <w:r w:rsidRPr="001B5614">
        <w:rPr>
          <w:rFonts w:cs="Arial"/>
        </w:rPr>
        <w:instrText>ADDIN CSL_CITATION {"citationItems":[{"id":"ITEM-1","itemData":{"author":[{"dropping-particle":"","family":"BHP","given":"","non-dropping-particle":"","parse-names":false,"suffix":""}],"id":"ITEM-1","issued":{"date-parts":[["2026"]]},"title":"Operational GHG emissions (Scopes 1 and 2 emissions from our operated assets)","type":"article-journal"},"uris":["http://www.mendeley.com/documents/?uuid=9ccdf09a-381e-4435-92e9-159cabd2d620"]}],"mendeley":{"formattedCitation":"(BHP, 2026a)","manualFormatting":"BHP (2026)","plainTextFormattedCitation":"(BHP, 2026a)","previouslyFormattedCitation":"(BHP, 2026a)"},"properties":{"noteIndex":0},"schema":"https://github.com/citation-style-language/schema/raw/master/csl-citation.json"}</w:instrText>
      </w:r>
      <w:r w:rsidRPr="001B5614">
        <w:rPr>
          <w:rFonts w:cs="Arial"/>
        </w:rPr>
        <w:fldChar w:fldCharType="separate"/>
      </w:r>
      <w:r w:rsidRPr="001B5614">
        <w:rPr>
          <w:rFonts w:cs="Arial"/>
          <w:noProof/>
        </w:rPr>
        <w:t>BHP (2026)</w:t>
      </w:r>
      <w:r w:rsidRPr="001B5614">
        <w:rPr>
          <w:rFonts w:cs="Arial"/>
        </w:rPr>
        <w:fldChar w:fldCharType="end"/>
      </w:r>
      <w:r w:rsidR="001F52D9" w:rsidRPr="001B5614">
        <w:rPr>
          <w:rFonts w:cs="Arial"/>
        </w:rPr>
        <w:t xml:space="preserve"> says it is on track to achieve at least </w:t>
      </w:r>
      <w:r w:rsidR="00BA5614" w:rsidRPr="001B5614">
        <w:rPr>
          <w:rFonts w:cs="Arial"/>
        </w:rPr>
        <w:t xml:space="preserve">a </w:t>
      </w:r>
      <w:r w:rsidR="001F52D9" w:rsidRPr="001B5614">
        <w:rPr>
          <w:rFonts w:cs="Arial"/>
        </w:rPr>
        <w:t xml:space="preserve">30% reduction in operational Scope 1 and 2 </w:t>
      </w:r>
      <w:r w:rsidR="00BA5614" w:rsidRPr="001B5614">
        <w:rPr>
          <w:rFonts w:cs="Arial"/>
        </w:rPr>
        <w:t>GHG</w:t>
      </w:r>
      <w:r w:rsidR="001F52D9" w:rsidRPr="001B5614">
        <w:rPr>
          <w:rFonts w:cs="Arial"/>
        </w:rPr>
        <w:t xml:space="preserve"> emissions by FY2030, from an adjusted FY2020 baseline</w:t>
      </w:r>
      <w:r w:rsidR="00BA5614" w:rsidRPr="001B5614">
        <w:rPr>
          <w:rFonts w:cs="Arial"/>
        </w:rPr>
        <w:t xml:space="preserve">. </w:t>
      </w:r>
      <w:r w:rsidR="001F52D9" w:rsidRPr="001B5614">
        <w:rPr>
          <w:rFonts w:cs="Arial"/>
        </w:rPr>
        <w:t>Renewable electricity, diesel displacement, mine electrification and methane management are key levers for its Climate Transition Action Plan 2024</w:t>
      </w:r>
      <w:r w:rsidR="00573959" w:rsidRPr="001B5614">
        <w:rPr>
          <w:rFonts w:cs="Arial"/>
        </w:rPr>
        <w:t>.</w:t>
      </w:r>
      <w:r w:rsidRPr="001B5614">
        <w:rPr>
          <w:rFonts w:cs="Arial"/>
        </w:rPr>
        <w:t xml:space="preserve"> </w:t>
      </w:r>
      <w:r w:rsidRPr="001B5614">
        <w:rPr>
          <w:rFonts w:cs="Arial"/>
        </w:rPr>
        <w:fldChar w:fldCharType="begin" w:fldLock="1"/>
      </w:r>
      <w:r w:rsidRPr="001B5614">
        <w:rPr>
          <w:rFonts w:cs="Arial"/>
        </w:rPr>
        <w:instrText>ADDIN CSL_CITATION {"citationItems":[{"id":"ITEM-1","itemData":{"author":[{"dropping-particle":"","family":"Schaap","given":"Famke","non-dropping-particle":"","parse-names":false,"suffix":""}],"id":"ITEM-1","issued":{"date-parts":[["2024"]]},"title":"Decarbonization of the Mining Sector","type":"article-journal"},"uris":["http://www.mendeley.com/documents/?uuid=81a47311-d4d4-4df9-8a10-3a2e9b78387e"]}],"mendeley":{"formattedCitation":"(Schaap, 2024)","manualFormatting":"Schaap (2024)","plainTextFormattedCitation":"(Schaap, 2024)","previouslyFormattedCitation":"(Schaap, 2024)"},"properties":{"noteIndex":0},"schema":"https://github.com/citation-style-language/schema/raw/master/csl-citation.json"}</w:instrText>
      </w:r>
      <w:r w:rsidRPr="001B5614">
        <w:rPr>
          <w:rFonts w:cs="Arial"/>
        </w:rPr>
        <w:fldChar w:fldCharType="separate"/>
      </w:r>
      <w:r w:rsidRPr="001B5614">
        <w:rPr>
          <w:rFonts w:cs="Arial"/>
          <w:noProof/>
        </w:rPr>
        <w:t>Schaap (2024)</w:t>
      </w:r>
      <w:r w:rsidRPr="001B5614">
        <w:rPr>
          <w:rFonts w:cs="Arial"/>
        </w:rPr>
        <w:fldChar w:fldCharType="end"/>
      </w:r>
      <w:r w:rsidR="00573959" w:rsidRPr="001B5614">
        <w:rPr>
          <w:rFonts w:cs="Arial"/>
        </w:rPr>
        <w:t xml:space="preserve"> </w:t>
      </w:r>
      <w:r w:rsidR="001F52D9" w:rsidRPr="001B5614">
        <w:rPr>
          <w:rFonts w:cs="Arial"/>
        </w:rPr>
        <w:t xml:space="preserve">believes that decarbonising mining also means building supporting grids, investing in technology, </w:t>
      </w:r>
      <w:r w:rsidR="001F52D9" w:rsidRPr="001B5614">
        <w:rPr>
          <w:rFonts w:cs="Arial"/>
        </w:rPr>
        <w:lastRenderedPageBreak/>
        <w:t xml:space="preserve">coordination of policy, and credibility in measurement – a target without delivery evidence is not evidence of delivery. While data quality and capability to implement on the site limit the results, machine learning can enhance energy forecasting, process optimisation and predictive maintenance, as demonstrated by </w:t>
      </w:r>
      <w:r w:rsidRPr="001B5614">
        <w:rPr>
          <w:rFonts w:cs="Arial"/>
        </w:rPr>
        <w:fldChar w:fldCharType="begin" w:fldLock="1"/>
      </w:r>
      <w:r w:rsidR="002C3320" w:rsidRPr="001B5614">
        <w:rPr>
          <w:rFonts w:cs="Arial"/>
        </w:rPr>
        <w:instrText>ADDIN CSL_CITATION {"citationItems":[{"id":"ITEM-1","itemData":{"ISSN":"2296-598X","abstract":"Mining is among the most energy-intensive industrial sectors, with processes such as drilling, crushing,and ore processing driving substantial operational costs and environmental impacts. Effective energymanagement is critical to addressing these challenges, particularly in the context of decarbonizationtargets and the complexities of remote site operations. Machine Learning (ML) offers domain-specificopportunities for optimizing energy usage through predictive maintenance, demand forecasting, and realtime process control. This study presents a Scoping Systematic Literature Review (SSLR) of over 75recent publications focused on ML applications within mining energy systems. Techniques such as Random Forests, Neural Networks, and Long Short-Term Memory (LSTM) models demonstrate significant potential in enhancing operational efficiency, minimizing unplanned downtime, and reducing energy consumption. Advanced frameworks—including Reinforcement Learning and Digital Twins—further address mining-specific requirements such as fluctuating ore loads, harsh environmental conditions, and limited communication infrastructure. Despite increasing adoption, key challenges persist, including high implementation costs, limited interpretability, and the complexity of deploying ML in off-grid environments. The review identifies practical strategies to overcome these barriers, such as model compression for edge computing, federated learning for secure multi-site collaboration, and explainable AI for decision traceability. These findings provide targeted guidance for developing scalable, resilient, and energy-aware machine learning (ML) systems tailored to the unique operational demands of the mining sector and aligned with global sustainability goals.","author":[{"dropping-particle":"","family":"Parvathareddy","given":"Sravani","non-dropping-particle":"","parse-names":false,"suffix":""},{"dropping-particle":"","family":"Yahya","given":"Abid","non-dropping-particle":"","parse-names":false,"suffix":""},{"dropping-particle":"","family":"Amuhaya","given":"Lilian","non-dropping-particle":"","parse-names":false,"suffix":""},{"dropping-particle":"","family":"Samikannu","given":"Ravi","non-dropping-particle":"","parse-names":false,"suffix":""},{"dropping-particle":"","family":"Suglo","given":"Raymond Sogna","non-dropping-particle":"","parse-names":false,"suffix":""}],"container-title":"Frontiers in Energy Research","id":"ITEM-1","issued":{"date-parts":[["2025","5","26"]]},"title":"Transforming mining energy optimization: a review of machine learning techniques and challenges","type":"article-journal","volume":"13"},"uris":["http://www.mendeley.com/documents/?uuid=319a02c0-dd24-4ea8-baad-c5284fc828fb"]}],"mendeley":{"formattedCitation":"(Parvathareddy &lt;i&gt;et al.&lt;/i&gt;, 2025)","manualFormatting":"Parvathareddy et al. (2025)","plainTextFormattedCitation":"(Parvathareddy et al., 2025)","previouslyFormattedCitation":"(Parvathareddy &lt;i&gt;et al.&lt;/i&gt;, 2025)"},"properties":{"noteIndex":0},"schema":"https://github.com/citation-style-language/schema/raw/master/csl-citation.json"}</w:instrText>
      </w:r>
      <w:r w:rsidRPr="001B5614">
        <w:rPr>
          <w:rFonts w:cs="Arial"/>
        </w:rPr>
        <w:fldChar w:fldCharType="separate"/>
      </w:r>
      <w:r w:rsidRPr="001B5614">
        <w:rPr>
          <w:rFonts w:cs="Arial"/>
          <w:noProof/>
        </w:rPr>
        <w:t>Parvathareddy et al. (2025)</w:t>
      </w:r>
      <w:r w:rsidRPr="001B5614">
        <w:rPr>
          <w:rFonts w:cs="Arial"/>
        </w:rPr>
        <w:fldChar w:fldCharType="end"/>
      </w:r>
      <w:r w:rsidR="001F52D9" w:rsidRPr="001B5614">
        <w:rPr>
          <w:rFonts w:cs="Arial"/>
        </w:rPr>
        <w:t xml:space="preserve">. This means that BHP can use lower emissions as part of its marketing message, provided it can be done at the asset and product level, with performance that can be demonstrated. </w:t>
      </w:r>
    </w:p>
    <w:p w14:paraId="14DCA136" w14:textId="09108106" w:rsidR="00EB778A" w:rsidRPr="001B5614" w:rsidRDefault="00EB778A" w:rsidP="001B5614">
      <w:pPr>
        <w:jc w:val="left"/>
        <w:rPr>
          <w:rFonts w:cs="Arial"/>
          <w:b/>
          <w:bCs/>
        </w:rPr>
      </w:pPr>
      <w:r w:rsidRPr="001B5614">
        <w:rPr>
          <w:rFonts w:cs="Arial"/>
          <w:b/>
          <w:bCs/>
        </w:rPr>
        <w:t>Scope 3 Emissions and Steelmaking-Decarbonisation Pathways</w:t>
      </w:r>
    </w:p>
    <w:p w14:paraId="64108853" w14:textId="23E2BE24" w:rsidR="001F52D9" w:rsidRPr="001B5614" w:rsidRDefault="000819CC" w:rsidP="001B5614">
      <w:pPr>
        <w:jc w:val="left"/>
        <w:rPr>
          <w:rFonts w:cs="Arial"/>
        </w:rPr>
      </w:pPr>
      <w:r w:rsidRPr="001B5614">
        <w:rPr>
          <w:rFonts w:cs="Arial"/>
        </w:rPr>
        <w:t>The majority of Scope 3 emissions</w:t>
      </w:r>
      <w:r w:rsidR="00793634" w:rsidRPr="001B5614">
        <w:rPr>
          <w:rFonts w:cs="Arial"/>
        </w:rPr>
        <w:t xml:space="preserve"> </w:t>
      </w:r>
      <w:r w:rsidR="00793634" w:rsidRPr="001B5614">
        <w:rPr>
          <w:rFonts w:cs="Arial"/>
        </w:rPr>
        <w:fldChar w:fldCharType="begin" w:fldLock="1"/>
      </w:r>
      <w:r w:rsidR="00793634" w:rsidRPr="001B5614">
        <w:rPr>
          <w:rFonts w:cs="Arial"/>
        </w:rPr>
        <w:instrText>ADDIN CSL_CITATION {"citationItems":[{"id":"ITEM-1","itemData":{"author":[{"dropping-particle":"","family":"BHP","given":"","non-dropping-particle":"","parse-names":false,"suffix":""}],"id":"ITEM-1","issued":{"date-parts":[["2026"]]},"title":"Value chain GHG emissions (Scope 3 emissions)","type":"article-journal"},"uris":["http://www.mendeley.com/documents/?uuid=3e029cd0-7657-43cd-b345-645bfb354ffd"]}],"mendeley":{"formattedCitation":"(BHP, 2026c)","manualFormatting":"BHP (2026)","plainTextFormattedCitation":"(BHP, 2026c)","previouslyFormattedCitation":"(BHP, 2026c)"},"properties":{"noteIndex":0},"schema":"https://github.com/citation-style-language/schema/raw/master/csl-citation.json"}</w:instrText>
      </w:r>
      <w:r w:rsidR="00793634" w:rsidRPr="001B5614">
        <w:rPr>
          <w:rFonts w:cs="Arial"/>
        </w:rPr>
        <w:fldChar w:fldCharType="separate"/>
      </w:r>
      <w:r w:rsidR="00793634" w:rsidRPr="001B5614">
        <w:rPr>
          <w:rFonts w:cs="Arial"/>
          <w:noProof/>
        </w:rPr>
        <w:t>BHP (2026)</w:t>
      </w:r>
      <w:r w:rsidR="00793634" w:rsidRPr="001B5614">
        <w:rPr>
          <w:rFonts w:cs="Arial"/>
        </w:rPr>
        <w:fldChar w:fldCharType="end"/>
      </w:r>
      <w:r w:rsidRPr="001B5614">
        <w:rPr>
          <w:rFonts w:cs="Arial"/>
        </w:rPr>
        <w:t xml:space="preserve"> are downstream, and will require cross-sector industry partnerships</w:t>
      </w:r>
      <w:r w:rsidR="001F52D9" w:rsidRPr="001B5614">
        <w:rPr>
          <w:rFonts w:cs="Arial"/>
        </w:rPr>
        <w:t>. It is a steel frame structure that can indicate that blast-furnace optimisation, direct-reduced iron–electric furnace, electric smelting and electrolysis can be used</w:t>
      </w:r>
      <w:r w:rsidR="00793634" w:rsidRPr="001B5614">
        <w:rPr>
          <w:rFonts w:cs="Arial"/>
        </w:rPr>
        <w:t xml:space="preserve"> </w:t>
      </w:r>
      <w:r w:rsidR="00793634" w:rsidRPr="001B5614">
        <w:rPr>
          <w:rFonts w:cs="Arial"/>
        </w:rPr>
        <w:fldChar w:fldCharType="begin" w:fldLock="1"/>
      </w:r>
      <w:r w:rsidR="002A1F0B" w:rsidRPr="001B5614">
        <w:rPr>
          <w:rFonts w:cs="Arial"/>
        </w:rPr>
        <w:instrText>ADDIN CSL_CITATION {"citationItems":[{"id":"ITEM-1","itemData":{"author":[{"dropping-particle":"","family":"BHP","given":"","non-dropping-particle":"","parse-names":false,"suffix":""}],"id":"ITEM-1","issued":{"date-parts":[["2024"]]},"title":"Pathways towards steelmaking decarbonisation","type":"article-journal"},"uris":["http://www.mendeley.com/documents/?uuid=770757b8-5249-4c70-8615-ac42820d5df4"]}],"mendeley":{"formattedCitation":"(BHP, 2024b)","plainTextFormattedCitation":"(BHP, 2024b)","previouslyFormattedCitation":"(BHP, 2024b)"},"properties":{"noteIndex":0},"schema":"https://github.com/citation-style-language/schema/raw/master/csl-citation.json"}</w:instrText>
      </w:r>
      <w:r w:rsidR="00793634" w:rsidRPr="001B5614">
        <w:rPr>
          <w:rFonts w:cs="Arial"/>
        </w:rPr>
        <w:fldChar w:fldCharType="separate"/>
      </w:r>
      <w:r w:rsidR="002A1F0B" w:rsidRPr="001B5614">
        <w:rPr>
          <w:rFonts w:cs="Arial"/>
          <w:noProof/>
        </w:rPr>
        <w:t>(BHP, 2024b)</w:t>
      </w:r>
      <w:r w:rsidR="00793634" w:rsidRPr="001B5614">
        <w:rPr>
          <w:rFonts w:cs="Arial"/>
        </w:rPr>
        <w:fldChar w:fldCharType="end"/>
      </w:r>
      <w:r w:rsidR="001F52D9" w:rsidRPr="001B5614">
        <w:rPr>
          <w:rFonts w:cs="Arial"/>
        </w:rPr>
        <w:t xml:space="preserve">. It is also the case that, as </w:t>
      </w:r>
      <w:r w:rsidR="00793634" w:rsidRPr="001B5614">
        <w:rPr>
          <w:rFonts w:cs="Arial"/>
        </w:rPr>
        <w:fldChar w:fldCharType="begin" w:fldLock="1"/>
      </w:r>
      <w:r w:rsidR="002C3320" w:rsidRPr="001B5614">
        <w:rPr>
          <w:rFonts w:cs="Arial"/>
        </w:rPr>
        <w:instrText>ADDIN CSL_CITATION {"citationItems":[{"id":"ITEM-1","itemData":{"ISSN":"1996-1073","abstract":"The steelmaking industry is responsible for 7% of global CO2 emissions, making decarbonization a significant challenge. This review provides a comprehensive analysis of current steel-production processes, assessing their environmental impact in terms of CO2 emissions at a global level. Limitations of the current pathways are outlined by using objective criteria and a detailed review of the relevant literature. Decarbonization strategies are rigorously evaluated across various scenarios, emphasizing technology feasibility. Focusing on three pivotal areas—scrap utilization, hydrogen integration, and electricity consumption—in-depth assessments are provided, backed by notable contributions from both industrial and scientific fields. The intricate interplay of technical, economic, and regulatory considerations substantially affects CO2 emissions, particularly considering the EU Emissions Trading System. Leading steel producers have established challenging targets for achieving carbon neutrality, requiring a thorough evaluation of industry practices. This paper emphasizes tactics to be employed within short-, medium-, and long-term periods. This article explores two distinct case studies: One involves a hot rolling mill that utilizes advanced energy techniques and uses H2 for the reheating furnace, resulting in a reduction of 229 kt CO2-eq per year. The second case examines DRI production incorporating H2 and achieves over 90% CO2 reduction per ton of DRI.","author":[{"dropping-particle":"","family":"Rodríguez Diez","given":"Josué","non-dropping-particle":"","parse-names":false,"suffix":""},{"dropping-particle":"","family":"Tomé-Torquemada","given":"Silvia","non-dropping-particle":"","parse-names":false,"suffix":""},{"dropping-particle":"","family":"Vicente","given":"Asier","non-dropping-particle":"","parse-names":false,"suffix":""},{"dropping-particle":"","family":"Reyes","given":"Jon","non-dropping-particle":"","parse-names":false,"suffix":""},{"dropping-particle":"","family":"Orcajo","given":"G. Alonso","non-dropping-particle":"","parse-names":false,"suffix":""}],"container-title":"Energies","id":"ITEM-1","issue":"21","issued":{"date-parts":[["2023","10","31"]]},"page":"7360","title":"Decarbonization Pathways, Strategies, and Use Cases to Achieve Net-Zero CO2 Emissions in the Steelmaking Industry","type":"article-journal","volume":"16"},"uris":["http://www.mendeley.com/documents/?uuid=7a82f13b-45fd-4dd3-bc70-ba489d2536a1"]}],"mendeley":{"formattedCitation":"(Rodríguez Diez &lt;i&gt;et al.&lt;/i&gt;, 2023)","plainTextFormattedCitation":"(Rodríguez Diez et al., 2023)","previouslyFormattedCitation":"(Rodríguez Diez &lt;i&gt;et al.&lt;/i&gt;, 2023)"},"properties":{"noteIndex":0},"schema":"https://github.com/citation-style-language/schema/raw/master/csl-citation.json"}</w:instrText>
      </w:r>
      <w:r w:rsidR="00793634" w:rsidRPr="001B5614">
        <w:rPr>
          <w:rFonts w:cs="Arial"/>
        </w:rPr>
        <w:fldChar w:fldCharType="separate"/>
      </w:r>
      <w:r w:rsidR="002C3320" w:rsidRPr="001B5614">
        <w:rPr>
          <w:rFonts w:cs="Arial"/>
          <w:noProof/>
        </w:rPr>
        <w:t xml:space="preserve">(Rodríguez Diez </w:t>
      </w:r>
      <w:r w:rsidR="002C3320" w:rsidRPr="001B5614">
        <w:rPr>
          <w:rFonts w:cs="Arial"/>
          <w:i/>
          <w:noProof/>
        </w:rPr>
        <w:t>et al.</w:t>
      </w:r>
      <w:r w:rsidR="002C3320" w:rsidRPr="001B5614">
        <w:rPr>
          <w:rFonts w:cs="Arial"/>
          <w:noProof/>
        </w:rPr>
        <w:t>, 2023)</w:t>
      </w:r>
      <w:r w:rsidR="00793634" w:rsidRPr="001B5614">
        <w:rPr>
          <w:rFonts w:cs="Arial"/>
        </w:rPr>
        <w:fldChar w:fldCharType="end"/>
      </w:r>
      <w:r w:rsidR="001F52D9" w:rsidRPr="001B5614">
        <w:rPr>
          <w:rFonts w:cs="Arial"/>
        </w:rPr>
        <w:t xml:space="preserve">. highlight, efficiency, electrification, low-carbon fuels and carbon capture are complementary strategies and not a single solution. According to </w:t>
      </w:r>
      <w:r w:rsidR="00BE3F54" w:rsidRPr="001B5614">
        <w:rPr>
          <w:rFonts w:cs="Arial"/>
        </w:rPr>
        <w:fldChar w:fldCharType="begin" w:fldLock="1"/>
      </w:r>
      <w:r w:rsidR="002C3320" w:rsidRPr="001B5614">
        <w:rPr>
          <w:rFonts w:cs="Arial"/>
        </w:rPr>
        <w:instrText>ADDIN CSL_CITATION {"citationItems":[{"id":"ITEM-1","itemData":{"author":[{"dropping-particle":"","family":"Filho","given":"Isnaldi R. Souza","non-dropping-particle":"","parse-names":false,"suffix":""},{"dropping-particle":"","family":"Springer","given":"Hauke","non-dropping-particle":"","parse-names":false,"suffix":""},{"dropping-particle":"","family":"Ma","given":"Yan","non-dropping-particle":"","parse-names":false,"suffix":""},{"dropping-particle":"","family":"Mahajan","given":"Ankita","non-dropping-particle":"","parse-names":false,"suffix":""},{"dropping-particle":"da","family":"Silva","given":"Cauê C.","non-dropping-particle":"","parse-names":false,"suffix":""},{"dropping-particle":"","family":"Kulse","given":"Michael","non-dropping-particle":"","parse-names":false,"suffix":""},{"dropping-particle":"","family":"Raabe","given":"Dierk","non-dropping-particle":"","parse-names":false,"suffix":""}],"id":"ITEM-1","issued":{"date-parts":[["2022"]]},"title":"Green steel at its crossroads: hybrid hydrogen-based reduction of iron ores","type":"article-journal"},"uris":["http://www.mendeley.com/documents/?uuid=a1aafe36-0f35-4618-a020-d0f47d8be61d"]}],"mendeley":{"formattedCitation":"(Filho &lt;i&gt;et al.&lt;/i&gt;, 2022)","manualFormatting":"Filho et al. (2022)","plainTextFormattedCitation":"(Filho et al., 2022)","previouslyFormattedCitation":"(Filho &lt;i&gt;et al.&lt;/i&gt;, 2022)"},"properties":{"noteIndex":0},"schema":"https://github.com/citation-style-language/schema/raw/master/csl-citation.json"}</w:instrText>
      </w:r>
      <w:r w:rsidR="00BE3F54" w:rsidRPr="001B5614">
        <w:rPr>
          <w:rFonts w:cs="Arial"/>
        </w:rPr>
        <w:fldChar w:fldCharType="separate"/>
      </w:r>
      <w:r w:rsidR="00BE3F54" w:rsidRPr="001B5614">
        <w:rPr>
          <w:rFonts w:cs="Arial"/>
          <w:noProof/>
        </w:rPr>
        <w:t>Filho et al. (2022)</w:t>
      </w:r>
      <w:r w:rsidR="00BE3F54" w:rsidRPr="001B5614">
        <w:rPr>
          <w:rFonts w:cs="Arial"/>
        </w:rPr>
        <w:fldChar w:fldCharType="end"/>
      </w:r>
      <w:r w:rsidR="001F52D9" w:rsidRPr="001B5614">
        <w:rPr>
          <w:rFonts w:cs="Arial"/>
        </w:rPr>
        <w:t xml:space="preserve"> this could be a viable option</w:t>
      </w:r>
      <w:r w:rsidR="00BA5614" w:rsidRPr="001B5614">
        <w:rPr>
          <w:rFonts w:cs="Arial"/>
        </w:rPr>
        <w:t>;</w:t>
      </w:r>
      <w:r w:rsidR="001F52D9" w:rsidRPr="001B5614">
        <w:rPr>
          <w:rFonts w:cs="Arial"/>
        </w:rPr>
        <w:t xml:space="preserve"> however, the energy availability will be a significant challenge because of the need for </w:t>
      </w:r>
      <w:r w:rsidR="00BA5614" w:rsidRPr="001B5614">
        <w:rPr>
          <w:rFonts w:cs="Arial"/>
        </w:rPr>
        <w:t xml:space="preserve">a </w:t>
      </w:r>
      <w:r w:rsidR="001F52D9" w:rsidRPr="001B5614">
        <w:rPr>
          <w:rFonts w:cs="Arial"/>
        </w:rPr>
        <w:t>very large renewable hydrogen supply to replace carbon. Even though, according to</w:t>
      </w:r>
      <w:r w:rsidR="00BE3F54" w:rsidRPr="001B5614">
        <w:rPr>
          <w:rFonts w:cs="Arial"/>
        </w:rPr>
        <w:t xml:space="preserve"> </w:t>
      </w:r>
      <w:r w:rsidR="00BE3F54" w:rsidRPr="001B5614">
        <w:rPr>
          <w:rFonts w:cs="Arial"/>
        </w:rPr>
        <w:fldChar w:fldCharType="begin" w:fldLock="1"/>
      </w:r>
      <w:r w:rsidR="002C3320" w:rsidRPr="001B5614">
        <w:rPr>
          <w:rFonts w:cs="Arial"/>
        </w:rPr>
        <w:instrText>ADDIN CSL_CITATION {"citationItems":[{"id":"ITEM-1","itemData":{"ISSN":"2071-1050","abstract":"The steel industry, which relies heavily on primary energy, is one of the industries with the highest CO2 emissions in China. It is urgent for the industry to identify ways to embark on the path to “green steel”. Hydrogen metallurgy technology uses hydrogen as a reducing agent, and its use is an important way to reduce CO2 emissions from long-term steelmaking and ensure the green and sustainable development of the steel industry. Previous research has demonstrated the feasibility and emission reduction effects of hydrogen metallurgy technology; however, further research is needed to dynamically analyze the overall impact of the large-scale development of hydrogen metallurgy technology on future CO2 emissions from the steel industry. This article selects the integrated MARKAL-EFOM system (TIMES) model as its analysis model, constructs a China steel industry hydrogen metallurgy model (TIMES-CSHM), and analyzes the resulting impact of hydrogen metallurgy technology on CO2 emissions. The results indicate that in the business-as-usual scenario (BAU scenario), applying hydrogen metallurgy technology in the period from 2020 to 2050 is expected to reduce emissions by 203 million tons, and make an average 39.85% contribution to reducing the steel industry’s CO2 emissions. In the carbon emission reduction scenario, applying hydrogen metallurgy technology in the period from 2020 to 2050 is expected to reduce emissions by 353 million tons, contributing an average of 41.32% to steel industry CO2 reduction. This study provides an assessment of how hydrogen metallurgy can reduce CO2 emissions in the steel industry, and also provides a reference for the development of hydrogen metallurgy technology.","author":[{"dropping-particle":"","family":"Wan","given":"Fang","non-dropping-particle":"","parse-names":false,"suffix":""},{"dropping-particle":"","family":"Li","given":"Jizu","non-dropping-particle":"","parse-names":false,"suffix":""},{"dropping-particle":"","family":"Han","given":"Yunfei","non-dropping-particle":"","parse-names":false,"suffix":""},{"dropping-particle":"","family":"Yao","given":"Xilong","non-dropping-particle":"","parse-names":false,"suffix":""}],"container-title":"Sustainability","id":"ITEM-1","issue":"5","issued":{"date-parts":[["2024","2","22"]]},"page":"1814","title":"Research of the Impact of Hydrogen Metallurgy Technology on the Reduction of the Chinese Steel Industry’s Carbon Dioxide Emissions","type":"article-journal","volume":"16"},"uris":["http://www.mendeley.com/documents/?uuid=20af496a-a6ba-4c63-8e3f-483ad949f32a"]}],"mendeley":{"formattedCitation":"(Wan &lt;i&gt;et al.&lt;/i&gt;, 2024)","manualFormatting":"Wan et al. (2024)","plainTextFormattedCitation":"(Wan et al., 2024)","previouslyFormattedCitation":"(Wan &lt;i&gt;et al.&lt;/i&gt;, 2024)"},"properties":{"noteIndex":0},"schema":"https://github.com/citation-style-language/schema/raw/master/csl-citation.json"}</w:instrText>
      </w:r>
      <w:r w:rsidR="00BE3F54" w:rsidRPr="001B5614">
        <w:rPr>
          <w:rFonts w:cs="Arial"/>
        </w:rPr>
        <w:fldChar w:fldCharType="separate"/>
      </w:r>
      <w:r w:rsidR="00BE3F54" w:rsidRPr="001B5614">
        <w:rPr>
          <w:rFonts w:cs="Arial"/>
          <w:noProof/>
        </w:rPr>
        <w:t>Wan et al. (2024)</w:t>
      </w:r>
      <w:r w:rsidR="00BE3F54" w:rsidRPr="001B5614">
        <w:rPr>
          <w:rFonts w:cs="Arial"/>
        </w:rPr>
        <w:fldChar w:fldCharType="end"/>
      </w:r>
      <w:r w:rsidR="001F52D9" w:rsidRPr="001B5614">
        <w:rPr>
          <w:rFonts w:cs="Arial"/>
        </w:rPr>
        <w:t>., hydrogen metallurgy can cut the emissions of steel, the effect is dictated by the rate of deployment and the carbon intensity of the hydrogen.</w:t>
      </w:r>
      <w:r w:rsidR="00BE3F54" w:rsidRPr="001B5614">
        <w:rPr>
          <w:rFonts w:cs="Arial"/>
        </w:rPr>
        <w:t xml:space="preserve"> </w:t>
      </w:r>
      <w:r w:rsidR="00BE3F54" w:rsidRPr="001B5614">
        <w:rPr>
          <w:rFonts w:cs="Arial"/>
        </w:rPr>
        <w:fldChar w:fldCharType="begin" w:fldLock="1"/>
      </w:r>
      <w:r w:rsidR="002C3320" w:rsidRPr="001B5614">
        <w:rPr>
          <w:rFonts w:cs="Arial"/>
        </w:rPr>
        <w:instrText>ADDIN CSL_CITATION {"citationItems":[{"id":"ITEM-1","itemData":{"ISSN":"1996-1073","abstract":"Decarbonizing the current steel and power sectors through the development of the hydrogen direct-reduction iron ore–electric arc furnace route and the 100% hydrogen-fired gas turbine cycle is crucial. The current study focuses on three clusters of research works. The first cluster covers the investigation of the mass and energy balance of the route and the subsequent application of these values in experiments to optimize the reduction yield of iron ore. In the second cluster, the existing gas turbine unit was selected for the complete replacement of natural gas with hydrogen and for finding the most optimal mass and energy balance in the cycle through an Aspen HYSYS model. In addition, the chemical kinetics in the hydrogen combustion process were simulated using Ansys Chemkin Pro to research the emissions. In the last cluster, a comparative economic analysis was conducted to identify the levelized cost of production of the route and the levelized cost of electricity of the cycle. The findings in the economic analysis provided good insight into the details of the capital and operational expenditures of each industrial sector in understanding the impact of each kg of hydrogen consumed in the plants. These findings provide a good basis for future research on reducing the cost of hydrogen-based steel and power sectors. Moreover, the outcomes of this study can also assist ongoing, large-scale hydrogen and ammonia projects in Uzbekistan in terms of designing novel hydrogen-based industries with cost-effective solutions.","author":[{"dropping-particle":"","family":"Alikulov","given":"Khusniddin","non-dropping-particle":"","parse-names":false,"suffix":""},{"dropping-particle":"","family":"Aminov","given":"Zarif","non-dropping-particle":"","parse-names":false,"suffix":""},{"dropping-particle":"","family":"Anh","given":"La Hoang","non-dropping-particle":"","parse-names":false,"suffix":""},{"dropping-particle":"","family":"Xuan","given":"Tran Dang","non-dropping-particle":"","parse-names":false,"suffix":""},{"dropping-particle":"","family":"Kim","given":"Wookyung","non-dropping-particle":"","parse-names":false,"suffix":""}],"container-title":"Energies","id":"ITEM-1","issue":"5","issued":{"date-parts":[["2024","3","5"]]},"page":"1242","title":"Comparative Technical and Economic Analyses of Hydrogen-Based Steel and Power Sectors","type":"article-journal","volume":"17"},"uris":["http://www.mendeley.com/documents/?uuid=40b3b34f-a79a-469b-8603-2e76f46cb3d3"]}],"mendeley":{"formattedCitation":"(Alikulov &lt;i&gt;et al.&lt;/i&gt;, 2024)","manualFormatting":"Alikulov et al. (2024)","plainTextFormattedCitation":"(Alikulov et al., 2024)","previouslyFormattedCitation":"(Alikulov &lt;i&gt;et al.&lt;/i&gt;, 2024)"},"properties":{"noteIndex":0},"schema":"https://github.com/citation-style-language/schema/raw/master/csl-citation.json"}</w:instrText>
      </w:r>
      <w:r w:rsidR="00BE3F54" w:rsidRPr="001B5614">
        <w:rPr>
          <w:rFonts w:cs="Arial"/>
        </w:rPr>
        <w:fldChar w:fldCharType="separate"/>
      </w:r>
      <w:r w:rsidR="00BE3F54" w:rsidRPr="001B5614">
        <w:rPr>
          <w:rFonts w:cs="Arial"/>
          <w:noProof/>
        </w:rPr>
        <w:t>Alikulov et al. (2024)</w:t>
      </w:r>
      <w:r w:rsidR="00BE3F54" w:rsidRPr="001B5614">
        <w:rPr>
          <w:rFonts w:cs="Arial"/>
        </w:rPr>
        <w:fldChar w:fldCharType="end"/>
      </w:r>
      <w:r w:rsidR="001F52D9" w:rsidRPr="001B5614">
        <w:rPr>
          <w:rFonts w:cs="Arial"/>
        </w:rPr>
        <w:t xml:space="preserve"> also demonstrate that electricity, </w:t>
      </w:r>
      <w:proofErr w:type="gramStart"/>
      <w:r w:rsidR="001F52D9" w:rsidRPr="001B5614">
        <w:rPr>
          <w:rFonts w:cs="Arial"/>
        </w:rPr>
        <w:t xml:space="preserve">the </w:t>
      </w:r>
      <w:r w:rsidR="00581DDD" w:rsidRPr="001B5614">
        <w:rPr>
          <w:rFonts w:cs="Arial"/>
        </w:rPr>
        <w:t>electrolysis</w:t>
      </w:r>
      <w:proofErr w:type="gramEnd"/>
      <w:r w:rsidR="001F52D9" w:rsidRPr="001B5614">
        <w:rPr>
          <w:rFonts w:cs="Arial"/>
        </w:rPr>
        <w:t xml:space="preserve"> and </w:t>
      </w:r>
      <w:proofErr w:type="gramStart"/>
      <w:r w:rsidR="001F52D9" w:rsidRPr="001B5614">
        <w:rPr>
          <w:rFonts w:cs="Arial"/>
        </w:rPr>
        <w:t>the hydrogen</w:t>
      </w:r>
      <w:proofErr w:type="gramEnd"/>
      <w:r w:rsidR="001F52D9" w:rsidRPr="001B5614">
        <w:rPr>
          <w:rFonts w:cs="Arial"/>
        </w:rPr>
        <w:t xml:space="preserve"> are still very important to the economics of </w:t>
      </w:r>
      <w:proofErr w:type="gramStart"/>
      <w:r w:rsidR="001F52D9" w:rsidRPr="001B5614">
        <w:rPr>
          <w:rFonts w:cs="Arial"/>
        </w:rPr>
        <w:t>the hydrogen</w:t>
      </w:r>
      <w:proofErr w:type="gramEnd"/>
      <w:r w:rsidR="001F52D9" w:rsidRPr="001B5614">
        <w:rPr>
          <w:rFonts w:cs="Arial"/>
        </w:rPr>
        <w:t xml:space="preserve">-based steelmaking. </w:t>
      </w:r>
    </w:p>
    <w:p w14:paraId="3B31FC22" w14:textId="239750EE" w:rsidR="00BA5614" w:rsidRPr="001B5614" w:rsidRDefault="00BA5614" w:rsidP="001B5614">
      <w:pPr>
        <w:pStyle w:val="Caption"/>
        <w:keepNext/>
        <w:spacing w:line="360" w:lineRule="auto"/>
        <w:jc w:val="left"/>
        <w:rPr>
          <w:rFonts w:cs="Arial"/>
        </w:rPr>
      </w:pPr>
      <w:r w:rsidRPr="001B5614">
        <w:rPr>
          <w:rFonts w:cs="Arial"/>
        </w:rPr>
        <w:t xml:space="preserve">Table </w:t>
      </w:r>
      <w:r w:rsidRPr="001B5614">
        <w:rPr>
          <w:rFonts w:cs="Arial"/>
        </w:rPr>
        <w:fldChar w:fldCharType="begin"/>
      </w:r>
      <w:r w:rsidRPr="001B5614">
        <w:rPr>
          <w:rFonts w:cs="Arial"/>
        </w:rPr>
        <w:instrText xml:space="preserve"> SEQ Table \* ARABIC </w:instrText>
      </w:r>
      <w:r w:rsidRPr="001B5614">
        <w:rPr>
          <w:rFonts w:cs="Arial"/>
        </w:rPr>
        <w:fldChar w:fldCharType="separate"/>
      </w:r>
      <w:r w:rsidRPr="001B5614">
        <w:rPr>
          <w:rFonts w:cs="Arial"/>
          <w:noProof/>
        </w:rPr>
        <w:t>1</w:t>
      </w:r>
      <w:r w:rsidRPr="001B5614">
        <w:rPr>
          <w:rFonts w:cs="Arial"/>
          <w:noProof/>
        </w:rPr>
        <w:fldChar w:fldCharType="end"/>
      </w:r>
      <w:r w:rsidRPr="001B5614">
        <w:rPr>
          <w:rFonts w:cs="Arial"/>
        </w:rPr>
        <w:t>:Natural-environment implications</w:t>
      </w:r>
    </w:p>
    <w:tbl>
      <w:tblPr>
        <w:tblStyle w:val="TableGrid"/>
        <w:tblW w:w="0" w:type="auto"/>
        <w:tblLook w:val="04A0" w:firstRow="1" w:lastRow="0" w:firstColumn="1" w:lastColumn="0" w:noHBand="0" w:noVBand="1"/>
      </w:tblPr>
      <w:tblGrid>
        <w:gridCol w:w="2451"/>
        <w:gridCol w:w="3375"/>
        <w:gridCol w:w="3524"/>
      </w:tblGrid>
      <w:tr w:rsidR="001F52D9" w:rsidRPr="001B5614" w14:paraId="28D34844" w14:textId="77777777" w:rsidTr="001F52D9">
        <w:tc>
          <w:tcPr>
            <w:tcW w:w="0" w:type="auto"/>
            <w:hideMark/>
          </w:tcPr>
          <w:p w14:paraId="7352FB28" w14:textId="77777777" w:rsidR="001F52D9" w:rsidRPr="001B5614" w:rsidRDefault="001F52D9" w:rsidP="001B5614">
            <w:pPr>
              <w:spacing w:after="160"/>
              <w:jc w:val="left"/>
              <w:rPr>
                <w:rFonts w:cs="Arial"/>
                <w:b/>
                <w:bCs/>
              </w:rPr>
            </w:pPr>
            <w:r w:rsidRPr="001B5614">
              <w:rPr>
                <w:rFonts w:cs="Arial"/>
                <w:b/>
                <w:bCs/>
              </w:rPr>
              <w:t>Natural-environment pressure</w:t>
            </w:r>
          </w:p>
        </w:tc>
        <w:tc>
          <w:tcPr>
            <w:tcW w:w="0" w:type="auto"/>
            <w:hideMark/>
          </w:tcPr>
          <w:p w14:paraId="517A1C93" w14:textId="77777777" w:rsidR="001F52D9" w:rsidRPr="001B5614" w:rsidRDefault="001F52D9" w:rsidP="001B5614">
            <w:pPr>
              <w:spacing w:after="160"/>
              <w:jc w:val="left"/>
              <w:rPr>
                <w:rFonts w:cs="Arial"/>
                <w:b/>
                <w:bCs/>
              </w:rPr>
            </w:pPr>
            <w:r w:rsidRPr="001B5614">
              <w:rPr>
                <w:rFonts w:cs="Arial"/>
                <w:b/>
                <w:bCs/>
              </w:rPr>
              <w:t>Marketing opportunity</w:t>
            </w:r>
          </w:p>
        </w:tc>
        <w:tc>
          <w:tcPr>
            <w:tcW w:w="0" w:type="auto"/>
            <w:hideMark/>
          </w:tcPr>
          <w:p w14:paraId="54A714BC" w14:textId="77777777" w:rsidR="001F52D9" w:rsidRPr="001B5614" w:rsidRDefault="001F52D9" w:rsidP="001B5614">
            <w:pPr>
              <w:spacing w:after="160"/>
              <w:jc w:val="left"/>
              <w:rPr>
                <w:rFonts w:cs="Arial"/>
                <w:b/>
                <w:bCs/>
              </w:rPr>
            </w:pPr>
            <w:r w:rsidRPr="001B5614">
              <w:rPr>
                <w:rFonts w:cs="Arial"/>
                <w:b/>
                <w:bCs/>
              </w:rPr>
              <w:t>Strategic limitation</w:t>
            </w:r>
          </w:p>
        </w:tc>
      </w:tr>
      <w:tr w:rsidR="001F52D9" w:rsidRPr="001B5614" w14:paraId="6FD2E20B" w14:textId="77777777" w:rsidTr="001F52D9">
        <w:tc>
          <w:tcPr>
            <w:tcW w:w="0" w:type="auto"/>
            <w:hideMark/>
          </w:tcPr>
          <w:p w14:paraId="4C88159F" w14:textId="77777777" w:rsidR="001F52D9" w:rsidRPr="001B5614" w:rsidRDefault="001F52D9" w:rsidP="001B5614">
            <w:pPr>
              <w:spacing w:after="160"/>
              <w:jc w:val="left"/>
              <w:rPr>
                <w:rFonts w:cs="Arial"/>
              </w:rPr>
            </w:pPr>
            <w:r w:rsidRPr="001B5614">
              <w:rPr>
                <w:rFonts w:cs="Arial"/>
              </w:rPr>
              <w:t>Climate and water disruption</w:t>
            </w:r>
          </w:p>
        </w:tc>
        <w:tc>
          <w:tcPr>
            <w:tcW w:w="0" w:type="auto"/>
            <w:hideMark/>
          </w:tcPr>
          <w:p w14:paraId="1BB24217" w14:textId="77777777" w:rsidR="001F52D9" w:rsidRPr="001B5614" w:rsidRDefault="001F52D9" w:rsidP="001B5614">
            <w:pPr>
              <w:spacing w:after="160"/>
              <w:jc w:val="left"/>
              <w:rPr>
                <w:rFonts w:cs="Arial"/>
              </w:rPr>
            </w:pPr>
            <w:r w:rsidRPr="001B5614">
              <w:rPr>
                <w:rFonts w:cs="Arial"/>
              </w:rPr>
              <w:t>Position resilient supply as customer value</w:t>
            </w:r>
          </w:p>
        </w:tc>
        <w:tc>
          <w:tcPr>
            <w:tcW w:w="0" w:type="auto"/>
            <w:hideMark/>
          </w:tcPr>
          <w:p w14:paraId="209E3138" w14:textId="77777777" w:rsidR="001F52D9" w:rsidRPr="001B5614" w:rsidRDefault="001F52D9" w:rsidP="001B5614">
            <w:pPr>
              <w:spacing w:after="160"/>
              <w:jc w:val="left"/>
              <w:rPr>
                <w:rFonts w:cs="Arial"/>
              </w:rPr>
            </w:pPr>
            <w:r w:rsidRPr="001B5614">
              <w:rPr>
                <w:rFonts w:cs="Arial"/>
              </w:rPr>
              <w:t>Adaptation spending may not prevent major events</w:t>
            </w:r>
          </w:p>
        </w:tc>
      </w:tr>
      <w:tr w:rsidR="001F52D9" w:rsidRPr="001B5614" w14:paraId="71D8E561" w14:textId="77777777" w:rsidTr="001F52D9">
        <w:tc>
          <w:tcPr>
            <w:tcW w:w="0" w:type="auto"/>
            <w:hideMark/>
          </w:tcPr>
          <w:p w14:paraId="0836C2C0" w14:textId="77777777" w:rsidR="001F52D9" w:rsidRPr="001B5614" w:rsidRDefault="001F52D9" w:rsidP="001B5614">
            <w:pPr>
              <w:spacing w:after="160"/>
              <w:jc w:val="left"/>
              <w:rPr>
                <w:rFonts w:cs="Arial"/>
              </w:rPr>
            </w:pPr>
            <w:r w:rsidRPr="001B5614">
              <w:rPr>
                <w:rFonts w:cs="Arial"/>
              </w:rPr>
              <w:lastRenderedPageBreak/>
              <w:t>Operational emissions</w:t>
            </w:r>
          </w:p>
        </w:tc>
        <w:tc>
          <w:tcPr>
            <w:tcW w:w="0" w:type="auto"/>
            <w:hideMark/>
          </w:tcPr>
          <w:p w14:paraId="37D9F1E1" w14:textId="77777777" w:rsidR="001F52D9" w:rsidRPr="001B5614" w:rsidRDefault="001F52D9" w:rsidP="001B5614">
            <w:pPr>
              <w:spacing w:after="160"/>
              <w:jc w:val="left"/>
              <w:rPr>
                <w:rFonts w:cs="Arial"/>
              </w:rPr>
            </w:pPr>
            <w:proofErr w:type="gramStart"/>
            <w:r w:rsidRPr="001B5614">
              <w:rPr>
                <w:rFonts w:cs="Arial"/>
              </w:rPr>
              <w:t>Offer</w:t>
            </w:r>
            <w:proofErr w:type="gramEnd"/>
            <w:r w:rsidRPr="001B5614">
              <w:rPr>
                <w:rFonts w:cs="Arial"/>
              </w:rPr>
              <w:t xml:space="preserve"> auditable lower-carbon production data</w:t>
            </w:r>
          </w:p>
        </w:tc>
        <w:tc>
          <w:tcPr>
            <w:tcW w:w="0" w:type="auto"/>
            <w:hideMark/>
          </w:tcPr>
          <w:p w14:paraId="3F210C12" w14:textId="77777777" w:rsidR="001F52D9" w:rsidRPr="001B5614" w:rsidRDefault="001F52D9" w:rsidP="001B5614">
            <w:pPr>
              <w:spacing w:after="160"/>
              <w:jc w:val="left"/>
              <w:rPr>
                <w:rFonts w:cs="Arial"/>
              </w:rPr>
            </w:pPr>
            <w:r w:rsidRPr="001B5614">
              <w:rPr>
                <w:rFonts w:cs="Arial"/>
              </w:rPr>
              <w:t>Mine electrification is capital- and infrastructure-intensive</w:t>
            </w:r>
          </w:p>
        </w:tc>
      </w:tr>
      <w:tr w:rsidR="001F52D9" w:rsidRPr="001B5614" w14:paraId="7FF439E8" w14:textId="77777777" w:rsidTr="001F52D9">
        <w:tc>
          <w:tcPr>
            <w:tcW w:w="0" w:type="auto"/>
            <w:hideMark/>
          </w:tcPr>
          <w:p w14:paraId="28E4A816" w14:textId="77777777" w:rsidR="001F52D9" w:rsidRPr="001B5614" w:rsidRDefault="001F52D9" w:rsidP="001B5614">
            <w:pPr>
              <w:spacing w:after="160"/>
              <w:jc w:val="left"/>
              <w:rPr>
                <w:rFonts w:cs="Arial"/>
              </w:rPr>
            </w:pPr>
            <w:r w:rsidRPr="001B5614">
              <w:rPr>
                <w:rFonts w:cs="Arial"/>
              </w:rPr>
              <w:t>Steelmaking Scope 3 emissions</w:t>
            </w:r>
          </w:p>
        </w:tc>
        <w:tc>
          <w:tcPr>
            <w:tcW w:w="0" w:type="auto"/>
            <w:hideMark/>
          </w:tcPr>
          <w:p w14:paraId="6711128E" w14:textId="77777777" w:rsidR="001F52D9" w:rsidRPr="001B5614" w:rsidRDefault="001F52D9" w:rsidP="001B5614">
            <w:pPr>
              <w:spacing w:after="160"/>
              <w:jc w:val="left"/>
              <w:rPr>
                <w:rFonts w:cs="Arial"/>
              </w:rPr>
            </w:pPr>
            <w:r w:rsidRPr="001B5614">
              <w:rPr>
                <w:rFonts w:cs="Arial"/>
              </w:rPr>
              <w:t>Co-develop compatible ores, blends and services</w:t>
            </w:r>
          </w:p>
        </w:tc>
        <w:tc>
          <w:tcPr>
            <w:tcW w:w="0" w:type="auto"/>
            <w:hideMark/>
          </w:tcPr>
          <w:p w14:paraId="1501C521" w14:textId="77777777" w:rsidR="001F52D9" w:rsidRPr="001B5614" w:rsidRDefault="001F52D9" w:rsidP="001B5614">
            <w:pPr>
              <w:spacing w:after="160"/>
              <w:jc w:val="left"/>
              <w:rPr>
                <w:rFonts w:cs="Arial"/>
              </w:rPr>
            </w:pPr>
            <w:r w:rsidRPr="001B5614">
              <w:rPr>
                <w:rFonts w:cs="Arial"/>
              </w:rPr>
              <w:t>BHP cannot control customers’ energy systems</w:t>
            </w:r>
          </w:p>
        </w:tc>
      </w:tr>
      <w:tr w:rsidR="001F52D9" w:rsidRPr="001B5614" w14:paraId="3BE559D3" w14:textId="77777777" w:rsidTr="001F52D9">
        <w:tc>
          <w:tcPr>
            <w:tcW w:w="0" w:type="auto"/>
            <w:hideMark/>
          </w:tcPr>
          <w:p w14:paraId="575E7EF4" w14:textId="77777777" w:rsidR="001F52D9" w:rsidRPr="001B5614" w:rsidRDefault="001F52D9" w:rsidP="001B5614">
            <w:pPr>
              <w:spacing w:after="160"/>
              <w:jc w:val="left"/>
              <w:rPr>
                <w:rFonts w:cs="Arial"/>
              </w:rPr>
            </w:pPr>
            <w:r w:rsidRPr="001B5614">
              <w:rPr>
                <w:rFonts w:cs="Arial"/>
              </w:rPr>
              <w:t>Biodiversity and land impacts</w:t>
            </w:r>
          </w:p>
        </w:tc>
        <w:tc>
          <w:tcPr>
            <w:tcW w:w="0" w:type="auto"/>
            <w:hideMark/>
          </w:tcPr>
          <w:p w14:paraId="5F393247" w14:textId="77777777" w:rsidR="001F52D9" w:rsidRPr="001B5614" w:rsidRDefault="001F52D9" w:rsidP="001B5614">
            <w:pPr>
              <w:spacing w:after="160"/>
              <w:jc w:val="left"/>
              <w:rPr>
                <w:rFonts w:cs="Arial"/>
              </w:rPr>
            </w:pPr>
            <w:proofErr w:type="gramStart"/>
            <w:r w:rsidRPr="001B5614">
              <w:rPr>
                <w:rFonts w:cs="Arial"/>
              </w:rPr>
              <w:t>Strengthen</w:t>
            </w:r>
            <w:proofErr w:type="gramEnd"/>
            <w:r w:rsidRPr="001B5614">
              <w:rPr>
                <w:rFonts w:cs="Arial"/>
              </w:rPr>
              <w:t xml:space="preserve"> legitimacy through transparent performance</w:t>
            </w:r>
          </w:p>
        </w:tc>
        <w:tc>
          <w:tcPr>
            <w:tcW w:w="0" w:type="auto"/>
            <w:hideMark/>
          </w:tcPr>
          <w:p w14:paraId="304AAD41" w14:textId="77777777" w:rsidR="001F52D9" w:rsidRPr="001B5614" w:rsidRDefault="001F52D9" w:rsidP="001B5614">
            <w:pPr>
              <w:spacing w:after="160"/>
              <w:jc w:val="left"/>
              <w:rPr>
                <w:rFonts w:cs="Arial"/>
              </w:rPr>
            </w:pPr>
            <w:r w:rsidRPr="001B5614">
              <w:rPr>
                <w:rFonts w:cs="Arial"/>
              </w:rPr>
              <w:t>Higher mineral demand can increase ecological pressure</w:t>
            </w:r>
          </w:p>
        </w:tc>
      </w:tr>
    </w:tbl>
    <w:p w14:paraId="68B3CADE" w14:textId="1FEF1902" w:rsidR="001F52D9" w:rsidRPr="001B5614" w:rsidRDefault="00A276B1" w:rsidP="001B5614">
      <w:pPr>
        <w:jc w:val="left"/>
        <w:rPr>
          <w:rFonts w:cs="Arial"/>
        </w:rPr>
      </w:pPr>
      <w:r w:rsidRPr="001B5614">
        <w:rPr>
          <w:rFonts w:cs="Arial"/>
        </w:rPr>
        <w:t xml:space="preserve">Mining firms are under various pressures from government, community, investors, NGOs and customers, which interact with each other, as shown by </w:t>
      </w:r>
      <w:r w:rsidR="00BE3F54" w:rsidRPr="001B5614">
        <w:rPr>
          <w:rFonts w:cs="Arial"/>
        </w:rPr>
        <w:fldChar w:fldCharType="begin" w:fldLock="1"/>
      </w:r>
      <w:r w:rsidR="002C3320" w:rsidRPr="001B5614">
        <w:rPr>
          <w:rFonts w:cs="Arial"/>
        </w:rPr>
        <w:instrText>ADDIN CSL_CITATION {"citationItems":[{"id":"ITEM-1","itemData":{"ISSN":"1911-8074","abstract":"Mining activities can be good for the local economy, but they can also have a negative impact, which has created increasing pressure from stakeholders. A constructive and positive engagement between a company and its stakeholders is important for sustainability issues and can provide a shared understanding of sustainable development. This review aims to examine the growth trajectory, the most influential documents, and the conceptual framework of the literature on stakeholder engagement and corporate social responsibility (CSR) in the mining industry. Moreover, tries to answer the following research questions: What research streams have been followed? Which theories and research paradigms have been used? A bibliometric analysis was performed using 149 documents extracted from the Web of Science and Scopus databases. The documents obtained were analysed using Bibliometrix software. The results suggest that the most studied constructs within the mining industry are related to sustainability issues, management and legitimacy concerns, and the importance of stakeholders, particularly local communities, and the social impacts that mining generates. The study contributes to the literature by reviewing prominent cited references and documents that cited them, the authors provide the landscapes and research gaps of major research lines for further development.","author":[{"dropping-particle":"","family":"Rodrigues","given":"Margarida","non-dropping-particle":"","parse-names":false,"suffix":""},{"dropping-particle":"","family":"Alves","given":"Maria-Ceu","non-dropping-particle":"","parse-names":false,"suffix":""},{"dropping-particle":"","family":"Silva","given":"Rui","non-dropping-particle":"","parse-names":false,"suffix":""},{"dropping-particle":"","family":"Oliveira","given":"Cidália","non-dropping-particle":"","parse-names":false,"suffix":""}],"container-title":"Journal of Risk and Financial Management","id":"ITEM-1","issue":"10","issued":{"date-parts":[["2022","9","23"]]},"page":"425","title":"Mapping the Literature on Social Responsibility and Stakeholders’ Pressures in the Mining Industry","type":"article-journal","volume":"15"},"uris":["http://www.mendeley.com/documents/?uuid=0737daca-c712-4754-8c53-8ccd394e4d5b"]}],"mendeley":{"formattedCitation":"(Rodrigues &lt;i&gt;et al.&lt;/i&gt;, 2022)","manualFormatting":"Rodrigues et al. (2022)","plainTextFormattedCitation":"(Rodrigues et al., 2022)","previouslyFormattedCitation":"(Rodrigues &lt;i&gt;et al.&lt;/i&gt;, 2022)"},"properties":{"noteIndex":0},"schema":"https://github.com/citation-style-language/schema/raw/master/csl-citation.json"}</w:instrText>
      </w:r>
      <w:r w:rsidR="00BE3F54" w:rsidRPr="001B5614">
        <w:rPr>
          <w:rFonts w:cs="Arial"/>
        </w:rPr>
        <w:fldChar w:fldCharType="separate"/>
      </w:r>
      <w:r w:rsidR="00BE3F54" w:rsidRPr="001B5614">
        <w:rPr>
          <w:rFonts w:cs="Arial"/>
          <w:noProof/>
        </w:rPr>
        <w:t>Rodrigues et al. (2022)</w:t>
      </w:r>
      <w:r w:rsidR="00BE3F54" w:rsidRPr="001B5614">
        <w:rPr>
          <w:rFonts w:cs="Arial"/>
        </w:rPr>
        <w:fldChar w:fldCharType="end"/>
      </w:r>
      <w:r w:rsidR="00BE3F54" w:rsidRPr="001B5614">
        <w:rPr>
          <w:rFonts w:cs="Arial"/>
        </w:rPr>
        <w:t xml:space="preserve"> </w:t>
      </w:r>
      <w:r w:rsidRPr="001B5614">
        <w:rPr>
          <w:rFonts w:cs="Arial"/>
        </w:rPr>
        <w:t xml:space="preserve">and transparency of interaction is essential to being legitimate. </w:t>
      </w:r>
      <w:proofErr w:type="gramStart"/>
      <w:r w:rsidR="000819CC" w:rsidRPr="001B5614">
        <w:rPr>
          <w:rFonts w:cs="Arial"/>
        </w:rPr>
        <w:t>Transition</w:t>
      </w:r>
      <w:proofErr w:type="gramEnd"/>
      <w:r w:rsidR="000819CC" w:rsidRPr="001B5614">
        <w:rPr>
          <w:rFonts w:cs="Arial"/>
        </w:rPr>
        <w:t xml:space="preserve"> minerals increase ecological damage</w:t>
      </w:r>
      <w:r w:rsidR="00BA5614" w:rsidRPr="001B5614">
        <w:rPr>
          <w:rFonts w:cs="Arial"/>
        </w:rPr>
        <w:t>;</w:t>
      </w:r>
      <w:r w:rsidR="000819CC" w:rsidRPr="001B5614">
        <w:rPr>
          <w:rFonts w:cs="Arial"/>
        </w:rPr>
        <w:t xml:space="preserve"> BHP must achieve community improvements. </w:t>
      </w:r>
    </w:p>
    <w:p w14:paraId="547A90F9" w14:textId="77777777" w:rsidR="001F52D9" w:rsidRPr="001B5614" w:rsidRDefault="001F52D9" w:rsidP="001B5614">
      <w:pPr>
        <w:pStyle w:val="Heading2"/>
        <w:jc w:val="left"/>
        <w:rPr>
          <w:rFonts w:cs="Arial"/>
        </w:rPr>
      </w:pPr>
      <w:bookmarkStart w:id="3" w:name="_Toc235717397"/>
      <w:r w:rsidRPr="001B5614">
        <w:rPr>
          <w:rFonts w:cs="Arial"/>
        </w:rPr>
        <w:t>1.3 Government and Regulatory Bodies</w:t>
      </w:r>
      <w:bookmarkEnd w:id="3"/>
    </w:p>
    <w:p w14:paraId="53244EBC" w14:textId="5F3942CC" w:rsidR="00EB778A" w:rsidRPr="001B5614" w:rsidRDefault="00EB778A" w:rsidP="001B5614">
      <w:pPr>
        <w:jc w:val="left"/>
        <w:rPr>
          <w:rFonts w:cs="Arial"/>
          <w:b/>
          <w:bCs/>
        </w:rPr>
      </w:pPr>
      <w:r w:rsidRPr="001B5614">
        <w:rPr>
          <w:rFonts w:cs="Arial"/>
          <w:b/>
          <w:bCs/>
        </w:rPr>
        <w:t>Australian Safeguard Mechanism and Policy Alignment</w:t>
      </w:r>
    </w:p>
    <w:p w14:paraId="7D1870A0" w14:textId="48D442B6" w:rsidR="001F52D9" w:rsidRPr="001B5614" w:rsidRDefault="00A276B1" w:rsidP="001B5614">
      <w:pPr>
        <w:jc w:val="left"/>
        <w:rPr>
          <w:rFonts w:cs="Arial"/>
        </w:rPr>
      </w:pPr>
      <w:r w:rsidRPr="001B5614">
        <w:rPr>
          <w:rFonts w:cs="Arial"/>
        </w:rPr>
        <w:t xml:space="preserve">Safeguard Mechanism in Australia is based on emissions baselines for facilities which emit more than 100,000 </w:t>
      </w:r>
      <w:proofErr w:type="spellStart"/>
      <w:r w:rsidRPr="001B5614">
        <w:rPr>
          <w:rFonts w:cs="Arial"/>
        </w:rPr>
        <w:t>tonnes</w:t>
      </w:r>
      <w:proofErr w:type="spellEnd"/>
      <w:r w:rsidRPr="001B5614">
        <w:rPr>
          <w:rFonts w:cs="Arial"/>
        </w:rPr>
        <w:t xml:space="preserve"> of </w:t>
      </w:r>
      <w:r w:rsidR="00BA5614" w:rsidRPr="001B5614">
        <w:rPr>
          <w:rFonts w:cs="Arial"/>
        </w:rPr>
        <w:t>carbon dioxide</w:t>
      </w:r>
      <w:r w:rsidRPr="001B5614">
        <w:rPr>
          <w:rFonts w:cs="Arial"/>
        </w:rPr>
        <w:t xml:space="preserve"> equivalent (CO2e) per year; most baselines decrease by 4.9% per year, up to 2030. This is a matter of an operating and capital-allocation decision; faster transition reduces the compliance risk and efficient facilities create credits. </w:t>
      </w:r>
      <w:r w:rsidR="005F4633" w:rsidRPr="001B5614">
        <w:rPr>
          <w:rFonts w:cs="Arial"/>
        </w:rPr>
        <w:fldChar w:fldCharType="begin" w:fldLock="1"/>
      </w:r>
      <w:r w:rsidR="005F4633" w:rsidRPr="001B5614">
        <w:rPr>
          <w:rFonts w:cs="Arial"/>
        </w:rPr>
        <w:instrText>ADDIN CSL_CITATION {"citationItems":[{"id":"ITEM-1","itemData":{"author":[{"dropping-particle":"","family":"Fikru","given":"Mahelet G.","non-dropping-particle":"","parse-names":false,"suffix":""}],"id":"ITEM-1","issued":{"date-parts":[["2024"]]},"title":"An economic framework for assessing the impact of domestic mining policies on affordable energy transition","type":"article-journal"},"uris":["http://www.mendeley.com/documents/?uuid=88d85c91-f12d-4598-a431-095a211c4deb"]}],"mendeley":{"formattedCitation":"(Fikru, 2024)","manualFormatting":"Fikru (2024)","plainTextFormattedCitation":"(Fikru, 2024)","previouslyFormattedCitation":"(Fikru, 2024)"},"properties":{"noteIndex":0},"schema":"https://github.com/citation-style-language/schema/raw/master/csl-citation.json"}</w:instrText>
      </w:r>
      <w:r w:rsidR="005F4633" w:rsidRPr="001B5614">
        <w:rPr>
          <w:rFonts w:cs="Arial"/>
        </w:rPr>
        <w:fldChar w:fldCharType="separate"/>
      </w:r>
      <w:r w:rsidR="005F4633" w:rsidRPr="001B5614">
        <w:rPr>
          <w:rFonts w:cs="Arial"/>
          <w:noProof/>
        </w:rPr>
        <w:t>Fikru (2024)</w:t>
      </w:r>
      <w:r w:rsidR="005F4633" w:rsidRPr="001B5614">
        <w:rPr>
          <w:rFonts w:cs="Arial"/>
        </w:rPr>
        <w:fldChar w:fldCharType="end"/>
      </w:r>
      <w:r w:rsidRPr="001B5614">
        <w:rPr>
          <w:rFonts w:cs="Arial"/>
        </w:rPr>
        <w:t xml:space="preserve"> believes that mineral security can be enhanced through mining </w:t>
      </w:r>
      <w:r w:rsidR="00BA5614" w:rsidRPr="001B5614">
        <w:rPr>
          <w:rFonts w:cs="Arial"/>
        </w:rPr>
        <w:t>policies</w:t>
      </w:r>
      <w:r w:rsidRPr="001B5614">
        <w:rPr>
          <w:rFonts w:cs="Arial"/>
        </w:rPr>
        <w:t xml:space="preserve">, they can also increase transition costs if the policy is not well designed and balances incentives and supply expansion with affordability. </w:t>
      </w:r>
      <w:r w:rsidR="005F4633" w:rsidRPr="001B5614">
        <w:rPr>
          <w:rFonts w:cs="Arial"/>
        </w:rPr>
        <w:fldChar w:fldCharType="begin" w:fldLock="1"/>
      </w:r>
      <w:r w:rsidR="002C3320" w:rsidRPr="001B5614">
        <w:rPr>
          <w:rFonts w:cs="Arial"/>
        </w:rPr>
        <w:instrText>ADDIN CSL_CITATION {"citationItems":[{"id":"ITEM-1","itemData":{"ISSN":"2662-4435","abstract":"To make projections about the future supply of minerals for the energy transition and set climate targets, it is important to understand inventories of mineral resources as well as national extraction policies. Here, we combine data on mining properties and policies between 2020 and 2023 for 18 countries with substantial resources of energy transition minerals to understand the alignment between the resource inventories and policy actions to make these mineral resources available to market. We find the distribution and near-term production-readiness of energy transition minerals varies across countries. The results show extraction policies align with demand for energy-transition minerals more strongly for countries in the OECD (Organization for Economic Cooperation and Development) compared with their non-OECD counterparts. We suggest these differences between countries could lead to global-scale delays in mitigating climate change and an uneven energy transition structured around national resource endowment, wealth, and inequality.","author":[{"dropping-particle":"","family":"Owen","given":"John R.","non-dropping-particle":"","parse-names":false,"suffix":""},{"dropping-particle":"","family":"Kemp","given":"Deanna","non-dropping-particle":"","parse-names":false,"suffix":""},{"dropping-particle":"","family":"Schuele","given":"Waleria","non-dropping-particle":"","parse-names":false,"suffix":""},{"dropping-particle":"","family":"Loginova","given":"Julia","non-dropping-particle":"","parse-names":false,"suffix":""}],"container-title":"Communications Earth &amp; Environment","id":"ITEM-1","issue":"1","issued":{"date-parts":[["2023","12","2"]]},"page":"454","title":"Misalignment between national resource inventories and policy actions drives unevenness in the energy transition","type":"article-journal","volume":"4"},"uris":["http://www.mendeley.com/documents/?uuid=6626c473-4130-417e-808f-e154b1e6ceef"]}],"mendeley":{"formattedCitation":"(Owen &lt;i&gt;et al.&lt;/i&gt;, 2023)","manualFormatting":"Owen et al. (2023)","plainTextFormattedCitation":"(Owen et al., 2023)","previouslyFormattedCitation":"(Owen &lt;i&gt;et al.&lt;/i&gt;, 2023)"},"properties":{"noteIndex":0},"schema":"https://github.com/citation-style-language/schema/raw/master/csl-citation.json"}</w:instrText>
      </w:r>
      <w:r w:rsidR="005F4633" w:rsidRPr="001B5614">
        <w:rPr>
          <w:rFonts w:cs="Arial"/>
        </w:rPr>
        <w:fldChar w:fldCharType="separate"/>
      </w:r>
      <w:r w:rsidR="005F4633" w:rsidRPr="001B5614">
        <w:rPr>
          <w:rFonts w:cs="Arial"/>
          <w:noProof/>
        </w:rPr>
        <w:t>Owen et al. (2023)</w:t>
      </w:r>
      <w:r w:rsidR="005F4633" w:rsidRPr="001B5614">
        <w:rPr>
          <w:rFonts w:cs="Arial"/>
        </w:rPr>
        <w:fldChar w:fldCharType="end"/>
      </w:r>
      <w:r w:rsidRPr="001B5614">
        <w:rPr>
          <w:rFonts w:cs="Arial"/>
        </w:rPr>
        <w:t xml:space="preserve"> conclude that there is often a disconnect between the national mineral resources and policy </w:t>
      </w:r>
      <w:proofErr w:type="gramStart"/>
      <w:r w:rsidRPr="001B5614">
        <w:rPr>
          <w:rFonts w:cs="Arial"/>
        </w:rPr>
        <w:t>response, and</w:t>
      </w:r>
      <w:proofErr w:type="gramEnd"/>
      <w:r w:rsidRPr="001B5614">
        <w:rPr>
          <w:rFonts w:cs="Arial"/>
        </w:rPr>
        <w:t xml:space="preserve"> </w:t>
      </w:r>
      <w:proofErr w:type="gramStart"/>
      <w:r w:rsidRPr="001B5614">
        <w:rPr>
          <w:rFonts w:cs="Arial"/>
        </w:rPr>
        <w:t>demonstrate</w:t>
      </w:r>
      <w:proofErr w:type="gramEnd"/>
      <w:r w:rsidRPr="001B5614">
        <w:rPr>
          <w:rFonts w:cs="Arial"/>
        </w:rPr>
        <w:t xml:space="preserve"> that BHP cannot necessarily expect consistent support across jurisdictions. </w:t>
      </w:r>
    </w:p>
    <w:p w14:paraId="72B2D811" w14:textId="0859BD81" w:rsidR="00EB778A" w:rsidRPr="001B5614" w:rsidRDefault="00EB778A" w:rsidP="001B5614">
      <w:pPr>
        <w:jc w:val="left"/>
        <w:rPr>
          <w:rFonts w:cs="Arial"/>
          <w:b/>
          <w:bCs/>
        </w:rPr>
      </w:pPr>
      <w:r w:rsidRPr="001B5614">
        <w:rPr>
          <w:rFonts w:cs="Arial"/>
          <w:b/>
          <w:bCs/>
        </w:rPr>
        <w:t>International Carbon Regulation and Green-Steel Demand</w:t>
      </w:r>
    </w:p>
    <w:p w14:paraId="2DA5B7F7" w14:textId="76557676" w:rsidR="001F52D9" w:rsidRPr="001B5614" w:rsidRDefault="00A276B1" w:rsidP="001B5614">
      <w:pPr>
        <w:jc w:val="left"/>
        <w:rPr>
          <w:rFonts w:cs="Arial"/>
        </w:rPr>
      </w:pPr>
      <w:r w:rsidRPr="001B5614">
        <w:rPr>
          <w:rFonts w:cs="Arial"/>
        </w:rPr>
        <w:t xml:space="preserve">Globally, the </w:t>
      </w:r>
      <w:r w:rsidR="005F4633" w:rsidRPr="001B5614">
        <w:rPr>
          <w:rFonts w:cs="Arial"/>
        </w:rPr>
        <w:fldChar w:fldCharType="begin" w:fldLock="1"/>
      </w:r>
      <w:r w:rsidR="005F4633" w:rsidRPr="001B5614">
        <w:rPr>
          <w:rFonts w:cs="Arial"/>
        </w:rPr>
        <w:instrText>ADDIN CSL_CITATION {"citationItems":[{"id":"ITEM-1","itemData":{"author":[{"dropping-particle":"","family":"EU","given":"","non-dropping-particle":"","parse-names":false,"suffix":""}],"id":"ITEM-1","issued":{"date-parts":[["2026"]]},"title":"Carbon Border Adjustment Mechanism","type":"article-journal"},"uris":["http://www.mendeley.com/documents/?uuid=007a3336-7e19-4547-8637-e47c374848bc"]}],"mendeley":{"formattedCitation":"(EU, 2026)","manualFormatting":"EU (2026)","plainTextFormattedCitation":"(EU, 2026)","previouslyFormattedCitation":"(EU, 2026)"},"properties":{"noteIndex":0},"schema":"https://github.com/citation-style-language/schema/raw/master/csl-citation.json"}</w:instrText>
      </w:r>
      <w:r w:rsidR="005F4633" w:rsidRPr="001B5614">
        <w:rPr>
          <w:rFonts w:cs="Arial"/>
        </w:rPr>
        <w:fldChar w:fldCharType="separate"/>
      </w:r>
      <w:r w:rsidR="005F4633" w:rsidRPr="001B5614">
        <w:rPr>
          <w:rFonts w:cs="Arial"/>
          <w:noProof/>
        </w:rPr>
        <w:t>EU (2026)</w:t>
      </w:r>
      <w:r w:rsidR="005F4633" w:rsidRPr="001B5614">
        <w:rPr>
          <w:rFonts w:cs="Arial"/>
        </w:rPr>
        <w:fldChar w:fldCharType="end"/>
      </w:r>
      <w:r w:rsidRPr="001B5614">
        <w:rPr>
          <w:rFonts w:cs="Arial"/>
        </w:rPr>
        <w:t xml:space="preserve"> Carbon Border Adjustment Mechanism (CBAM) fell into its final phase in 2026 and imposed financial obligations and embedded emissions reporting for imports covered by the CBAM, such as iron and steel. </w:t>
      </w:r>
      <w:r w:rsidR="00301445" w:rsidRPr="001B5614">
        <w:rPr>
          <w:rFonts w:cs="Arial"/>
        </w:rPr>
        <w:t xml:space="preserve">BHP operates as a raw material seller, but carbon regulation impacts upstream demand, as steelmakers strive for </w:t>
      </w:r>
      <w:r w:rsidR="00301445" w:rsidRPr="001B5614">
        <w:rPr>
          <w:rFonts w:cs="Arial"/>
        </w:rPr>
        <w:lastRenderedPageBreak/>
        <w:t xml:space="preserve">compatible ores, transparent data and </w:t>
      </w:r>
      <w:r w:rsidR="00BA5614" w:rsidRPr="001B5614">
        <w:rPr>
          <w:rFonts w:cs="Arial"/>
        </w:rPr>
        <w:t>less-emissions</w:t>
      </w:r>
      <w:r w:rsidR="00301445" w:rsidRPr="001B5614">
        <w:rPr>
          <w:rFonts w:cs="Arial"/>
        </w:rPr>
        <w:t xml:space="preserve"> raw materials. </w:t>
      </w:r>
      <w:r w:rsidR="005F4633" w:rsidRPr="001B5614">
        <w:rPr>
          <w:rFonts w:cs="Arial"/>
        </w:rPr>
        <w:fldChar w:fldCharType="begin" w:fldLock="1"/>
      </w:r>
      <w:r w:rsidR="002C3320" w:rsidRPr="001B5614">
        <w:rPr>
          <w:rFonts w:cs="Arial"/>
        </w:rPr>
        <w:instrText>ADDIN CSL_CITATION {"citationItems":[{"id":"ITEM-1","itemData":{"author":[{"dropping-particle":"","family":"Johnson","given":"Constantin","non-dropping-particle":"","parse-names":false,"suffix":""},{"dropping-particle":"","family":"Åhman","given":"Max","non-dropping-particle":"","parse-names":false,"suffix":""},{"dropping-particle":"","family":"Nilsson","given":"Lars J.","non-dropping-particle":"","parse-names":false,"suffix":""},{"dropping-particle":"","family":"Li","given":"Zhenxi","non-dropping-particle":"","parse-names":false,"suffix":""}],"id":"ITEM-1","issued":{"date-parts":[["2025"]]},"title":"Emerging green steel markets surrounding the EU emissions trading system and carbon border adjustment mechanism","type":"article-journal"},"uris":["http://www.mendeley.com/documents/?uuid=b212e873-54b4-482c-ad93-4cb07504083a"]}],"mendeley":{"formattedCitation":"(Johnson &lt;i&gt;et al.&lt;/i&gt;, 2025)","manualFormatting":"Johnson et al. (2025)","plainTextFormattedCitation":"(Johnson et al., 2025)","previouslyFormattedCitation":"(Johnson &lt;i&gt;et al.&lt;/i&gt;, 2025)"},"properties":{"noteIndex":0},"schema":"https://github.com/citation-style-language/schema/raw/master/csl-citation.json"}</w:instrText>
      </w:r>
      <w:r w:rsidR="005F4633" w:rsidRPr="001B5614">
        <w:rPr>
          <w:rFonts w:cs="Arial"/>
        </w:rPr>
        <w:fldChar w:fldCharType="separate"/>
      </w:r>
      <w:r w:rsidR="005F4633" w:rsidRPr="001B5614">
        <w:rPr>
          <w:rFonts w:cs="Arial"/>
          <w:noProof/>
        </w:rPr>
        <w:t>Johnson et al. (2025)</w:t>
      </w:r>
      <w:r w:rsidR="005F4633" w:rsidRPr="001B5614">
        <w:rPr>
          <w:rFonts w:cs="Arial"/>
        </w:rPr>
        <w:fldChar w:fldCharType="end"/>
      </w:r>
      <w:r w:rsidR="00301445" w:rsidRPr="001B5614">
        <w:rPr>
          <w:rFonts w:cs="Arial"/>
        </w:rPr>
        <w:t xml:space="preserve"> find green-steel competitiveness remains location- and cost-dependent</w:t>
      </w:r>
      <w:r w:rsidR="00BA5614" w:rsidRPr="001B5614">
        <w:rPr>
          <w:rFonts w:cs="Arial"/>
        </w:rPr>
        <w:t>.</w:t>
      </w:r>
      <w:r w:rsidRPr="001B5614">
        <w:rPr>
          <w:rFonts w:cs="Arial"/>
        </w:rPr>
        <w:t xml:space="preserve"> </w:t>
      </w:r>
      <w:r w:rsidR="005F4633" w:rsidRPr="001B5614">
        <w:rPr>
          <w:rFonts w:cs="Arial"/>
        </w:rPr>
        <w:fldChar w:fldCharType="begin" w:fldLock="1"/>
      </w:r>
      <w:r w:rsidR="002C3320" w:rsidRPr="001B5614">
        <w:rPr>
          <w:rFonts w:cs="Arial"/>
        </w:rPr>
        <w:instrText>ADDIN CSL_CITATION {"citationItems":[{"id":"ITEM-1","itemData":{"author":[{"dropping-particle":"","family":"Hubatka","given":"Slavomír","non-dropping-particle":"","parse-names":false,"suffix":""},{"dropping-particle":"","family":"Buľko","given":"Branislav","non-dropping-particle":"","parse-names":false,"suffix":""},{"dropping-particle":"","family":"Baricová","given":"Dana","non-dropping-particle":"","parse-names":false,"suffix":""},{"dropping-particle":"","family":"Fogaraš","given":"Lukáš","non-dropping-particle":"","parse-names":false,"suffix":""},{"dropping-particle":"","family":"Pylypenko","given":"Andrii","non-dropping-particle":"","parse-names":false,"suffix":""},{"dropping-particle":"","family":"Dubec","given":"Dominik","non-dropping-particle":"","parse-names":false,"suffix":""},{"dropping-particle":"","family":"Demeter","given":"Jaroslav","non-dropping-particle":"","parse-names":false,"suffix":""},{"dropping-particle":"","family":"Demeter","given":"Peter","non-dropping-particle":"","parse-names":false,"suffix":""}],"container-title":"MM 2023","id":"ITEM-1","issued":{"date-parts":[["2024","3","12"]]},"page":"15","publisher":"MDPI","publisher-place":"Basel Switzerland","title":"The Impact of Implementing Carbon Border Adjustment Mechanisms on the Steel Industry until 2034: A Forecasting Study","type":"paper-conference"},"uris":["http://www.mendeley.com/documents/?uuid=8a455205-9f4f-42b6-8fe5-643ffe7149dd"]}],"mendeley":{"formattedCitation":"(Hubatka &lt;i&gt;et al.&lt;/i&gt;, 2024)","manualFormatting":"Hubatka et al. (2024)","plainTextFormattedCitation":"(Hubatka et al., 2024)","previouslyFormattedCitation":"(Hubatka &lt;i&gt;et al.&lt;/i&gt;, 2024)"},"properties":{"noteIndex":0},"schema":"https://github.com/citation-style-language/schema/raw/master/csl-citation.json"}</w:instrText>
      </w:r>
      <w:r w:rsidR="005F4633" w:rsidRPr="001B5614">
        <w:rPr>
          <w:rFonts w:cs="Arial"/>
        </w:rPr>
        <w:fldChar w:fldCharType="separate"/>
      </w:r>
      <w:r w:rsidR="005F4633" w:rsidRPr="001B5614">
        <w:rPr>
          <w:rFonts w:cs="Arial"/>
          <w:noProof/>
        </w:rPr>
        <w:t>Hubatka et al. (2024)</w:t>
      </w:r>
      <w:r w:rsidR="005F4633" w:rsidRPr="001B5614">
        <w:rPr>
          <w:rFonts w:cs="Arial"/>
        </w:rPr>
        <w:fldChar w:fldCharType="end"/>
      </w:r>
      <w:r w:rsidRPr="001B5614">
        <w:rPr>
          <w:rFonts w:cs="Arial"/>
        </w:rPr>
        <w:t xml:space="preserve"> also predict a transformation of steel competition </w:t>
      </w:r>
      <w:r w:rsidR="00581DDD" w:rsidRPr="001B5614">
        <w:rPr>
          <w:rFonts w:cs="Arial"/>
        </w:rPr>
        <w:t>because of</w:t>
      </w:r>
      <w:r w:rsidRPr="001B5614">
        <w:rPr>
          <w:rFonts w:cs="Arial"/>
        </w:rPr>
        <w:t xml:space="preserve"> the gradual phasing out of free allowances and the growing carbon exposure. </w:t>
      </w:r>
    </w:p>
    <w:p w14:paraId="704CC88A" w14:textId="420A04A2" w:rsidR="00EB778A" w:rsidRPr="001B5614" w:rsidRDefault="00EB778A" w:rsidP="001B5614">
      <w:pPr>
        <w:jc w:val="left"/>
        <w:rPr>
          <w:rFonts w:cs="Arial"/>
          <w:b/>
          <w:bCs/>
        </w:rPr>
      </w:pPr>
      <w:r w:rsidRPr="001B5614">
        <w:rPr>
          <w:rFonts w:cs="Arial"/>
          <w:b/>
          <w:bCs/>
        </w:rPr>
        <w:t>Sustainable Finance, Greenwashing and Strategic Market Intelligence</w:t>
      </w:r>
    </w:p>
    <w:p w14:paraId="498F52BA" w14:textId="1725C411" w:rsidR="001F52D9" w:rsidRPr="001B5614" w:rsidRDefault="00A276B1" w:rsidP="001B5614">
      <w:pPr>
        <w:jc w:val="left"/>
        <w:rPr>
          <w:rFonts w:cs="Arial"/>
        </w:rPr>
      </w:pPr>
      <w:r w:rsidRPr="001B5614">
        <w:rPr>
          <w:rFonts w:cs="Arial"/>
        </w:rPr>
        <w:t>Australia has a sustainable-finance taxonomy for minerals, mining and metals, which aims to enhance investment consistency and mitigate greenwashing</w:t>
      </w:r>
      <w:r w:rsidR="00BA5614" w:rsidRPr="001B5614">
        <w:rPr>
          <w:rFonts w:cs="Arial"/>
        </w:rPr>
        <w:t>.</w:t>
      </w:r>
      <w:r w:rsidRPr="001B5614">
        <w:rPr>
          <w:rFonts w:cs="Arial"/>
        </w:rPr>
        <w:t xml:space="preserve"> </w:t>
      </w:r>
      <w:r w:rsidR="000819CC" w:rsidRPr="001B5614">
        <w:rPr>
          <w:rFonts w:cs="Arial"/>
        </w:rPr>
        <w:t xml:space="preserve">Regulation provides incentives to invest but poses definitional, reporting and policy uncertainties; BHP should leverage regulation for product design and customer targeting. </w:t>
      </w:r>
    </w:p>
    <w:p w14:paraId="1A6574CD" w14:textId="77777777" w:rsidR="001F52D9" w:rsidRPr="001B5614" w:rsidRDefault="001F52D9" w:rsidP="001B5614">
      <w:pPr>
        <w:pStyle w:val="Heading2"/>
        <w:jc w:val="left"/>
        <w:rPr>
          <w:rFonts w:cs="Arial"/>
        </w:rPr>
      </w:pPr>
      <w:bookmarkStart w:id="4" w:name="_Toc235717398"/>
      <w:r w:rsidRPr="001B5614">
        <w:rPr>
          <w:rFonts w:cs="Arial"/>
        </w:rPr>
        <w:t>1.4 Task 1 Synthesis</w:t>
      </w:r>
      <w:bookmarkEnd w:id="4"/>
    </w:p>
    <w:p w14:paraId="2B9139B5" w14:textId="17C09120" w:rsidR="00573959" w:rsidRPr="001B5614" w:rsidRDefault="00573959" w:rsidP="001B5614">
      <w:pPr>
        <w:jc w:val="left"/>
        <w:rPr>
          <w:rFonts w:cs="Arial"/>
        </w:rPr>
      </w:pPr>
      <w:r w:rsidRPr="001B5614">
        <w:rPr>
          <w:rFonts w:cs="Arial"/>
        </w:rPr>
        <w:t>Natural pressures turn into carbon cost, disclosure obligations and repercussions for market access when they are translated into regulation. BHP needs to do better with what they have and not sell more of their old products; ores.</w:t>
      </w:r>
    </w:p>
    <w:p w14:paraId="1A4196A3" w14:textId="0446CF74" w:rsidR="001F52D9" w:rsidRPr="001B5614" w:rsidRDefault="001F52D9" w:rsidP="001B5614">
      <w:pPr>
        <w:pStyle w:val="Heading1"/>
        <w:jc w:val="left"/>
        <w:rPr>
          <w:rFonts w:cs="Arial"/>
        </w:rPr>
      </w:pPr>
      <w:bookmarkStart w:id="5" w:name="_Toc235717399"/>
      <w:r w:rsidRPr="001B5614">
        <w:rPr>
          <w:rFonts w:cs="Arial"/>
        </w:rPr>
        <w:t>Task 2: Strategic Growth and Competitive Positioning</w:t>
      </w:r>
      <w:bookmarkEnd w:id="5"/>
    </w:p>
    <w:p w14:paraId="613CBD1C" w14:textId="77777777" w:rsidR="001F52D9" w:rsidRPr="001B5614" w:rsidRDefault="001F52D9" w:rsidP="001B5614">
      <w:pPr>
        <w:pStyle w:val="Heading2"/>
        <w:jc w:val="left"/>
        <w:rPr>
          <w:rFonts w:cs="Arial"/>
        </w:rPr>
      </w:pPr>
      <w:bookmarkStart w:id="6" w:name="_Toc235717400"/>
      <w:r w:rsidRPr="001B5614">
        <w:rPr>
          <w:rFonts w:cs="Arial"/>
        </w:rPr>
        <w:t>2.1 Critical Application of the Ansoff Matrix</w:t>
      </w:r>
      <w:bookmarkEnd w:id="6"/>
    </w:p>
    <w:p w14:paraId="722FC977" w14:textId="1B27B3BC" w:rsidR="001F52D9" w:rsidRPr="001B5614" w:rsidRDefault="005F4633" w:rsidP="001B5614">
      <w:pPr>
        <w:jc w:val="left"/>
        <w:rPr>
          <w:rFonts w:cs="Arial"/>
        </w:rPr>
      </w:pPr>
      <w:r w:rsidRPr="001B5614">
        <w:rPr>
          <w:rFonts w:cs="Arial"/>
        </w:rPr>
        <w:fldChar w:fldCharType="begin" w:fldLock="1"/>
      </w:r>
      <w:r w:rsidR="003A5406" w:rsidRPr="001B5614">
        <w:rPr>
          <w:rFonts w:cs="Arial"/>
        </w:rPr>
        <w:instrText>ADDIN CSL_CITATION {"citationItems":[{"id":"ITEM-1","itemData":{"author":[{"dropping-particle":"","family":"Openstax","given":"","non-dropping-particle":"","parse-names":false,"suffix":""}],"id":"ITEM-1","issued":{"date-parts":[["2026"]]},"title":"2.2 The Role of Marketing in the Strategic Planning Process","type":"article-journal"},"uris":["http://www.mendeley.com/documents/?uuid=c41690e0-ccb3-42c0-8e1a-5db559ea3d2f"]}],"mendeley":{"formattedCitation":"(Openstax, 2026)","manualFormatting":"Openstax (2026)","plainTextFormattedCitation":"(Openstax, 2026)","previouslyFormattedCitation":"(Openstax, 2026)"},"properties":{"noteIndex":0},"schema":"https://github.com/citation-style-language/schema/raw/master/csl-citation.json"}</w:instrText>
      </w:r>
      <w:r w:rsidRPr="001B5614">
        <w:rPr>
          <w:rFonts w:cs="Arial"/>
        </w:rPr>
        <w:fldChar w:fldCharType="separate"/>
      </w:r>
      <w:r w:rsidRPr="001B5614">
        <w:rPr>
          <w:rFonts w:cs="Arial"/>
          <w:noProof/>
        </w:rPr>
        <w:t>Openstax (2026)</w:t>
      </w:r>
      <w:r w:rsidRPr="001B5614">
        <w:rPr>
          <w:rFonts w:cs="Arial"/>
        </w:rPr>
        <w:fldChar w:fldCharType="end"/>
      </w:r>
      <w:r w:rsidR="00A276B1" w:rsidRPr="001B5614">
        <w:rPr>
          <w:rFonts w:cs="Arial"/>
        </w:rPr>
        <w:t xml:space="preserve"> defines the product–market framework as an option of market penetration, market development, product development and diversification. </w:t>
      </w:r>
    </w:p>
    <w:p w14:paraId="42B857F1" w14:textId="5E7322A7" w:rsidR="00BA5614" w:rsidRPr="001B5614" w:rsidRDefault="00BA5614" w:rsidP="001B5614">
      <w:pPr>
        <w:pStyle w:val="Caption"/>
        <w:keepNext/>
        <w:spacing w:line="360" w:lineRule="auto"/>
        <w:jc w:val="left"/>
        <w:rPr>
          <w:rFonts w:cs="Arial"/>
        </w:rPr>
      </w:pPr>
      <w:r w:rsidRPr="001B5614">
        <w:rPr>
          <w:rFonts w:cs="Arial"/>
        </w:rPr>
        <w:t xml:space="preserve">Table </w:t>
      </w:r>
      <w:r w:rsidRPr="001B5614">
        <w:rPr>
          <w:rFonts w:cs="Arial"/>
        </w:rPr>
        <w:fldChar w:fldCharType="begin"/>
      </w:r>
      <w:r w:rsidRPr="001B5614">
        <w:rPr>
          <w:rFonts w:cs="Arial"/>
        </w:rPr>
        <w:instrText xml:space="preserve"> SEQ Table \* ARABIC </w:instrText>
      </w:r>
      <w:r w:rsidRPr="001B5614">
        <w:rPr>
          <w:rFonts w:cs="Arial"/>
        </w:rPr>
        <w:fldChar w:fldCharType="separate"/>
      </w:r>
      <w:r w:rsidRPr="001B5614">
        <w:rPr>
          <w:rFonts w:cs="Arial"/>
          <w:noProof/>
        </w:rPr>
        <w:t>2</w:t>
      </w:r>
      <w:r w:rsidRPr="001B5614">
        <w:rPr>
          <w:rFonts w:cs="Arial"/>
          <w:noProof/>
        </w:rPr>
        <w:fldChar w:fldCharType="end"/>
      </w:r>
      <w:r w:rsidRPr="001B5614">
        <w:rPr>
          <w:rFonts w:cs="Arial"/>
        </w:rPr>
        <w:t>:Ansoff options</w:t>
      </w:r>
    </w:p>
    <w:tbl>
      <w:tblPr>
        <w:tblStyle w:val="TableGrid"/>
        <w:tblW w:w="0" w:type="auto"/>
        <w:tblLook w:val="04A0" w:firstRow="1" w:lastRow="0" w:firstColumn="1" w:lastColumn="0" w:noHBand="0" w:noVBand="1"/>
      </w:tblPr>
      <w:tblGrid>
        <w:gridCol w:w="1844"/>
        <w:gridCol w:w="2645"/>
        <w:gridCol w:w="2447"/>
        <w:gridCol w:w="2414"/>
      </w:tblGrid>
      <w:tr w:rsidR="001F52D9" w:rsidRPr="001B5614" w14:paraId="286BBB02" w14:textId="77777777" w:rsidTr="00A276B1">
        <w:tc>
          <w:tcPr>
            <w:tcW w:w="0" w:type="auto"/>
            <w:hideMark/>
          </w:tcPr>
          <w:p w14:paraId="6B40CF74" w14:textId="77777777" w:rsidR="001F52D9" w:rsidRPr="001B5614" w:rsidRDefault="001F52D9" w:rsidP="001B5614">
            <w:pPr>
              <w:spacing w:after="160"/>
              <w:jc w:val="left"/>
              <w:rPr>
                <w:rFonts w:cs="Arial"/>
                <w:b/>
                <w:bCs/>
              </w:rPr>
            </w:pPr>
            <w:r w:rsidRPr="001B5614">
              <w:rPr>
                <w:rFonts w:cs="Arial"/>
                <w:b/>
                <w:bCs/>
              </w:rPr>
              <w:t>Ansoff option</w:t>
            </w:r>
          </w:p>
        </w:tc>
        <w:tc>
          <w:tcPr>
            <w:tcW w:w="0" w:type="auto"/>
            <w:hideMark/>
          </w:tcPr>
          <w:p w14:paraId="306383E3" w14:textId="77777777" w:rsidR="001F52D9" w:rsidRPr="001B5614" w:rsidRDefault="001F52D9" w:rsidP="001B5614">
            <w:pPr>
              <w:spacing w:after="160"/>
              <w:jc w:val="left"/>
              <w:rPr>
                <w:rFonts w:cs="Arial"/>
                <w:b/>
                <w:bCs/>
              </w:rPr>
            </w:pPr>
            <w:r w:rsidRPr="001B5614">
              <w:rPr>
                <w:rFonts w:cs="Arial"/>
                <w:b/>
                <w:bCs/>
              </w:rPr>
              <w:t>Application to BHP</w:t>
            </w:r>
          </w:p>
        </w:tc>
        <w:tc>
          <w:tcPr>
            <w:tcW w:w="0" w:type="auto"/>
            <w:hideMark/>
          </w:tcPr>
          <w:p w14:paraId="74C760EC" w14:textId="77777777" w:rsidR="001F52D9" w:rsidRPr="001B5614" w:rsidRDefault="001F52D9" w:rsidP="001B5614">
            <w:pPr>
              <w:spacing w:after="160"/>
              <w:jc w:val="left"/>
              <w:rPr>
                <w:rFonts w:cs="Arial"/>
                <w:b/>
                <w:bCs/>
              </w:rPr>
            </w:pPr>
            <w:r w:rsidRPr="001B5614">
              <w:rPr>
                <w:rFonts w:cs="Arial"/>
                <w:b/>
                <w:bCs/>
              </w:rPr>
              <w:t>Benefit</w:t>
            </w:r>
          </w:p>
        </w:tc>
        <w:tc>
          <w:tcPr>
            <w:tcW w:w="0" w:type="auto"/>
            <w:hideMark/>
          </w:tcPr>
          <w:p w14:paraId="1FDE2630" w14:textId="77777777" w:rsidR="001F52D9" w:rsidRPr="001B5614" w:rsidRDefault="001F52D9" w:rsidP="001B5614">
            <w:pPr>
              <w:spacing w:after="160"/>
              <w:jc w:val="left"/>
              <w:rPr>
                <w:rFonts w:cs="Arial"/>
                <w:b/>
                <w:bCs/>
              </w:rPr>
            </w:pPr>
            <w:r w:rsidRPr="001B5614">
              <w:rPr>
                <w:rFonts w:cs="Arial"/>
                <w:b/>
                <w:bCs/>
              </w:rPr>
              <w:t>Critical weakness</w:t>
            </w:r>
          </w:p>
        </w:tc>
      </w:tr>
      <w:tr w:rsidR="001F52D9" w:rsidRPr="001B5614" w14:paraId="70A4A988" w14:textId="77777777" w:rsidTr="00A276B1">
        <w:tc>
          <w:tcPr>
            <w:tcW w:w="0" w:type="auto"/>
            <w:hideMark/>
          </w:tcPr>
          <w:p w14:paraId="47F1FEB6" w14:textId="77777777" w:rsidR="001F52D9" w:rsidRPr="001B5614" w:rsidRDefault="001F52D9" w:rsidP="001B5614">
            <w:pPr>
              <w:spacing w:after="160"/>
              <w:jc w:val="left"/>
              <w:rPr>
                <w:rFonts w:cs="Arial"/>
              </w:rPr>
            </w:pPr>
            <w:r w:rsidRPr="001B5614">
              <w:rPr>
                <w:rFonts w:cs="Arial"/>
              </w:rPr>
              <w:t>Market penetration</w:t>
            </w:r>
          </w:p>
        </w:tc>
        <w:tc>
          <w:tcPr>
            <w:tcW w:w="0" w:type="auto"/>
            <w:hideMark/>
          </w:tcPr>
          <w:p w14:paraId="29C574CB" w14:textId="77777777" w:rsidR="001F52D9" w:rsidRPr="001B5614" w:rsidRDefault="001F52D9" w:rsidP="001B5614">
            <w:pPr>
              <w:spacing w:after="160"/>
              <w:jc w:val="left"/>
              <w:rPr>
                <w:rFonts w:cs="Arial"/>
              </w:rPr>
            </w:pPr>
            <w:r w:rsidRPr="001B5614">
              <w:rPr>
                <w:rFonts w:cs="Arial"/>
              </w:rPr>
              <w:t>Sell more existing minerals to current steelmakers</w:t>
            </w:r>
          </w:p>
        </w:tc>
        <w:tc>
          <w:tcPr>
            <w:tcW w:w="0" w:type="auto"/>
            <w:hideMark/>
          </w:tcPr>
          <w:p w14:paraId="171E6012" w14:textId="77777777" w:rsidR="001F52D9" w:rsidRPr="001B5614" w:rsidRDefault="001F52D9" w:rsidP="001B5614">
            <w:pPr>
              <w:spacing w:after="160"/>
              <w:jc w:val="left"/>
              <w:rPr>
                <w:rFonts w:cs="Arial"/>
              </w:rPr>
            </w:pPr>
            <w:r w:rsidRPr="001B5614">
              <w:rPr>
                <w:rFonts w:cs="Arial"/>
              </w:rPr>
              <w:t>Uses scale and relationships</w:t>
            </w:r>
          </w:p>
        </w:tc>
        <w:tc>
          <w:tcPr>
            <w:tcW w:w="0" w:type="auto"/>
            <w:hideMark/>
          </w:tcPr>
          <w:p w14:paraId="03586198" w14:textId="77777777" w:rsidR="001F52D9" w:rsidRPr="001B5614" w:rsidRDefault="001F52D9" w:rsidP="001B5614">
            <w:pPr>
              <w:spacing w:after="160"/>
              <w:jc w:val="left"/>
              <w:rPr>
                <w:rFonts w:cs="Arial"/>
              </w:rPr>
            </w:pPr>
            <w:r w:rsidRPr="001B5614">
              <w:rPr>
                <w:rFonts w:cs="Arial"/>
              </w:rPr>
              <w:t>Increases volume without changing product compatibility</w:t>
            </w:r>
          </w:p>
        </w:tc>
      </w:tr>
      <w:tr w:rsidR="001F52D9" w:rsidRPr="001B5614" w14:paraId="27D01D13" w14:textId="77777777" w:rsidTr="00A276B1">
        <w:tc>
          <w:tcPr>
            <w:tcW w:w="0" w:type="auto"/>
            <w:hideMark/>
          </w:tcPr>
          <w:p w14:paraId="7808B1C7" w14:textId="77777777" w:rsidR="001F52D9" w:rsidRPr="001B5614" w:rsidRDefault="001F52D9" w:rsidP="001B5614">
            <w:pPr>
              <w:spacing w:after="160"/>
              <w:jc w:val="left"/>
              <w:rPr>
                <w:rFonts w:cs="Arial"/>
              </w:rPr>
            </w:pPr>
            <w:r w:rsidRPr="001B5614">
              <w:rPr>
                <w:rFonts w:cs="Arial"/>
              </w:rPr>
              <w:t>Market development</w:t>
            </w:r>
          </w:p>
        </w:tc>
        <w:tc>
          <w:tcPr>
            <w:tcW w:w="0" w:type="auto"/>
            <w:hideMark/>
          </w:tcPr>
          <w:p w14:paraId="00990460" w14:textId="77777777" w:rsidR="001F52D9" w:rsidRPr="001B5614" w:rsidRDefault="001F52D9" w:rsidP="001B5614">
            <w:pPr>
              <w:spacing w:after="160"/>
              <w:jc w:val="left"/>
              <w:rPr>
                <w:rFonts w:cs="Arial"/>
              </w:rPr>
            </w:pPr>
            <w:r w:rsidRPr="001B5614">
              <w:rPr>
                <w:rFonts w:cs="Arial"/>
              </w:rPr>
              <w:t>Take current products to new regions or low-carbon customers</w:t>
            </w:r>
          </w:p>
        </w:tc>
        <w:tc>
          <w:tcPr>
            <w:tcW w:w="0" w:type="auto"/>
            <w:hideMark/>
          </w:tcPr>
          <w:p w14:paraId="09498BB4" w14:textId="77777777" w:rsidR="001F52D9" w:rsidRPr="001B5614" w:rsidRDefault="001F52D9" w:rsidP="001B5614">
            <w:pPr>
              <w:spacing w:after="160"/>
              <w:jc w:val="left"/>
              <w:rPr>
                <w:rFonts w:cs="Arial"/>
              </w:rPr>
            </w:pPr>
            <w:r w:rsidRPr="001B5614">
              <w:rPr>
                <w:rFonts w:cs="Arial"/>
              </w:rPr>
              <w:t>Expands demand</w:t>
            </w:r>
          </w:p>
        </w:tc>
        <w:tc>
          <w:tcPr>
            <w:tcW w:w="0" w:type="auto"/>
            <w:hideMark/>
          </w:tcPr>
          <w:p w14:paraId="65812E0A" w14:textId="77777777" w:rsidR="001F52D9" w:rsidRPr="001B5614" w:rsidRDefault="001F52D9" w:rsidP="001B5614">
            <w:pPr>
              <w:spacing w:after="160"/>
              <w:jc w:val="left"/>
              <w:rPr>
                <w:rFonts w:cs="Arial"/>
              </w:rPr>
            </w:pPr>
            <w:r w:rsidRPr="001B5614">
              <w:rPr>
                <w:rFonts w:cs="Arial"/>
              </w:rPr>
              <w:t xml:space="preserve">Existing ores may not meet new </w:t>
            </w:r>
            <w:r w:rsidRPr="001B5614">
              <w:rPr>
                <w:rFonts w:cs="Arial"/>
              </w:rPr>
              <w:lastRenderedPageBreak/>
              <w:t>process requirements</w:t>
            </w:r>
          </w:p>
        </w:tc>
      </w:tr>
      <w:tr w:rsidR="001F52D9" w:rsidRPr="001B5614" w14:paraId="07AC691F" w14:textId="77777777" w:rsidTr="00A276B1">
        <w:tc>
          <w:tcPr>
            <w:tcW w:w="0" w:type="auto"/>
            <w:hideMark/>
          </w:tcPr>
          <w:p w14:paraId="75F81F31" w14:textId="77777777" w:rsidR="001F52D9" w:rsidRPr="001B5614" w:rsidRDefault="001F52D9" w:rsidP="001B5614">
            <w:pPr>
              <w:spacing w:after="160"/>
              <w:jc w:val="left"/>
              <w:rPr>
                <w:rFonts w:cs="Arial"/>
              </w:rPr>
            </w:pPr>
            <w:r w:rsidRPr="001B5614">
              <w:rPr>
                <w:rFonts w:cs="Arial"/>
              </w:rPr>
              <w:t>Product development</w:t>
            </w:r>
          </w:p>
        </w:tc>
        <w:tc>
          <w:tcPr>
            <w:tcW w:w="0" w:type="auto"/>
            <w:hideMark/>
          </w:tcPr>
          <w:p w14:paraId="4AD18AF8" w14:textId="77777777" w:rsidR="001F52D9" w:rsidRPr="001B5614" w:rsidRDefault="001F52D9" w:rsidP="001B5614">
            <w:pPr>
              <w:spacing w:after="160"/>
              <w:jc w:val="left"/>
              <w:rPr>
                <w:rFonts w:cs="Arial"/>
              </w:rPr>
            </w:pPr>
            <w:r w:rsidRPr="001B5614">
              <w:rPr>
                <w:rFonts w:cs="Arial"/>
              </w:rPr>
              <w:t>Create upgraded blends, briquettes, carbon data and technical services</w:t>
            </w:r>
          </w:p>
        </w:tc>
        <w:tc>
          <w:tcPr>
            <w:tcW w:w="0" w:type="auto"/>
            <w:hideMark/>
          </w:tcPr>
          <w:p w14:paraId="63CD22C9" w14:textId="77777777" w:rsidR="001F52D9" w:rsidRPr="001B5614" w:rsidRDefault="001F52D9" w:rsidP="001B5614">
            <w:pPr>
              <w:spacing w:after="160"/>
              <w:jc w:val="left"/>
              <w:rPr>
                <w:rFonts w:cs="Arial"/>
              </w:rPr>
            </w:pPr>
            <w:r w:rsidRPr="001B5614">
              <w:rPr>
                <w:rFonts w:cs="Arial"/>
              </w:rPr>
              <w:t xml:space="preserve">Directly addresses customer </w:t>
            </w:r>
            <w:proofErr w:type="spellStart"/>
            <w:r w:rsidRPr="001B5614">
              <w:rPr>
                <w:rFonts w:cs="Arial"/>
              </w:rPr>
              <w:t>decarbonisation</w:t>
            </w:r>
            <w:proofErr w:type="spellEnd"/>
          </w:p>
        </w:tc>
        <w:tc>
          <w:tcPr>
            <w:tcW w:w="0" w:type="auto"/>
            <w:hideMark/>
          </w:tcPr>
          <w:p w14:paraId="4FBC58ED" w14:textId="77777777" w:rsidR="001F52D9" w:rsidRPr="001B5614" w:rsidRDefault="001F52D9" w:rsidP="001B5614">
            <w:pPr>
              <w:spacing w:after="160"/>
              <w:jc w:val="left"/>
              <w:rPr>
                <w:rFonts w:cs="Arial"/>
              </w:rPr>
            </w:pPr>
            <w:r w:rsidRPr="001B5614">
              <w:rPr>
                <w:rFonts w:cs="Arial"/>
              </w:rPr>
              <w:t>Requires costly trials and uncertain adoption</w:t>
            </w:r>
          </w:p>
        </w:tc>
      </w:tr>
      <w:tr w:rsidR="001F52D9" w:rsidRPr="001B5614" w14:paraId="34AD1622" w14:textId="77777777" w:rsidTr="00A276B1">
        <w:tc>
          <w:tcPr>
            <w:tcW w:w="0" w:type="auto"/>
            <w:hideMark/>
          </w:tcPr>
          <w:p w14:paraId="7C4988C0" w14:textId="77777777" w:rsidR="001F52D9" w:rsidRPr="001B5614" w:rsidRDefault="001F52D9" w:rsidP="001B5614">
            <w:pPr>
              <w:spacing w:after="160"/>
              <w:jc w:val="left"/>
              <w:rPr>
                <w:rFonts w:cs="Arial"/>
              </w:rPr>
            </w:pPr>
            <w:r w:rsidRPr="001B5614">
              <w:rPr>
                <w:rFonts w:cs="Arial"/>
              </w:rPr>
              <w:t>Diversification</w:t>
            </w:r>
          </w:p>
        </w:tc>
        <w:tc>
          <w:tcPr>
            <w:tcW w:w="0" w:type="auto"/>
            <w:hideMark/>
          </w:tcPr>
          <w:p w14:paraId="2C101A53" w14:textId="77777777" w:rsidR="001F52D9" w:rsidRPr="001B5614" w:rsidRDefault="001F52D9" w:rsidP="001B5614">
            <w:pPr>
              <w:spacing w:after="160"/>
              <w:jc w:val="left"/>
              <w:rPr>
                <w:rFonts w:cs="Arial"/>
              </w:rPr>
            </w:pPr>
            <w:r w:rsidRPr="001B5614">
              <w:rPr>
                <w:rFonts w:cs="Arial"/>
              </w:rPr>
              <w:t>Enter finished steel or unfamiliar clean technologies</w:t>
            </w:r>
          </w:p>
        </w:tc>
        <w:tc>
          <w:tcPr>
            <w:tcW w:w="0" w:type="auto"/>
            <w:hideMark/>
          </w:tcPr>
          <w:p w14:paraId="00CE9D46" w14:textId="77777777" w:rsidR="001F52D9" w:rsidRPr="001B5614" w:rsidRDefault="001F52D9" w:rsidP="001B5614">
            <w:pPr>
              <w:spacing w:after="160"/>
              <w:jc w:val="left"/>
              <w:rPr>
                <w:rFonts w:cs="Arial"/>
              </w:rPr>
            </w:pPr>
            <w:r w:rsidRPr="001B5614">
              <w:rPr>
                <w:rFonts w:cs="Arial"/>
              </w:rPr>
              <w:t>Captures greater value-chain control</w:t>
            </w:r>
          </w:p>
        </w:tc>
        <w:tc>
          <w:tcPr>
            <w:tcW w:w="0" w:type="auto"/>
            <w:hideMark/>
          </w:tcPr>
          <w:p w14:paraId="117445F9" w14:textId="77777777" w:rsidR="001F52D9" w:rsidRPr="001B5614" w:rsidRDefault="001F52D9" w:rsidP="001B5614">
            <w:pPr>
              <w:spacing w:after="160"/>
              <w:jc w:val="left"/>
              <w:rPr>
                <w:rFonts w:cs="Arial"/>
              </w:rPr>
            </w:pPr>
            <w:r w:rsidRPr="001B5614">
              <w:rPr>
                <w:rFonts w:cs="Arial"/>
              </w:rPr>
              <w:t>Highest capability, capital and execution risk</w:t>
            </w:r>
          </w:p>
        </w:tc>
      </w:tr>
    </w:tbl>
    <w:p w14:paraId="1C15511F" w14:textId="518C274E" w:rsidR="00A276B1" w:rsidRPr="001B5614" w:rsidRDefault="00A276B1" w:rsidP="001B5614">
      <w:pPr>
        <w:jc w:val="left"/>
        <w:rPr>
          <w:rFonts w:cs="Arial"/>
        </w:rPr>
      </w:pPr>
      <w:r w:rsidRPr="001B5614">
        <w:rPr>
          <w:rFonts w:cs="Arial"/>
        </w:rPr>
        <w:t>The best primary option is product development</w:t>
      </w:r>
      <w:r w:rsidR="00BA5614" w:rsidRPr="001B5614">
        <w:rPr>
          <w:rFonts w:cs="Arial"/>
        </w:rPr>
        <w:t>,</w:t>
      </w:r>
      <w:r w:rsidRPr="001B5614">
        <w:rPr>
          <w:rFonts w:cs="Arial"/>
        </w:rPr>
        <w:t xml:space="preserve"> with BHP already having mineral resources, commercial relationships and technical knowledge, and customers demanding new inputs for the new steelmaking processes with lower emissions. Market development is to follow once the product has been proven to deliver performance. Expansion into finished steel would lead to a loss of focus and to exposure to new manufacturing economics.</w:t>
      </w:r>
    </w:p>
    <w:p w14:paraId="5DE60F5D" w14:textId="70CF1E2C" w:rsidR="00EB778A" w:rsidRPr="001B5614" w:rsidRDefault="001F52D9" w:rsidP="001B5614">
      <w:pPr>
        <w:pStyle w:val="Heading2"/>
        <w:jc w:val="left"/>
        <w:rPr>
          <w:rFonts w:cs="Arial"/>
        </w:rPr>
      </w:pPr>
      <w:bookmarkStart w:id="7" w:name="_Toc235717401"/>
      <w:r w:rsidRPr="001B5614">
        <w:rPr>
          <w:rFonts w:cs="Arial"/>
        </w:rPr>
        <w:t>2.2 Recommended Product-Development Strategy</w:t>
      </w:r>
      <w:bookmarkEnd w:id="7"/>
    </w:p>
    <w:p w14:paraId="345E95C9" w14:textId="50DFCC1A" w:rsidR="00EB778A" w:rsidRPr="001B5614" w:rsidRDefault="00EB778A" w:rsidP="001B5614">
      <w:pPr>
        <w:jc w:val="left"/>
        <w:rPr>
          <w:rFonts w:cs="Arial"/>
          <w:b/>
          <w:bCs/>
        </w:rPr>
      </w:pPr>
      <w:r w:rsidRPr="001B5614">
        <w:rPr>
          <w:rFonts w:cs="Arial"/>
          <w:b/>
          <w:bCs/>
        </w:rPr>
        <w:t>Low-Carbon Portfolio Design and Market Standards</w:t>
      </w:r>
    </w:p>
    <w:p w14:paraId="5EE3DDD7" w14:textId="13090669" w:rsidR="001F52D9" w:rsidRPr="001B5614" w:rsidRDefault="00A276B1" w:rsidP="001B5614">
      <w:pPr>
        <w:jc w:val="left"/>
        <w:rPr>
          <w:rFonts w:cs="Arial"/>
        </w:rPr>
      </w:pPr>
      <w:r w:rsidRPr="001B5614">
        <w:rPr>
          <w:rFonts w:cs="Arial"/>
        </w:rPr>
        <w:t>BHP should create a step-by-step Low-Carbon Iron Solutions portfolio including enhanced Pilbara ore mixes, DRI/ESF-compatible feed, product carbon information verified by BHP and joint technical services and long-term supply contracts for measurable carbon outcomes. The</w:t>
      </w:r>
      <w:r w:rsidR="003A5406" w:rsidRPr="001B5614">
        <w:rPr>
          <w:rFonts w:cs="Arial"/>
        </w:rPr>
        <w:t xml:space="preserve"> </w:t>
      </w:r>
      <w:r w:rsidR="003A5406" w:rsidRPr="001B5614">
        <w:rPr>
          <w:rFonts w:cs="Arial"/>
        </w:rPr>
        <w:fldChar w:fldCharType="begin" w:fldLock="1"/>
      </w:r>
      <w:r w:rsidR="002A1F0B" w:rsidRPr="001B5614">
        <w:rPr>
          <w:rFonts w:cs="Arial"/>
        </w:rPr>
        <w:instrText>ADDIN CSL_CITATION {"citationItems":[{"id":"ITEM-1","itemData":{"author":[{"dropping-particle":"","family":"Iea","given":"","non-dropping-particle":"","parse-names":false,"suffix":""}],"id":"ITEM-1","issued":{"date-parts":[["2024"]]},"title":"Definitions for Near-Zero and Low-Emissions Steel and Cement, and Underlying Emissions Measurement Methodologies","type":"article-journal"},"uris":["http://www.mendeley.com/documents/?uuid=57ed26c6-8bd2-47a0-95a5-b0a910bb3927"]}],"mendeley":{"formattedCitation":"(Iea, 2024)","manualFormatting":"Iea (2024)","plainTextFormattedCitation":"(Iea, 2024)","previouslyFormattedCitation":"(Iea, 2024)"},"properties":{"noteIndex":0},"schema":"https://github.com/citation-style-language/schema/raw/master/csl-citation.json"}</w:instrText>
      </w:r>
      <w:r w:rsidR="003A5406" w:rsidRPr="001B5614">
        <w:rPr>
          <w:rFonts w:cs="Arial"/>
        </w:rPr>
        <w:fldChar w:fldCharType="separate"/>
      </w:r>
      <w:r w:rsidR="003A5406" w:rsidRPr="001B5614">
        <w:rPr>
          <w:rFonts w:cs="Arial"/>
          <w:noProof/>
        </w:rPr>
        <w:t>Iea (2024)</w:t>
      </w:r>
      <w:r w:rsidR="003A5406" w:rsidRPr="001B5614">
        <w:rPr>
          <w:rFonts w:cs="Arial"/>
        </w:rPr>
        <w:fldChar w:fldCharType="end"/>
      </w:r>
      <w:r w:rsidR="003A5406" w:rsidRPr="001B5614">
        <w:rPr>
          <w:rFonts w:cs="Arial"/>
        </w:rPr>
        <w:t xml:space="preserve"> </w:t>
      </w:r>
      <w:r w:rsidRPr="001B5614">
        <w:rPr>
          <w:rFonts w:cs="Arial"/>
        </w:rPr>
        <w:t>believes that there is a need for common near-zero and low-emissions definitions, as similar thresholds facilitate standards, procurement and credible markets. It notes in its 2025 Breakthrough Agenda that emissions in steel are still largely unchanged and that more robust demonstration, standards and demand creation are needed</w:t>
      </w:r>
      <w:r w:rsidR="002A1F0B" w:rsidRPr="001B5614">
        <w:rPr>
          <w:rFonts w:cs="Arial"/>
        </w:rPr>
        <w:t xml:space="preserve"> </w:t>
      </w:r>
      <w:r w:rsidR="002A1F0B" w:rsidRPr="001B5614">
        <w:rPr>
          <w:rFonts w:cs="Arial"/>
        </w:rPr>
        <w:fldChar w:fldCharType="begin" w:fldLock="1"/>
      </w:r>
      <w:r w:rsidR="002A1F0B" w:rsidRPr="001B5614">
        <w:rPr>
          <w:rFonts w:cs="Arial"/>
        </w:rPr>
        <w:instrText>ADDIN CSL_CITATION {"citationItems":[{"id":"ITEM-1","itemData":{"author":[{"dropping-particle":"","family":"Iea","given":"","non-dropping-particle":"","parse-names":false,"suffix":""}],"id":"ITEM-1","issued":{"date-parts":[["2025"]]},"title":"Breakthrough Agenda Report 2025","type":"article-journal"},"uris":["http://www.mendeley.com/documents/?uuid=b8398bba-7a9a-42c8-a22b-84a292427109"]}],"mendeley":{"formattedCitation":"(Iea, 2025)","plainTextFormattedCitation":"(Iea, 2025)","previouslyFormattedCitation":"(Iea, 2025)"},"properties":{"noteIndex":0},"schema":"https://github.com/citation-style-language/schema/raw/master/csl-citation.json"}</w:instrText>
      </w:r>
      <w:r w:rsidR="002A1F0B" w:rsidRPr="001B5614">
        <w:rPr>
          <w:rFonts w:cs="Arial"/>
        </w:rPr>
        <w:fldChar w:fldCharType="separate"/>
      </w:r>
      <w:r w:rsidR="002A1F0B" w:rsidRPr="001B5614">
        <w:rPr>
          <w:rFonts w:cs="Arial"/>
          <w:noProof/>
        </w:rPr>
        <w:t>(Iea, 2025)</w:t>
      </w:r>
      <w:r w:rsidR="002A1F0B" w:rsidRPr="001B5614">
        <w:rPr>
          <w:rFonts w:cs="Arial"/>
        </w:rPr>
        <w:fldChar w:fldCharType="end"/>
      </w:r>
      <w:r w:rsidRPr="001B5614">
        <w:rPr>
          <w:rFonts w:cs="Arial"/>
        </w:rPr>
        <w:t>. The</w:t>
      </w:r>
      <w:r w:rsidR="002A1F0B" w:rsidRPr="001B5614">
        <w:rPr>
          <w:rFonts w:cs="Arial"/>
        </w:rPr>
        <w:t xml:space="preserve"> </w:t>
      </w:r>
      <w:r w:rsidR="002A1F0B" w:rsidRPr="001B5614">
        <w:rPr>
          <w:rFonts w:cs="Arial"/>
        </w:rPr>
        <w:fldChar w:fldCharType="begin" w:fldLock="1"/>
      </w:r>
      <w:r w:rsidR="002A1F0B" w:rsidRPr="001B5614">
        <w:rPr>
          <w:rFonts w:cs="Arial"/>
        </w:rPr>
        <w:instrText>ADDIN CSL_CITATION {"citationItems":[{"id":"ITEM-1","itemData":{"author":[{"dropping-particle":"","family":"Iea","given":"","non-dropping-particle":"","parse-names":false,"suffix":""}],"id":"ITEM-1","issued":{"date-parts":[["2026"]]},"title":"Demand and Supply Measures for the Steel and Cement Transition","type":"article-journal"},"uris":["http://www.mendeley.com/documents/?uuid=01a7c101-da4a-4528-aa3c-cf9472868341"]}],"mendeley":{"formattedCitation":"(Iea, 2026)","manualFormatting":"Iea (2026)","plainTextFormattedCitation":"(Iea, 2026)","previouslyFormattedCitation":"(Iea, 2026)"},"properties":{"noteIndex":0},"schema":"https://github.com/citation-style-language/schema/raw/master/csl-citation.json"}</w:instrText>
      </w:r>
      <w:r w:rsidR="002A1F0B" w:rsidRPr="001B5614">
        <w:rPr>
          <w:rFonts w:cs="Arial"/>
        </w:rPr>
        <w:fldChar w:fldCharType="separate"/>
      </w:r>
      <w:r w:rsidR="002A1F0B" w:rsidRPr="001B5614">
        <w:rPr>
          <w:rFonts w:cs="Arial"/>
          <w:noProof/>
        </w:rPr>
        <w:t>Iea (2026)</w:t>
      </w:r>
      <w:r w:rsidR="002A1F0B" w:rsidRPr="001B5614">
        <w:rPr>
          <w:rFonts w:cs="Arial"/>
        </w:rPr>
        <w:fldChar w:fldCharType="end"/>
      </w:r>
      <w:r w:rsidRPr="001B5614">
        <w:rPr>
          <w:rFonts w:cs="Arial"/>
        </w:rPr>
        <w:t xml:space="preserve"> also calls for coordinated measures to boost supply of conventional materials and </w:t>
      </w:r>
      <w:r w:rsidR="00BA5614" w:rsidRPr="001B5614">
        <w:rPr>
          <w:rFonts w:cs="Arial"/>
        </w:rPr>
        <w:t>demand</w:t>
      </w:r>
      <w:r w:rsidRPr="001B5614">
        <w:rPr>
          <w:rFonts w:cs="Arial"/>
        </w:rPr>
        <w:t xml:space="preserve"> for near-zero materials to address this cost disparity. </w:t>
      </w:r>
    </w:p>
    <w:p w14:paraId="764C3443" w14:textId="2942926E" w:rsidR="00EB778A" w:rsidRPr="001B5614" w:rsidRDefault="00EB778A" w:rsidP="001B5614">
      <w:pPr>
        <w:jc w:val="left"/>
        <w:rPr>
          <w:rFonts w:cs="Arial"/>
          <w:b/>
          <w:bCs/>
        </w:rPr>
      </w:pPr>
      <w:r w:rsidRPr="001B5614">
        <w:rPr>
          <w:rFonts w:cs="Arial"/>
          <w:b/>
          <w:bCs/>
        </w:rPr>
        <w:t>Evidence from Pilot and Commercial-Scale Trials</w:t>
      </w:r>
    </w:p>
    <w:p w14:paraId="66C26BA7" w14:textId="58A5FDAD" w:rsidR="001F52D9" w:rsidRPr="001B5614" w:rsidRDefault="00A276B1" w:rsidP="001B5614">
      <w:pPr>
        <w:jc w:val="left"/>
        <w:rPr>
          <w:rFonts w:cs="Arial"/>
        </w:rPr>
      </w:pPr>
      <w:r w:rsidRPr="001B5614">
        <w:rPr>
          <w:rFonts w:cs="Arial"/>
        </w:rPr>
        <w:lastRenderedPageBreak/>
        <w:t xml:space="preserve">BHP </w:t>
      </w:r>
      <w:r w:rsidR="00BA5614" w:rsidRPr="001B5614">
        <w:rPr>
          <w:rFonts w:cs="Arial"/>
        </w:rPr>
        <w:t>already has</w:t>
      </w:r>
      <w:r w:rsidRPr="001B5614">
        <w:rPr>
          <w:rFonts w:cs="Arial"/>
        </w:rPr>
        <w:t xml:space="preserve"> valuable evidence. The </w:t>
      </w:r>
      <w:proofErr w:type="spellStart"/>
      <w:r w:rsidRPr="001B5614">
        <w:rPr>
          <w:rFonts w:cs="Arial"/>
        </w:rPr>
        <w:t>NeoSmelt</w:t>
      </w:r>
      <w:proofErr w:type="spellEnd"/>
      <w:r w:rsidRPr="001B5614">
        <w:rPr>
          <w:rFonts w:cs="Arial"/>
        </w:rPr>
        <w:t xml:space="preserve"> project with BlueScope and Rio Tinto</w:t>
      </w:r>
      <w:r w:rsidR="002A1F0B" w:rsidRPr="001B5614">
        <w:rPr>
          <w:rFonts w:cs="Arial"/>
        </w:rPr>
        <w:t xml:space="preserve"> </w:t>
      </w:r>
      <w:r w:rsidR="002A1F0B" w:rsidRPr="001B5614">
        <w:rPr>
          <w:rFonts w:cs="Arial"/>
        </w:rPr>
        <w:fldChar w:fldCharType="begin" w:fldLock="1"/>
      </w:r>
      <w:r w:rsidR="002A1F0B" w:rsidRPr="001B5614">
        <w:rPr>
          <w:rFonts w:cs="Arial"/>
        </w:rPr>
        <w:instrText>ADDIN CSL_CITATION {"citationItems":[{"id":"ITEM-1","itemData":{"author":[{"dropping-particle":"","family":"BHP","given":"","non-dropping-particle":"","parse-names":false,"suffix":""}],"id":"ITEM-1","issued":{"date-parts":[["2024"]]},"title":"BlueScope, BHP and Rio Tinto select WA for Australia’s largest ironmaking electric smelting furnace","type":"article-journal"},"uris":["http://www.mendeley.com/documents/?uuid=7c802388-9de9-4707-9b33-921b9ba0f989"]}],"mendeley":{"formattedCitation":"(BHP, 2024a)","manualFormatting":"BHP (2024)","plainTextFormattedCitation":"(BHP, 2024a)","previouslyFormattedCitation":"(BHP, 2024a)"},"properties":{"noteIndex":0},"schema":"https://github.com/citation-style-language/schema/raw/master/csl-citation.json"}</w:instrText>
      </w:r>
      <w:r w:rsidR="002A1F0B" w:rsidRPr="001B5614">
        <w:rPr>
          <w:rFonts w:cs="Arial"/>
        </w:rPr>
        <w:fldChar w:fldCharType="separate"/>
      </w:r>
      <w:r w:rsidR="002A1F0B" w:rsidRPr="001B5614">
        <w:rPr>
          <w:rFonts w:cs="Arial"/>
          <w:noProof/>
        </w:rPr>
        <w:t>BHP (2024)</w:t>
      </w:r>
      <w:r w:rsidR="002A1F0B" w:rsidRPr="001B5614">
        <w:rPr>
          <w:rFonts w:cs="Arial"/>
        </w:rPr>
        <w:fldChar w:fldCharType="end"/>
      </w:r>
      <w:r w:rsidRPr="001B5614">
        <w:rPr>
          <w:rFonts w:cs="Arial"/>
        </w:rPr>
        <w:t xml:space="preserve"> will be seeking to trial the electric-smelting furnace process with Western Australian ores and renewable energy.</w:t>
      </w:r>
      <w:r w:rsidRPr="001B5614">
        <w:rPr>
          <w:rFonts w:cs="Arial"/>
          <w:sz w:val="23"/>
          <w:szCs w:val="23"/>
        </w:rPr>
        <w:t xml:space="preserve"> </w:t>
      </w:r>
      <w:r w:rsidR="00BA5614" w:rsidRPr="001B5614">
        <w:rPr>
          <w:rFonts w:cs="Arial"/>
        </w:rPr>
        <w:t>Commercial-scale</w:t>
      </w:r>
      <w:r w:rsidRPr="001B5614">
        <w:rPr>
          <w:rFonts w:cs="Arial"/>
        </w:rPr>
        <w:t xml:space="preserve"> testing by </w:t>
      </w:r>
      <w:r w:rsidR="002A1F0B" w:rsidRPr="001B5614">
        <w:rPr>
          <w:rFonts w:cs="Arial"/>
        </w:rPr>
        <w:fldChar w:fldCharType="begin" w:fldLock="1"/>
      </w:r>
      <w:r w:rsidR="002A1F0B" w:rsidRPr="001B5614">
        <w:rPr>
          <w:rFonts w:cs="Arial"/>
        </w:rPr>
        <w:instrText>ADDIN CSL_CITATION {"citationItems":[{"id":"ITEM-1","itemData":{"author":[{"dropping-particle":"","family":"BHP","given":"","non-dropping-particle":"","parse-names":false,"suffix":""}],"id":"ITEM-1","issued":{"date-parts":[["2025"]]},"title":"BHP and China Baowu celebrated successful commercial-scale DRI trials using BHP’s Pilbara iron ores","type":"article-journal"},"uris":["http://www.mendeley.com/documents/?uuid=df0e8bdc-ba33-4096-a5ba-b6bc75018215"]}],"mendeley":{"formattedCitation":"(BHP, 2025b)","manualFormatting":"BHP, (2025)","plainTextFormattedCitation":"(BHP, 2025b)","previouslyFormattedCitation":"(BHP, 2025b)"},"properties":{"noteIndex":0},"schema":"https://github.com/citation-style-language/schema/raw/master/csl-citation.json"}</w:instrText>
      </w:r>
      <w:r w:rsidR="002A1F0B" w:rsidRPr="001B5614">
        <w:rPr>
          <w:rFonts w:cs="Arial"/>
        </w:rPr>
        <w:fldChar w:fldCharType="separate"/>
      </w:r>
      <w:r w:rsidR="002A1F0B" w:rsidRPr="001B5614">
        <w:rPr>
          <w:rFonts w:cs="Arial"/>
          <w:noProof/>
        </w:rPr>
        <w:t>BHP, (2025)</w:t>
      </w:r>
      <w:r w:rsidR="002A1F0B" w:rsidRPr="001B5614">
        <w:rPr>
          <w:rFonts w:cs="Arial"/>
        </w:rPr>
        <w:fldChar w:fldCharType="end"/>
      </w:r>
      <w:r w:rsidRPr="001B5614">
        <w:rPr>
          <w:rFonts w:cs="Arial"/>
        </w:rPr>
        <w:t xml:space="preserve"> found BHP ores used in the hydrogen DRI furnace resulted in around 50% lower CO</w:t>
      </w:r>
      <w:r w:rsidRPr="001B5614">
        <w:rPr>
          <w:rFonts w:ascii="Cambria Math" w:hAnsi="Cambria Math" w:cs="Cambria Math"/>
        </w:rPr>
        <w:t>₂</w:t>
      </w:r>
      <w:r w:rsidRPr="001B5614">
        <w:rPr>
          <w:rFonts w:cs="Arial"/>
        </w:rPr>
        <w:t xml:space="preserve"> intensity of ironmaking compared to blast furnace hot metal, and DRI combined with ESF could achieve over 80% reduction with access to green hydrogen and renewable electricity. These results could be used in product development, but they would not show cost competitiveness or world-scale applicability. Investment should thus go through stage gates for ore performance, independently verified emissions, customer offtake, availability of renewable energy and expected return. </w:t>
      </w:r>
    </w:p>
    <w:p w14:paraId="033D4718" w14:textId="3EB5F402" w:rsidR="00EB778A" w:rsidRPr="001B5614" w:rsidRDefault="00EB778A" w:rsidP="001B5614">
      <w:pPr>
        <w:jc w:val="left"/>
        <w:rPr>
          <w:rFonts w:cs="Arial"/>
          <w:b/>
          <w:bCs/>
        </w:rPr>
      </w:pPr>
      <w:r w:rsidRPr="001B5614">
        <w:rPr>
          <w:rFonts w:cs="Arial"/>
          <w:b/>
          <w:bCs/>
        </w:rPr>
        <w:t xml:space="preserve">Phased </w:t>
      </w:r>
      <w:proofErr w:type="spellStart"/>
      <w:r w:rsidRPr="001B5614">
        <w:rPr>
          <w:rFonts w:cs="Arial"/>
          <w:b/>
          <w:bCs/>
        </w:rPr>
        <w:t>Commercialisation</w:t>
      </w:r>
      <w:proofErr w:type="spellEnd"/>
      <w:r w:rsidRPr="001B5614">
        <w:rPr>
          <w:rFonts w:cs="Arial"/>
          <w:b/>
          <w:bCs/>
        </w:rPr>
        <w:t xml:space="preserve"> and Transition Risk Management</w:t>
      </w:r>
    </w:p>
    <w:p w14:paraId="4BA8CABF" w14:textId="4CBDB29E" w:rsidR="001F52D9" w:rsidRPr="001B5614" w:rsidRDefault="00A276B1" w:rsidP="001B5614">
      <w:pPr>
        <w:jc w:val="left"/>
        <w:rPr>
          <w:rFonts w:cs="Arial"/>
        </w:rPr>
      </w:pPr>
      <w:r w:rsidRPr="001B5614">
        <w:rPr>
          <w:rFonts w:cs="Arial"/>
        </w:rPr>
        <w:t xml:space="preserve">The difference between customer needs in the short-term and long-term should be separated in </w:t>
      </w:r>
      <w:proofErr w:type="spellStart"/>
      <w:r w:rsidRPr="001B5614">
        <w:rPr>
          <w:rFonts w:cs="Arial"/>
        </w:rPr>
        <w:t>commercialisation</w:t>
      </w:r>
      <w:proofErr w:type="spellEnd"/>
      <w:r w:rsidRPr="001B5614">
        <w:rPr>
          <w:rFonts w:cs="Arial"/>
        </w:rPr>
        <w:t xml:space="preserve">. In the short term, most steel producers still have blast furnaces, and BHP should seek to sell </w:t>
      </w:r>
      <w:r w:rsidR="00BA5614" w:rsidRPr="001B5614">
        <w:rPr>
          <w:rFonts w:cs="Arial"/>
        </w:rPr>
        <w:t>higher-quality</w:t>
      </w:r>
      <w:r w:rsidRPr="001B5614">
        <w:rPr>
          <w:rFonts w:cs="Arial"/>
        </w:rPr>
        <w:t xml:space="preserve"> </w:t>
      </w:r>
      <w:proofErr w:type="gramStart"/>
      <w:r w:rsidRPr="001B5614">
        <w:rPr>
          <w:rFonts w:cs="Arial"/>
        </w:rPr>
        <w:t>lump</w:t>
      </w:r>
      <w:proofErr w:type="gramEnd"/>
      <w:r w:rsidRPr="001B5614">
        <w:rPr>
          <w:rFonts w:cs="Arial"/>
        </w:rPr>
        <w:t xml:space="preserve"> and better blends and technical </w:t>
      </w:r>
      <w:proofErr w:type="spellStart"/>
      <w:r w:rsidRPr="001B5614">
        <w:rPr>
          <w:rFonts w:cs="Arial"/>
        </w:rPr>
        <w:t>optimisation</w:t>
      </w:r>
      <w:proofErr w:type="spellEnd"/>
      <w:r w:rsidRPr="001B5614">
        <w:rPr>
          <w:rFonts w:cs="Arial"/>
        </w:rPr>
        <w:t xml:space="preserve"> that will save fuel without having to replace steel plants. DRI–ESF feed and carbon-accounting services should focus in the longer term on customers investing in hydrogen and renewable electricity. This two-pronged strategy </w:t>
      </w:r>
      <w:proofErr w:type="spellStart"/>
      <w:r w:rsidRPr="001B5614">
        <w:rPr>
          <w:rFonts w:cs="Arial"/>
        </w:rPr>
        <w:t>minimises</w:t>
      </w:r>
      <w:proofErr w:type="spellEnd"/>
      <w:r w:rsidRPr="001B5614">
        <w:rPr>
          <w:rFonts w:cs="Arial"/>
        </w:rPr>
        <w:t xml:space="preserve"> the chances of developing a technically advanced product that customers don't yet have the infrastructure to support. But the transitional offer must not be a means to prolong reliance on </w:t>
      </w:r>
      <w:r w:rsidR="00BA5614" w:rsidRPr="001B5614">
        <w:rPr>
          <w:rFonts w:cs="Arial"/>
        </w:rPr>
        <w:t>high-emissions</w:t>
      </w:r>
      <w:r w:rsidRPr="001B5614">
        <w:rPr>
          <w:rFonts w:cs="Arial"/>
        </w:rPr>
        <w:t xml:space="preserve"> steelmaking at BHP. In every contract, there should thus be milestones of improvement, clear baselines and a clear path to further abatement. This turns uncertainty into a controlled innovation portfolio, instead of the 'all-eggs-in-one-basket' scenario</w:t>
      </w:r>
      <w:r w:rsidR="001F52D9" w:rsidRPr="001B5614">
        <w:rPr>
          <w:rFonts w:cs="Arial"/>
        </w:rPr>
        <w:t>.</w:t>
      </w:r>
    </w:p>
    <w:p w14:paraId="2576DC80" w14:textId="77777777" w:rsidR="001F52D9" w:rsidRPr="001B5614" w:rsidRDefault="001F52D9" w:rsidP="001B5614">
      <w:pPr>
        <w:pStyle w:val="Heading2"/>
        <w:jc w:val="left"/>
        <w:rPr>
          <w:rFonts w:cs="Arial"/>
        </w:rPr>
      </w:pPr>
      <w:bookmarkStart w:id="8" w:name="_Toc235717402"/>
      <w:r w:rsidRPr="001B5614">
        <w:rPr>
          <w:rFonts w:cs="Arial"/>
        </w:rPr>
        <w:t>2.3 Competitive Advantage and Positioning</w:t>
      </w:r>
      <w:bookmarkEnd w:id="8"/>
    </w:p>
    <w:p w14:paraId="38D73835" w14:textId="613CD222" w:rsidR="00573959" w:rsidRPr="001B5614" w:rsidRDefault="00573959" w:rsidP="001B5614">
      <w:pPr>
        <w:jc w:val="left"/>
        <w:rPr>
          <w:rFonts w:cs="Arial"/>
          <w:b/>
          <w:bCs/>
        </w:rPr>
      </w:pPr>
      <w:r w:rsidRPr="001B5614">
        <w:rPr>
          <w:rFonts w:cs="Arial"/>
          <w:b/>
          <w:bCs/>
        </w:rPr>
        <w:t>Differentiation through Integrated Low-Carbon Capabilities</w:t>
      </w:r>
    </w:p>
    <w:p w14:paraId="5BF5EF8B" w14:textId="758C562B" w:rsidR="001F52D9" w:rsidRPr="001B5614" w:rsidRDefault="00301445" w:rsidP="001B5614">
      <w:pPr>
        <w:jc w:val="left"/>
        <w:rPr>
          <w:rFonts w:cs="Arial"/>
        </w:rPr>
      </w:pPr>
      <w:r w:rsidRPr="001B5614">
        <w:rPr>
          <w:rFonts w:cs="Arial"/>
        </w:rPr>
        <w:t xml:space="preserve">According to </w:t>
      </w:r>
      <w:r w:rsidR="00BA5614" w:rsidRPr="001B5614">
        <w:rPr>
          <w:rFonts w:cs="Arial"/>
        </w:rPr>
        <w:t xml:space="preserve">a </w:t>
      </w:r>
      <w:r w:rsidRPr="001B5614">
        <w:rPr>
          <w:rFonts w:cs="Arial"/>
        </w:rPr>
        <w:t xml:space="preserve">summary of Porter by </w:t>
      </w:r>
      <w:r w:rsidR="002A1F0B" w:rsidRPr="001B5614">
        <w:rPr>
          <w:rFonts w:cs="Arial"/>
        </w:rPr>
        <w:fldChar w:fldCharType="begin" w:fldLock="1"/>
      </w:r>
      <w:r w:rsidR="002A1F0B" w:rsidRPr="001B5614">
        <w:rPr>
          <w:rFonts w:cs="Arial"/>
        </w:rPr>
        <w:instrText>ADDIN CSL_CITATION {"citationItems":[{"id":"ITEM-1","itemData":{"author":[{"dropping-particle":"","family":"IFM","given":"","non-dropping-particle":"","parse-names":false,"suffix":""}],"id":"ITEM-1","issued":{"date-parts":[["2026"]]},"title":"Porter's Generic Competitive Strategies (ways of competing)","type":"article-journal"},"uris":["http://www.mendeley.com/documents/?uuid=10af85d5-83eb-4cf0-a8a1-c4fcb2299448"]}],"mendeley":{"formattedCitation":"(IFM, 2026)","manualFormatting":"IFM (2026)","plainTextFormattedCitation":"(IFM, 2026)","previouslyFormattedCitation":"(IFM, 2026)"},"properties":{"noteIndex":0},"schema":"https://github.com/citation-style-language/schema/raw/master/csl-citation.json"}</w:instrText>
      </w:r>
      <w:r w:rsidR="002A1F0B" w:rsidRPr="001B5614">
        <w:rPr>
          <w:rFonts w:cs="Arial"/>
        </w:rPr>
        <w:fldChar w:fldCharType="separate"/>
      </w:r>
      <w:r w:rsidR="002A1F0B" w:rsidRPr="001B5614">
        <w:rPr>
          <w:rFonts w:cs="Arial"/>
          <w:noProof/>
        </w:rPr>
        <w:t>IFM (2026)</w:t>
      </w:r>
      <w:r w:rsidR="002A1F0B" w:rsidRPr="001B5614">
        <w:rPr>
          <w:rFonts w:cs="Arial"/>
        </w:rPr>
        <w:fldChar w:fldCharType="end"/>
      </w:r>
      <w:r w:rsidRPr="001B5614">
        <w:rPr>
          <w:rFonts w:cs="Arial"/>
        </w:rPr>
        <w:t xml:space="preserve">, there are other bases of advantage: cost leadership, differentiation and focus. BHP should go for differentiation and not for cost leadership. It needs to have a value proposition that includes not only the reliable supply, but also the knowledge they possess regarding processing of the ores, </w:t>
      </w:r>
      <w:r w:rsidRPr="001B5614">
        <w:rPr>
          <w:rFonts w:cs="Arial"/>
        </w:rPr>
        <w:lastRenderedPageBreak/>
        <w:t xml:space="preserve">customer trials, auditable carbon data and regulatory readiness. Any one environmental claim is </w:t>
      </w:r>
      <w:r w:rsidR="00BA5614" w:rsidRPr="001B5614">
        <w:rPr>
          <w:rFonts w:cs="Arial"/>
        </w:rPr>
        <w:t>imitable;</w:t>
      </w:r>
      <w:r w:rsidRPr="001B5614">
        <w:rPr>
          <w:rFonts w:cs="Arial"/>
        </w:rPr>
        <w:t xml:space="preserve"> the defensible capability is the carefully managed system of resources, research partnerships, learning</w:t>
      </w:r>
      <w:r w:rsidR="00BA5614" w:rsidRPr="001B5614">
        <w:rPr>
          <w:rFonts w:cs="Arial"/>
        </w:rPr>
        <w:t>,</w:t>
      </w:r>
      <w:r w:rsidRPr="001B5614">
        <w:rPr>
          <w:rFonts w:cs="Arial"/>
        </w:rPr>
        <w:t xml:space="preserve"> verifying and doing by the customer</w:t>
      </w:r>
      <w:r w:rsidR="001F52D9" w:rsidRPr="001B5614">
        <w:rPr>
          <w:rFonts w:cs="Arial"/>
        </w:rPr>
        <w:t xml:space="preserve">. </w:t>
      </w:r>
    </w:p>
    <w:p w14:paraId="2F8F9305" w14:textId="0DDBA43D" w:rsidR="00573959" w:rsidRPr="001B5614" w:rsidRDefault="00573959" w:rsidP="001B5614">
      <w:pPr>
        <w:jc w:val="left"/>
        <w:rPr>
          <w:rFonts w:cs="Arial"/>
          <w:b/>
          <w:bCs/>
        </w:rPr>
      </w:pPr>
      <w:r w:rsidRPr="001B5614">
        <w:rPr>
          <w:rFonts w:cs="Arial"/>
          <w:b/>
          <w:bCs/>
        </w:rPr>
        <w:t>Competitive Benchmarking and Targeted Green-Steel Positioning</w:t>
      </w:r>
    </w:p>
    <w:p w14:paraId="04F3878F" w14:textId="595311C6" w:rsidR="001F52D9" w:rsidRPr="001B5614" w:rsidRDefault="00301445" w:rsidP="001B5614">
      <w:pPr>
        <w:jc w:val="left"/>
        <w:rPr>
          <w:rFonts w:cs="Arial"/>
        </w:rPr>
      </w:pPr>
      <w:r w:rsidRPr="001B5614">
        <w:rPr>
          <w:rFonts w:cs="Arial"/>
        </w:rPr>
        <w:t xml:space="preserve">When things are competitive, it becomes very important to be in a hurry. Vale detailed its iron-ore briquettes and low-carbon ironmaking partnerships in its 2024 Integrated Report, illustrating how rivals are also making moves to prepare for </w:t>
      </w:r>
      <w:r w:rsidR="00BA5614" w:rsidRPr="001B5614">
        <w:rPr>
          <w:rFonts w:cs="Arial"/>
        </w:rPr>
        <w:t>green steel</w:t>
      </w:r>
      <w:r w:rsidRPr="001B5614">
        <w:rPr>
          <w:rFonts w:cs="Arial"/>
        </w:rPr>
        <w:t xml:space="preserve">. </w:t>
      </w:r>
      <w:proofErr w:type="gramStart"/>
      <w:r w:rsidRPr="001B5614">
        <w:rPr>
          <w:rFonts w:cs="Arial"/>
        </w:rPr>
        <w:t>So</w:t>
      </w:r>
      <w:proofErr w:type="gramEnd"/>
      <w:r w:rsidRPr="001B5614">
        <w:rPr>
          <w:rFonts w:cs="Arial"/>
        </w:rPr>
        <w:t xml:space="preserve"> BHP should not be announcing leadership </w:t>
      </w:r>
      <w:proofErr w:type="gramStart"/>
      <w:r w:rsidRPr="001B5614">
        <w:rPr>
          <w:rFonts w:cs="Arial"/>
        </w:rPr>
        <w:t>positions just</w:t>
      </w:r>
      <w:proofErr w:type="gramEnd"/>
      <w:r w:rsidRPr="001B5614">
        <w:rPr>
          <w:rFonts w:cs="Arial"/>
        </w:rPr>
        <w:t xml:space="preserve"> based on participation in pilots. </w:t>
      </w:r>
      <w:proofErr w:type="gramStart"/>
      <w:r w:rsidRPr="001B5614">
        <w:rPr>
          <w:rFonts w:cs="Arial"/>
        </w:rPr>
        <w:t>Advantage</w:t>
      </w:r>
      <w:proofErr w:type="gramEnd"/>
      <w:r w:rsidRPr="001B5614">
        <w:rPr>
          <w:rFonts w:cs="Arial"/>
        </w:rPr>
        <w:t xml:space="preserve"> will come when its product(s) help customers convert at lower costs or lower emissions in a more reliable manner than is possible with other alternatives. The market modelling performed by Johnson et al. further indicates that, even though lower-carbon steel offers a competitive advantage, this is not true in all situations, and marketing efforts should be directed to those steel companies that have a </w:t>
      </w:r>
      <w:proofErr w:type="spellStart"/>
      <w:r w:rsidRPr="001B5614">
        <w:rPr>
          <w:rFonts w:cs="Arial"/>
        </w:rPr>
        <w:t>favourable</w:t>
      </w:r>
      <w:proofErr w:type="spellEnd"/>
      <w:r w:rsidRPr="001B5614">
        <w:rPr>
          <w:rFonts w:cs="Arial"/>
        </w:rPr>
        <w:t xml:space="preserve"> carbon tax policy, access to renewable power, and investment capacity.</w:t>
      </w:r>
      <w:r w:rsidR="001F52D9" w:rsidRPr="001B5614">
        <w:rPr>
          <w:rFonts w:cs="Arial"/>
        </w:rPr>
        <w:t xml:space="preserve"> </w:t>
      </w:r>
    </w:p>
    <w:p w14:paraId="0DA4272F" w14:textId="77777777" w:rsidR="001F52D9" w:rsidRPr="001B5614" w:rsidRDefault="001F52D9" w:rsidP="001B5614">
      <w:pPr>
        <w:pStyle w:val="Heading2"/>
        <w:jc w:val="left"/>
        <w:rPr>
          <w:rFonts w:cs="Arial"/>
        </w:rPr>
      </w:pPr>
      <w:bookmarkStart w:id="9" w:name="_Toc235717403"/>
      <w:r w:rsidRPr="001B5614">
        <w:rPr>
          <w:rFonts w:cs="Arial"/>
        </w:rPr>
        <w:t>2.4 Marketing Implementation, Controls and KPIs</w:t>
      </w:r>
      <w:bookmarkEnd w:id="9"/>
    </w:p>
    <w:p w14:paraId="51009DBB" w14:textId="2DFAC2B9" w:rsidR="00301445" w:rsidRPr="001B5614" w:rsidRDefault="00301445" w:rsidP="001B5614">
      <w:pPr>
        <w:jc w:val="left"/>
        <w:rPr>
          <w:rFonts w:cs="Arial"/>
        </w:rPr>
      </w:pPr>
      <w:r w:rsidRPr="001B5614">
        <w:rPr>
          <w:rFonts w:cs="Arial"/>
        </w:rPr>
        <w:t xml:space="preserve">Customer Segmentation and Value Testing and Communication should be driven by Marketing. Product teams should transform metallurgical performance into a customer proposition; pricing teams should experiment with </w:t>
      </w:r>
      <w:r w:rsidR="00BA5614" w:rsidRPr="001B5614">
        <w:rPr>
          <w:rFonts w:cs="Arial"/>
        </w:rPr>
        <w:t>long-term</w:t>
      </w:r>
      <w:r w:rsidRPr="001B5614">
        <w:rPr>
          <w:rFonts w:cs="Arial"/>
        </w:rPr>
        <w:t xml:space="preserve"> contracts, shared pilot costs and value-based premiums, and shouldn't take willingness to pay for granted. Promotion should be based on </w:t>
      </w:r>
      <w:r w:rsidR="00BA5614" w:rsidRPr="001B5614">
        <w:rPr>
          <w:rFonts w:cs="Arial"/>
        </w:rPr>
        <w:t>clearly stated</w:t>
      </w:r>
      <w:r w:rsidRPr="001B5614">
        <w:rPr>
          <w:rFonts w:cs="Arial"/>
        </w:rPr>
        <w:t xml:space="preserve"> lifecycle limits and not include words like “green” or “zero carbon” that may not be supported.</w:t>
      </w:r>
    </w:p>
    <w:p w14:paraId="4A66A256" w14:textId="2CC08586" w:rsidR="00573959" w:rsidRPr="001B5614" w:rsidRDefault="00573959" w:rsidP="001B5614">
      <w:pPr>
        <w:pStyle w:val="Caption"/>
        <w:keepNext/>
        <w:spacing w:line="360" w:lineRule="auto"/>
        <w:jc w:val="left"/>
        <w:rPr>
          <w:rFonts w:cs="Arial"/>
        </w:rPr>
      </w:pPr>
      <w:r w:rsidRPr="001B5614">
        <w:rPr>
          <w:rFonts w:cs="Arial"/>
        </w:rPr>
        <w:t xml:space="preserve">Table </w:t>
      </w:r>
      <w:r w:rsidR="00BA5614" w:rsidRPr="001B5614">
        <w:rPr>
          <w:rFonts w:cs="Arial"/>
        </w:rPr>
        <w:fldChar w:fldCharType="begin"/>
      </w:r>
      <w:r w:rsidR="00BA5614" w:rsidRPr="001B5614">
        <w:rPr>
          <w:rFonts w:cs="Arial"/>
        </w:rPr>
        <w:instrText xml:space="preserve"> SEQ Table \* ARABIC </w:instrText>
      </w:r>
      <w:r w:rsidR="00BA5614" w:rsidRPr="001B5614">
        <w:rPr>
          <w:rFonts w:cs="Arial"/>
        </w:rPr>
        <w:fldChar w:fldCharType="separate"/>
      </w:r>
      <w:r w:rsidR="00BA5614" w:rsidRPr="001B5614">
        <w:rPr>
          <w:rFonts w:cs="Arial"/>
          <w:noProof/>
        </w:rPr>
        <w:t>3</w:t>
      </w:r>
      <w:r w:rsidR="00BA5614" w:rsidRPr="001B5614">
        <w:rPr>
          <w:rFonts w:cs="Arial"/>
          <w:noProof/>
        </w:rPr>
        <w:fldChar w:fldCharType="end"/>
      </w:r>
      <w:r w:rsidRPr="001B5614">
        <w:rPr>
          <w:rFonts w:cs="Arial"/>
        </w:rPr>
        <w:t>:Implementation controls</w:t>
      </w:r>
    </w:p>
    <w:tbl>
      <w:tblPr>
        <w:tblStyle w:val="TableGrid"/>
        <w:tblW w:w="0" w:type="auto"/>
        <w:tblLook w:val="04A0" w:firstRow="1" w:lastRow="0" w:firstColumn="1" w:lastColumn="0" w:noHBand="0" w:noVBand="1"/>
      </w:tblPr>
      <w:tblGrid>
        <w:gridCol w:w="2349"/>
        <w:gridCol w:w="3926"/>
        <w:gridCol w:w="3075"/>
      </w:tblGrid>
      <w:tr w:rsidR="001F52D9" w:rsidRPr="001B5614" w14:paraId="3134B45B" w14:textId="77777777" w:rsidTr="00A276B1">
        <w:tc>
          <w:tcPr>
            <w:tcW w:w="0" w:type="auto"/>
            <w:hideMark/>
          </w:tcPr>
          <w:p w14:paraId="3010539D" w14:textId="77777777" w:rsidR="001F52D9" w:rsidRPr="001B5614" w:rsidRDefault="001F52D9" w:rsidP="001B5614">
            <w:pPr>
              <w:spacing w:after="160"/>
              <w:jc w:val="left"/>
              <w:rPr>
                <w:rFonts w:cs="Arial"/>
                <w:b/>
                <w:bCs/>
              </w:rPr>
            </w:pPr>
            <w:r w:rsidRPr="001B5614">
              <w:rPr>
                <w:rFonts w:cs="Arial"/>
                <w:b/>
                <w:bCs/>
              </w:rPr>
              <w:t>Implementation stage</w:t>
            </w:r>
          </w:p>
        </w:tc>
        <w:tc>
          <w:tcPr>
            <w:tcW w:w="0" w:type="auto"/>
            <w:hideMark/>
          </w:tcPr>
          <w:p w14:paraId="7D646AB9" w14:textId="77777777" w:rsidR="001F52D9" w:rsidRPr="001B5614" w:rsidRDefault="001F52D9" w:rsidP="001B5614">
            <w:pPr>
              <w:spacing w:after="160"/>
              <w:jc w:val="left"/>
              <w:rPr>
                <w:rFonts w:cs="Arial"/>
                <w:b/>
                <w:bCs/>
              </w:rPr>
            </w:pPr>
            <w:r w:rsidRPr="001B5614">
              <w:rPr>
                <w:rFonts w:cs="Arial"/>
                <w:b/>
                <w:bCs/>
              </w:rPr>
              <w:t>Marketing action</w:t>
            </w:r>
          </w:p>
        </w:tc>
        <w:tc>
          <w:tcPr>
            <w:tcW w:w="0" w:type="auto"/>
            <w:hideMark/>
          </w:tcPr>
          <w:p w14:paraId="105F405C" w14:textId="77777777" w:rsidR="001F52D9" w:rsidRPr="001B5614" w:rsidRDefault="001F52D9" w:rsidP="001B5614">
            <w:pPr>
              <w:spacing w:after="160"/>
              <w:jc w:val="left"/>
              <w:rPr>
                <w:rFonts w:cs="Arial"/>
                <w:b/>
                <w:bCs/>
              </w:rPr>
            </w:pPr>
            <w:r w:rsidRPr="001B5614">
              <w:rPr>
                <w:rFonts w:cs="Arial"/>
                <w:b/>
                <w:bCs/>
              </w:rPr>
              <w:t>KPI</w:t>
            </w:r>
          </w:p>
        </w:tc>
      </w:tr>
      <w:tr w:rsidR="001F52D9" w:rsidRPr="001B5614" w14:paraId="30832868" w14:textId="77777777" w:rsidTr="00A276B1">
        <w:tc>
          <w:tcPr>
            <w:tcW w:w="0" w:type="auto"/>
            <w:hideMark/>
          </w:tcPr>
          <w:p w14:paraId="4DF7E3F8" w14:textId="77777777" w:rsidR="001F52D9" w:rsidRPr="001B5614" w:rsidRDefault="001F52D9" w:rsidP="001B5614">
            <w:pPr>
              <w:spacing w:after="160"/>
              <w:jc w:val="left"/>
              <w:rPr>
                <w:rFonts w:cs="Arial"/>
              </w:rPr>
            </w:pPr>
            <w:r w:rsidRPr="001B5614">
              <w:rPr>
                <w:rFonts w:cs="Arial"/>
              </w:rPr>
              <w:t>Validate</w:t>
            </w:r>
          </w:p>
        </w:tc>
        <w:tc>
          <w:tcPr>
            <w:tcW w:w="0" w:type="auto"/>
            <w:hideMark/>
          </w:tcPr>
          <w:p w14:paraId="39F183ED" w14:textId="77777777" w:rsidR="001F52D9" w:rsidRPr="001B5614" w:rsidRDefault="001F52D9" w:rsidP="001B5614">
            <w:pPr>
              <w:spacing w:after="160"/>
              <w:jc w:val="left"/>
              <w:rPr>
                <w:rFonts w:cs="Arial"/>
              </w:rPr>
            </w:pPr>
            <w:r w:rsidRPr="001B5614">
              <w:rPr>
                <w:rFonts w:cs="Arial"/>
              </w:rPr>
              <w:t>Select strategic steelmakers and complete trials</w:t>
            </w:r>
          </w:p>
        </w:tc>
        <w:tc>
          <w:tcPr>
            <w:tcW w:w="0" w:type="auto"/>
            <w:hideMark/>
          </w:tcPr>
          <w:p w14:paraId="015EE4FB" w14:textId="77777777" w:rsidR="001F52D9" w:rsidRPr="001B5614" w:rsidRDefault="001F52D9" w:rsidP="001B5614">
            <w:pPr>
              <w:spacing w:after="160"/>
              <w:jc w:val="left"/>
              <w:rPr>
                <w:rFonts w:cs="Arial"/>
              </w:rPr>
            </w:pPr>
            <w:r w:rsidRPr="001B5614">
              <w:rPr>
                <w:rFonts w:cs="Arial"/>
              </w:rPr>
              <w:t>Successful trials; verified CO</w:t>
            </w:r>
            <w:r w:rsidRPr="001B5614">
              <w:rPr>
                <w:rFonts w:ascii="Cambria Math" w:hAnsi="Cambria Math" w:cs="Cambria Math"/>
              </w:rPr>
              <w:t>₂</w:t>
            </w:r>
            <w:r w:rsidRPr="001B5614">
              <w:rPr>
                <w:rFonts w:cs="Arial"/>
              </w:rPr>
              <w:t xml:space="preserve"> intensity</w:t>
            </w:r>
          </w:p>
        </w:tc>
      </w:tr>
      <w:tr w:rsidR="001F52D9" w:rsidRPr="001B5614" w14:paraId="2B67CA60" w14:textId="77777777" w:rsidTr="00A276B1">
        <w:tc>
          <w:tcPr>
            <w:tcW w:w="0" w:type="auto"/>
            <w:hideMark/>
          </w:tcPr>
          <w:p w14:paraId="32B1F29A" w14:textId="77777777" w:rsidR="001F52D9" w:rsidRPr="001B5614" w:rsidRDefault="001F52D9" w:rsidP="001B5614">
            <w:pPr>
              <w:spacing w:after="160"/>
              <w:jc w:val="left"/>
              <w:rPr>
                <w:rFonts w:cs="Arial"/>
              </w:rPr>
            </w:pPr>
            <w:proofErr w:type="spellStart"/>
            <w:r w:rsidRPr="001B5614">
              <w:rPr>
                <w:rFonts w:cs="Arial"/>
              </w:rPr>
              <w:lastRenderedPageBreak/>
              <w:t>Commercialise</w:t>
            </w:r>
            <w:proofErr w:type="spellEnd"/>
          </w:p>
        </w:tc>
        <w:tc>
          <w:tcPr>
            <w:tcW w:w="0" w:type="auto"/>
            <w:hideMark/>
          </w:tcPr>
          <w:p w14:paraId="6FB4D499" w14:textId="77777777" w:rsidR="001F52D9" w:rsidRPr="001B5614" w:rsidRDefault="001F52D9" w:rsidP="001B5614">
            <w:pPr>
              <w:spacing w:after="160"/>
              <w:jc w:val="left"/>
              <w:rPr>
                <w:rFonts w:cs="Arial"/>
              </w:rPr>
            </w:pPr>
            <w:r w:rsidRPr="001B5614">
              <w:rPr>
                <w:rFonts w:cs="Arial"/>
              </w:rPr>
              <w:t>Offer technical service and multi-year supply contracts</w:t>
            </w:r>
          </w:p>
        </w:tc>
        <w:tc>
          <w:tcPr>
            <w:tcW w:w="0" w:type="auto"/>
            <w:hideMark/>
          </w:tcPr>
          <w:p w14:paraId="074CE131" w14:textId="77777777" w:rsidR="001F52D9" w:rsidRPr="001B5614" w:rsidRDefault="001F52D9" w:rsidP="001B5614">
            <w:pPr>
              <w:spacing w:after="160"/>
              <w:jc w:val="left"/>
              <w:rPr>
                <w:rFonts w:cs="Arial"/>
              </w:rPr>
            </w:pPr>
            <w:r w:rsidRPr="001B5614">
              <w:rPr>
                <w:rFonts w:cs="Arial"/>
              </w:rPr>
              <w:t>Contracted volume; customer retention</w:t>
            </w:r>
          </w:p>
        </w:tc>
      </w:tr>
      <w:tr w:rsidR="001F52D9" w:rsidRPr="001B5614" w14:paraId="5F9AEFFE" w14:textId="77777777" w:rsidTr="00A276B1">
        <w:tc>
          <w:tcPr>
            <w:tcW w:w="0" w:type="auto"/>
            <w:hideMark/>
          </w:tcPr>
          <w:p w14:paraId="47CB99D8" w14:textId="77777777" w:rsidR="001F52D9" w:rsidRPr="001B5614" w:rsidRDefault="001F52D9" w:rsidP="001B5614">
            <w:pPr>
              <w:spacing w:after="160"/>
              <w:jc w:val="left"/>
              <w:rPr>
                <w:rFonts w:cs="Arial"/>
              </w:rPr>
            </w:pPr>
            <w:r w:rsidRPr="001B5614">
              <w:rPr>
                <w:rFonts w:cs="Arial"/>
              </w:rPr>
              <w:t>Scale</w:t>
            </w:r>
          </w:p>
        </w:tc>
        <w:tc>
          <w:tcPr>
            <w:tcW w:w="0" w:type="auto"/>
            <w:hideMark/>
          </w:tcPr>
          <w:p w14:paraId="68D9CC8E" w14:textId="77777777" w:rsidR="001F52D9" w:rsidRPr="001B5614" w:rsidRDefault="001F52D9" w:rsidP="001B5614">
            <w:pPr>
              <w:spacing w:after="160"/>
              <w:jc w:val="left"/>
              <w:rPr>
                <w:rFonts w:cs="Arial"/>
              </w:rPr>
            </w:pPr>
            <w:r w:rsidRPr="001B5614">
              <w:rPr>
                <w:rFonts w:cs="Arial"/>
              </w:rPr>
              <w:t>Extend proven solutions into suitable markets</w:t>
            </w:r>
          </w:p>
        </w:tc>
        <w:tc>
          <w:tcPr>
            <w:tcW w:w="0" w:type="auto"/>
            <w:hideMark/>
          </w:tcPr>
          <w:p w14:paraId="068962AB" w14:textId="77777777" w:rsidR="001F52D9" w:rsidRPr="001B5614" w:rsidRDefault="001F52D9" w:rsidP="001B5614">
            <w:pPr>
              <w:spacing w:after="160"/>
              <w:jc w:val="left"/>
              <w:rPr>
                <w:rFonts w:cs="Arial"/>
              </w:rPr>
            </w:pPr>
            <w:r w:rsidRPr="001B5614">
              <w:rPr>
                <w:rFonts w:cs="Arial"/>
              </w:rPr>
              <w:t>New-product revenue; margin and return</w:t>
            </w:r>
          </w:p>
        </w:tc>
      </w:tr>
      <w:tr w:rsidR="001F52D9" w:rsidRPr="001B5614" w14:paraId="2F23C36B" w14:textId="77777777" w:rsidTr="00A276B1">
        <w:tc>
          <w:tcPr>
            <w:tcW w:w="0" w:type="auto"/>
            <w:hideMark/>
          </w:tcPr>
          <w:p w14:paraId="55F5D41D" w14:textId="77777777" w:rsidR="001F52D9" w:rsidRPr="001B5614" w:rsidRDefault="001F52D9" w:rsidP="001B5614">
            <w:pPr>
              <w:spacing w:after="160"/>
              <w:jc w:val="left"/>
              <w:rPr>
                <w:rFonts w:cs="Arial"/>
              </w:rPr>
            </w:pPr>
            <w:r w:rsidRPr="001B5614">
              <w:rPr>
                <w:rFonts w:cs="Arial"/>
              </w:rPr>
              <w:t>Govern</w:t>
            </w:r>
          </w:p>
        </w:tc>
        <w:tc>
          <w:tcPr>
            <w:tcW w:w="0" w:type="auto"/>
            <w:hideMark/>
          </w:tcPr>
          <w:p w14:paraId="52D74B81" w14:textId="77777777" w:rsidR="001F52D9" w:rsidRPr="001B5614" w:rsidRDefault="001F52D9" w:rsidP="001B5614">
            <w:pPr>
              <w:spacing w:after="160"/>
              <w:jc w:val="left"/>
              <w:rPr>
                <w:rFonts w:cs="Arial"/>
              </w:rPr>
            </w:pPr>
            <w:r w:rsidRPr="001B5614">
              <w:rPr>
                <w:rFonts w:cs="Arial"/>
              </w:rPr>
              <w:t>Independently assure claims and regulatory data</w:t>
            </w:r>
          </w:p>
        </w:tc>
        <w:tc>
          <w:tcPr>
            <w:tcW w:w="0" w:type="auto"/>
            <w:hideMark/>
          </w:tcPr>
          <w:p w14:paraId="28786E14" w14:textId="77777777" w:rsidR="001F52D9" w:rsidRPr="001B5614" w:rsidRDefault="001F52D9" w:rsidP="001B5614">
            <w:pPr>
              <w:spacing w:after="160"/>
              <w:jc w:val="left"/>
              <w:rPr>
                <w:rFonts w:cs="Arial"/>
              </w:rPr>
            </w:pPr>
            <w:r w:rsidRPr="001B5614">
              <w:rPr>
                <w:rFonts w:cs="Arial"/>
              </w:rPr>
              <w:t>Assurance findings; compliance incidents</w:t>
            </w:r>
          </w:p>
        </w:tc>
      </w:tr>
    </w:tbl>
    <w:p w14:paraId="57A74BFE" w14:textId="25C4F305" w:rsidR="00301445" w:rsidRPr="001B5614" w:rsidRDefault="000819CC" w:rsidP="001B5614">
      <w:pPr>
        <w:jc w:val="left"/>
        <w:rPr>
          <w:rFonts w:cs="Arial"/>
        </w:rPr>
      </w:pPr>
      <w:r w:rsidRPr="001B5614">
        <w:rPr>
          <w:rFonts w:cs="Arial"/>
        </w:rPr>
        <w:t xml:space="preserve">Stop or modify customer value, emissions and financial returns strategies. Product development </w:t>
      </w:r>
      <w:r w:rsidR="00BA5614" w:rsidRPr="001B5614">
        <w:rPr>
          <w:rFonts w:cs="Arial"/>
        </w:rPr>
        <w:t>ensures</w:t>
      </w:r>
      <w:r w:rsidRPr="001B5614">
        <w:rPr>
          <w:rFonts w:cs="Arial"/>
        </w:rPr>
        <w:t xml:space="preserve"> BHP's relevance</w:t>
      </w:r>
      <w:r w:rsidR="00BA5614" w:rsidRPr="001B5614">
        <w:rPr>
          <w:rFonts w:cs="Arial"/>
        </w:rPr>
        <w:t>,</w:t>
      </w:r>
      <w:r w:rsidRPr="001B5614">
        <w:rPr>
          <w:rFonts w:cs="Arial"/>
        </w:rPr>
        <w:t xml:space="preserve"> and willingness-to-pay evidence supports pricing, longer contracts, preferred supplier and lower substitution risk</w:t>
      </w:r>
      <w:r w:rsidR="00301445" w:rsidRPr="001B5614">
        <w:rPr>
          <w:rFonts w:cs="Arial"/>
        </w:rPr>
        <w:t>.</w:t>
      </w:r>
    </w:p>
    <w:p w14:paraId="306D7F7F" w14:textId="5609F921" w:rsidR="001F52D9" w:rsidRPr="001B5614" w:rsidRDefault="001F52D9" w:rsidP="001B5614">
      <w:pPr>
        <w:pStyle w:val="Heading1"/>
        <w:jc w:val="left"/>
        <w:rPr>
          <w:rFonts w:cs="Arial"/>
        </w:rPr>
      </w:pPr>
      <w:bookmarkStart w:id="10" w:name="_Toc235717404"/>
      <w:r w:rsidRPr="001B5614">
        <w:rPr>
          <w:rFonts w:cs="Arial"/>
        </w:rPr>
        <w:t>Task 3: Critical Reflection on AI Usage</w:t>
      </w:r>
      <w:bookmarkEnd w:id="10"/>
    </w:p>
    <w:p w14:paraId="73C1032D" w14:textId="77777777" w:rsidR="001F52D9" w:rsidRPr="001B5614" w:rsidRDefault="001F52D9" w:rsidP="001B5614">
      <w:pPr>
        <w:pStyle w:val="Heading2"/>
        <w:jc w:val="left"/>
        <w:rPr>
          <w:rFonts w:cs="Arial"/>
        </w:rPr>
      </w:pPr>
      <w:bookmarkStart w:id="11" w:name="_Toc235717405"/>
      <w:r w:rsidRPr="001B5614">
        <w:rPr>
          <w:rFonts w:cs="Arial"/>
        </w:rPr>
        <w:t>3.1 Tool Disclosure</w:t>
      </w:r>
      <w:bookmarkEnd w:id="11"/>
    </w:p>
    <w:p w14:paraId="4EA3BF98" w14:textId="59B022D9" w:rsidR="001F52D9" w:rsidRPr="001B5614" w:rsidRDefault="00301445" w:rsidP="001B5614">
      <w:pPr>
        <w:jc w:val="left"/>
        <w:rPr>
          <w:rFonts w:cs="Arial"/>
        </w:rPr>
      </w:pPr>
      <w:r w:rsidRPr="001B5614">
        <w:rPr>
          <w:rFonts w:cs="Arial"/>
        </w:rPr>
        <w:t xml:space="preserve">I entered the prompt into ChatGPT; used it to brainstorm search terms, to help create an outline for the report, and to help identify issues that needed to be investigated and to improve clarity. I didn't take its output to be evidence. </w:t>
      </w:r>
      <w:r w:rsidR="002A1F0B" w:rsidRPr="001B5614">
        <w:rPr>
          <w:rFonts w:cs="Arial"/>
        </w:rPr>
        <w:fldChar w:fldCharType="begin" w:fldLock="1"/>
      </w:r>
      <w:r w:rsidR="002A1F0B" w:rsidRPr="001B5614">
        <w:rPr>
          <w:rFonts w:cs="Arial"/>
        </w:rPr>
        <w:instrText>ADDIN CSL_CITATION {"citationItems":[{"id":"ITEM-1","itemData":{"author":[{"dropping-particle":"","family":"UNESCO","given":"","non-dropping-particle":"","parse-names":false,"suffix":""}],"id":"ITEM-1","issued":{"date-parts":[["2026"]]},"title":"Guidance for generative AI in education and research","type":"article-journal"},"uris":["http://www.mendeley.com/documents/?uuid=9542a721-eb52-47fc-88f3-b51f229a2b48"]}],"mendeley":{"formattedCitation":"(UNESCO, 2026)","manualFormatting":"UNESCO (2026)","plainTextFormattedCitation":"(UNESCO, 2026)","previouslyFormattedCitation":"(UNESCO, 2026)"},"properties":{"noteIndex":0},"schema":"https://github.com/citation-style-language/schema/raw/master/csl-citation.json"}</w:instrText>
      </w:r>
      <w:r w:rsidR="002A1F0B" w:rsidRPr="001B5614">
        <w:rPr>
          <w:rFonts w:cs="Arial"/>
        </w:rPr>
        <w:fldChar w:fldCharType="separate"/>
      </w:r>
      <w:r w:rsidR="002A1F0B" w:rsidRPr="001B5614">
        <w:rPr>
          <w:rFonts w:cs="Arial"/>
          <w:noProof/>
        </w:rPr>
        <w:t>UNESCO (2026)</w:t>
      </w:r>
      <w:r w:rsidR="002A1F0B" w:rsidRPr="001B5614">
        <w:rPr>
          <w:rFonts w:cs="Arial"/>
        </w:rPr>
        <w:fldChar w:fldCharType="end"/>
      </w:r>
      <w:r w:rsidRPr="001B5614">
        <w:rPr>
          <w:rFonts w:cs="Arial"/>
        </w:rPr>
        <w:t xml:space="preserve"> believes in human-</w:t>
      </w:r>
      <w:proofErr w:type="spellStart"/>
      <w:r w:rsidRPr="001B5614">
        <w:rPr>
          <w:rFonts w:cs="Arial"/>
        </w:rPr>
        <w:t>centred</w:t>
      </w:r>
      <w:proofErr w:type="spellEnd"/>
      <w:r w:rsidRPr="001B5614">
        <w:rPr>
          <w:rFonts w:cs="Arial"/>
        </w:rPr>
        <w:t xml:space="preserve"> solutions, where AI acts as a supportive tool to human agency and accountability. I was still in charge of choosing BHP, reading sources, using the frameworks and finally producing the judgements. </w:t>
      </w:r>
    </w:p>
    <w:p w14:paraId="7AFA19EF" w14:textId="77777777" w:rsidR="001F52D9" w:rsidRPr="001B5614" w:rsidRDefault="001F52D9" w:rsidP="001B5614">
      <w:pPr>
        <w:pStyle w:val="Heading2"/>
        <w:jc w:val="left"/>
        <w:rPr>
          <w:rFonts w:cs="Arial"/>
        </w:rPr>
      </w:pPr>
      <w:bookmarkStart w:id="12" w:name="_Toc235717406"/>
      <w:r w:rsidRPr="001B5614">
        <w:rPr>
          <w:rFonts w:cs="Arial"/>
        </w:rPr>
        <w:t>3.2 Verification and Correction</w:t>
      </w:r>
      <w:bookmarkEnd w:id="12"/>
    </w:p>
    <w:p w14:paraId="67C1DF5B" w14:textId="0CA9512B" w:rsidR="001F52D9" w:rsidRPr="001B5614" w:rsidRDefault="00301445" w:rsidP="001B5614">
      <w:pPr>
        <w:jc w:val="left"/>
        <w:rPr>
          <w:rFonts w:cs="Arial"/>
        </w:rPr>
      </w:pPr>
      <w:r w:rsidRPr="001B5614">
        <w:rPr>
          <w:rFonts w:cs="Arial"/>
        </w:rPr>
        <w:t>I visited each of the cited web pages and verified the authorship, publication date, relevance and followed the company statistics back to BHP's original reports. Academic, governmental and/or international evidence was compared to corporate claims. NIST's AI Risk Management Framework (AI RMF)</w:t>
      </w:r>
      <w:r w:rsidR="002A1F0B" w:rsidRPr="001B5614">
        <w:rPr>
          <w:rFonts w:cs="Arial"/>
        </w:rPr>
        <w:t xml:space="preserve"> </w:t>
      </w:r>
      <w:r w:rsidR="002A1F0B" w:rsidRPr="001B5614">
        <w:rPr>
          <w:rFonts w:cs="Arial"/>
        </w:rPr>
        <w:fldChar w:fldCharType="begin" w:fldLock="1"/>
      </w:r>
      <w:r w:rsidR="002C3320" w:rsidRPr="001B5614">
        <w:rPr>
          <w:rFonts w:cs="Arial"/>
        </w:rPr>
        <w:instrText>ADDIN CSL_CITATION {"citationItems":[{"id":"ITEM-1","itemData":{"author":[{"dropping-particle":"","family":"Tabassi","given":"Elham","non-dropping-particle":"","parse-names":false,"suffix":""}],"id":"ITEM-1","issued":{"date-parts":[["2023"]]},"title":"Artificial Intelligence Risk Management Framework (AI RMF 1.0)","type":"article-journal"},"uris":["http://www.mendeley.com/documents/?uuid=1ba095f1-dcd9-4001-b26a-c9a003b73c75"]}],"mendeley":{"formattedCitation":"(Tabassi, 2023)","manualFormatting":"Tabassi (2023)","plainTextFormattedCitation":"(Tabassi, 2023)","previouslyFormattedCitation":"(Tabassi, 2023)"},"properties":{"noteIndex":0},"schema":"https://github.com/citation-style-language/schema/raw/master/csl-citation.json"}</w:instrText>
      </w:r>
      <w:r w:rsidR="002A1F0B" w:rsidRPr="001B5614">
        <w:rPr>
          <w:rFonts w:cs="Arial"/>
        </w:rPr>
        <w:fldChar w:fldCharType="separate"/>
      </w:r>
      <w:r w:rsidR="002A1F0B" w:rsidRPr="001B5614">
        <w:rPr>
          <w:rFonts w:cs="Arial"/>
          <w:noProof/>
        </w:rPr>
        <w:t>Tabassi (2023)</w:t>
      </w:r>
      <w:r w:rsidR="002A1F0B" w:rsidRPr="001B5614">
        <w:rPr>
          <w:rFonts w:cs="Arial"/>
        </w:rPr>
        <w:fldChar w:fldCharType="end"/>
      </w:r>
      <w:r w:rsidRPr="001B5614">
        <w:rPr>
          <w:rFonts w:cs="Arial"/>
        </w:rPr>
        <w:t xml:space="preserve"> highlights the importance of governance, measurement and documented assessment of trustworthiness. As it does with its Generative AI Profile to detect confabulation or information-integrity issues that need to be assessed by a human. Despite the ability of fluent natural-language generation to produce any content, it also can generate unintended or unsupported content, as described by </w:t>
      </w:r>
      <w:r w:rsidR="002C3320" w:rsidRPr="001B5614">
        <w:rPr>
          <w:rFonts w:cs="Arial"/>
        </w:rPr>
        <w:fldChar w:fldCharType="begin" w:fldLock="1"/>
      </w:r>
      <w:r w:rsidR="002C3320" w:rsidRPr="001B5614">
        <w:rPr>
          <w:rFonts w:cs="Arial"/>
        </w:rPr>
        <w:instrText>ADDIN CSL_CITATION {"citationItems":[{"id":"ITEM-1","itemData":{"author":[{"dropping-particle":"","family":"Ji","given":"Ziwei","non-dropping-particle":"","parse-names":false,"suffix":""},{"dropping-particle":"","family":"Lee","given":"Nayeon","non-dropping-particle":"","parse-names":false,"suffix":""},{"dropping-particle":"","family":"Frieske","given":"Rita","non-dropping-particle":"","parse-names":false,"suffix":""},{"dropping-particle":"","family":"Yu","given":"Tiezheng","non-dropping-particle":"","parse-names":false,"suffix":""},{"dropping-particle":"","family":"Su","given":"Dan","non-dropping-particle":"","parse-names":false,"suffix":""},{"dropping-particle":"","family":"Xu","given":"Yan","non-dropping-particle":"","parse-names":false,"suffix":""},{"dropping-particle":"","family":"Ishii","given":"Etsuko","non-dropping-particle":"","parse-names":false,"suffix":""},{"dropping-particle":"","family":"Bang","given":"Yejin","non-dropping-particle":"","parse-names":false,"suffix":""},{"dropping-particle":"","family":"Chen","given":"Delong","non-dropping-particle":"","parse-names":false,"suffix":""},{"dropping-particle":"","family":"Dai","given":"Wenliang","non-dropping-particle":"","parse-names":false,"suffix":""},{"dropping-particle":"","family":"Chan","given":"Ho Shu","non-dropping-particle":"","parse-names":false,"suffix":""},{"dropping-particle":"","family":"Madotto","given":"Andrea","non-dropping-particle":"","parse-names":false,"suffix":""},{"dropping-particle":"","family":"Fung","given":"Pascale","non-dropping-particle":"","parse-names":false,"suffix":""}],"id":"ITEM-1","issued":{"date-parts":[["2024"]]},"title":"Survey of Hallucination in Natural Language Generation","type":"article-journal"},"uris":["http://www.mendeley.com/documents/?uuid=818baf53-b722-4552-b9c7-24449aea7ddb"]}],"mendeley":{"formattedCitation":"(Ji &lt;i&gt;et al.&lt;/i&gt;, 2024)","manualFormatting":"Ji et al. (2024)","plainTextFormattedCitation":"(Ji et al., 2024)","previouslyFormattedCitation":"(Ji &lt;i&gt;et al.&lt;/i&gt;, 2024)"},"properties":{"noteIndex":0},"schema":"https://github.com/citation-style-language/schema/raw/master/csl-citation.json"}</w:instrText>
      </w:r>
      <w:r w:rsidR="002C3320" w:rsidRPr="001B5614">
        <w:rPr>
          <w:rFonts w:cs="Arial"/>
        </w:rPr>
        <w:fldChar w:fldCharType="separate"/>
      </w:r>
      <w:r w:rsidR="002C3320" w:rsidRPr="001B5614">
        <w:rPr>
          <w:rFonts w:cs="Arial"/>
          <w:noProof/>
        </w:rPr>
        <w:t>Ji et al. (2024)</w:t>
      </w:r>
      <w:r w:rsidR="002C3320" w:rsidRPr="001B5614">
        <w:rPr>
          <w:rFonts w:cs="Arial"/>
        </w:rPr>
        <w:fldChar w:fldCharType="end"/>
      </w:r>
      <w:r w:rsidRPr="001B5614">
        <w:rPr>
          <w:rFonts w:cs="Arial"/>
        </w:rPr>
        <w:t xml:space="preserve">. </w:t>
      </w:r>
    </w:p>
    <w:p w14:paraId="44D1EB36" w14:textId="0C4D15A5" w:rsidR="00EB778A" w:rsidRPr="001B5614" w:rsidRDefault="00EB778A" w:rsidP="001B5614">
      <w:pPr>
        <w:jc w:val="left"/>
        <w:rPr>
          <w:rFonts w:cs="Arial"/>
        </w:rPr>
      </w:pPr>
      <w:r w:rsidRPr="001B5614">
        <w:rPr>
          <w:rFonts w:cs="Arial"/>
        </w:rPr>
        <w:lastRenderedPageBreak/>
        <w:t xml:space="preserve">At verification, I didn't make pilot technologies into commercial solutions. The China </w:t>
      </w:r>
      <w:proofErr w:type="spellStart"/>
      <w:r w:rsidRPr="001B5614">
        <w:rPr>
          <w:rFonts w:cs="Arial"/>
        </w:rPr>
        <w:t>Baowu</w:t>
      </w:r>
      <w:proofErr w:type="spellEnd"/>
      <w:r w:rsidRPr="001B5614">
        <w:rPr>
          <w:rFonts w:cs="Arial"/>
        </w:rPr>
        <w:t xml:space="preserve"> trial illustrated a </w:t>
      </w:r>
      <w:r w:rsidR="00BA5614" w:rsidRPr="001B5614">
        <w:rPr>
          <w:rFonts w:cs="Arial"/>
        </w:rPr>
        <w:t>commercial-scale</w:t>
      </w:r>
      <w:r w:rsidRPr="001B5614">
        <w:rPr>
          <w:rFonts w:cs="Arial"/>
        </w:rPr>
        <w:t xml:space="preserve"> DRI deployment, but the broader rollout of DRI–ESF requires renewable electricity, hydrogen availability, capital investments and customer uptake. I deleted any assertions of feasibility that were greater than those made by the sources and included conditionals like “potential” when sources did not include “full-scale.” In addition, I verified whether the exact wording or just the general topic was covered by each source. This assisted in separating corporate targets from </w:t>
      </w:r>
      <w:proofErr w:type="spellStart"/>
      <w:r w:rsidRPr="001B5614">
        <w:rPr>
          <w:rFonts w:cs="Arial"/>
        </w:rPr>
        <w:t>realised</w:t>
      </w:r>
      <w:proofErr w:type="spellEnd"/>
      <w:r w:rsidRPr="001B5614">
        <w:rPr>
          <w:rFonts w:cs="Arial"/>
        </w:rPr>
        <w:t xml:space="preserve"> reductions, estimates from </w:t>
      </w:r>
      <w:proofErr w:type="spellStart"/>
      <w:r w:rsidRPr="001B5614">
        <w:rPr>
          <w:rFonts w:cs="Arial"/>
        </w:rPr>
        <w:t>realised</w:t>
      </w:r>
      <w:proofErr w:type="spellEnd"/>
      <w:r w:rsidRPr="001B5614">
        <w:rPr>
          <w:rFonts w:cs="Arial"/>
        </w:rPr>
        <w:t xml:space="preserve"> results and tried and tested from investable business cases. In the report, therefore, certainty was abandoned in </w:t>
      </w:r>
      <w:proofErr w:type="spellStart"/>
      <w:r w:rsidR="00BA5614" w:rsidRPr="001B5614">
        <w:rPr>
          <w:rFonts w:cs="Arial"/>
        </w:rPr>
        <w:t>favour</w:t>
      </w:r>
      <w:proofErr w:type="spellEnd"/>
      <w:r w:rsidRPr="001B5614">
        <w:rPr>
          <w:rFonts w:cs="Arial"/>
        </w:rPr>
        <w:t xml:space="preserve"> of prudent, evidence-based </w:t>
      </w:r>
      <w:r w:rsidR="00BA5614" w:rsidRPr="001B5614">
        <w:rPr>
          <w:rFonts w:cs="Arial"/>
        </w:rPr>
        <w:t>decision-making</w:t>
      </w:r>
      <w:r w:rsidRPr="001B5614">
        <w:rPr>
          <w:rFonts w:cs="Arial"/>
        </w:rPr>
        <w:t>.</w:t>
      </w:r>
    </w:p>
    <w:p w14:paraId="7B762378" w14:textId="06AA0D6E" w:rsidR="001F52D9" w:rsidRPr="001B5614" w:rsidRDefault="001F52D9" w:rsidP="001B5614">
      <w:pPr>
        <w:pStyle w:val="Heading2"/>
        <w:jc w:val="left"/>
        <w:rPr>
          <w:rFonts w:cs="Arial"/>
        </w:rPr>
      </w:pPr>
      <w:bookmarkStart w:id="13" w:name="_Toc235717407"/>
      <w:r w:rsidRPr="001B5614">
        <w:rPr>
          <w:rFonts w:cs="Arial"/>
        </w:rPr>
        <w:t>3.3 Contribution Analysis</w:t>
      </w:r>
      <w:bookmarkEnd w:id="13"/>
    </w:p>
    <w:p w14:paraId="7E3BABF9" w14:textId="45B19C40" w:rsidR="001F52D9" w:rsidRPr="001B5614" w:rsidRDefault="00301445" w:rsidP="001B5614">
      <w:pPr>
        <w:jc w:val="left"/>
        <w:rPr>
          <w:rFonts w:cs="Arial"/>
        </w:rPr>
      </w:pPr>
      <w:r w:rsidRPr="001B5614">
        <w:rPr>
          <w:rFonts w:cs="Arial"/>
        </w:rPr>
        <w:t xml:space="preserve">AI provided brainstorming, potential headings and language </w:t>
      </w:r>
      <w:r w:rsidR="00BA5614" w:rsidRPr="001B5614">
        <w:rPr>
          <w:rFonts w:cs="Arial"/>
        </w:rPr>
        <w:t>fine-tuning</w:t>
      </w:r>
      <w:r w:rsidRPr="001B5614">
        <w:rPr>
          <w:rFonts w:cs="Arial"/>
        </w:rPr>
        <w:t xml:space="preserve">. Choosing Government and Regulation as the second actor, considering Physical and Transition risks, rejecting market penetration and diversification as the primary strategy, recommending Product Development, employing Differentiation, constructing tables and deciding the controls of implementation were all my original contribution. </w:t>
      </w:r>
      <w:r w:rsidR="002C3320" w:rsidRPr="001B5614">
        <w:rPr>
          <w:rFonts w:cs="Arial"/>
        </w:rPr>
        <w:fldChar w:fldCharType="begin" w:fldLock="1"/>
      </w:r>
      <w:r w:rsidR="002C3320" w:rsidRPr="001B5614">
        <w:rPr>
          <w:rFonts w:cs="Arial"/>
        </w:rPr>
        <w:instrText>ADDIN CSL_CITATION {"citationItems":[{"id":"ITEM-1","itemData":{"ISSN":"2078-2489","abstract":"This systematic literature review rigorously evaluates the impact of Generative AI (GenAI) on academic integrity within higher education settings. The primary objective is to synthesize how GenAI technologies influence student behavior and academic honesty, assessing the benefits and risks associated with their integration. We defined clear inclusion and exclusion criteria, focusing on studies explicitly discussing GenAI’s role in higher education from January 2021 to December 2024. Databases included ABI/INFORM, ACM Digital Library, IEEE Xplore, and JSTOR, with the last search conducted in May 2024. A total of 41 studies met our precise inclusion criteria. Our synthesis methods involved qualitative analysis to identify common themes and quantify trends where applicable. The results indicate that while GenAI can enhance educational engagement and efficiency, it also poses significant risks of academic dishonesty. We critically assessed the risk of bias in included studies and noted a limitation in the diversity of databases, which might have restricted the breadth of perspectives. Key implications suggest enhancing digital literacy and developing robust detection tools to effectively manage GenAI’s dual impacts. No external funding was received for this review. Future research should expand database sources and include more diverse study designs to overcome current limitations and refine policy recommendations.","author":[{"dropping-particle":"","family":"Bittle","given":"Kyle","non-dropping-particle":"","parse-names":false,"suffix":""},{"dropping-particle":"","family":"El-Gayar","given":"Omar","non-dropping-particle":"","parse-names":false,"suffix":""}],"container-title":"Information","id":"ITEM-1","issue":"4","issued":{"date-parts":[["2025","4","8"]]},"page":"296","title":"Generative AI and Academic Integrity in Higher Education: A Systematic Review and Research Agenda","type":"article-journal","volume":"16"},"uris":["http://www.mendeley.com/documents/?uuid=f9432fcd-7537-44c0-97f1-10b99e4b69ab"]}],"mendeley":{"formattedCitation":"(Bittle and El-Gayar, 2025)","manualFormatting":"Bittle &amp; El-Gayar (2025)","plainTextFormattedCitation":"(Bittle and El-Gayar, 2025)","previouslyFormattedCitation":"(Bittle and El-Gayar, 2025)"},"properties":{"noteIndex":0},"schema":"https://github.com/citation-style-language/schema/raw/master/csl-citation.json"}</w:instrText>
      </w:r>
      <w:r w:rsidR="002C3320" w:rsidRPr="001B5614">
        <w:rPr>
          <w:rFonts w:cs="Arial"/>
        </w:rPr>
        <w:fldChar w:fldCharType="separate"/>
      </w:r>
      <w:r w:rsidR="002C3320" w:rsidRPr="001B5614">
        <w:rPr>
          <w:rFonts w:cs="Arial"/>
          <w:noProof/>
        </w:rPr>
        <w:t>Bittle &amp; El-Gayar (2025)</w:t>
      </w:r>
      <w:r w:rsidR="002C3320" w:rsidRPr="001B5614">
        <w:rPr>
          <w:rFonts w:cs="Arial"/>
        </w:rPr>
        <w:fldChar w:fldCharType="end"/>
      </w:r>
      <w:r w:rsidRPr="001B5614">
        <w:rPr>
          <w:rFonts w:cs="Arial"/>
        </w:rPr>
        <w:t xml:space="preserve"> systematic review highlights some advantages of using GenAI to facilitate learning, but also some issues regarding authorship, shallowness and misconduct. Therefore, the act of disclosure does not cancel my duty to know and defend all arguments</w:t>
      </w:r>
      <w:r w:rsidR="00BA5614" w:rsidRPr="001B5614">
        <w:rPr>
          <w:rFonts w:cs="Arial"/>
        </w:rPr>
        <w:t>.</w:t>
      </w:r>
    </w:p>
    <w:p w14:paraId="5241798D" w14:textId="77777777" w:rsidR="001F52D9" w:rsidRPr="001B5614" w:rsidRDefault="001F52D9" w:rsidP="001B5614">
      <w:pPr>
        <w:pStyle w:val="Heading2"/>
        <w:jc w:val="left"/>
        <w:rPr>
          <w:rFonts w:cs="Arial"/>
        </w:rPr>
      </w:pPr>
      <w:bookmarkStart w:id="14" w:name="_Toc235717408"/>
      <w:r w:rsidRPr="001B5614">
        <w:rPr>
          <w:rFonts w:cs="Arial"/>
        </w:rPr>
        <w:t>3.4 Ethical and Professional Reflection</w:t>
      </w:r>
      <w:bookmarkEnd w:id="14"/>
    </w:p>
    <w:p w14:paraId="34E0E712" w14:textId="2AD663A3" w:rsidR="002C3320" w:rsidRPr="001B5614" w:rsidRDefault="00301445" w:rsidP="001B5614">
      <w:pPr>
        <w:jc w:val="left"/>
        <w:rPr>
          <w:rFonts w:cs="Arial"/>
        </w:rPr>
      </w:pPr>
      <w:r w:rsidRPr="001B5614">
        <w:rPr>
          <w:rFonts w:cs="Arial"/>
        </w:rPr>
        <w:t>While AI enhanced speed and identified gaps, it also has the potential to perpetuate bias and generate citations and foster dependence.</w:t>
      </w:r>
      <w:r w:rsidR="002C3320" w:rsidRPr="001B5614">
        <w:rPr>
          <w:rFonts w:cs="Arial"/>
        </w:rPr>
        <w:t xml:space="preserve"> </w:t>
      </w:r>
      <w:r w:rsidR="002C3320" w:rsidRPr="001B5614">
        <w:rPr>
          <w:rFonts w:cs="Arial"/>
        </w:rPr>
        <w:fldChar w:fldCharType="begin" w:fldLock="1"/>
      </w:r>
      <w:r w:rsidR="002C3320" w:rsidRPr="001B5614">
        <w:rPr>
          <w:rFonts w:cs="Arial"/>
        </w:rPr>
        <w:instrText>ADDIN CSL_CITATION {"citationItems":[{"id":"ITEM-1","itemData":{"ISSN":"2365-9440","abstract":"In recent years, higher education (HE) globally has witnessed extensive adoption of technology, particularly in teaching and research. The emergence of generative Artificial Intelligence (GenAI) further accelerates this trend. However, the increasing sophistication of GenAI tools has raised concerns about their potential to automate teaching and research processes. Despite widespread research on GenAI in various fields, there is a lack of multicultural perspectives on its impact and concerns in HE. This study addresses this gap by examining the usage, benefits, and concerns of GenAI in higher education from a multicultural standpoint. We employed an online survey that collected responses from 1217 participants across 76 countries, encompassing a broad range of gender categories, academic disciplines, geographical locations, and cultural orientations. Our findings revealed a high level of awareness and familiarity with GenAI tools among respondents. A significant portion had prior experience and expressed the intention to continue using these tools, primarily for information retrieval and text paraphrasing. The study emphasizes the importance of GenAI integration in higher education, highlighting both its potential benefits and concerns. Notably, there is a strong correlation between cultural dimensions and respondents’ views on the benefits and concerns related to GenAI, including its potential as academic dishonesty and the need for ethical guidelines. We, therefore, argued that responsible use of GenAI tools can enhance learning processes, but addressing concerns may require robust policies that are responsive to cultural expectations. We discussed the findings and offered recommendations for researchers, educators, and policymakers, aiming to promote the ethical and effective integration of GenAI tools in higher education.","author":[{"dropping-particle":"","family":"Yusuf","given":"Abdullahi","non-dropping-particle":"","parse-names":false,"suffix":""},{"dropping-particle":"","family":"Pervin","given":"Nasrin","non-dropping-particle":"","parse-names":false,"suffix":""},{"dropping-particle":"","family":"Román-González","given":"Marcos","non-dropping-particle":"","parse-names":false,"suffix":""}],"container-title":"International Journal of Educational Technology in Higher Education","id":"ITEM-1","issue":"1","issued":{"date-parts":[["2024","3","25"]]},"page":"21","title":"Generative AI and the future of higher education: a threat to academic integrity or reformation? Evidence from multicultural perspectives","type":"article-journal","volume":"21"},"uris":["http://www.mendeley.com/documents/?uuid=f9d6beeb-1248-446b-a057-842768c25f88"]}],"mendeley":{"formattedCitation":"(Yusuf, Pervin and Román-González, 2024)","manualFormatting":"Yusuf et al. (2024)","plainTextFormattedCitation":"(Yusuf, Pervin and Román-González, 2024)","previouslyFormattedCitation":"(Yusuf, Pervin and Román-González, 2024)"},"properties":{"noteIndex":0},"schema":"https://github.com/citation-style-language/schema/raw/master/csl-citation.json"}</w:instrText>
      </w:r>
      <w:r w:rsidR="002C3320" w:rsidRPr="001B5614">
        <w:rPr>
          <w:rFonts w:cs="Arial"/>
        </w:rPr>
        <w:fldChar w:fldCharType="separate"/>
      </w:r>
      <w:r w:rsidR="002C3320" w:rsidRPr="001B5614">
        <w:rPr>
          <w:rFonts w:cs="Arial"/>
          <w:noProof/>
        </w:rPr>
        <w:t>Yusuf et al. (2024)</w:t>
      </w:r>
      <w:r w:rsidR="002C3320" w:rsidRPr="001B5614">
        <w:rPr>
          <w:rFonts w:cs="Arial"/>
        </w:rPr>
        <w:fldChar w:fldCharType="end"/>
      </w:r>
      <w:r w:rsidRPr="001B5614">
        <w:rPr>
          <w:rFonts w:cs="Arial"/>
        </w:rPr>
        <w:t xml:space="preserve"> conclude that acceptable GenAI use is culturally specific, underscoring the importance of clear institutional regulations and transparency in usage.</w:t>
      </w:r>
      <w:r w:rsidR="001F52D9" w:rsidRPr="001B5614">
        <w:rPr>
          <w:rFonts w:cs="Arial"/>
        </w:rPr>
        <w:t xml:space="preserve"> </w:t>
      </w:r>
      <w:r w:rsidR="00EB778A" w:rsidRPr="001B5614">
        <w:rPr>
          <w:rFonts w:cs="Arial"/>
        </w:rPr>
        <w:t xml:space="preserve">Greenwashing and misleading stakeholders can be a danger in exaggerated AI sustainability claims. For this reason, I kept human judgement, checked claims against the original evidence and will now do so more clearly </w:t>
      </w:r>
      <w:r w:rsidR="00BA5614" w:rsidRPr="001B5614">
        <w:rPr>
          <w:rFonts w:cs="Arial"/>
        </w:rPr>
        <w:t xml:space="preserve">and </w:t>
      </w:r>
      <w:r w:rsidR="00EB778A" w:rsidRPr="001B5614">
        <w:rPr>
          <w:rFonts w:cs="Arial"/>
        </w:rPr>
        <w:t xml:space="preserve">systematically. </w:t>
      </w:r>
    </w:p>
    <w:p w14:paraId="25B2B8E5" w14:textId="77777777" w:rsidR="002C3320" w:rsidRPr="001B5614" w:rsidRDefault="002C3320" w:rsidP="001B5614">
      <w:pPr>
        <w:jc w:val="left"/>
        <w:rPr>
          <w:rFonts w:cs="Arial"/>
        </w:rPr>
      </w:pPr>
      <w:r w:rsidRPr="001B5614">
        <w:rPr>
          <w:rFonts w:cs="Arial"/>
        </w:rPr>
        <w:br w:type="page"/>
      </w:r>
    </w:p>
    <w:p w14:paraId="0DEFC606" w14:textId="78474A0B" w:rsidR="001F52D9" w:rsidRPr="001B5614" w:rsidRDefault="002C3320" w:rsidP="001B5614">
      <w:pPr>
        <w:pStyle w:val="Heading1"/>
        <w:jc w:val="left"/>
        <w:rPr>
          <w:rFonts w:cs="Arial"/>
        </w:rPr>
      </w:pPr>
      <w:bookmarkStart w:id="15" w:name="_Toc235717409"/>
      <w:r w:rsidRPr="001B5614">
        <w:rPr>
          <w:rFonts w:cs="Arial"/>
        </w:rPr>
        <w:lastRenderedPageBreak/>
        <w:t>References:</w:t>
      </w:r>
      <w:bookmarkEnd w:id="15"/>
    </w:p>
    <w:p w14:paraId="7E25FE70" w14:textId="17D85F8C" w:rsidR="002C3320" w:rsidRPr="001B5614" w:rsidRDefault="002C3320" w:rsidP="001B5614">
      <w:pPr>
        <w:widowControl w:val="0"/>
        <w:autoSpaceDE w:val="0"/>
        <w:autoSpaceDN w:val="0"/>
        <w:adjustRightInd w:val="0"/>
        <w:jc w:val="left"/>
        <w:rPr>
          <w:rFonts w:cs="Arial"/>
          <w:noProof/>
          <w:kern w:val="0"/>
        </w:rPr>
      </w:pPr>
      <w:r w:rsidRPr="001B5614">
        <w:rPr>
          <w:rFonts w:cs="Arial"/>
        </w:rPr>
        <w:fldChar w:fldCharType="begin" w:fldLock="1"/>
      </w:r>
      <w:r w:rsidRPr="001B5614">
        <w:rPr>
          <w:rFonts w:cs="Arial"/>
        </w:rPr>
        <w:instrText xml:space="preserve">ADDIN Mendeley Bibliography CSL_BIBLIOGRAPHY </w:instrText>
      </w:r>
      <w:r w:rsidRPr="001B5614">
        <w:rPr>
          <w:rFonts w:cs="Arial"/>
        </w:rPr>
        <w:fldChar w:fldCharType="separate"/>
      </w:r>
      <w:r w:rsidRPr="001B5614">
        <w:rPr>
          <w:rFonts w:cs="Arial"/>
          <w:noProof/>
          <w:kern w:val="0"/>
        </w:rPr>
        <w:t xml:space="preserve">Alikulov, K. </w:t>
      </w:r>
      <w:r w:rsidRPr="001B5614">
        <w:rPr>
          <w:rFonts w:cs="Arial"/>
          <w:i/>
          <w:iCs/>
          <w:noProof/>
          <w:kern w:val="0"/>
        </w:rPr>
        <w:t>et al.</w:t>
      </w:r>
      <w:r w:rsidRPr="001B5614">
        <w:rPr>
          <w:rFonts w:cs="Arial"/>
          <w:noProof/>
          <w:kern w:val="0"/>
        </w:rPr>
        <w:t xml:space="preserve"> (2024) “Comparative Technical and Economic Analyses of Hydrogen-Based Steel and Power Sectors,” </w:t>
      </w:r>
      <w:r w:rsidRPr="001B5614">
        <w:rPr>
          <w:rFonts w:cs="Arial"/>
          <w:i/>
          <w:iCs/>
          <w:noProof/>
          <w:kern w:val="0"/>
        </w:rPr>
        <w:t>Energies</w:t>
      </w:r>
      <w:r w:rsidRPr="001B5614">
        <w:rPr>
          <w:rFonts w:cs="Arial"/>
          <w:noProof/>
          <w:kern w:val="0"/>
        </w:rPr>
        <w:t xml:space="preserve">, 17(5), p. 1242. Available at: </w:t>
      </w:r>
      <w:hyperlink r:id="rId10" w:history="1">
        <w:r w:rsidRPr="001B5614">
          <w:rPr>
            <w:rStyle w:val="Hyperlink"/>
            <w:rFonts w:cs="Arial"/>
            <w:noProof/>
            <w:kern w:val="0"/>
          </w:rPr>
          <w:t>https://www.mdpi.com/1996-1073/17/5/1242</w:t>
        </w:r>
      </w:hyperlink>
      <w:r w:rsidRPr="001B5614">
        <w:rPr>
          <w:rFonts w:cs="Arial"/>
          <w:noProof/>
          <w:kern w:val="0"/>
        </w:rPr>
        <w:t>.</w:t>
      </w:r>
    </w:p>
    <w:p w14:paraId="129F0574" w14:textId="589BE013"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BHP (2024a) “BlueScope, BHP and Rio Tinto select WA for Australia’s largest ironmaking electric smelting furnace.” Available at: </w:t>
      </w:r>
      <w:hyperlink r:id="rId11" w:history="1">
        <w:r w:rsidRPr="001B5614">
          <w:rPr>
            <w:rStyle w:val="Hyperlink"/>
            <w:rFonts w:cs="Arial"/>
            <w:noProof/>
            <w:kern w:val="0"/>
          </w:rPr>
          <w:t>https://www.bhp.com/news/media-centre/releases/2024/12/bluescope-bhp-and-rio-tinto-select-wa-for-australias-largest-ironmaking-electric-smelting-furnace</w:t>
        </w:r>
      </w:hyperlink>
      <w:r w:rsidRPr="001B5614">
        <w:rPr>
          <w:rFonts w:cs="Arial"/>
          <w:noProof/>
          <w:kern w:val="0"/>
        </w:rPr>
        <w:t>.</w:t>
      </w:r>
    </w:p>
    <w:p w14:paraId="79A0E2DE" w14:textId="5C5D6BEA"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BHP (2024b) “Pathways towards steelmaking decarbonisation.” Available at: </w:t>
      </w:r>
      <w:hyperlink r:id="rId12" w:history="1">
        <w:r w:rsidRPr="001B5614">
          <w:rPr>
            <w:rStyle w:val="Hyperlink"/>
            <w:rFonts w:cs="Arial"/>
            <w:noProof/>
            <w:kern w:val="0"/>
          </w:rPr>
          <w:t>https://www.bhp.com/news/bhp-insights/2024/10/pathways-towards-steelmaking-decarbonisation</w:t>
        </w:r>
      </w:hyperlink>
      <w:r w:rsidRPr="001B5614">
        <w:rPr>
          <w:rFonts w:cs="Arial"/>
          <w:noProof/>
          <w:kern w:val="0"/>
        </w:rPr>
        <w:t>.</w:t>
      </w:r>
    </w:p>
    <w:p w14:paraId="2C2C538A" w14:textId="6AE26C55"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BHP (2025a) “Annual Report 2025.” Available at: </w:t>
      </w:r>
      <w:hyperlink r:id="rId13" w:history="1">
        <w:r w:rsidRPr="001B5614">
          <w:rPr>
            <w:rStyle w:val="Hyperlink"/>
            <w:rFonts w:cs="Arial"/>
            <w:noProof/>
            <w:kern w:val="0"/>
          </w:rPr>
          <w:t>https://www.bhp.com/-/media/documents/investors/annual-reports/2025/250819_bhpannualreport2025.pdf</w:t>
        </w:r>
      </w:hyperlink>
      <w:r w:rsidRPr="001B5614">
        <w:rPr>
          <w:rFonts w:cs="Arial"/>
          <w:noProof/>
          <w:kern w:val="0"/>
        </w:rPr>
        <w:t>.</w:t>
      </w:r>
    </w:p>
    <w:p w14:paraId="3B8D9665" w14:textId="6E9E5F13"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BHP (2025b) “BHP and China Baowu celebrated successful commercial-scale DRI trials using BHP’s Pilbara iron ores.” Available at: </w:t>
      </w:r>
      <w:hyperlink r:id="rId14" w:history="1">
        <w:r w:rsidRPr="001B5614">
          <w:rPr>
            <w:rStyle w:val="Hyperlink"/>
            <w:rFonts w:cs="Arial"/>
            <w:noProof/>
            <w:kern w:val="0"/>
          </w:rPr>
          <w:t>https://www.bhp.com/news/articles/2025/05/bhp-and-china-baowu-celebrated-successful-commercial-scale-dri-trials-using-bhps-pilbara-iron-ores</w:t>
        </w:r>
      </w:hyperlink>
      <w:r w:rsidRPr="001B5614">
        <w:rPr>
          <w:rFonts w:cs="Arial"/>
          <w:noProof/>
          <w:kern w:val="0"/>
        </w:rPr>
        <w:t>.</w:t>
      </w:r>
    </w:p>
    <w:p w14:paraId="41CF828C" w14:textId="10101227"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BHP (2026a) “Operational GHG emissions (Scopes 1 and 2 emissions from our operated assets).” Available at: </w:t>
      </w:r>
      <w:hyperlink r:id="rId15" w:history="1">
        <w:r w:rsidRPr="001B5614">
          <w:rPr>
            <w:rStyle w:val="Hyperlink"/>
            <w:rFonts w:cs="Arial"/>
            <w:noProof/>
            <w:kern w:val="0"/>
          </w:rPr>
          <w:t>https://www.bhp.com/sustainability/climate-change/operational-ghg-emissions</w:t>
        </w:r>
      </w:hyperlink>
      <w:r w:rsidRPr="001B5614">
        <w:rPr>
          <w:rFonts w:cs="Arial"/>
          <w:noProof/>
          <w:kern w:val="0"/>
        </w:rPr>
        <w:t>.</w:t>
      </w:r>
    </w:p>
    <w:p w14:paraId="50D0173D" w14:textId="16AB5856"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BHP (2026b) “Physical climate-related risk and adaptation.” Available at: </w:t>
      </w:r>
      <w:hyperlink r:id="rId16" w:history="1">
        <w:r w:rsidRPr="001B5614">
          <w:rPr>
            <w:rStyle w:val="Hyperlink"/>
            <w:rFonts w:cs="Arial"/>
            <w:noProof/>
            <w:kern w:val="0"/>
          </w:rPr>
          <w:t>https://www.bhp.com/sustainability/climate-change/physical-climate-related-risk-and-adaptation</w:t>
        </w:r>
      </w:hyperlink>
      <w:r w:rsidRPr="001B5614">
        <w:rPr>
          <w:rFonts w:cs="Arial"/>
          <w:noProof/>
          <w:kern w:val="0"/>
        </w:rPr>
        <w:t>.</w:t>
      </w:r>
    </w:p>
    <w:p w14:paraId="5A186BF4" w14:textId="14B6060C"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BHP (2026c) “Value chain GHG emissions (Scope 3 emissions).” Available at: </w:t>
      </w:r>
      <w:hyperlink r:id="rId17" w:history="1">
        <w:r w:rsidRPr="001B5614">
          <w:rPr>
            <w:rStyle w:val="Hyperlink"/>
            <w:rFonts w:cs="Arial"/>
            <w:noProof/>
            <w:kern w:val="0"/>
          </w:rPr>
          <w:t>https://www.bhp.com/sustainability/climate-change/value-chain-ghg-emission-reductions</w:t>
        </w:r>
      </w:hyperlink>
      <w:r w:rsidRPr="001B5614">
        <w:rPr>
          <w:rFonts w:cs="Arial"/>
          <w:noProof/>
          <w:kern w:val="0"/>
        </w:rPr>
        <w:t>.</w:t>
      </w:r>
    </w:p>
    <w:p w14:paraId="75F265F3" w14:textId="3662D110"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Bittle, K. and El-Gayar, O. (2025) “Generative AI and Academic Integrity in Higher Education: A Systematic Review and Research Agenda,” </w:t>
      </w:r>
      <w:r w:rsidRPr="001B5614">
        <w:rPr>
          <w:rFonts w:cs="Arial"/>
          <w:i/>
          <w:iCs/>
          <w:noProof/>
          <w:kern w:val="0"/>
        </w:rPr>
        <w:t>Information</w:t>
      </w:r>
      <w:r w:rsidRPr="001B5614">
        <w:rPr>
          <w:rFonts w:cs="Arial"/>
          <w:noProof/>
          <w:kern w:val="0"/>
        </w:rPr>
        <w:t xml:space="preserve">, 16(4), p. 296. </w:t>
      </w:r>
      <w:r w:rsidRPr="001B5614">
        <w:rPr>
          <w:rFonts w:cs="Arial"/>
          <w:noProof/>
          <w:kern w:val="0"/>
        </w:rPr>
        <w:lastRenderedPageBreak/>
        <w:t xml:space="preserve">Available at: </w:t>
      </w:r>
      <w:hyperlink r:id="rId18" w:history="1">
        <w:r w:rsidRPr="001B5614">
          <w:rPr>
            <w:rStyle w:val="Hyperlink"/>
            <w:rFonts w:cs="Arial"/>
            <w:noProof/>
            <w:kern w:val="0"/>
          </w:rPr>
          <w:t>https://www.mdpi.com/2078-2489/16/4/296</w:t>
        </w:r>
      </w:hyperlink>
      <w:r w:rsidRPr="001B5614">
        <w:rPr>
          <w:rFonts w:cs="Arial"/>
          <w:noProof/>
          <w:kern w:val="0"/>
        </w:rPr>
        <w:t>.</w:t>
      </w:r>
    </w:p>
    <w:p w14:paraId="6F3E1436" w14:textId="4A5BEA9D"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EU (2026) “Carbon Border Adjustment Mechanism.” Available at: </w:t>
      </w:r>
      <w:hyperlink r:id="rId19" w:history="1">
        <w:r w:rsidRPr="001B5614">
          <w:rPr>
            <w:rStyle w:val="Hyperlink"/>
            <w:rFonts w:cs="Arial"/>
            <w:noProof/>
            <w:kern w:val="0"/>
          </w:rPr>
          <w:t>https://taxation-customs.ec.europa.eu/carbon-border-adjustment-mechanism_en</w:t>
        </w:r>
      </w:hyperlink>
      <w:r w:rsidRPr="001B5614">
        <w:rPr>
          <w:rFonts w:cs="Arial"/>
          <w:noProof/>
          <w:kern w:val="0"/>
        </w:rPr>
        <w:t>.</w:t>
      </w:r>
    </w:p>
    <w:p w14:paraId="3B9A3C0D" w14:textId="3A1E4423"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Fikru, M.G. (2024) “An economic framework for assessing the impact of domestic mining policies on affordable energy transition.” Available at: </w:t>
      </w:r>
      <w:hyperlink r:id="rId20" w:history="1">
        <w:r w:rsidRPr="001B5614">
          <w:rPr>
            <w:rStyle w:val="Hyperlink"/>
            <w:rFonts w:cs="Arial"/>
            <w:noProof/>
            <w:kern w:val="0"/>
          </w:rPr>
          <w:t>https://www.nature.com/articles/s41598-024-64535-1</w:t>
        </w:r>
      </w:hyperlink>
      <w:r w:rsidRPr="001B5614">
        <w:rPr>
          <w:rFonts w:cs="Arial"/>
          <w:noProof/>
          <w:kern w:val="0"/>
        </w:rPr>
        <w:t>.</w:t>
      </w:r>
    </w:p>
    <w:p w14:paraId="26FE8FDF" w14:textId="4AD7E327"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Filho, I.R.S. </w:t>
      </w:r>
      <w:r w:rsidRPr="001B5614">
        <w:rPr>
          <w:rFonts w:cs="Arial"/>
          <w:i/>
          <w:iCs/>
          <w:noProof/>
          <w:kern w:val="0"/>
        </w:rPr>
        <w:t>et al.</w:t>
      </w:r>
      <w:r w:rsidRPr="001B5614">
        <w:rPr>
          <w:rFonts w:cs="Arial"/>
          <w:noProof/>
          <w:kern w:val="0"/>
        </w:rPr>
        <w:t xml:space="preserve"> (2022) “Green steel at its crossroads: hybrid hydrogen-based reduction of iron ores.” Available at: </w:t>
      </w:r>
      <w:hyperlink r:id="rId21" w:history="1">
        <w:r w:rsidRPr="001B5614">
          <w:rPr>
            <w:rStyle w:val="Hyperlink"/>
            <w:rFonts w:cs="Arial"/>
            <w:noProof/>
            <w:kern w:val="0"/>
          </w:rPr>
          <w:t>https://arxiv.org/abs/2201.13356</w:t>
        </w:r>
      </w:hyperlink>
      <w:r w:rsidRPr="001B5614">
        <w:rPr>
          <w:rFonts w:cs="Arial"/>
          <w:noProof/>
          <w:kern w:val="0"/>
        </w:rPr>
        <w:t>.</w:t>
      </w:r>
    </w:p>
    <w:p w14:paraId="0EE22CFD" w14:textId="316C63A0"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Hubatka, S. </w:t>
      </w:r>
      <w:r w:rsidRPr="001B5614">
        <w:rPr>
          <w:rFonts w:cs="Arial"/>
          <w:i/>
          <w:iCs/>
          <w:noProof/>
          <w:kern w:val="0"/>
        </w:rPr>
        <w:t>et al.</w:t>
      </w:r>
      <w:r w:rsidRPr="001B5614">
        <w:rPr>
          <w:rFonts w:cs="Arial"/>
          <w:noProof/>
          <w:kern w:val="0"/>
        </w:rPr>
        <w:t xml:space="preserve"> (2024) “The Impact of Implementing Carbon Border Adjustment Mechanisms on the Steel Industry until 2034: A Forecasting Study,” </w:t>
      </w:r>
      <w:r w:rsidRPr="001B5614">
        <w:rPr>
          <w:rFonts w:cs="Arial"/>
          <w:i/>
          <w:iCs/>
          <w:noProof/>
          <w:kern w:val="0"/>
        </w:rPr>
        <w:t>MM 2023</w:t>
      </w:r>
      <w:r w:rsidRPr="001B5614">
        <w:rPr>
          <w:rFonts w:cs="Arial"/>
          <w:noProof/>
          <w:kern w:val="0"/>
        </w:rPr>
        <w:t xml:space="preserve">. Basel Switzerland: MDPI, p. 15. Available at: </w:t>
      </w:r>
      <w:hyperlink r:id="rId22" w:history="1">
        <w:r w:rsidRPr="001B5614">
          <w:rPr>
            <w:rStyle w:val="Hyperlink"/>
            <w:rFonts w:cs="Arial"/>
            <w:noProof/>
            <w:kern w:val="0"/>
          </w:rPr>
          <w:t>https://www.mdpi.com/2673-4591/64/1/15</w:t>
        </w:r>
      </w:hyperlink>
      <w:r w:rsidRPr="001B5614">
        <w:rPr>
          <w:rFonts w:cs="Arial"/>
          <w:noProof/>
          <w:kern w:val="0"/>
        </w:rPr>
        <w:t>.</w:t>
      </w:r>
    </w:p>
    <w:p w14:paraId="15E4AA9F" w14:textId="6BC97A4C"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Iea (2024) “Definitions for Near-Zero and Low-Emissions Steel and Cement, and Underlying Emissions Measurement Methodologies.” Available at: </w:t>
      </w:r>
      <w:hyperlink r:id="rId23" w:history="1">
        <w:r w:rsidRPr="001B5614">
          <w:rPr>
            <w:rStyle w:val="Hyperlink"/>
            <w:rFonts w:cs="Arial"/>
            <w:noProof/>
            <w:kern w:val="0"/>
          </w:rPr>
          <w:t>https://www.iea.org/reports/definitions-for-near-zero-and-low-emissions-steel-and-cement-and-underlying-emissions-measurement-methodologies</w:t>
        </w:r>
      </w:hyperlink>
      <w:r w:rsidRPr="001B5614">
        <w:rPr>
          <w:rFonts w:cs="Arial"/>
          <w:noProof/>
          <w:kern w:val="0"/>
        </w:rPr>
        <w:t>.</w:t>
      </w:r>
    </w:p>
    <w:p w14:paraId="00725EE5" w14:textId="3F659A77"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Iea (2025) “Breakthrough Agenda Report 2025.” Available at: </w:t>
      </w:r>
      <w:hyperlink r:id="rId24" w:history="1">
        <w:r w:rsidRPr="001B5614">
          <w:rPr>
            <w:rStyle w:val="Hyperlink"/>
            <w:rFonts w:cs="Arial"/>
            <w:noProof/>
            <w:kern w:val="0"/>
          </w:rPr>
          <w:t>https://www.iea.org/reports/breakthrough-agenda-report-2025/steel</w:t>
        </w:r>
      </w:hyperlink>
      <w:r w:rsidRPr="001B5614">
        <w:rPr>
          <w:rFonts w:cs="Arial"/>
          <w:noProof/>
          <w:kern w:val="0"/>
        </w:rPr>
        <w:t>.</w:t>
      </w:r>
    </w:p>
    <w:p w14:paraId="3EAF3575" w14:textId="7A5C271F"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Iea (2026) “Demand and Supply Measures for the Steel and Cement Transition.” Available at: </w:t>
      </w:r>
      <w:hyperlink r:id="rId25" w:history="1">
        <w:r w:rsidRPr="001B5614">
          <w:rPr>
            <w:rStyle w:val="Hyperlink"/>
            <w:rFonts w:cs="Arial"/>
            <w:noProof/>
            <w:kern w:val="0"/>
          </w:rPr>
          <w:t>https://www.iea.org/reports/demand-and-supply-measures-for-the-steel-and-cement-transition/executive-summary</w:t>
        </w:r>
      </w:hyperlink>
      <w:r w:rsidRPr="001B5614">
        <w:rPr>
          <w:rFonts w:cs="Arial"/>
          <w:noProof/>
          <w:kern w:val="0"/>
        </w:rPr>
        <w:t>.</w:t>
      </w:r>
    </w:p>
    <w:p w14:paraId="62A2A12B" w14:textId="086F1D39"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IFM (2026) “Porter’s Generic Competitive Strategies (ways of competing).” Available at: </w:t>
      </w:r>
      <w:hyperlink r:id="rId26" w:history="1">
        <w:r w:rsidRPr="001B5614">
          <w:rPr>
            <w:rStyle w:val="Hyperlink"/>
            <w:rFonts w:cs="Arial"/>
            <w:noProof/>
            <w:kern w:val="0"/>
          </w:rPr>
          <w:t>https://www.ifm.eng.cam.ac.uk/research/dstools/porters-generic-competitive-strategies/</w:t>
        </w:r>
      </w:hyperlink>
      <w:r w:rsidRPr="001B5614">
        <w:rPr>
          <w:rFonts w:cs="Arial"/>
          <w:noProof/>
          <w:kern w:val="0"/>
        </w:rPr>
        <w:t>.</w:t>
      </w:r>
    </w:p>
    <w:p w14:paraId="140DE7DC" w14:textId="19FE50B2"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IPCC (2019) “Home.” Available at: </w:t>
      </w:r>
      <w:hyperlink r:id="rId27" w:history="1">
        <w:r w:rsidRPr="001B5614">
          <w:rPr>
            <w:rStyle w:val="Hyperlink"/>
            <w:rFonts w:cs="Arial"/>
            <w:noProof/>
            <w:kern w:val="0"/>
          </w:rPr>
          <w:t>https://archive.ipcc.ch/</w:t>
        </w:r>
      </w:hyperlink>
      <w:r w:rsidRPr="001B5614">
        <w:rPr>
          <w:rFonts w:cs="Arial"/>
          <w:noProof/>
          <w:kern w:val="0"/>
        </w:rPr>
        <w:t>.</w:t>
      </w:r>
    </w:p>
    <w:p w14:paraId="74849259" w14:textId="1A3BC476"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Ji, Z. </w:t>
      </w:r>
      <w:r w:rsidRPr="001B5614">
        <w:rPr>
          <w:rFonts w:cs="Arial"/>
          <w:i/>
          <w:iCs/>
          <w:noProof/>
          <w:kern w:val="0"/>
        </w:rPr>
        <w:t>et al.</w:t>
      </w:r>
      <w:r w:rsidRPr="001B5614">
        <w:rPr>
          <w:rFonts w:cs="Arial"/>
          <w:noProof/>
          <w:kern w:val="0"/>
        </w:rPr>
        <w:t xml:space="preserve"> (2024) “Survey of Hallucination in Natural Language Generation.” Available at: </w:t>
      </w:r>
      <w:hyperlink r:id="rId28" w:history="1">
        <w:r w:rsidRPr="001B5614">
          <w:rPr>
            <w:rStyle w:val="Hyperlink"/>
            <w:rFonts w:cs="Arial"/>
            <w:noProof/>
            <w:kern w:val="0"/>
          </w:rPr>
          <w:t>https://arxiv.org/abs/2202.03629</w:t>
        </w:r>
      </w:hyperlink>
      <w:r w:rsidRPr="001B5614">
        <w:rPr>
          <w:rFonts w:cs="Arial"/>
          <w:noProof/>
          <w:kern w:val="0"/>
        </w:rPr>
        <w:t>.</w:t>
      </w:r>
    </w:p>
    <w:p w14:paraId="1CEF5FB6" w14:textId="758A1C52"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Johnson, C. </w:t>
      </w:r>
      <w:r w:rsidRPr="001B5614">
        <w:rPr>
          <w:rFonts w:cs="Arial"/>
          <w:i/>
          <w:iCs/>
          <w:noProof/>
          <w:kern w:val="0"/>
        </w:rPr>
        <w:t>et al.</w:t>
      </w:r>
      <w:r w:rsidRPr="001B5614">
        <w:rPr>
          <w:rFonts w:cs="Arial"/>
          <w:noProof/>
          <w:kern w:val="0"/>
        </w:rPr>
        <w:t xml:space="preserve"> (2025) “Emerging green steel markets surrounding the EU emissions trading system and carbon border adjustment mechanism.” Available at: </w:t>
      </w:r>
      <w:hyperlink r:id="rId29" w:history="1">
        <w:r w:rsidRPr="001B5614">
          <w:rPr>
            <w:rStyle w:val="Hyperlink"/>
            <w:rFonts w:cs="Arial"/>
            <w:noProof/>
            <w:kern w:val="0"/>
          </w:rPr>
          <w:t>https://www.nature.com/articles/s41467-025-64440-9</w:t>
        </w:r>
      </w:hyperlink>
      <w:r w:rsidRPr="001B5614">
        <w:rPr>
          <w:rFonts w:cs="Arial"/>
          <w:noProof/>
          <w:kern w:val="0"/>
        </w:rPr>
        <w:t>.</w:t>
      </w:r>
    </w:p>
    <w:p w14:paraId="26379ADE" w14:textId="37476AF9"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Openstax (2026) “2.2 The Role of Marketing in the Strategic Planning Process.” Available at: </w:t>
      </w:r>
      <w:hyperlink r:id="rId30" w:history="1">
        <w:r w:rsidRPr="001B5614">
          <w:rPr>
            <w:rStyle w:val="Hyperlink"/>
            <w:rFonts w:cs="Arial"/>
            <w:noProof/>
            <w:kern w:val="0"/>
          </w:rPr>
          <w:t>https://openstax.org/books/principles-marketing/pages/2-2-the-role-of-marketing-in-the-strategic-planning-process</w:t>
        </w:r>
      </w:hyperlink>
      <w:r w:rsidRPr="001B5614">
        <w:rPr>
          <w:rFonts w:cs="Arial"/>
          <w:noProof/>
          <w:kern w:val="0"/>
        </w:rPr>
        <w:t>.</w:t>
      </w:r>
    </w:p>
    <w:p w14:paraId="3E3CF0A5" w14:textId="166FA774"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Owen, J.R. </w:t>
      </w:r>
      <w:r w:rsidRPr="001B5614">
        <w:rPr>
          <w:rFonts w:cs="Arial"/>
          <w:i/>
          <w:iCs/>
          <w:noProof/>
          <w:kern w:val="0"/>
        </w:rPr>
        <w:t>et al.</w:t>
      </w:r>
      <w:r w:rsidRPr="001B5614">
        <w:rPr>
          <w:rFonts w:cs="Arial"/>
          <w:noProof/>
          <w:kern w:val="0"/>
        </w:rPr>
        <w:t xml:space="preserve"> (2023) “Misalignment between national resource inventories and policy actions drives unevenness in the energy transition,” </w:t>
      </w:r>
      <w:r w:rsidRPr="001B5614">
        <w:rPr>
          <w:rFonts w:cs="Arial"/>
          <w:i/>
          <w:iCs/>
          <w:noProof/>
          <w:kern w:val="0"/>
        </w:rPr>
        <w:t>Communications Earth &amp; Environment</w:t>
      </w:r>
      <w:r w:rsidRPr="001B5614">
        <w:rPr>
          <w:rFonts w:cs="Arial"/>
          <w:noProof/>
          <w:kern w:val="0"/>
        </w:rPr>
        <w:t xml:space="preserve">, 4(1), p. 454. Available at: </w:t>
      </w:r>
      <w:hyperlink r:id="rId31" w:history="1">
        <w:r w:rsidRPr="001B5614">
          <w:rPr>
            <w:rStyle w:val="Hyperlink"/>
            <w:rFonts w:cs="Arial"/>
            <w:noProof/>
            <w:kern w:val="0"/>
          </w:rPr>
          <w:t>https://www.nature.com/articles/s43247-023-01134-4#citeas</w:t>
        </w:r>
      </w:hyperlink>
      <w:r w:rsidRPr="001B5614">
        <w:rPr>
          <w:rFonts w:cs="Arial"/>
          <w:noProof/>
          <w:kern w:val="0"/>
        </w:rPr>
        <w:t>.</w:t>
      </w:r>
    </w:p>
    <w:p w14:paraId="42E8B40C" w14:textId="681BE2DD"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Parvathareddy, S. </w:t>
      </w:r>
      <w:r w:rsidRPr="001B5614">
        <w:rPr>
          <w:rFonts w:cs="Arial"/>
          <w:i/>
          <w:iCs/>
          <w:noProof/>
          <w:kern w:val="0"/>
        </w:rPr>
        <w:t>et al.</w:t>
      </w:r>
      <w:r w:rsidRPr="001B5614">
        <w:rPr>
          <w:rFonts w:cs="Arial"/>
          <w:noProof/>
          <w:kern w:val="0"/>
        </w:rPr>
        <w:t xml:space="preserve"> (2025) “Transforming mining energy optimization: a review of machine learning techniques and challenges,” </w:t>
      </w:r>
      <w:r w:rsidRPr="001B5614">
        <w:rPr>
          <w:rFonts w:cs="Arial"/>
          <w:i/>
          <w:iCs/>
          <w:noProof/>
          <w:kern w:val="0"/>
        </w:rPr>
        <w:t>Frontiers in Energy Research</w:t>
      </w:r>
      <w:r w:rsidRPr="001B5614">
        <w:rPr>
          <w:rFonts w:cs="Arial"/>
          <w:noProof/>
          <w:kern w:val="0"/>
        </w:rPr>
        <w:t xml:space="preserve">, 13. Available at: </w:t>
      </w:r>
      <w:hyperlink r:id="rId32" w:history="1">
        <w:r w:rsidRPr="001B5614">
          <w:rPr>
            <w:rStyle w:val="Hyperlink"/>
            <w:rFonts w:cs="Arial"/>
            <w:noProof/>
            <w:kern w:val="0"/>
          </w:rPr>
          <w:t>https://www.frontiersin.org/journals/energy-research/articles/10.3389/fenrg.2025.1569716/full</w:t>
        </w:r>
      </w:hyperlink>
      <w:r w:rsidRPr="001B5614">
        <w:rPr>
          <w:rFonts w:cs="Arial"/>
          <w:noProof/>
          <w:kern w:val="0"/>
        </w:rPr>
        <w:t>.</w:t>
      </w:r>
    </w:p>
    <w:p w14:paraId="744FFC7C" w14:textId="477ED64C"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Rodrigues, M. </w:t>
      </w:r>
      <w:r w:rsidRPr="001B5614">
        <w:rPr>
          <w:rFonts w:cs="Arial"/>
          <w:i/>
          <w:iCs/>
          <w:noProof/>
          <w:kern w:val="0"/>
        </w:rPr>
        <w:t>et al.</w:t>
      </w:r>
      <w:r w:rsidRPr="001B5614">
        <w:rPr>
          <w:rFonts w:cs="Arial"/>
          <w:noProof/>
          <w:kern w:val="0"/>
        </w:rPr>
        <w:t xml:space="preserve"> (2022) “Mapping the Literature on Social Responsibility and Stakeholders’ Pressures in the Mining Industry,” </w:t>
      </w:r>
      <w:r w:rsidRPr="001B5614">
        <w:rPr>
          <w:rFonts w:cs="Arial"/>
          <w:i/>
          <w:iCs/>
          <w:noProof/>
          <w:kern w:val="0"/>
        </w:rPr>
        <w:t>Journal of Risk and Financial Management</w:t>
      </w:r>
      <w:r w:rsidRPr="001B5614">
        <w:rPr>
          <w:rFonts w:cs="Arial"/>
          <w:noProof/>
          <w:kern w:val="0"/>
        </w:rPr>
        <w:t xml:space="preserve">, 15(10), p. 425. Available at: </w:t>
      </w:r>
      <w:hyperlink r:id="rId33" w:history="1">
        <w:r w:rsidRPr="001B5614">
          <w:rPr>
            <w:rStyle w:val="Hyperlink"/>
            <w:rFonts w:cs="Arial"/>
            <w:noProof/>
            <w:kern w:val="0"/>
          </w:rPr>
          <w:t>https://www.mdpi.com/1911-8074/15/10/425</w:t>
        </w:r>
      </w:hyperlink>
      <w:r w:rsidRPr="001B5614">
        <w:rPr>
          <w:rFonts w:cs="Arial"/>
          <w:noProof/>
          <w:kern w:val="0"/>
        </w:rPr>
        <w:t>.</w:t>
      </w:r>
    </w:p>
    <w:p w14:paraId="3B960FDE" w14:textId="5E04ACCA"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Rodríguez Diez, J. </w:t>
      </w:r>
      <w:r w:rsidRPr="001B5614">
        <w:rPr>
          <w:rFonts w:cs="Arial"/>
          <w:i/>
          <w:iCs/>
          <w:noProof/>
          <w:kern w:val="0"/>
        </w:rPr>
        <w:t>et al.</w:t>
      </w:r>
      <w:r w:rsidRPr="001B5614">
        <w:rPr>
          <w:rFonts w:cs="Arial"/>
          <w:noProof/>
          <w:kern w:val="0"/>
        </w:rPr>
        <w:t xml:space="preserve"> (2023) “Decarbonization Pathways, Strategies, and Use Cases to Achieve Net-Zero CO2 Emissions in the Steelmaking Industry,” </w:t>
      </w:r>
      <w:r w:rsidRPr="001B5614">
        <w:rPr>
          <w:rFonts w:cs="Arial"/>
          <w:i/>
          <w:iCs/>
          <w:noProof/>
          <w:kern w:val="0"/>
        </w:rPr>
        <w:t>Energies</w:t>
      </w:r>
      <w:r w:rsidRPr="001B5614">
        <w:rPr>
          <w:rFonts w:cs="Arial"/>
          <w:noProof/>
          <w:kern w:val="0"/>
        </w:rPr>
        <w:t xml:space="preserve">, 16(21), p. 7360. Available at: </w:t>
      </w:r>
      <w:hyperlink r:id="rId34" w:history="1">
        <w:r w:rsidRPr="001B5614">
          <w:rPr>
            <w:rStyle w:val="Hyperlink"/>
            <w:rFonts w:cs="Arial"/>
            <w:noProof/>
            <w:kern w:val="0"/>
          </w:rPr>
          <w:t>https://www.mdpi.com/1996-1073/16/21/7360</w:t>
        </w:r>
      </w:hyperlink>
      <w:r w:rsidRPr="001B5614">
        <w:rPr>
          <w:rFonts w:cs="Arial"/>
          <w:noProof/>
          <w:kern w:val="0"/>
        </w:rPr>
        <w:t>.</w:t>
      </w:r>
    </w:p>
    <w:p w14:paraId="06EB8401" w14:textId="12FE45BF"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Schaap, F. (2024) “Decarbonization of the Mining Sector.” Available at: </w:t>
      </w:r>
      <w:hyperlink r:id="rId35" w:history="1">
        <w:r w:rsidRPr="001B5614">
          <w:rPr>
            <w:rStyle w:val="Hyperlink"/>
            <w:rFonts w:cs="Arial"/>
            <w:noProof/>
            <w:kern w:val="0"/>
          </w:rPr>
          <w:t>https://www.iisd.org/publications/report/igf-decarbonization-mining-sector</w:t>
        </w:r>
      </w:hyperlink>
      <w:r w:rsidRPr="001B5614">
        <w:rPr>
          <w:rFonts w:cs="Arial"/>
          <w:noProof/>
          <w:kern w:val="0"/>
        </w:rPr>
        <w:t>.</w:t>
      </w:r>
    </w:p>
    <w:p w14:paraId="1433D15D" w14:textId="1706D4DE"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Tabassi, E. (2023) “Artificial Intelligence Risk Management Framework (AI RMF 1.0).” Available at: </w:t>
      </w:r>
      <w:hyperlink r:id="rId36" w:history="1">
        <w:r w:rsidRPr="001B5614">
          <w:rPr>
            <w:rStyle w:val="Hyperlink"/>
            <w:rFonts w:cs="Arial"/>
            <w:noProof/>
            <w:kern w:val="0"/>
          </w:rPr>
          <w:t>https://www.nist.gov/publications/artificial-intelligence-risk-management-framework-ai-rmf-10</w:t>
        </w:r>
      </w:hyperlink>
      <w:r w:rsidRPr="001B5614">
        <w:rPr>
          <w:rFonts w:cs="Arial"/>
          <w:noProof/>
          <w:kern w:val="0"/>
        </w:rPr>
        <w:t>.</w:t>
      </w:r>
    </w:p>
    <w:p w14:paraId="22F39CB3" w14:textId="2199F716"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UNEP (2024) “Climate Risks in the Metals and Mining Sector.” Available at: </w:t>
      </w:r>
      <w:hyperlink r:id="rId37" w:history="1">
        <w:r w:rsidRPr="001B5614">
          <w:rPr>
            <w:rStyle w:val="Hyperlink"/>
            <w:rFonts w:cs="Arial"/>
            <w:noProof/>
            <w:kern w:val="0"/>
          </w:rPr>
          <w:t>https://www.unepfi.org/themes/climate-change/climate-risks-in-the-metals-and-mining-sector/</w:t>
        </w:r>
      </w:hyperlink>
      <w:r w:rsidRPr="001B5614">
        <w:rPr>
          <w:rFonts w:cs="Arial"/>
          <w:noProof/>
          <w:kern w:val="0"/>
        </w:rPr>
        <w:t>.</w:t>
      </w:r>
    </w:p>
    <w:p w14:paraId="76CF568A" w14:textId="743C0C3D"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t xml:space="preserve">UNESCO (2026) “Guidance for generative AI in education and research.” Available at: </w:t>
      </w:r>
      <w:hyperlink r:id="rId38" w:history="1">
        <w:r w:rsidRPr="001B5614">
          <w:rPr>
            <w:rStyle w:val="Hyperlink"/>
            <w:rFonts w:cs="Arial"/>
            <w:noProof/>
            <w:kern w:val="0"/>
          </w:rPr>
          <w:t>https://www.unesco.org/en/articles/guidance-generative-ai-education-and-research</w:t>
        </w:r>
      </w:hyperlink>
      <w:r w:rsidRPr="001B5614">
        <w:rPr>
          <w:rFonts w:cs="Arial"/>
          <w:noProof/>
          <w:kern w:val="0"/>
        </w:rPr>
        <w:t>.</w:t>
      </w:r>
    </w:p>
    <w:p w14:paraId="0B37F255" w14:textId="2AD1D739" w:rsidR="002C3320" w:rsidRPr="001B5614" w:rsidRDefault="002C3320" w:rsidP="001B5614">
      <w:pPr>
        <w:widowControl w:val="0"/>
        <w:autoSpaceDE w:val="0"/>
        <w:autoSpaceDN w:val="0"/>
        <w:adjustRightInd w:val="0"/>
        <w:jc w:val="left"/>
        <w:rPr>
          <w:rFonts w:cs="Arial"/>
          <w:noProof/>
          <w:kern w:val="0"/>
        </w:rPr>
      </w:pPr>
      <w:r w:rsidRPr="001B5614">
        <w:rPr>
          <w:rFonts w:cs="Arial"/>
          <w:noProof/>
          <w:kern w:val="0"/>
        </w:rPr>
        <w:lastRenderedPageBreak/>
        <w:t xml:space="preserve">Wan, F. </w:t>
      </w:r>
      <w:r w:rsidRPr="001B5614">
        <w:rPr>
          <w:rFonts w:cs="Arial"/>
          <w:i/>
          <w:iCs/>
          <w:noProof/>
          <w:kern w:val="0"/>
        </w:rPr>
        <w:t>et al.</w:t>
      </w:r>
      <w:r w:rsidRPr="001B5614">
        <w:rPr>
          <w:rFonts w:cs="Arial"/>
          <w:noProof/>
          <w:kern w:val="0"/>
        </w:rPr>
        <w:t xml:space="preserve"> (2024) “Research of the Impact of Hydrogen Metallurgy Technology on the Reduction of the Chinese Steel Industry’s Carbon Dioxide Emissions,” </w:t>
      </w:r>
      <w:r w:rsidRPr="001B5614">
        <w:rPr>
          <w:rFonts w:cs="Arial"/>
          <w:i/>
          <w:iCs/>
          <w:noProof/>
          <w:kern w:val="0"/>
        </w:rPr>
        <w:t>Sustainability</w:t>
      </w:r>
      <w:r w:rsidRPr="001B5614">
        <w:rPr>
          <w:rFonts w:cs="Arial"/>
          <w:noProof/>
          <w:kern w:val="0"/>
        </w:rPr>
        <w:t xml:space="preserve">, 16(5), p. 1814. Available at: </w:t>
      </w:r>
      <w:hyperlink r:id="rId39" w:history="1">
        <w:r w:rsidRPr="001B5614">
          <w:rPr>
            <w:rStyle w:val="Hyperlink"/>
            <w:rFonts w:cs="Arial"/>
            <w:noProof/>
            <w:kern w:val="0"/>
          </w:rPr>
          <w:t>https://www.mdpi.com/2071-1050/16/5/1814</w:t>
        </w:r>
      </w:hyperlink>
      <w:r w:rsidRPr="001B5614">
        <w:rPr>
          <w:rFonts w:cs="Arial"/>
          <w:noProof/>
          <w:kern w:val="0"/>
        </w:rPr>
        <w:t>.</w:t>
      </w:r>
    </w:p>
    <w:p w14:paraId="7C5866A4" w14:textId="292551BA" w:rsidR="002C3320" w:rsidRPr="001B5614" w:rsidRDefault="002C3320" w:rsidP="001B5614">
      <w:pPr>
        <w:widowControl w:val="0"/>
        <w:autoSpaceDE w:val="0"/>
        <w:autoSpaceDN w:val="0"/>
        <w:adjustRightInd w:val="0"/>
        <w:jc w:val="left"/>
        <w:rPr>
          <w:rFonts w:cs="Arial"/>
          <w:noProof/>
        </w:rPr>
      </w:pPr>
      <w:r w:rsidRPr="001B5614">
        <w:rPr>
          <w:rFonts w:cs="Arial"/>
          <w:noProof/>
          <w:kern w:val="0"/>
        </w:rPr>
        <w:t xml:space="preserve">Yusuf, A., Pervin, N. and Román-González, M. (2024) “Generative AI and the future of higher education: a threat to academic integrity or reformation? Evidence from multicultural perspectives,” </w:t>
      </w:r>
      <w:r w:rsidRPr="001B5614">
        <w:rPr>
          <w:rFonts w:cs="Arial"/>
          <w:i/>
          <w:iCs/>
          <w:noProof/>
          <w:kern w:val="0"/>
        </w:rPr>
        <w:t>International Journal of Educational Technology in Higher Education</w:t>
      </w:r>
      <w:r w:rsidRPr="001B5614">
        <w:rPr>
          <w:rFonts w:cs="Arial"/>
          <w:noProof/>
          <w:kern w:val="0"/>
        </w:rPr>
        <w:t xml:space="preserve">, 21(1), p. 21. Available at: </w:t>
      </w:r>
      <w:hyperlink r:id="rId40" w:history="1">
        <w:r w:rsidRPr="001B5614">
          <w:rPr>
            <w:rStyle w:val="Hyperlink"/>
            <w:rFonts w:cs="Arial"/>
            <w:noProof/>
            <w:kern w:val="0"/>
          </w:rPr>
          <w:t>https://link.springer.com/article/10.1186/s41239-024-00453-6#citeas</w:t>
        </w:r>
      </w:hyperlink>
      <w:r w:rsidRPr="001B5614">
        <w:rPr>
          <w:rFonts w:cs="Arial"/>
          <w:noProof/>
          <w:kern w:val="0"/>
        </w:rPr>
        <w:t>.</w:t>
      </w:r>
    </w:p>
    <w:p w14:paraId="63BFBD09" w14:textId="24683860" w:rsidR="002C3320" w:rsidRPr="001B5614" w:rsidRDefault="002C3320" w:rsidP="001B5614">
      <w:pPr>
        <w:jc w:val="left"/>
        <w:rPr>
          <w:rFonts w:cs="Arial"/>
        </w:rPr>
      </w:pPr>
      <w:r w:rsidRPr="001B5614">
        <w:rPr>
          <w:rFonts w:cs="Arial"/>
        </w:rPr>
        <w:fldChar w:fldCharType="end"/>
      </w:r>
    </w:p>
    <w:p w14:paraId="2D337FE6" w14:textId="77777777" w:rsidR="00FD27DD" w:rsidRPr="001B5614" w:rsidRDefault="00FD27DD" w:rsidP="001B5614">
      <w:pPr>
        <w:jc w:val="left"/>
        <w:rPr>
          <w:rFonts w:cs="Arial"/>
        </w:rPr>
      </w:pPr>
    </w:p>
    <w:sectPr w:rsidR="00FD27DD" w:rsidRPr="001B5614" w:rsidSect="00F75951">
      <w:footerReference w:type="default" r:id="rId4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9036E" w14:textId="77777777" w:rsidR="00DE6E5F" w:rsidRDefault="00DE6E5F" w:rsidP="00573959">
      <w:pPr>
        <w:spacing w:after="0" w:line="240" w:lineRule="auto"/>
      </w:pPr>
      <w:r>
        <w:separator/>
      </w:r>
    </w:p>
  </w:endnote>
  <w:endnote w:type="continuationSeparator" w:id="0">
    <w:p w14:paraId="449682C8" w14:textId="77777777" w:rsidR="00DE6E5F" w:rsidRDefault="00DE6E5F" w:rsidP="00573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DB155" w14:textId="1E3D393D" w:rsidR="004D212D" w:rsidRDefault="004D212D">
    <w:pPr>
      <w:pStyle w:val="Footer"/>
      <w:jc w:val="right"/>
    </w:pPr>
  </w:p>
  <w:p w14:paraId="78C62365" w14:textId="77777777" w:rsidR="004D212D" w:rsidRDefault="004D2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692287"/>
      <w:docPartObj>
        <w:docPartGallery w:val="Page Numbers (Bottom of Page)"/>
        <w:docPartUnique/>
      </w:docPartObj>
    </w:sdtPr>
    <w:sdtEndPr>
      <w:rPr>
        <w:noProof/>
      </w:rPr>
    </w:sdtEndPr>
    <w:sdtContent>
      <w:p w14:paraId="3F18395F" w14:textId="77777777" w:rsidR="004D212D" w:rsidRDefault="004D21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5DB759" w14:textId="77777777" w:rsidR="004D212D" w:rsidRDefault="004D2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1A0C1" w14:textId="77777777" w:rsidR="00DE6E5F" w:rsidRDefault="00DE6E5F" w:rsidP="00573959">
      <w:pPr>
        <w:spacing w:after="0" w:line="240" w:lineRule="auto"/>
      </w:pPr>
      <w:r>
        <w:separator/>
      </w:r>
    </w:p>
  </w:footnote>
  <w:footnote w:type="continuationSeparator" w:id="0">
    <w:p w14:paraId="5F75F5B6" w14:textId="77777777" w:rsidR="00DE6E5F" w:rsidRDefault="00DE6E5F" w:rsidP="005739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D4C07"/>
    <w:multiLevelType w:val="hybridMultilevel"/>
    <w:tmpl w:val="5BB6BA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83734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1DE"/>
    <w:rsid w:val="000819CC"/>
    <w:rsid w:val="000B3A10"/>
    <w:rsid w:val="00124F82"/>
    <w:rsid w:val="001A72EF"/>
    <w:rsid w:val="001B5614"/>
    <w:rsid w:val="001F52D9"/>
    <w:rsid w:val="002A1F0B"/>
    <w:rsid w:val="002B01EC"/>
    <w:rsid w:val="002C3320"/>
    <w:rsid w:val="00301445"/>
    <w:rsid w:val="0032274F"/>
    <w:rsid w:val="003A5406"/>
    <w:rsid w:val="004D212D"/>
    <w:rsid w:val="004E3B2D"/>
    <w:rsid w:val="00573959"/>
    <w:rsid w:val="00581DDD"/>
    <w:rsid w:val="005C79AB"/>
    <w:rsid w:val="005F4633"/>
    <w:rsid w:val="005F6AEC"/>
    <w:rsid w:val="00793634"/>
    <w:rsid w:val="0082739D"/>
    <w:rsid w:val="009E41DE"/>
    <w:rsid w:val="00A276B1"/>
    <w:rsid w:val="00AB3D5B"/>
    <w:rsid w:val="00B9263C"/>
    <w:rsid w:val="00BA5614"/>
    <w:rsid w:val="00BD5814"/>
    <w:rsid w:val="00BE3F54"/>
    <w:rsid w:val="00CE76D0"/>
    <w:rsid w:val="00D50D12"/>
    <w:rsid w:val="00D961CA"/>
    <w:rsid w:val="00DE25A9"/>
    <w:rsid w:val="00DE6E5F"/>
    <w:rsid w:val="00DF3AF0"/>
    <w:rsid w:val="00EB778A"/>
    <w:rsid w:val="00F75951"/>
    <w:rsid w:val="00FD2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3BC1E"/>
  <w15:chartTrackingRefBased/>
  <w15:docId w15:val="{1F2E6119-7D3C-4C6E-8ACC-E5F0CF2E2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1DE"/>
    <w:pPr>
      <w:spacing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1B5614"/>
    <w:pPr>
      <w:keepNext/>
      <w:keepLines/>
      <w:spacing w:before="360" w:after="8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autoRedefine/>
    <w:uiPriority w:val="9"/>
    <w:unhideWhenUsed/>
    <w:qFormat/>
    <w:rsid w:val="001B5614"/>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9E41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41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41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41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1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1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1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614"/>
    <w:rPr>
      <w:rFonts w:ascii="Arial" w:eastAsiaTheme="majorEastAsia" w:hAnsi="Arial" w:cstheme="majorBidi"/>
      <w:b/>
      <w:color w:val="0F4761" w:themeColor="accent1" w:themeShade="BF"/>
      <w:sz w:val="32"/>
      <w:szCs w:val="40"/>
    </w:rPr>
  </w:style>
  <w:style w:type="character" w:customStyle="1" w:styleId="Heading2Char">
    <w:name w:val="Heading 2 Char"/>
    <w:basedOn w:val="DefaultParagraphFont"/>
    <w:link w:val="Heading2"/>
    <w:uiPriority w:val="9"/>
    <w:rsid w:val="001B5614"/>
    <w:rPr>
      <w:rFonts w:ascii="Arial" w:eastAsiaTheme="majorEastAsia" w:hAnsi="Arial" w:cstheme="majorBidi"/>
      <w:b/>
      <w:color w:val="0F4761" w:themeColor="accent1" w:themeShade="BF"/>
      <w:sz w:val="28"/>
      <w:szCs w:val="32"/>
    </w:rPr>
  </w:style>
  <w:style w:type="character" w:customStyle="1" w:styleId="Heading3Char">
    <w:name w:val="Heading 3 Char"/>
    <w:basedOn w:val="DefaultParagraphFont"/>
    <w:link w:val="Heading3"/>
    <w:uiPriority w:val="9"/>
    <w:semiHidden/>
    <w:rsid w:val="009E41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41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41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41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1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1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1DE"/>
    <w:rPr>
      <w:rFonts w:eastAsiaTheme="majorEastAsia" w:cstheme="majorBidi"/>
      <w:color w:val="272727" w:themeColor="text1" w:themeTint="D8"/>
    </w:rPr>
  </w:style>
  <w:style w:type="paragraph" w:styleId="Title">
    <w:name w:val="Title"/>
    <w:basedOn w:val="Normal"/>
    <w:next w:val="Normal"/>
    <w:link w:val="TitleChar"/>
    <w:uiPriority w:val="10"/>
    <w:qFormat/>
    <w:rsid w:val="00B9263C"/>
    <w:pPr>
      <w:spacing w:after="80"/>
      <w:contextualSpacing/>
      <w:jc w:val="center"/>
    </w:pPr>
    <w:rPr>
      <w:rFonts w:eastAsiaTheme="majorEastAsia" w:cstheme="majorBidi"/>
      <w:i/>
      <w:spacing w:val="-10"/>
      <w:kern w:val="28"/>
      <w:sz w:val="56"/>
      <w:szCs w:val="56"/>
    </w:rPr>
  </w:style>
  <w:style w:type="character" w:customStyle="1" w:styleId="TitleChar">
    <w:name w:val="Title Char"/>
    <w:basedOn w:val="DefaultParagraphFont"/>
    <w:link w:val="Title"/>
    <w:uiPriority w:val="10"/>
    <w:rsid w:val="00B9263C"/>
    <w:rPr>
      <w:rFonts w:ascii="Arial" w:eastAsiaTheme="majorEastAsia" w:hAnsi="Arial" w:cstheme="majorBidi"/>
      <w:i/>
      <w:color w:val="000000" w:themeColor="text1"/>
      <w:spacing w:val="-10"/>
      <w:kern w:val="28"/>
      <w:sz w:val="56"/>
      <w:szCs w:val="56"/>
    </w:rPr>
  </w:style>
  <w:style w:type="paragraph" w:styleId="Subtitle">
    <w:name w:val="Subtitle"/>
    <w:basedOn w:val="Normal"/>
    <w:next w:val="Normal"/>
    <w:link w:val="SubtitleChar"/>
    <w:uiPriority w:val="11"/>
    <w:qFormat/>
    <w:rsid w:val="009E41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1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1DE"/>
    <w:pPr>
      <w:spacing w:before="160"/>
      <w:jc w:val="center"/>
    </w:pPr>
    <w:rPr>
      <w:i/>
      <w:iCs/>
      <w:color w:val="404040" w:themeColor="text1" w:themeTint="BF"/>
    </w:rPr>
  </w:style>
  <w:style w:type="character" w:customStyle="1" w:styleId="QuoteChar">
    <w:name w:val="Quote Char"/>
    <w:basedOn w:val="DefaultParagraphFont"/>
    <w:link w:val="Quote"/>
    <w:uiPriority w:val="29"/>
    <w:rsid w:val="009E41DE"/>
    <w:rPr>
      <w:i/>
      <w:iCs/>
      <w:color w:val="404040" w:themeColor="text1" w:themeTint="BF"/>
    </w:rPr>
  </w:style>
  <w:style w:type="paragraph" w:styleId="ListParagraph">
    <w:name w:val="List Paragraph"/>
    <w:basedOn w:val="Normal"/>
    <w:uiPriority w:val="34"/>
    <w:qFormat/>
    <w:rsid w:val="009E41DE"/>
    <w:pPr>
      <w:ind w:left="720"/>
      <w:contextualSpacing/>
    </w:pPr>
  </w:style>
  <w:style w:type="character" w:styleId="IntenseEmphasis">
    <w:name w:val="Intense Emphasis"/>
    <w:basedOn w:val="DefaultParagraphFont"/>
    <w:uiPriority w:val="21"/>
    <w:qFormat/>
    <w:rsid w:val="009E41DE"/>
    <w:rPr>
      <w:i/>
      <w:iCs/>
      <w:color w:val="0F4761" w:themeColor="accent1" w:themeShade="BF"/>
    </w:rPr>
  </w:style>
  <w:style w:type="paragraph" w:styleId="IntenseQuote">
    <w:name w:val="Intense Quote"/>
    <w:basedOn w:val="Normal"/>
    <w:next w:val="Normal"/>
    <w:link w:val="IntenseQuoteChar"/>
    <w:uiPriority w:val="30"/>
    <w:qFormat/>
    <w:rsid w:val="009E41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41DE"/>
    <w:rPr>
      <w:i/>
      <w:iCs/>
      <w:color w:val="0F4761" w:themeColor="accent1" w:themeShade="BF"/>
    </w:rPr>
  </w:style>
  <w:style w:type="character" w:styleId="IntenseReference">
    <w:name w:val="Intense Reference"/>
    <w:basedOn w:val="DefaultParagraphFont"/>
    <w:uiPriority w:val="32"/>
    <w:qFormat/>
    <w:rsid w:val="009E41DE"/>
    <w:rPr>
      <w:b/>
      <w:bCs/>
      <w:smallCaps/>
      <w:color w:val="0F4761" w:themeColor="accent1" w:themeShade="BF"/>
      <w:spacing w:val="5"/>
    </w:rPr>
  </w:style>
  <w:style w:type="character" w:styleId="Hyperlink">
    <w:name w:val="Hyperlink"/>
    <w:basedOn w:val="DefaultParagraphFont"/>
    <w:uiPriority w:val="99"/>
    <w:unhideWhenUsed/>
    <w:rsid w:val="001F52D9"/>
    <w:rPr>
      <w:color w:val="467886" w:themeColor="hyperlink"/>
      <w:u w:val="single"/>
    </w:rPr>
  </w:style>
  <w:style w:type="character" w:styleId="UnresolvedMention">
    <w:name w:val="Unresolved Mention"/>
    <w:basedOn w:val="DefaultParagraphFont"/>
    <w:uiPriority w:val="99"/>
    <w:semiHidden/>
    <w:unhideWhenUsed/>
    <w:rsid w:val="001F52D9"/>
    <w:rPr>
      <w:color w:val="605E5C"/>
      <w:shd w:val="clear" w:color="auto" w:fill="E1DFDD"/>
    </w:rPr>
  </w:style>
  <w:style w:type="table" w:styleId="TableGrid">
    <w:name w:val="Table Grid"/>
    <w:basedOn w:val="TableNormal"/>
    <w:uiPriority w:val="39"/>
    <w:rsid w:val="001F5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73959"/>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5739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3959"/>
    <w:rPr>
      <w:rFonts w:ascii="Arial" w:hAnsi="Arial"/>
      <w:color w:val="000000" w:themeColor="text1"/>
      <w:sz w:val="20"/>
      <w:szCs w:val="20"/>
    </w:rPr>
  </w:style>
  <w:style w:type="character" w:styleId="FootnoteReference">
    <w:name w:val="footnote reference"/>
    <w:basedOn w:val="DefaultParagraphFont"/>
    <w:uiPriority w:val="99"/>
    <w:semiHidden/>
    <w:unhideWhenUsed/>
    <w:rsid w:val="00573959"/>
    <w:rPr>
      <w:vertAlign w:val="superscript"/>
    </w:rPr>
  </w:style>
  <w:style w:type="paragraph" w:styleId="TOCHeading">
    <w:name w:val="TOC Heading"/>
    <w:basedOn w:val="Heading1"/>
    <w:next w:val="Normal"/>
    <w:uiPriority w:val="39"/>
    <w:unhideWhenUsed/>
    <w:qFormat/>
    <w:rsid w:val="00BA5614"/>
    <w:pPr>
      <w:spacing w:before="240" w:after="0" w:line="259" w:lineRule="auto"/>
      <w:jc w:val="left"/>
      <w:outlineLvl w:val="9"/>
    </w:pPr>
    <w:rPr>
      <w:rFonts w:asciiTheme="majorHAnsi" w:hAnsiTheme="majorHAnsi"/>
      <w:kern w:val="0"/>
      <w:szCs w:val="32"/>
      <w14:ligatures w14:val="none"/>
    </w:rPr>
  </w:style>
  <w:style w:type="paragraph" w:styleId="TOC1">
    <w:name w:val="toc 1"/>
    <w:basedOn w:val="Normal"/>
    <w:next w:val="Normal"/>
    <w:autoRedefine/>
    <w:uiPriority w:val="39"/>
    <w:unhideWhenUsed/>
    <w:rsid w:val="00BA5614"/>
    <w:pPr>
      <w:spacing w:after="100"/>
    </w:pPr>
  </w:style>
  <w:style w:type="paragraph" w:styleId="TOC2">
    <w:name w:val="toc 2"/>
    <w:basedOn w:val="Normal"/>
    <w:next w:val="Normal"/>
    <w:autoRedefine/>
    <w:uiPriority w:val="39"/>
    <w:unhideWhenUsed/>
    <w:rsid w:val="00BA5614"/>
    <w:pPr>
      <w:spacing w:after="100"/>
      <w:ind w:left="240"/>
    </w:pPr>
  </w:style>
  <w:style w:type="character" w:styleId="FollowedHyperlink">
    <w:name w:val="FollowedHyperlink"/>
    <w:basedOn w:val="DefaultParagraphFont"/>
    <w:uiPriority w:val="99"/>
    <w:semiHidden/>
    <w:unhideWhenUsed/>
    <w:rsid w:val="00DF3AF0"/>
    <w:rPr>
      <w:color w:val="96607D" w:themeColor="followedHyperlink"/>
      <w:u w:val="single"/>
    </w:rPr>
  </w:style>
  <w:style w:type="paragraph" w:styleId="Header">
    <w:name w:val="header"/>
    <w:basedOn w:val="Normal"/>
    <w:link w:val="HeaderChar"/>
    <w:uiPriority w:val="99"/>
    <w:unhideWhenUsed/>
    <w:rsid w:val="004D21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212D"/>
    <w:rPr>
      <w:rFonts w:ascii="Arial" w:hAnsi="Arial"/>
      <w:color w:val="000000" w:themeColor="text1"/>
    </w:rPr>
  </w:style>
  <w:style w:type="paragraph" w:styleId="Footer">
    <w:name w:val="footer"/>
    <w:basedOn w:val="Normal"/>
    <w:link w:val="FooterChar"/>
    <w:uiPriority w:val="99"/>
    <w:unhideWhenUsed/>
    <w:rsid w:val="004D21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212D"/>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hp.com/-/media/documents/investors/annual-reports/2025/250819_bhpannualreport2025.pdf" TargetMode="External"/><Relationship Id="rId18" Type="http://schemas.openxmlformats.org/officeDocument/2006/relationships/hyperlink" Target="https://www.mdpi.com/2078-2489/16/4/296" TargetMode="External"/><Relationship Id="rId26" Type="http://schemas.openxmlformats.org/officeDocument/2006/relationships/hyperlink" Target="https://www.ifm.eng.cam.ac.uk/research/dstools/porters-generic-competitive-strategies/" TargetMode="External"/><Relationship Id="rId39" Type="http://schemas.openxmlformats.org/officeDocument/2006/relationships/hyperlink" Target="https://www.mdpi.com/2071-1050/16/5/1814" TargetMode="External"/><Relationship Id="rId21" Type="http://schemas.openxmlformats.org/officeDocument/2006/relationships/hyperlink" Target="https://arxiv.org/abs/2201.13356" TargetMode="External"/><Relationship Id="rId34" Type="http://schemas.openxmlformats.org/officeDocument/2006/relationships/hyperlink" Target="https://www.mdpi.com/1996-1073/16/21/736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hp.com/sustainability/climate-change/physical-climate-related-risk-and-adaptation" TargetMode="External"/><Relationship Id="rId20" Type="http://schemas.openxmlformats.org/officeDocument/2006/relationships/hyperlink" Target="https://www.nature.com/articles/s41598-024-64535-1" TargetMode="External"/><Relationship Id="rId29" Type="http://schemas.openxmlformats.org/officeDocument/2006/relationships/hyperlink" Target="https://www.nature.com/articles/s41467-025-64440-9"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hp.com/news/media-centre/releases/2024/12/bluescope-bhp-and-rio-tinto-select-wa-for-australias-largest-ironmaking-electric-smelting-furnace" TargetMode="External"/><Relationship Id="rId24" Type="http://schemas.openxmlformats.org/officeDocument/2006/relationships/hyperlink" Target="https://www.iea.org/reports/breakthrough-agenda-report-2025/steel" TargetMode="External"/><Relationship Id="rId32" Type="http://schemas.openxmlformats.org/officeDocument/2006/relationships/hyperlink" Target="https://www.frontiersin.org/journals/energy-research/articles/10.3389/fenrg.2025.1569716/full" TargetMode="External"/><Relationship Id="rId37" Type="http://schemas.openxmlformats.org/officeDocument/2006/relationships/hyperlink" Target="https://www.unepfi.org/themes/climate-change/climate-risks-in-the-metals-and-mining-sector/" TargetMode="External"/><Relationship Id="rId40" Type="http://schemas.openxmlformats.org/officeDocument/2006/relationships/hyperlink" Target="https://link.springer.com/article/10.1186/s41239-024-00453-6%23citeas" TargetMode="External"/><Relationship Id="rId5" Type="http://schemas.openxmlformats.org/officeDocument/2006/relationships/webSettings" Target="webSettings.xml"/><Relationship Id="rId15" Type="http://schemas.openxmlformats.org/officeDocument/2006/relationships/hyperlink" Target="https://www.bhp.com/sustainability/climate-change/operational-ghg-emissions" TargetMode="External"/><Relationship Id="rId23" Type="http://schemas.openxmlformats.org/officeDocument/2006/relationships/hyperlink" Target="https://www.iea.org/reports/definitions-for-near-zero-and-low-emissions-steel-and-cement-and-underlying-emissions-measurement-methodologies" TargetMode="External"/><Relationship Id="rId28" Type="http://schemas.openxmlformats.org/officeDocument/2006/relationships/hyperlink" Target="https://arxiv.org/abs/2202.03629" TargetMode="External"/><Relationship Id="rId36" Type="http://schemas.openxmlformats.org/officeDocument/2006/relationships/hyperlink" Target="https://www.nist.gov/publications/artificial-intelligence-risk-management-framework-ai-rmf-10" TargetMode="External"/><Relationship Id="rId10" Type="http://schemas.openxmlformats.org/officeDocument/2006/relationships/hyperlink" Target="https://www.mdpi.com/1996-1073/17/5/1242" TargetMode="External"/><Relationship Id="rId19" Type="http://schemas.openxmlformats.org/officeDocument/2006/relationships/hyperlink" Target="https://taxation-customs.ec.europa.eu/carbon-border-adjustment-mechanism_en" TargetMode="External"/><Relationship Id="rId31" Type="http://schemas.openxmlformats.org/officeDocument/2006/relationships/hyperlink" Target="https://www.nature.com/articles/s43247-023-01134-4%23citea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hp.com/news/articles/2025/05/bhp-and-china-baowu-celebrated-successful-commercial-scale-dri-trials-using-bhps-pilbara-iron-ores" TargetMode="External"/><Relationship Id="rId22" Type="http://schemas.openxmlformats.org/officeDocument/2006/relationships/hyperlink" Target="https://www.mdpi.com/2673-4591/64/1/15" TargetMode="External"/><Relationship Id="rId27" Type="http://schemas.openxmlformats.org/officeDocument/2006/relationships/hyperlink" Target="https://archive.ipcc.ch/" TargetMode="External"/><Relationship Id="rId30" Type="http://schemas.openxmlformats.org/officeDocument/2006/relationships/hyperlink" Target="https://openstax.org/books/principles-marketing/pages/2-2-the-role-of-marketing-in-the-strategic-planning-process" TargetMode="External"/><Relationship Id="rId35" Type="http://schemas.openxmlformats.org/officeDocument/2006/relationships/hyperlink" Target="https://www.iisd.org/publications/report/igf-decarbonization-mining-sector"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hp.com/news/bhp-insights/2024/10/pathways-towards-steelmaking-decarbonisation" TargetMode="External"/><Relationship Id="rId17" Type="http://schemas.openxmlformats.org/officeDocument/2006/relationships/hyperlink" Target="https://www.bhp.com/sustainability/climate-change/value-chain-ghg-emission-reductions" TargetMode="External"/><Relationship Id="rId25" Type="http://schemas.openxmlformats.org/officeDocument/2006/relationships/hyperlink" Target="https://www.iea.org/reports/demand-and-supply-measures-for-the-steel-and-cement-transition/executive-summary" TargetMode="External"/><Relationship Id="rId33" Type="http://schemas.openxmlformats.org/officeDocument/2006/relationships/hyperlink" Target="https://www.mdpi.com/1911-8074/15/10/425" TargetMode="External"/><Relationship Id="rId38" Type="http://schemas.openxmlformats.org/officeDocument/2006/relationships/hyperlink" Target="https://www.unesco.org/en/articles/guidance-generative-ai-education-and-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602D8-2628-47A1-961F-15CF5DA49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10623</Words>
  <Characters>60552</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Dipshikha Mishra</dc:creator>
  <cp:keywords/>
  <dc:description/>
  <cp:lastModifiedBy>Harshil Ghanshyambhai Beladiya (2543506)</cp:lastModifiedBy>
  <cp:revision>2</cp:revision>
  <dcterms:created xsi:type="dcterms:W3CDTF">2026-07-24T09:40:00Z</dcterms:created>
  <dcterms:modified xsi:type="dcterms:W3CDTF">2026-07-24T09:40:00Z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48e472e9-3870-4e00-adee-0cf402061302</vt:lpwstr>
  </property>
  <property fmtid="{D5CDD505-2E9C-101B-9397-08002B2CF9AE}" pid="3" name="Mendeley Document_1">
    <vt:lpwstr>True</vt:lpwstr>
  </property>
  <property fmtid="{D5CDD505-2E9C-101B-9397-08002B2CF9AE}" pid="4" name="Mendeley Unique User Id_1">
    <vt:lpwstr>d3c5c505-e1dd-3786-baab-49fab1eb93b1</vt:lpwstr>
  </property>
  <property fmtid="{D5CDD505-2E9C-101B-9397-08002B2CF9AE}" pid="5" name="Mendeley Citation Style_1">
    <vt:lpwstr>http://www.zotero.org/styles/harvard-cite-them-right</vt:lpwstr>
  </property>
  <property fmtid="{D5CDD505-2E9C-101B-9397-08002B2CF9AE}" pid="6" name="Mendeley Recent Style Id 0_1">
    <vt:lpwstr>http://www.zotero.org/styles/american-medical-association</vt:lpwstr>
  </property>
  <property fmtid="{D5CDD505-2E9C-101B-9397-08002B2CF9AE}" pid="7" name="Mendeley Recent Style Name 0_1">
    <vt:lpwstr>AMA Manual of Style 11th edition</vt:lpwstr>
  </property>
  <property fmtid="{D5CDD505-2E9C-101B-9397-08002B2CF9AE}" pid="8" name="Mendeley Recent Style Id 1_1">
    <vt:lpwstr>http://www.zotero.org/styles/apa</vt:lpwstr>
  </property>
  <property fmtid="{D5CDD505-2E9C-101B-9397-08002B2CF9AE}" pid="9" name="Mendeley Recent Style Name 1_1">
    <vt:lpwstr>APA Style 7th edition</vt:lpwstr>
  </property>
  <property fmtid="{D5CDD505-2E9C-101B-9397-08002B2CF9AE}" pid="10" name="Mendeley Recent Style Id 2_1">
    <vt:lpwstr>http://www.zotero.org/styles/american-political-science-association</vt:lpwstr>
  </property>
  <property fmtid="{D5CDD505-2E9C-101B-9397-08002B2CF9AE}" pid="11" name="Mendeley Recent Style Name 2_1">
    <vt:lpwstr>APSA Style Manual revised 2018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ASA Style Guide 6th/7th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18th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12th edition (author-date/Harvard)</vt:lpwstr>
  </property>
  <property fmtid="{D5CDD505-2E9C-101B-9397-08002B2CF9AE}" pid="18" name="Mendeley Recent Style Id 6_1">
    <vt:lpwstr>http://www.zotero.org/styles/ieee</vt:lpwstr>
  </property>
  <property fmtid="{D5CDD505-2E9C-101B-9397-08002B2CF9AE}" pid="19" name="Mendeley Recent Style Name 6_1">
    <vt:lpwstr>IEEE Reference Guide version 11.29.2023</vt:lpwstr>
  </property>
  <property fmtid="{D5CDD505-2E9C-101B-9397-08002B2CF9AE}" pid="20" name="Mendeley Recent Style Id 7_1">
    <vt:lpwstr>http://www.zotero.org/styles/modern-language-association</vt:lpwstr>
  </property>
  <property fmtid="{D5CDD505-2E9C-101B-9397-08002B2CF9AE}" pid="21" name="Mendeley Recent Style Name 7_1">
    <vt:lpwstr>MLA Handbook 9th edition (in-text citations)</vt:lpwstr>
  </property>
  <property fmtid="{D5CDD505-2E9C-101B-9397-08002B2CF9AE}" pid="22" name="Mendeley Recent Style Id 8_1">
    <vt:lpwstr>http://www.zotero.org/styles/modern-humanities-research-association</vt:lpwstr>
  </property>
  <property fmtid="{D5CDD505-2E9C-101B-9397-08002B2CF9AE}" pid="23" name="Mendeley Recent Style Name 8_1">
    <vt:lpwstr>Modern Humanities Research Association 3rd edition (note with bibliography)</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