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75903901"/>
        <w:docPartObj>
          <w:docPartGallery w:val="Cover Pages"/>
          <w:docPartUnique/>
        </w:docPartObj>
      </w:sdtPr>
      <w:sdtEndPr/>
      <w:sdtContent>
        <w:p w14:paraId="3F45E177" w14:textId="77777777" w:rsidR="007F4990" w:rsidRDefault="007F4990"/>
        <w:p w14:paraId="28DEAC8E" w14:textId="77777777" w:rsidR="007F4990" w:rsidRDefault="007F4990"/>
        <w:p w14:paraId="554BC683" w14:textId="77777777" w:rsidR="007F4990" w:rsidRDefault="007F4990"/>
        <w:p w14:paraId="6E849F51" w14:textId="77777777" w:rsidR="007F4990" w:rsidRDefault="007F4990"/>
        <w:p w14:paraId="7A761446" w14:textId="77777777" w:rsidR="007F4990" w:rsidRDefault="007F4990"/>
        <w:p w14:paraId="293ACB68" w14:textId="70E0C86E" w:rsidR="00143EAF" w:rsidRPr="00EB08CF" w:rsidRDefault="00326A7E">
          <w:pPr>
            <w:rPr>
              <w:sz w:val="52"/>
              <w:szCs w:val="52"/>
            </w:rPr>
          </w:pPr>
          <w:bookmarkStart w:id="0" w:name="_Hlk89397132"/>
          <w:r w:rsidRPr="00EB08CF">
            <w:rPr>
              <w:sz w:val="52"/>
              <w:szCs w:val="52"/>
            </w:rPr>
            <w:t>Psychology for Health and Social Care</w:t>
          </w:r>
        </w:p>
        <w:p w14:paraId="1808EB73" w14:textId="62E51B29" w:rsidR="00EB08CF" w:rsidRPr="00EB08CF" w:rsidRDefault="00EB08CF">
          <w:pPr>
            <w:rPr>
              <w:sz w:val="52"/>
              <w:szCs w:val="52"/>
            </w:rPr>
          </w:pPr>
          <w:r>
            <w:rPr>
              <w:sz w:val="52"/>
              <w:szCs w:val="52"/>
            </w:rPr>
            <w:t>Module co</w:t>
          </w:r>
          <w:r w:rsidR="007F4990">
            <w:rPr>
              <w:sz w:val="52"/>
              <w:szCs w:val="52"/>
            </w:rPr>
            <w:t xml:space="preserve">de: </w:t>
          </w:r>
          <w:r w:rsidRPr="00EB08CF">
            <w:rPr>
              <w:sz w:val="52"/>
              <w:szCs w:val="52"/>
            </w:rPr>
            <w:t>BMHP4019</w:t>
          </w:r>
        </w:p>
        <w:p w14:paraId="651CF66B" w14:textId="0844D42A" w:rsidR="00EB08CF" w:rsidRPr="00EB08CF" w:rsidRDefault="007F4990">
          <w:pPr>
            <w:rPr>
              <w:sz w:val="52"/>
              <w:szCs w:val="52"/>
            </w:rPr>
          </w:pPr>
          <w:r>
            <w:rPr>
              <w:sz w:val="52"/>
              <w:szCs w:val="52"/>
            </w:rPr>
            <w:t xml:space="preserve">Lecturer: </w:t>
          </w:r>
          <w:r w:rsidR="00EB08CF" w:rsidRPr="00EB08CF">
            <w:rPr>
              <w:sz w:val="52"/>
              <w:szCs w:val="52"/>
            </w:rPr>
            <w:t>Rebecca Kavanagh</w:t>
          </w:r>
        </w:p>
        <w:p w14:paraId="7965FEDA" w14:textId="2EA5C742" w:rsidR="00326A7E" w:rsidRPr="00EB08CF" w:rsidRDefault="00326A7E">
          <w:pPr>
            <w:rPr>
              <w:sz w:val="52"/>
              <w:szCs w:val="52"/>
            </w:rPr>
          </w:pPr>
          <w:r w:rsidRPr="00EB08CF">
            <w:rPr>
              <w:sz w:val="52"/>
              <w:szCs w:val="52"/>
            </w:rPr>
            <w:t xml:space="preserve">                  </w:t>
          </w:r>
          <w:r w:rsidR="00EB08CF" w:rsidRPr="00EB08CF">
            <w:rPr>
              <w:sz w:val="52"/>
              <w:szCs w:val="52"/>
            </w:rPr>
            <w:t xml:space="preserve">             </w:t>
          </w:r>
          <w:r w:rsidRPr="00EB08CF">
            <w:rPr>
              <w:sz w:val="52"/>
              <w:szCs w:val="52"/>
            </w:rPr>
            <w:t xml:space="preserve"> Case </w:t>
          </w:r>
          <w:r w:rsidR="00EB08CF" w:rsidRPr="00EB08CF">
            <w:rPr>
              <w:sz w:val="52"/>
              <w:szCs w:val="52"/>
            </w:rPr>
            <w:t>study report</w:t>
          </w:r>
        </w:p>
        <w:p w14:paraId="28D9F9D5" w14:textId="75F70720" w:rsidR="00EB08CF" w:rsidRPr="00EB08CF" w:rsidRDefault="00EB08CF">
          <w:pPr>
            <w:rPr>
              <w:sz w:val="52"/>
              <w:szCs w:val="52"/>
            </w:rPr>
          </w:pPr>
        </w:p>
        <w:p w14:paraId="20D95688" w14:textId="4CD95547" w:rsidR="00EB08CF" w:rsidRPr="00EB08CF" w:rsidRDefault="00EB08CF">
          <w:pPr>
            <w:rPr>
              <w:sz w:val="52"/>
              <w:szCs w:val="52"/>
            </w:rPr>
          </w:pPr>
        </w:p>
        <w:p w14:paraId="48A975A3" w14:textId="5A9E59DE" w:rsidR="00EB08CF" w:rsidRPr="00EB08CF" w:rsidRDefault="00EB08CF">
          <w:pPr>
            <w:rPr>
              <w:sz w:val="52"/>
              <w:szCs w:val="52"/>
            </w:rPr>
          </w:pPr>
          <w:r>
            <w:rPr>
              <w:sz w:val="52"/>
              <w:szCs w:val="52"/>
            </w:rPr>
            <w:t xml:space="preserve">Student: </w:t>
          </w:r>
          <w:r w:rsidRPr="00EB08CF">
            <w:rPr>
              <w:sz w:val="52"/>
              <w:szCs w:val="52"/>
            </w:rPr>
            <w:t>Teodora Dimitrova Panayotova</w:t>
          </w:r>
        </w:p>
        <w:p w14:paraId="43D5FF7B" w14:textId="6BFA957C" w:rsidR="00EB08CF" w:rsidRPr="00EB08CF" w:rsidRDefault="00EB08CF">
          <w:pPr>
            <w:rPr>
              <w:sz w:val="52"/>
              <w:szCs w:val="52"/>
            </w:rPr>
          </w:pPr>
          <w:r w:rsidRPr="00EB08CF">
            <w:rPr>
              <w:sz w:val="52"/>
              <w:szCs w:val="52"/>
            </w:rPr>
            <w:t>N: 2008090</w:t>
          </w:r>
        </w:p>
        <w:p w14:paraId="77FC9D29" w14:textId="72A4AD8F" w:rsidR="00143EAF" w:rsidRDefault="00143EAF">
          <w:pPr>
            <w:spacing w:after="0" w:line="240" w:lineRule="auto"/>
          </w:pPr>
          <w:r>
            <w:br w:type="page"/>
          </w:r>
        </w:p>
      </w:sdtContent>
    </w:sdt>
    <w:bookmarkEnd w:id="0" w:displacedByCustomXml="next"/>
    <w:bookmarkStart w:id="1" w:name="_Hlk89397102" w:displacedByCustomXml="next"/>
    <w:sdt>
      <w:sdtPr>
        <w:rPr>
          <w:rFonts w:ascii="Arial" w:eastAsiaTheme="minorHAnsi" w:hAnsi="Arial" w:cstheme="minorBidi"/>
          <w:b w:val="0"/>
          <w:bCs w:val="0"/>
          <w:color w:val="auto"/>
          <w:sz w:val="44"/>
          <w:szCs w:val="44"/>
          <w:lang w:val="en-GB"/>
        </w:rPr>
        <w:id w:val="1317381470"/>
        <w:docPartObj>
          <w:docPartGallery w:val="Table of Contents"/>
          <w:docPartUnique/>
        </w:docPartObj>
      </w:sdtPr>
      <w:sdtEndPr>
        <w:rPr>
          <w:noProof/>
        </w:rPr>
      </w:sdtEndPr>
      <w:sdtContent>
        <w:p w14:paraId="4C91E829" w14:textId="77777777" w:rsidR="00C06C65" w:rsidRDefault="00C06C65">
          <w:pPr>
            <w:pStyle w:val="TOCHeading"/>
            <w:rPr>
              <w:rFonts w:ascii="Arial" w:eastAsiaTheme="minorHAnsi" w:hAnsi="Arial" w:cstheme="minorBidi"/>
              <w:b w:val="0"/>
              <w:bCs w:val="0"/>
              <w:color w:val="auto"/>
              <w:sz w:val="44"/>
              <w:szCs w:val="44"/>
              <w:lang w:val="en-GB"/>
            </w:rPr>
          </w:pPr>
        </w:p>
        <w:p w14:paraId="31F387F6" w14:textId="77777777" w:rsidR="00C06C65" w:rsidRDefault="00C06C65">
          <w:pPr>
            <w:pStyle w:val="TOCHeading"/>
            <w:rPr>
              <w:rFonts w:ascii="Arial" w:eastAsiaTheme="minorHAnsi" w:hAnsi="Arial" w:cstheme="minorBidi"/>
              <w:b w:val="0"/>
              <w:bCs w:val="0"/>
              <w:color w:val="auto"/>
              <w:sz w:val="44"/>
              <w:szCs w:val="44"/>
              <w:lang w:val="en-GB"/>
            </w:rPr>
          </w:pPr>
        </w:p>
        <w:p w14:paraId="5BD74D42" w14:textId="1484490F" w:rsidR="00DD3BCE" w:rsidRPr="007F4990" w:rsidRDefault="00DD3BCE">
          <w:pPr>
            <w:pStyle w:val="TOCHeading"/>
            <w:rPr>
              <w:sz w:val="44"/>
              <w:szCs w:val="44"/>
            </w:rPr>
          </w:pPr>
          <w:r w:rsidRPr="007F4990">
            <w:rPr>
              <w:sz w:val="44"/>
              <w:szCs w:val="44"/>
            </w:rPr>
            <w:t>Table of Contents</w:t>
          </w:r>
        </w:p>
        <w:p w14:paraId="2610DA59" w14:textId="24034FBF" w:rsidR="00DD3BCE" w:rsidRPr="007F4990" w:rsidRDefault="00AF1C6F">
          <w:pPr>
            <w:pStyle w:val="TOC1"/>
            <w:tabs>
              <w:tab w:val="right" w:leader="dot" w:pos="9016"/>
            </w:tabs>
            <w:rPr>
              <w:noProof/>
              <w:sz w:val="44"/>
              <w:szCs w:val="44"/>
            </w:rPr>
          </w:pPr>
          <w:hyperlink w:anchor="_Toc89355349" w:history="1">
            <w:r w:rsidR="00DD3BCE" w:rsidRPr="007F4990">
              <w:rPr>
                <w:rStyle w:val="Hyperlink"/>
                <w:noProof/>
                <w:sz w:val="44"/>
                <w:szCs w:val="44"/>
              </w:rPr>
              <w:t>Introduction</w:t>
            </w:r>
            <w:r w:rsidR="00DD3BCE" w:rsidRPr="007F4990">
              <w:rPr>
                <w:noProof/>
                <w:webHidden/>
                <w:sz w:val="44"/>
                <w:szCs w:val="44"/>
              </w:rPr>
              <w:tab/>
            </w:r>
            <w:r w:rsidR="00DD3BCE" w:rsidRPr="007F4990">
              <w:rPr>
                <w:noProof/>
                <w:webHidden/>
                <w:sz w:val="44"/>
                <w:szCs w:val="44"/>
              </w:rPr>
              <w:fldChar w:fldCharType="begin"/>
            </w:r>
            <w:r w:rsidR="00DD3BCE" w:rsidRPr="007F4990">
              <w:rPr>
                <w:noProof/>
                <w:webHidden/>
                <w:sz w:val="44"/>
                <w:szCs w:val="44"/>
              </w:rPr>
              <w:instrText xml:space="preserve"> PAGEREF _Toc89355349 \h </w:instrText>
            </w:r>
            <w:r w:rsidR="00DD3BCE" w:rsidRPr="007F4990">
              <w:rPr>
                <w:noProof/>
                <w:webHidden/>
                <w:sz w:val="44"/>
                <w:szCs w:val="44"/>
              </w:rPr>
            </w:r>
            <w:r w:rsidR="00DD3BCE" w:rsidRPr="007F4990">
              <w:rPr>
                <w:noProof/>
                <w:webHidden/>
                <w:sz w:val="44"/>
                <w:szCs w:val="44"/>
              </w:rPr>
              <w:fldChar w:fldCharType="separate"/>
            </w:r>
            <w:r w:rsidR="00DD3BCE" w:rsidRPr="007F4990">
              <w:rPr>
                <w:noProof/>
                <w:webHidden/>
                <w:sz w:val="44"/>
                <w:szCs w:val="44"/>
              </w:rPr>
              <w:t>2</w:t>
            </w:r>
            <w:r w:rsidR="00DD3BCE" w:rsidRPr="007F4990">
              <w:rPr>
                <w:noProof/>
                <w:webHidden/>
                <w:sz w:val="44"/>
                <w:szCs w:val="44"/>
              </w:rPr>
              <w:fldChar w:fldCharType="end"/>
            </w:r>
          </w:hyperlink>
        </w:p>
        <w:p w14:paraId="6F954446" w14:textId="12F1E2B8" w:rsidR="00DD3BCE" w:rsidRPr="007F4990" w:rsidRDefault="00AF1C6F">
          <w:pPr>
            <w:pStyle w:val="TOC1"/>
            <w:tabs>
              <w:tab w:val="right" w:leader="dot" w:pos="9016"/>
            </w:tabs>
            <w:rPr>
              <w:noProof/>
              <w:sz w:val="44"/>
              <w:szCs w:val="44"/>
            </w:rPr>
          </w:pPr>
          <w:hyperlink w:anchor="_Toc89355350" w:history="1">
            <w:r w:rsidR="00DD3BCE" w:rsidRPr="007F4990">
              <w:rPr>
                <w:rStyle w:val="Hyperlink"/>
                <w:noProof/>
                <w:sz w:val="44"/>
                <w:szCs w:val="44"/>
              </w:rPr>
              <w:t>SIT Hypothesis: Analysis on the Social Identity Theory</w:t>
            </w:r>
            <w:r w:rsidR="00DD3BCE" w:rsidRPr="007F4990">
              <w:rPr>
                <w:noProof/>
                <w:webHidden/>
                <w:sz w:val="44"/>
                <w:szCs w:val="44"/>
              </w:rPr>
              <w:tab/>
              <w:t>2</w:t>
            </w:r>
          </w:hyperlink>
        </w:p>
        <w:p w14:paraId="4C691742" w14:textId="5A692DF2" w:rsidR="00DD3BCE" w:rsidRPr="007F4990" w:rsidRDefault="00AF1C6F">
          <w:pPr>
            <w:pStyle w:val="TOC1"/>
            <w:tabs>
              <w:tab w:val="right" w:leader="dot" w:pos="9016"/>
            </w:tabs>
            <w:rPr>
              <w:noProof/>
              <w:sz w:val="44"/>
              <w:szCs w:val="44"/>
            </w:rPr>
          </w:pPr>
          <w:hyperlink w:anchor="_Toc89355351" w:history="1">
            <w:r w:rsidR="00DD3BCE" w:rsidRPr="007F4990">
              <w:rPr>
                <w:rStyle w:val="Hyperlink"/>
                <w:noProof/>
                <w:sz w:val="44"/>
                <w:szCs w:val="44"/>
              </w:rPr>
              <w:t>Analysis of the Attribution Theory</w:t>
            </w:r>
            <w:r w:rsidR="00DD3BCE" w:rsidRPr="007F4990">
              <w:rPr>
                <w:noProof/>
                <w:webHidden/>
                <w:sz w:val="44"/>
                <w:szCs w:val="44"/>
              </w:rPr>
              <w:tab/>
              <w:t>3</w:t>
            </w:r>
          </w:hyperlink>
        </w:p>
        <w:p w14:paraId="76AE131E" w14:textId="41847C9A" w:rsidR="00DD3BCE" w:rsidRPr="007F4990" w:rsidRDefault="00AF1C6F">
          <w:pPr>
            <w:pStyle w:val="TOC1"/>
            <w:tabs>
              <w:tab w:val="right" w:leader="dot" w:pos="9016"/>
            </w:tabs>
            <w:rPr>
              <w:noProof/>
              <w:sz w:val="44"/>
              <w:szCs w:val="44"/>
            </w:rPr>
          </w:pPr>
          <w:hyperlink w:anchor="_Toc89355352" w:history="1">
            <w:r w:rsidR="00DD3BCE" w:rsidRPr="007F4990">
              <w:rPr>
                <w:rStyle w:val="Hyperlink"/>
                <w:noProof/>
                <w:sz w:val="44"/>
                <w:szCs w:val="44"/>
              </w:rPr>
              <w:t>FAH: Analysis on the Frustration Aggression Hypothesis</w:t>
            </w:r>
            <w:r w:rsidR="00DD3BCE" w:rsidRPr="007F4990">
              <w:rPr>
                <w:noProof/>
                <w:webHidden/>
                <w:sz w:val="44"/>
                <w:szCs w:val="44"/>
              </w:rPr>
              <w:tab/>
              <w:t>4</w:t>
            </w:r>
          </w:hyperlink>
        </w:p>
        <w:p w14:paraId="0F20656E" w14:textId="656C0AD6" w:rsidR="00DD3BCE" w:rsidRPr="007F4990" w:rsidRDefault="00AF1C6F">
          <w:pPr>
            <w:pStyle w:val="TOC1"/>
            <w:tabs>
              <w:tab w:val="right" w:leader="dot" w:pos="9016"/>
            </w:tabs>
            <w:rPr>
              <w:noProof/>
              <w:sz w:val="44"/>
              <w:szCs w:val="44"/>
            </w:rPr>
          </w:pPr>
          <w:hyperlink w:anchor="_Toc89355353" w:history="1">
            <w:r w:rsidR="00DD3BCE" w:rsidRPr="007F4990">
              <w:rPr>
                <w:rStyle w:val="Hyperlink"/>
                <w:noProof/>
                <w:sz w:val="44"/>
                <w:szCs w:val="44"/>
              </w:rPr>
              <w:t>Conclusion</w:t>
            </w:r>
            <w:r w:rsidR="00DD3BCE" w:rsidRPr="007F4990">
              <w:rPr>
                <w:noProof/>
                <w:webHidden/>
                <w:sz w:val="44"/>
                <w:szCs w:val="44"/>
              </w:rPr>
              <w:tab/>
              <w:t>5</w:t>
            </w:r>
          </w:hyperlink>
        </w:p>
        <w:p w14:paraId="68DFE66E" w14:textId="67CDC1D7" w:rsidR="00DD3BCE" w:rsidRPr="007F4990" w:rsidRDefault="00AF1C6F">
          <w:pPr>
            <w:pStyle w:val="TOC1"/>
            <w:tabs>
              <w:tab w:val="right" w:leader="dot" w:pos="9016"/>
            </w:tabs>
            <w:rPr>
              <w:noProof/>
              <w:sz w:val="44"/>
              <w:szCs w:val="44"/>
            </w:rPr>
          </w:pPr>
          <w:hyperlink w:anchor="_Toc89355354" w:history="1">
            <w:r w:rsidR="00DD3BCE" w:rsidRPr="007F4990">
              <w:rPr>
                <w:rStyle w:val="Hyperlink"/>
                <w:noProof/>
                <w:sz w:val="44"/>
                <w:szCs w:val="44"/>
              </w:rPr>
              <w:t>References</w:t>
            </w:r>
            <w:r w:rsidR="00DD3BCE" w:rsidRPr="007F4990">
              <w:rPr>
                <w:noProof/>
                <w:webHidden/>
                <w:sz w:val="44"/>
                <w:szCs w:val="44"/>
              </w:rPr>
              <w:tab/>
              <w:t>6</w:t>
            </w:r>
          </w:hyperlink>
        </w:p>
        <w:p w14:paraId="6DBBBD1B" w14:textId="5B9245F2" w:rsidR="00DD3BCE" w:rsidRPr="007F4990" w:rsidRDefault="00AF1C6F">
          <w:pPr>
            <w:rPr>
              <w:sz w:val="44"/>
              <w:szCs w:val="44"/>
            </w:rPr>
          </w:pPr>
        </w:p>
      </w:sdtContent>
    </w:sdt>
    <w:p w14:paraId="3155A9A9" w14:textId="7ECA5800" w:rsidR="00FE6EE1" w:rsidRPr="007F4990" w:rsidRDefault="00AF1C6F">
      <w:pPr>
        <w:rPr>
          <w:sz w:val="44"/>
          <w:szCs w:val="44"/>
        </w:rPr>
      </w:pPr>
    </w:p>
    <w:p w14:paraId="339EECD0" w14:textId="72EFC84B" w:rsidR="00143EAF" w:rsidRDefault="00143EAF"/>
    <w:p w14:paraId="73E3D230" w14:textId="06037FD7" w:rsidR="00143EAF" w:rsidRDefault="00143EAF"/>
    <w:p w14:paraId="4F4C0D15" w14:textId="339EBE63" w:rsidR="00143EAF" w:rsidRDefault="00143EAF"/>
    <w:p w14:paraId="6BFABB0C" w14:textId="0CE6A875" w:rsidR="00143EAF" w:rsidRDefault="00143EAF"/>
    <w:p w14:paraId="07D955F7" w14:textId="37C3A6D1" w:rsidR="00143EAF" w:rsidRDefault="00143EAF"/>
    <w:p w14:paraId="67E381B5" w14:textId="1DF3D82B" w:rsidR="00143EAF" w:rsidRDefault="00143EAF"/>
    <w:p w14:paraId="2EB8B42D" w14:textId="7EE4F1EB" w:rsidR="00143EAF" w:rsidRDefault="00143EAF"/>
    <w:p w14:paraId="3021C0D4" w14:textId="19EF539E" w:rsidR="00143EAF" w:rsidRDefault="00143EAF"/>
    <w:p w14:paraId="0D679CA2" w14:textId="5AF0AA39" w:rsidR="00143EAF" w:rsidRDefault="00143EAF"/>
    <w:p w14:paraId="5DBF2F76" w14:textId="0A8CAB25" w:rsidR="00143EAF" w:rsidRDefault="00143EAF"/>
    <w:p w14:paraId="518E65C9" w14:textId="5EE3A476" w:rsidR="00143EAF" w:rsidRDefault="00143EAF"/>
    <w:bookmarkEnd w:id="1"/>
    <w:p w14:paraId="5E2937E7" w14:textId="6E528E7A" w:rsidR="00143EAF" w:rsidRDefault="00143EAF"/>
    <w:p w14:paraId="7030DE4C" w14:textId="1DCCECBE" w:rsidR="00143EAF" w:rsidRDefault="00143EAF"/>
    <w:p w14:paraId="59A2F47D" w14:textId="5B8A337A" w:rsidR="00143EAF" w:rsidRDefault="00143EAF"/>
    <w:p w14:paraId="5FE5C7E1" w14:textId="0D31E68C" w:rsidR="00143EAF" w:rsidRDefault="00143EAF"/>
    <w:p w14:paraId="4E663A3D" w14:textId="42D50489" w:rsidR="00143EAF" w:rsidRDefault="00143EAF"/>
    <w:p w14:paraId="54C3BEB5" w14:textId="74780BF4" w:rsidR="00143EAF" w:rsidRDefault="00143EAF"/>
    <w:p w14:paraId="3C6F868D" w14:textId="1D89B341" w:rsidR="00143EAF" w:rsidRDefault="00143EAF"/>
    <w:p w14:paraId="572F478B" w14:textId="4C3C968C" w:rsidR="00143EAF" w:rsidRDefault="00143EAF" w:rsidP="00143EAF">
      <w:pPr>
        <w:pStyle w:val="Heading1"/>
      </w:pPr>
      <w:bookmarkStart w:id="2" w:name="_Toc89355349"/>
      <w:r>
        <w:t>Introduction</w:t>
      </w:r>
      <w:bookmarkEnd w:id="2"/>
      <w:r w:rsidR="00601598">
        <w:t xml:space="preserve"> </w:t>
      </w:r>
    </w:p>
    <w:p w14:paraId="4B6852A0" w14:textId="2FF6E495" w:rsidR="00601598" w:rsidRPr="00601598" w:rsidRDefault="00601598" w:rsidP="00601598">
      <w:r w:rsidRPr="00601598">
        <w:t xml:space="preserve">This report investigates the case study of a complaint against the 58-year-old woman (receptionist) from a 15-year-old child (the patient who the counsellor takes care of) who is experiencing severe Emery-Dreyfus dystrophy, in which muscles are severely affected. The joints harden, compression problems occur. The leader must pay attention to this phenomenon carefully. </w:t>
      </w:r>
      <w:r w:rsidR="00D63923">
        <w:t xml:space="preserve">To judge better </w:t>
      </w:r>
      <w:r w:rsidRPr="00601598">
        <w:t xml:space="preserve">the </w:t>
      </w:r>
      <w:r w:rsidR="00D63923">
        <w:t>situation, the</w:t>
      </w:r>
      <w:r w:rsidRPr="00601598">
        <w:t xml:space="preserve"> psychological responses</w:t>
      </w:r>
      <w:r w:rsidR="00A85758">
        <w:t xml:space="preserve"> and the</w:t>
      </w:r>
      <w:r w:rsidR="00D63923">
        <w:t xml:space="preserve"> following behaviour</w:t>
      </w:r>
      <w:r w:rsidR="00A85758">
        <w:t>s will</w:t>
      </w:r>
      <w:r w:rsidR="00B47651">
        <w:t xml:space="preserve"> help</w:t>
      </w:r>
      <w:r w:rsidR="00BB2538">
        <w:t xml:space="preserve"> the listed</w:t>
      </w:r>
      <w:r w:rsidR="00BB2538" w:rsidRPr="00601598">
        <w:t xml:space="preserve"> hypotheses</w:t>
      </w:r>
      <w:r w:rsidR="00A85758">
        <w:t>,</w:t>
      </w:r>
      <w:r w:rsidRPr="00601598">
        <w:t xml:space="preserve"> because each </w:t>
      </w:r>
      <w:r w:rsidR="00A85758">
        <w:t xml:space="preserve">individual </w:t>
      </w:r>
      <w:r w:rsidRPr="00601598">
        <w:t>experience</w:t>
      </w:r>
      <w:r w:rsidRPr="00601598">
        <w:t xml:space="preserve"> something intellectually</w:t>
      </w:r>
      <w:r w:rsidR="00A85758">
        <w:t xml:space="preserve">, </w:t>
      </w:r>
      <w:r w:rsidR="00BB2538">
        <w:t>physically</w:t>
      </w:r>
      <w:r w:rsidR="00A85758">
        <w:t xml:space="preserve"> or have </w:t>
      </w:r>
      <w:r w:rsidR="00B47651">
        <w:t>been</w:t>
      </w:r>
      <w:r w:rsidR="00A85758">
        <w:t xml:space="preserve"> </w:t>
      </w:r>
      <w:r w:rsidR="00BB2538">
        <w:t>affected of outside or inside factors</w:t>
      </w:r>
      <w:r w:rsidRPr="00601598">
        <w:t xml:space="preserve">. It reflects in their behaviour how they treat others and how they react in different circumstances (Baker and Watson, 2015). The supervisor </w:t>
      </w:r>
      <w:r w:rsidR="00B47651" w:rsidRPr="00601598">
        <w:t>needs</w:t>
      </w:r>
      <w:r w:rsidRPr="00601598">
        <w:t xml:space="preserve"> to understand the case from both perspectives and organize several meetings or </w:t>
      </w:r>
      <w:r w:rsidR="00B47651">
        <w:t>trainings</w:t>
      </w:r>
      <w:r w:rsidRPr="00601598">
        <w:t xml:space="preserve"> for their staff to teach them how to manage </w:t>
      </w:r>
      <w:r w:rsidR="00B47651">
        <w:t xml:space="preserve">aggressive, </w:t>
      </w:r>
      <w:r w:rsidRPr="00601598">
        <w:t xml:space="preserve">oppressive, </w:t>
      </w:r>
      <w:r w:rsidR="00963E90">
        <w:t xml:space="preserve">and </w:t>
      </w:r>
      <w:r w:rsidRPr="00601598">
        <w:t xml:space="preserve">violent clients </w:t>
      </w:r>
      <w:r w:rsidR="00B47651">
        <w:t>and</w:t>
      </w:r>
      <w:r w:rsidRPr="00601598">
        <w:t xml:space="preserve"> help</w:t>
      </w:r>
      <w:r w:rsidR="00B47651">
        <w:t xml:space="preserve"> them</w:t>
      </w:r>
      <w:r w:rsidRPr="00601598">
        <w:t xml:space="preserve">. The </w:t>
      </w:r>
      <w:r w:rsidR="00B47651">
        <w:t>listed theories</w:t>
      </w:r>
      <w:r w:rsidRPr="00601598">
        <w:t xml:space="preserve"> in this report are the SIT, the Attribution Hypothesis, and the FAH theories explained below.</w:t>
      </w:r>
    </w:p>
    <w:p w14:paraId="4F2316D4" w14:textId="034DC850" w:rsidR="00143EAF" w:rsidRDefault="00DD3BCE" w:rsidP="00143EAF">
      <w:pPr>
        <w:pStyle w:val="Heading1"/>
      </w:pPr>
      <w:bookmarkStart w:id="3" w:name="_Toc89355350"/>
      <w:r>
        <w:t xml:space="preserve">SIT Hypothesis: Analysis on the </w:t>
      </w:r>
      <w:r w:rsidR="00143EAF">
        <w:t xml:space="preserve">Social </w:t>
      </w:r>
      <w:r>
        <w:t>Identity Theory</w:t>
      </w:r>
      <w:bookmarkEnd w:id="3"/>
    </w:p>
    <w:p w14:paraId="73791E8D" w14:textId="03786E92" w:rsidR="00143EAF" w:rsidRDefault="00143EAF" w:rsidP="00143EAF">
      <w:r>
        <w:t xml:space="preserve">As stated by SIT, </w:t>
      </w:r>
      <w:proofErr w:type="gramStart"/>
      <w:r>
        <w:t>each individual</w:t>
      </w:r>
      <w:proofErr w:type="gramEnd"/>
      <w:r>
        <w:t xml:space="preserve"> recognizes </w:t>
      </w:r>
      <w:r w:rsidR="00A737D4">
        <w:t>themselves</w:t>
      </w:r>
      <w:r>
        <w:t xml:space="preserve"> as an individual from a particular </w:t>
      </w:r>
      <w:r w:rsidR="00A737D4">
        <w:t>group</w:t>
      </w:r>
      <w:r>
        <w:t xml:space="preserve">, their status in this </w:t>
      </w:r>
      <w:r w:rsidR="00A737D4">
        <w:t>group</w:t>
      </w:r>
      <w:r>
        <w:t xml:space="preserve"> and the situation </w:t>
      </w:r>
      <w:r w:rsidR="00A737D4">
        <w:t>they</w:t>
      </w:r>
      <w:r>
        <w:t xml:space="preserve"> </w:t>
      </w:r>
      <w:r w:rsidR="00A737D4">
        <w:t>rally with</w:t>
      </w:r>
      <w:r>
        <w:t xml:space="preserve"> in the public, according to the individual world is divided into "they" and "we". The main speculation of this hypothesis is that individuals from one </w:t>
      </w:r>
      <w:r w:rsidR="006F3596">
        <w:t>group</w:t>
      </w:r>
      <w:r>
        <w:t xml:space="preserve"> try to sort out the negative parts of the individual from the other </w:t>
      </w:r>
      <w:r w:rsidR="006F3596">
        <w:t>group</w:t>
      </w:r>
      <w:r>
        <w:t xml:space="preserve"> </w:t>
      </w:r>
      <w:proofErr w:type="gramStart"/>
      <w:r>
        <w:t>in order to</w:t>
      </w:r>
      <w:proofErr w:type="gramEnd"/>
      <w:r>
        <w:t xml:space="preserve"> improve their confidence and </w:t>
      </w:r>
      <w:r w:rsidR="006F3596">
        <w:t>the</w:t>
      </w:r>
      <w:r>
        <w:t xml:space="preserve"> vision of themselves. For the situation that is being reported, I saw that the age gap between the two people is excessive, the woman has a place in adults, while the child has a place in the group of high school students </w:t>
      </w:r>
      <w:r w:rsidR="00B3165B" w:rsidRPr="00B3165B">
        <w:t>(Davis, Love and Fares, 2019)</w:t>
      </w:r>
      <w:r w:rsidR="00B3165B">
        <w:t xml:space="preserve">. </w:t>
      </w:r>
      <w:r>
        <w:t>This may be one of the reasons for the dispute, as an elderly woman (assistant) asked the child to comply with the coronavirus convention</w:t>
      </w:r>
      <w:r w:rsidR="005D4DBA">
        <w:t xml:space="preserve"> and take a sit</w:t>
      </w:r>
      <w:r>
        <w:t xml:space="preserve">, as they are indoors in the </w:t>
      </w:r>
      <w:r w:rsidR="005D4DBA">
        <w:t>community</w:t>
      </w:r>
      <w:r>
        <w:t xml:space="preserve"> area, but the child does not comply </w:t>
      </w:r>
      <w:r>
        <w:lastRenderedPageBreak/>
        <w:t xml:space="preserve">with the </w:t>
      </w:r>
      <w:r w:rsidR="005D4DBA">
        <w:t>restriction,</w:t>
      </w:r>
      <w:r>
        <w:t xml:space="preserve"> because </w:t>
      </w:r>
      <w:r w:rsidR="007A5025">
        <w:t>of his medical condition</w:t>
      </w:r>
      <w:r>
        <w:t xml:space="preserve"> and </w:t>
      </w:r>
      <w:r w:rsidR="005D4DBA">
        <w:t>keep</w:t>
      </w:r>
      <w:r>
        <w:t xml:space="preserve"> </w:t>
      </w:r>
      <w:r w:rsidR="0061655F">
        <w:t>walking without</w:t>
      </w:r>
      <w:r>
        <w:t xml:space="preserve"> </w:t>
      </w:r>
      <w:r w:rsidR="00C872DF">
        <w:t>listening “this</w:t>
      </w:r>
      <w:r>
        <w:t xml:space="preserve"> crazy woman</w:t>
      </w:r>
      <w:r w:rsidR="00C872DF">
        <w:t>” who knows nothing of his sufferings.</w:t>
      </w:r>
      <w:r w:rsidR="0061655F">
        <w:t xml:space="preserve"> </w:t>
      </w:r>
      <w:r w:rsidR="00C872DF">
        <w:t>S</w:t>
      </w:r>
      <w:r>
        <w:t xml:space="preserve">he suspect that the kid is insulting </w:t>
      </w:r>
      <w:r w:rsidR="00C872DF">
        <w:t>the rules</w:t>
      </w:r>
      <w:r w:rsidR="0061655F">
        <w:t>, she race her voice</w:t>
      </w:r>
      <w:r>
        <w:t xml:space="preserve"> and thinking about the young </w:t>
      </w:r>
      <w:r w:rsidR="0061655F">
        <w:t>population in negative way</w:t>
      </w:r>
      <w:r>
        <w:t xml:space="preserve">, </w:t>
      </w:r>
      <w:r w:rsidR="0061655F">
        <w:t>they are</w:t>
      </w:r>
      <w:r>
        <w:t xml:space="preserve"> stubborn, inflexible, provocative and proud, while the kid thinks that the woman is tried to </w:t>
      </w:r>
      <w:r w:rsidR="006A6435">
        <w:t>commands</w:t>
      </w:r>
      <w:r>
        <w:t xml:space="preserve"> him and was</w:t>
      </w:r>
      <w:r w:rsidR="006A6435">
        <w:t xml:space="preserve"> pointless</w:t>
      </w:r>
      <w:r>
        <w:t xml:space="preserve"> rude </w:t>
      </w:r>
      <w:r w:rsidR="006A6435">
        <w:t>without</w:t>
      </w:r>
      <w:r>
        <w:t xml:space="preserve"> to know what he went through and became harmful to the woman, because the situation is that the child is not </w:t>
      </w:r>
      <w:r w:rsidR="006A6435">
        <w:t>mentally</w:t>
      </w:r>
      <w:r>
        <w:t xml:space="preserve"> stable, experiencing disease and even trying to self-destruct </w:t>
      </w:r>
      <w:r w:rsidR="00B3165B" w:rsidRPr="00B3165B">
        <w:t xml:space="preserve">(Scheepers and </w:t>
      </w:r>
      <w:proofErr w:type="spellStart"/>
      <w:r w:rsidR="00B3165B" w:rsidRPr="00B3165B">
        <w:t>Ellemers</w:t>
      </w:r>
      <w:proofErr w:type="spellEnd"/>
      <w:r w:rsidR="00B3165B" w:rsidRPr="00B3165B">
        <w:t>, 2019)</w:t>
      </w:r>
      <w:r w:rsidR="00B3165B">
        <w:t>.</w:t>
      </w:r>
    </w:p>
    <w:p w14:paraId="713F3EA7" w14:textId="3EF00145" w:rsidR="00143EAF" w:rsidRDefault="00DD3BCE" w:rsidP="00143EAF">
      <w:r>
        <w:t>Therefore,</w:t>
      </w:r>
      <w:r w:rsidR="00143EAF">
        <w:t xml:space="preserve"> in view of this hypothesis, the case can be explained by using the idea of ​​age hole, the administrator must organize his staff in a way to reduce the age hole, the director must attract younger employees along with mature staff, for to deal with such circumstances. The studies are aimed at reducing the psychological pressure of staff and offering them an appropriate deferral period so that they get new ones and improve their performance as managing clients of the administration, as direct close and personal contact with people who are intellectually viable is </w:t>
      </w:r>
      <w:r w:rsidR="007C408E">
        <w:t>not</w:t>
      </w:r>
      <w:r w:rsidR="00143EAF">
        <w:t xml:space="preserve"> a simple job. The staff must be patient and kind with the client for help, meeting their requests is a need for staff and as in the case that it has been expressed that the woman has recently joined the work and her job is to ensure that everyone follows the preparatory convention of Coronavirus, so she basically took care of her business by stopping the child from becoming oppressive to her, after which she screamed further and asked him to leave </w:t>
      </w:r>
      <w:r w:rsidR="00B3165B" w:rsidRPr="00B3165B">
        <w:t xml:space="preserve">(Fujita, Harrigan and </w:t>
      </w:r>
      <w:proofErr w:type="spellStart"/>
      <w:r w:rsidR="00B3165B" w:rsidRPr="00B3165B">
        <w:t>Soutar</w:t>
      </w:r>
      <w:proofErr w:type="spellEnd"/>
      <w:r w:rsidR="00B3165B" w:rsidRPr="00B3165B">
        <w:t>, 2018)</w:t>
      </w:r>
      <w:r w:rsidR="00B3165B">
        <w:t>.</w:t>
      </w:r>
    </w:p>
    <w:p w14:paraId="22537C17" w14:textId="436B7198" w:rsidR="00143EAF" w:rsidRDefault="00DD3BCE" w:rsidP="00143EAF">
      <w:pPr>
        <w:pStyle w:val="Heading1"/>
      </w:pPr>
      <w:bookmarkStart w:id="4" w:name="_Toc89355351"/>
      <w:r>
        <w:t xml:space="preserve">Analysis of the </w:t>
      </w:r>
      <w:r w:rsidR="00143EAF">
        <w:t xml:space="preserve">Attribution </w:t>
      </w:r>
      <w:r>
        <w:t>T</w:t>
      </w:r>
      <w:r w:rsidR="00143EAF">
        <w:t>heory</w:t>
      </w:r>
      <w:bookmarkEnd w:id="4"/>
    </w:p>
    <w:p w14:paraId="1775E078" w14:textId="6011D722" w:rsidR="00143EAF" w:rsidRDefault="00143EAF" w:rsidP="00143EAF">
      <w:r w:rsidRPr="00143EAF">
        <w:t xml:space="preserve">Another hypothesis explained in this report is the attribution hypothesis, the attribution hypothesis evaluates the justification for a person's </w:t>
      </w:r>
      <w:proofErr w:type="spellStart"/>
      <w:r w:rsidRPr="00143EAF">
        <w:t>behavior</w:t>
      </w:r>
      <w:proofErr w:type="spellEnd"/>
      <w:r w:rsidRPr="00143EAF">
        <w:t xml:space="preserve">. The explanation may be some internal variables or external aspects, as people have been affected by both internal and external factors, this hypothesis helps to arrange the real reason for dealing with it, so that such terrible circumstances can be avoided in the future. Thus, a </w:t>
      </w:r>
      <w:proofErr w:type="spellStart"/>
      <w:r w:rsidRPr="00143EAF">
        <w:t>behavioral</w:t>
      </w:r>
      <w:proofErr w:type="spellEnd"/>
      <w:r w:rsidRPr="00143EAF">
        <w:t xml:space="preserve"> response may be situational, suggesting a response to a particular circumstance, or it may very well be dispositional, due to certain intrinsic qualities </w:t>
      </w:r>
      <w:r w:rsidR="00B3165B" w:rsidRPr="00B3165B">
        <w:t>(Weiner, 2018)</w:t>
      </w:r>
      <w:r w:rsidR="00B3165B">
        <w:t xml:space="preserve">. </w:t>
      </w:r>
      <w:r w:rsidRPr="00143EAF">
        <w:t xml:space="preserve">For this situation, it can very well be argued that the woman's </w:t>
      </w:r>
      <w:proofErr w:type="spellStart"/>
      <w:r w:rsidRPr="00143EAF">
        <w:t>behavior</w:t>
      </w:r>
      <w:proofErr w:type="spellEnd"/>
      <w:r w:rsidRPr="00143EAF">
        <w:t xml:space="preserve"> was situational, as the child misbehaved with her while she was simply doing her duty, telling him about the rules and guidelines identified with Coronavirus, she screams after the child's violent and rude </w:t>
      </w:r>
      <w:proofErr w:type="spellStart"/>
      <w:r w:rsidRPr="00143EAF">
        <w:t>behavior</w:t>
      </w:r>
      <w:proofErr w:type="spellEnd"/>
      <w:r w:rsidRPr="00143EAF">
        <w:t xml:space="preserve">, which suggests that her </w:t>
      </w:r>
      <w:proofErr w:type="spellStart"/>
      <w:r w:rsidRPr="00143EAF">
        <w:t>behavior</w:t>
      </w:r>
      <w:proofErr w:type="spellEnd"/>
      <w:r w:rsidRPr="00143EAF">
        <w:t xml:space="preserve"> is due to an external component and impact of the child's behaviour.</w:t>
      </w:r>
      <w:r>
        <w:t xml:space="preserve"> </w:t>
      </w:r>
    </w:p>
    <w:p w14:paraId="660FEB5F" w14:textId="0332CF96" w:rsidR="00143EAF" w:rsidRDefault="00143EAF" w:rsidP="00143EAF">
      <w:r>
        <w:t xml:space="preserve">The kid's </w:t>
      </w:r>
      <w:proofErr w:type="spellStart"/>
      <w:r>
        <w:t>behavior</w:t>
      </w:r>
      <w:proofErr w:type="spellEnd"/>
      <w:r>
        <w:t xml:space="preserve"> is most likely due to internal attributes, as he experienced many things intellectually, and in fact, he was recently expelled from his football institute because he was determined to have a severe Emery-Dreyfus dystrophy, that is. the condition in which skeletal and cardiovascular muscles were affected in the initial phase, shows disfigurement of the </w:t>
      </w:r>
      <w:r w:rsidR="007C408E">
        <w:t>joints,</w:t>
      </w:r>
      <w:r>
        <w:t xml:space="preserve"> and causes painful spasms, this condition worsens progressively over time and the heart is further affected in this condition the </w:t>
      </w:r>
      <w:r>
        <w:lastRenderedPageBreak/>
        <w:t>development of patients is limited, therefore understanding is intellectually frustrated and discouraged (</w:t>
      </w:r>
      <w:proofErr w:type="spellStart"/>
      <w:r w:rsidR="00B3165B" w:rsidRPr="00B3165B">
        <w:t>Hillebrandt</w:t>
      </w:r>
      <w:proofErr w:type="spellEnd"/>
      <w:r w:rsidR="00B3165B" w:rsidRPr="00B3165B">
        <w:t xml:space="preserve"> and Barclay, 2017)</w:t>
      </w:r>
      <w:r w:rsidR="00B3165B">
        <w:t>.</w:t>
      </w:r>
    </w:p>
    <w:p w14:paraId="576924C7" w14:textId="01B36421" w:rsidR="00143EAF" w:rsidRDefault="00143EAF" w:rsidP="00143EAF">
      <w:r>
        <w:t xml:space="preserve">It is important to outline the fact that </w:t>
      </w:r>
      <w:r w:rsidR="00746114">
        <w:t>managing</w:t>
      </w:r>
      <w:r>
        <w:t xml:space="preserve"> helps many people to overcome their tension and </w:t>
      </w:r>
      <w:r w:rsidR="00746114">
        <w:t>suffering</w:t>
      </w:r>
      <w:r>
        <w:t xml:space="preserve">, as the advice allows the person to organize their </w:t>
      </w:r>
      <w:r w:rsidR="007E2F58">
        <w:t>behaviour</w:t>
      </w:r>
      <w:r>
        <w:t xml:space="preserve">, feelings and faith in all circumstances that are the main excuse for each of the </w:t>
      </w:r>
      <w:r w:rsidR="007C408E">
        <w:t>problems and</w:t>
      </w:r>
      <w:r>
        <w:t xml:space="preserve"> makes them admit what it is. changes the transformations they need to make </w:t>
      </w:r>
      <w:r w:rsidR="00746114">
        <w:t>to</w:t>
      </w:r>
      <w:r>
        <w:t xml:space="preserve"> work on their emotional well-being. The </w:t>
      </w:r>
      <w:r w:rsidR="00746114">
        <w:t>receptionist</w:t>
      </w:r>
      <w:r>
        <w:t xml:space="preserve"> must help the child and engage him to understand his mistakes and how to calm down, he wants to get acquainted with the internal factors of life and should not be violent with people, while the principal ensures that the assistant must understand, that she is working in a consulting focus, where she more often encounters people with more difficulties, psychologically </w:t>
      </w:r>
      <w:r w:rsidR="007E2F58">
        <w:t xml:space="preserve">and </w:t>
      </w:r>
      <w:r w:rsidR="00746114">
        <w:t>physiologically</w:t>
      </w:r>
      <w:r>
        <w:t>.</w:t>
      </w:r>
    </w:p>
    <w:p w14:paraId="77B4BCC2" w14:textId="33581F42" w:rsidR="00143EAF" w:rsidRDefault="00DD3BCE" w:rsidP="00143EAF">
      <w:pPr>
        <w:pStyle w:val="Heading1"/>
      </w:pPr>
      <w:bookmarkStart w:id="5" w:name="_Toc89355352"/>
      <w:r>
        <w:t xml:space="preserve">FAH: Analysis on the </w:t>
      </w:r>
      <w:r w:rsidR="00143EAF">
        <w:t xml:space="preserve">Frustration </w:t>
      </w:r>
      <w:r>
        <w:t>A</w:t>
      </w:r>
      <w:r w:rsidR="00143EAF">
        <w:t xml:space="preserve">ggression </w:t>
      </w:r>
      <w:r>
        <w:t>H</w:t>
      </w:r>
      <w:r w:rsidR="00143EAF">
        <w:t>ypothesis</w:t>
      </w:r>
      <w:bookmarkEnd w:id="5"/>
    </w:p>
    <w:p w14:paraId="48FBB9EF" w14:textId="7047A388" w:rsidR="00143EAF" w:rsidRDefault="00143EAF" w:rsidP="00143EAF">
      <w:r>
        <w:t xml:space="preserve">The last hypothesis discussed in this report is the analysis of aggression and frustration hypothesis - FAH, the premise of this hypothesis is that a person's disappointment leads to hostility, probably the individual is embarrassed when the person </w:t>
      </w:r>
      <w:r w:rsidR="007C408E">
        <w:t>cannot</w:t>
      </w:r>
      <w:r>
        <w:t xml:space="preserve"> achieve his goal and falls apart after some an effort caused him or her to confuse, which incites violent </w:t>
      </w:r>
      <w:r w:rsidR="00B3165B">
        <w:t>behaviours</w:t>
      </w:r>
      <w:r>
        <w:t xml:space="preserve">. There can be many explanations behind frustration, which include torture, accusations of another person's failure, reproach in the work environment for unknown reasons, embarrassment by someone else who rules, abandoning principles of interest, and some others. Dissatisfaction is a prospect, but it is caused by both internal and external factors, the frustrated individual becomes violent and acts harshly with individuals around him, whether they are his friends and family or external </w:t>
      </w:r>
      <w:r w:rsidR="00B3165B" w:rsidRPr="00B3165B">
        <w:t>(</w:t>
      </w:r>
      <w:proofErr w:type="spellStart"/>
      <w:r w:rsidR="00B3165B" w:rsidRPr="00B3165B">
        <w:t>Panagiotidis</w:t>
      </w:r>
      <w:proofErr w:type="spellEnd"/>
      <w:r w:rsidR="00B3165B" w:rsidRPr="00B3165B">
        <w:t xml:space="preserve"> et al., 2017)</w:t>
      </w:r>
      <w:r w:rsidR="00B3165B">
        <w:t xml:space="preserve">. </w:t>
      </w:r>
      <w:r>
        <w:t xml:space="preserve">This situation showed that the 15-year-old was extremely disappointed with the many things that were happening in his life and that the dissatisfaction was reflected in his </w:t>
      </w:r>
      <w:r w:rsidR="00B3165B">
        <w:t>behaviours</w:t>
      </w:r>
      <w:r>
        <w:t>.</w:t>
      </w:r>
    </w:p>
    <w:p w14:paraId="0986CC31" w14:textId="77467BC6" w:rsidR="00143EAF" w:rsidRDefault="00143EAF" w:rsidP="00143EAF">
      <w:r>
        <w:t xml:space="preserve">From time to time the frustration provokes self-destructive thoughts and the individual eventually ends it all by spending years, it has been seen that the rate of self-destruction expands rapidly in the young gathering </w:t>
      </w:r>
      <w:proofErr w:type="gramStart"/>
      <w:r>
        <w:t>as a result of</w:t>
      </w:r>
      <w:proofErr w:type="gramEnd"/>
      <w:r>
        <w:t xml:space="preserve"> the growing frustration they need to achieve their goal. the coming early age. age minimum anxiety, according to the level of self-destruction on paper in the UK in 2020, in the age group between 15-19 years is 7 out of a population of 100,000 people. The high rate of self-destruction is further observed in the middle age group of 55 to 59 years on the grounds that the adult becomes confused and less energetic, as daily household chores and caring for business become difficult for them step by step, some people lost their partners in life, and some were left by their family in an old house, so they begin to feel no reason to stay and stop everything, the transition rate to the average adult aged 55-59 was 10 in the UK in 2020. In this situation, they both seem disappointed and shout at each other, the manager must arrange a consultation meeting for both the woman and the child to arrange the things they are </w:t>
      </w:r>
      <w:r>
        <w:lastRenderedPageBreak/>
        <w:t xml:space="preserve">going through, and there is no compelling reason to fire the woman from her job </w:t>
      </w:r>
      <w:r w:rsidR="00B3165B" w:rsidRPr="00B3165B">
        <w:t>(Weidler et al., 2019)</w:t>
      </w:r>
      <w:r w:rsidR="00B3165B">
        <w:t>.</w:t>
      </w:r>
    </w:p>
    <w:p w14:paraId="69F926B1" w14:textId="5E694DAF" w:rsidR="00143EAF" w:rsidRDefault="00143EAF" w:rsidP="00143EAF">
      <w:r w:rsidRPr="00143EAF">
        <w:t xml:space="preserve">In terms of the counsellor assignment, she is also a person that can be prone to reactive response due to inexperience. However, intellectual </w:t>
      </w:r>
      <w:r w:rsidR="00B3165B" w:rsidRPr="00143EAF">
        <w:t>behaviour</w:t>
      </w:r>
      <w:r w:rsidR="00B3165B">
        <w:t xml:space="preserve"> </w:t>
      </w:r>
      <w:r w:rsidRPr="00143EAF">
        <w:t xml:space="preserve">is of the greatest importance for great psychological well-being, assuming that individual reasoning is negative for everything that ultimately leads him to a terrible circumstance. To identify their concerns, they are provided with speaking and research to quantify the level of dissatisfaction. It is the duty of managers to offer great help for their use, as well as to provide a completely safe climate for the work of their staff. Violent </w:t>
      </w:r>
      <w:r w:rsidR="00B3165B" w:rsidRPr="00143EAF">
        <w:t>behaviour</w:t>
      </w:r>
      <w:r w:rsidRPr="00143EAF">
        <w:t xml:space="preserve"> is </w:t>
      </w:r>
      <w:r w:rsidR="007C408E" w:rsidRPr="00143EAF">
        <w:t>not,</w:t>
      </w:r>
      <w:r w:rsidR="00B3165B" w:rsidRPr="00143EAF">
        <w:t xml:space="preserve"> and</w:t>
      </w:r>
      <w:r w:rsidRPr="00143EAF">
        <w:t xml:space="preserve"> the individual reacts on the spot and the individual's neural framework is responsible for this rapid response, even here and there the individual later admits that he </w:t>
      </w:r>
      <w:proofErr w:type="gramStart"/>
      <w:r w:rsidRPr="00143EAF">
        <w:t>overcompensates</w:t>
      </w:r>
      <w:proofErr w:type="gramEnd"/>
      <w:r w:rsidRPr="00143EAF">
        <w:t xml:space="preserve"> and the current circumstance can also be managed smoothly, but until then it is past the point of no return, they currently respond with force to their once adored or outsiders (Williams, 2018).</w:t>
      </w:r>
    </w:p>
    <w:p w14:paraId="135422EF" w14:textId="4D09C4BD" w:rsidR="00143EAF" w:rsidRDefault="00DD3BCE" w:rsidP="00143EAF">
      <w:pPr>
        <w:pStyle w:val="Heading1"/>
      </w:pPr>
      <w:bookmarkStart w:id="6" w:name="_Toc89355353"/>
      <w:r>
        <w:t>Conclusion</w:t>
      </w:r>
      <w:bookmarkEnd w:id="6"/>
    </w:p>
    <w:p w14:paraId="46AE8AE5" w14:textId="4071EB9C" w:rsidR="00143EAF" w:rsidRDefault="00143EAF" w:rsidP="00143EAF">
      <w:r w:rsidRPr="00143EAF">
        <w:t xml:space="preserve">In conclusion, the case study has revealed the effect of emotional well-being on the </w:t>
      </w:r>
      <w:r w:rsidR="00B3165B" w:rsidRPr="00143EAF">
        <w:t>behaviour</w:t>
      </w:r>
      <w:r w:rsidRPr="00143EAF">
        <w:t xml:space="preserve"> of individuals, assuming that the individual is not well intellectually, then he reacts violently in any circumstance and the results will be sadder. One should be asked for mental help and understanding from people around him, in case the woman is familiar with the psychological and condition of the child, she will certainly not answer in this way and ask the kid respectfully what happened to him, why not is not to sit in his place and try to resolve his worries. In the same way, if we assume that a child is not intellectually upset and does not have cramps in his leg, he reacts in contrast and does not behave incorrectly with the old woman and informs her of his worries. The head of the institution must play it safe to prevent such periods of psychological problems later. The main purpose of this large number of speculations is to help </w:t>
      </w:r>
      <w:r w:rsidR="00B3165B" w:rsidRPr="00143EAF">
        <w:t>counsellors</w:t>
      </w:r>
      <w:r w:rsidRPr="00143EAF">
        <w:t xml:space="preserve"> assess the </w:t>
      </w:r>
      <w:r w:rsidR="00B3165B" w:rsidRPr="00143EAF">
        <w:t>behaviour</w:t>
      </w:r>
      <w:r w:rsidRPr="00143EAF">
        <w:t xml:space="preserve"> and problem of their patients.</w:t>
      </w:r>
    </w:p>
    <w:p w14:paraId="1580C84C" w14:textId="49E0F74E" w:rsidR="00143EAF" w:rsidRDefault="00143EAF" w:rsidP="00143EAF"/>
    <w:p w14:paraId="567C3CEF" w14:textId="773A6F3E" w:rsidR="00B3165B" w:rsidRDefault="00B3165B" w:rsidP="00143EAF"/>
    <w:p w14:paraId="17CA963C" w14:textId="51F24740" w:rsidR="00B3165B" w:rsidRDefault="00B3165B" w:rsidP="00143EAF"/>
    <w:p w14:paraId="56A438B7" w14:textId="7520B5D8" w:rsidR="00B3165B" w:rsidRDefault="00B3165B" w:rsidP="00143EAF"/>
    <w:p w14:paraId="02ED18DB" w14:textId="5CDF46EC" w:rsidR="00B3165B" w:rsidRDefault="00B3165B" w:rsidP="00143EAF"/>
    <w:p w14:paraId="7CB0C2DF" w14:textId="2430CE83" w:rsidR="00B3165B" w:rsidRDefault="00B3165B" w:rsidP="00143EAF"/>
    <w:p w14:paraId="7F6F47D6" w14:textId="6B23CB2F" w:rsidR="00B3165B" w:rsidRDefault="00B3165B" w:rsidP="00143EAF"/>
    <w:p w14:paraId="5736C063" w14:textId="6A7F689C" w:rsidR="00B3165B" w:rsidRDefault="00B3165B" w:rsidP="00143EAF"/>
    <w:p w14:paraId="34DD0FED" w14:textId="1FB8B61D" w:rsidR="00B3165B" w:rsidRDefault="00B3165B" w:rsidP="00143EAF"/>
    <w:p w14:paraId="0C2F4729" w14:textId="0CC9B475" w:rsidR="00B3165B" w:rsidRDefault="00B3165B" w:rsidP="00143EAF"/>
    <w:p w14:paraId="311CA7B3" w14:textId="335A4489" w:rsidR="00B3165B" w:rsidRDefault="00B3165B" w:rsidP="00143EAF"/>
    <w:p w14:paraId="290412B0" w14:textId="1C4DB864" w:rsidR="00B3165B" w:rsidRDefault="00B3165B" w:rsidP="00143EAF"/>
    <w:p w14:paraId="6CA78E9F" w14:textId="73174FBD" w:rsidR="00B3165B" w:rsidRDefault="00B3165B" w:rsidP="00143EAF"/>
    <w:p w14:paraId="605AE7BD" w14:textId="1A793506" w:rsidR="00B3165B" w:rsidRDefault="00B3165B" w:rsidP="00143EAF"/>
    <w:p w14:paraId="36F3E838" w14:textId="77777777" w:rsidR="00B3165B" w:rsidRDefault="00B3165B" w:rsidP="00143EAF"/>
    <w:p w14:paraId="4EACA47D" w14:textId="6345F033" w:rsidR="00143EAF" w:rsidRDefault="00143EAF" w:rsidP="00143EAF">
      <w:pPr>
        <w:pStyle w:val="Heading1"/>
      </w:pPr>
      <w:bookmarkStart w:id="7" w:name="_Toc89355354"/>
      <w:bookmarkStart w:id="8" w:name="_Hlk89395940"/>
      <w:r>
        <w:t>References</w:t>
      </w:r>
      <w:bookmarkEnd w:id="7"/>
    </w:p>
    <w:p w14:paraId="0D1CC260" w14:textId="018DB6A2" w:rsidR="00143EAF" w:rsidRDefault="00B3165B">
      <w:r w:rsidRPr="00B3165B">
        <w:t xml:space="preserve">Baker, </w:t>
      </w:r>
      <w:proofErr w:type="gramStart"/>
      <w:r w:rsidRPr="00B3165B">
        <w:t>S.C.</w:t>
      </w:r>
      <w:proofErr w:type="gramEnd"/>
      <w:r w:rsidRPr="00B3165B">
        <w:t xml:space="preserve"> and Watson, B.M. (2015). Understanding the Health Communication Process. </w:t>
      </w:r>
      <w:r w:rsidRPr="00B3165B">
        <w:rPr>
          <w:i/>
          <w:iCs/>
        </w:rPr>
        <w:t>Journal of Language and Social Psychology</w:t>
      </w:r>
      <w:r w:rsidRPr="00B3165B">
        <w:t>, 34(</w:t>
      </w:r>
      <w:r w:rsidRPr="00B3165B">
        <w:rPr>
          <w:b/>
          <w:bCs/>
        </w:rPr>
        <w:t>6</w:t>
      </w:r>
      <w:r w:rsidRPr="00B3165B">
        <w:t>), pp.599–603.</w:t>
      </w:r>
    </w:p>
    <w:p w14:paraId="34A40AD7" w14:textId="2CB40E25" w:rsidR="00B3165B" w:rsidRDefault="00B3165B">
      <w:r w:rsidRPr="00B3165B">
        <w:t xml:space="preserve">Davis, J.L., Love, T.P. and Fares, P. (2019). Collective Social Identity: Synthesizing Identity Theory and Social Identity Theory Using Digital Data. </w:t>
      </w:r>
      <w:r w:rsidRPr="00B3165B">
        <w:rPr>
          <w:i/>
          <w:iCs/>
        </w:rPr>
        <w:t>Social Psychology Quarterly</w:t>
      </w:r>
      <w:r w:rsidRPr="00B3165B">
        <w:t>, 82(</w:t>
      </w:r>
      <w:r w:rsidRPr="00B3165B">
        <w:rPr>
          <w:b/>
          <w:bCs/>
        </w:rPr>
        <w:t>3</w:t>
      </w:r>
      <w:r w:rsidRPr="00B3165B">
        <w:t>), p.019027251985102.</w:t>
      </w:r>
    </w:p>
    <w:p w14:paraId="55018003" w14:textId="086D904F" w:rsidR="00B3165B" w:rsidRDefault="00B3165B">
      <w:r w:rsidRPr="00B3165B">
        <w:t xml:space="preserve">Fujita, M., Harrigan, P. and </w:t>
      </w:r>
      <w:proofErr w:type="spellStart"/>
      <w:r w:rsidRPr="00B3165B">
        <w:t>Soutar</w:t>
      </w:r>
      <w:proofErr w:type="spellEnd"/>
      <w:r w:rsidRPr="00B3165B">
        <w:t xml:space="preserve">, G.N. (2018). CAPTURING AND CO-CREATING STUDENT EXPERIENCES IN SOCIAL MEDIA: A SOCIAL IDENTITY THEORY PERSPECTIVE. </w:t>
      </w:r>
      <w:r w:rsidRPr="00B3165B">
        <w:rPr>
          <w:i/>
          <w:iCs/>
        </w:rPr>
        <w:t>Journal of Marketing Theory and Practice</w:t>
      </w:r>
      <w:r w:rsidRPr="00B3165B">
        <w:t>, 26(</w:t>
      </w:r>
      <w:r w:rsidRPr="00B3165B">
        <w:rPr>
          <w:b/>
          <w:bCs/>
        </w:rPr>
        <w:t>1</w:t>
      </w:r>
      <w:r w:rsidRPr="00B3165B">
        <w:t>-</w:t>
      </w:r>
      <w:r w:rsidRPr="00B3165B">
        <w:rPr>
          <w:b/>
          <w:bCs/>
        </w:rPr>
        <w:t>2</w:t>
      </w:r>
      <w:r w:rsidRPr="00B3165B">
        <w:t>), pp.55–71.</w:t>
      </w:r>
    </w:p>
    <w:p w14:paraId="31E65C8A" w14:textId="7B3E76DE" w:rsidR="00B3165B" w:rsidRDefault="00B3165B">
      <w:proofErr w:type="spellStart"/>
      <w:r w:rsidRPr="00B3165B">
        <w:t>Hillebrandt</w:t>
      </w:r>
      <w:proofErr w:type="spellEnd"/>
      <w:r w:rsidRPr="00B3165B">
        <w:t xml:space="preserve">, A. and Barclay, L.J. (2017). Comparing integral and incidental emotions: Testing insights from emotions as social information theory and attribution theory. </w:t>
      </w:r>
      <w:r w:rsidRPr="00B3165B">
        <w:rPr>
          <w:i/>
          <w:iCs/>
        </w:rPr>
        <w:t>Journal of Applied Psychology</w:t>
      </w:r>
      <w:r w:rsidRPr="00B3165B">
        <w:t>, 102(</w:t>
      </w:r>
      <w:r w:rsidRPr="00B3165B">
        <w:rPr>
          <w:b/>
          <w:bCs/>
        </w:rPr>
        <w:t>5</w:t>
      </w:r>
      <w:r w:rsidRPr="00B3165B">
        <w:t>), pp.732–752.</w:t>
      </w:r>
    </w:p>
    <w:p w14:paraId="6B196DD0" w14:textId="3CE037FD" w:rsidR="00B3165B" w:rsidRDefault="00B3165B">
      <w:proofErr w:type="spellStart"/>
      <w:r w:rsidRPr="00B3165B">
        <w:t>Panagiotidis</w:t>
      </w:r>
      <w:proofErr w:type="spellEnd"/>
      <w:r w:rsidRPr="00B3165B">
        <w:t xml:space="preserve">, D., Clemens, B., </w:t>
      </w:r>
      <w:proofErr w:type="spellStart"/>
      <w:r w:rsidRPr="00B3165B">
        <w:t>Habel</w:t>
      </w:r>
      <w:proofErr w:type="spellEnd"/>
      <w:r w:rsidRPr="00B3165B">
        <w:t xml:space="preserve">, U., Schneider, F., Schneider, I., </w:t>
      </w:r>
      <w:proofErr w:type="spellStart"/>
      <w:r w:rsidRPr="00B3165B">
        <w:t>Wagels</w:t>
      </w:r>
      <w:proofErr w:type="spellEnd"/>
      <w:r w:rsidRPr="00B3165B">
        <w:t xml:space="preserve">, L. and </w:t>
      </w:r>
      <w:proofErr w:type="spellStart"/>
      <w:r w:rsidRPr="00B3165B">
        <w:t>Votinov</w:t>
      </w:r>
      <w:proofErr w:type="spellEnd"/>
      <w:r w:rsidRPr="00B3165B">
        <w:t xml:space="preserve">, M. (2017). Exogenous testosterone in a non-social provocation paradigm potentiates anger but not </w:t>
      </w:r>
      <w:proofErr w:type="spellStart"/>
      <w:r w:rsidRPr="00B3165B">
        <w:t>behavioral</w:t>
      </w:r>
      <w:proofErr w:type="spellEnd"/>
      <w:r w:rsidRPr="00B3165B">
        <w:t xml:space="preserve"> aggression. </w:t>
      </w:r>
      <w:r w:rsidRPr="00B3165B">
        <w:rPr>
          <w:i/>
          <w:iCs/>
        </w:rPr>
        <w:t>European Neuropsychopharmacology</w:t>
      </w:r>
      <w:r w:rsidRPr="00B3165B">
        <w:t>, 27(</w:t>
      </w:r>
      <w:r w:rsidRPr="00B3165B">
        <w:rPr>
          <w:b/>
          <w:bCs/>
        </w:rPr>
        <w:t>11</w:t>
      </w:r>
      <w:r w:rsidRPr="00B3165B">
        <w:t>), pp.1172–1184.</w:t>
      </w:r>
    </w:p>
    <w:p w14:paraId="128F6DB9" w14:textId="66074C85" w:rsidR="00B3165B" w:rsidRDefault="00B3165B">
      <w:r w:rsidRPr="00B3165B">
        <w:t xml:space="preserve">Scheepers, D. and </w:t>
      </w:r>
      <w:proofErr w:type="spellStart"/>
      <w:r w:rsidRPr="00B3165B">
        <w:t>Ellemers</w:t>
      </w:r>
      <w:proofErr w:type="spellEnd"/>
      <w:r w:rsidRPr="00B3165B">
        <w:t xml:space="preserve">, N. (2019). Social Identity Theory. </w:t>
      </w:r>
      <w:r w:rsidRPr="00B3165B">
        <w:rPr>
          <w:i/>
          <w:iCs/>
        </w:rPr>
        <w:t>Social Psychology in Action</w:t>
      </w:r>
      <w:r w:rsidRPr="00B3165B">
        <w:t>, pp.129–143.</w:t>
      </w:r>
    </w:p>
    <w:p w14:paraId="410F723E" w14:textId="45DCFCF4" w:rsidR="00B3165B" w:rsidRDefault="00B3165B">
      <w:r w:rsidRPr="00B3165B">
        <w:t xml:space="preserve">Weidler, C., </w:t>
      </w:r>
      <w:proofErr w:type="spellStart"/>
      <w:r w:rsidRPr="00B3165B">
        <w:t>Habel</w:t>
      </w:r>
      <w:proofErr w:type="spellEnd"/>
      <w:r w:rsidRPr="00B3165B">
        <w:t xml:space="preserve">, U., </w:t>
      </w:r>
      <w:proofErr w:type="spellStart"/>
      <w:r w:rsidRPr="00B3165B">
        <w:t>Hüpen</w:t>
      </w:r>
      <w:proofErr w:type="spellEnd"/>
      <w:r w:rsidRPr="00B3165B">
        <w:t xml:space="preserve">, P., </w:t>
      </w:r>
      <w:proofErr w:type="spellStart"/>
      <w:r w:rsidRPr="00B3165B">
        <w:t>Akkoc</w:t>
      </w:r>
      <w:proofErr w:type="spellEnd"/>
      <w:r w:rsidRPr="00B3165B">
        <w:t xml:space="preserve">, D., Schneider, F., </w:t>
      </w:r>
      <w:proofErr w:type="spellStart"/>
      <w:r w:rsidRPr="00B3165B">
        <w:t>Blendy</w:t>
      </w:r>
      <w:proofErr w:type="spellEnd"/>
      <w:r w:rsidRPr="00B3165B">
        <w:t xml:space="preserve">, J.A. and </w:t>
      </w:r>
      <w:proofErr w:type="spellStart"/>
      <w:r w:rsidRPr="00B3165B">
        <w:t>Wagels</w:t>
      </w:r>
      <w:proofErr w:type="spellEnd"/>
      <w:r w:rsidRPr="00B3165B">
        <w:t xml:space="preserve">, L. (2019). On the Complexity of Aggressive </w:t>
      </w:r>
      <w:proofErr w:type="spellStart"/>
      <w:r w:rsidRPr="00B3165B">
        <w:t>Behavior</w:t>
      </w:r>
      <w:proofErr w:type="spellEnd"/>
      <w:r w:rsidRPr="00B3165B">
        <w:t xml:space="preserve">: Contextual and Individual Factors in the Taylor Aggression Paradigm. </w:t>
      </w:r>
      <w:r w:rsidRPr="00B3165B">
        <w:rPr>
          <w:i/>
          <w:iCs/>
        </w:rPr>
        <w:t>Frontiers in Psychiatry</w:t>
      </w:r>
      <w:r w:rsidRPr="00B3165B">
        <w:t>, 10.</w:t>
      </w:r>
    </w:p>
    <w:p w14:paraId="11CB4203" w14:textId="0B6067A4" w:rsidR="00B3165B" w:rsidRDefault="00B3165B">
      <w:r w:rsidRPr="00B3165B">
        <w:t xml:space="preserve">Weiner, B. (2018). The legacy of an attribution approach to motivation and emotion: A no-crisis zone. </w:t>
      </w:r>
      <w:r w:rsidRPr="00B3165B">
        <w:rPr>
          <w:i/>
          <w:iCs/>
        </w:rPr>
        <w:t>Motivation Science</w:t>
      </w:r>
      <w:r w:rsidRPr="00B3165B">
        <w:t>, 4(</w:t>
      </w:r>
      <w:r w:rsidRPr="00B3165B">
        <w:rPr>
          <w:b/>
          <w:bCs/>
        </w:rPr>
        <w:t>1</w:t>
      </w:r>
      <w:r w:rsidRPr="00B3165B">
        <w:t>), pp.4–14.</w:t>
      </w:r>
      <w:bookmarkEnd w:id="8"/>
    </w:p>
    <w:sectPr w:rsidR="00B3165B" w:rsidSect="00143EAF">
      <w:footerReference w:type="even" r:id="rId7"/>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100A36" w14:textId="77777777" w:rsidR="00AF1C6F" w:rsidRDefault="00AF1C6F" w:rsidP="00143EAF">
      <w:pPr>
        <w:spacing w:after="0" w:line="240" w:lineRule="auto"/>
      </w:pPr>
      <w:r>
        <w:separator/>
      </w:r>
    </w:p>
  </w:endnote>
  <w:endnote w:type="continuationSeparator" w:id="0">
    <w:p w14:paraId="38071D5F" w14:textId="77777777" w:rsidR="00AF1C6F" w:rsidRDefault="00AF1C6F" w:rsidP="00143E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83252000"/>
      <w:docPartObj>
        <w:docPartGallery w:val="Page Numbers (Bottom of Page)"/>
        <w:docPartUnique/>
      </w:docPartObj>
    </w:sdtPr>
    <w:sdtEndPr>
      <w:rPr>
        <w:rStyle w:val="PageNumber"/>
      </w:rPr>
    </w:sdtEndPr>
    <w:sdtContent>
      <w:p w14:paraId="40E3C231" w14:textId="48CE58BD" w:rsidR="00143EAF" w:rsidRDefault="00143EAF" w:rsidP="00D37EB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4CC68F8" w14:textId="77777777" w:rsidR="00143EAF" w:rsidRDefault="00143EAF" w:rsidP="00143EA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35118469"/>
      <w:docPartObj>
        <w:docPartGallery w:val="Page Numbers (Bottom of Page)"/>
        <w:docPartUnique/>
      </w:docPartObj>
    </w:sdtPr>
    <w:sdtEndPr>
      <w:rPr>
        <w:rStyle w:val="PageNumber"/>
      </w:rPr>
    </w:sdtEndPr>
    <w:sdtContent>
      <w:p w14:paraId="1FB9B061" w14:textId="45A186F8" w:rsidR="00143EAF" w:rsidRDefault="00143EAF" w:rsidP="00D37EB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1B1DEB6" w14:textId="77777777" w:rsidR="00143EAF" w:rsidRDefault="00143EAF" w:rsidP="00143EA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74856C" w14:textId="77777777" w:rsidR="00AF1C6F" w:rsidRDefault="00AF1C6F" w:rsidP="00143EAF">
      <w:pPr>
        <w:spacing w:after="0" w:line="240" w:lineRule="auto"/>
      </w:pPr>
      <w:r>
        <w:separator/>
      </w:r>
    </w:p>
  </w:footnote>
  <w:footnote w:type="continuationSeparator" w:id="0">
    <w:p w14:paraId="44E5B58D" w14:textId="77777777" w:rsidR="00AF1C6F" w:rsidRDefault="00AF1C6F" w:rsidP="00143EA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EAF"/>
    <w:rsid w:val="000B5290"/>
    <w:rsid w:val="000C03C0"/>
    <w:rsid w:val="00143EAF"/>
    <w:rsid w:val="00184082"/>
    <w:rsid w:val="001F4CDA"/>
    <w:rsid w:val="001F518C"/>
    <w:rsid w:val="00326A7E"/>
    <w:rsid w:val="005433BA"/>
    <w:rsid w:val="005D4DBA"/>
    <w:rsid w:val="00601598"/>
    <w:rsid w:val="0061655F"/>
    <w:rsid w:val="006A6435"/>
    <w:rsid w:val="006F3596"/>
    <w:rsid w:val="00746114"/>
    <w:rsid w:val="00792388"/>
    <w:rsid w:val="007A3D60"/>
    <w:rsid w:val="007A5025"/>
    <w:rsid w:val="007C408E"/>
    <w:rsid w:val="007E2F58"/>
    <w:rsid w:val="007F4990"/>
    <w:rsid w:val="00963E90"/>
    <w:rsid w:val="00A737D4"/>
    <w:rsid w:val="00A85758"/>
    <w:rsid w:val="00AF1C6F"/>
    <w:rsid w:val="00B3165B"/>
    <w:rsid w:val="00B47651"/>
    <w:rsid w:val="00BB2538"/>
    <w:rsid w:val="00C06C65"/>
    <w:rsid w:val="00C24506"/>
    <w:rsid w:val="00C872DF"/>
    <w:rsid w:val="00D63923"/>
    <w:rsid w:val="00DD3BCE"/>
    <w:rsid w:val="00EB08CF"/>
    <w:rsid w:val="00EB0A82"/>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98AB4D"/>
  <w15:chartTrackingRefBased/>
  <w15:docId w15:val="{45B831E2-F2E2-D941-8598-73C86C15E1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143EA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43EAF"/>
    <w:rPr>
      <w:rFonts w:eastAsiaTheme="minorEastAsia"/>
      <w:sz w:val="22"/>
      <w:szCs w:val="22"/>
      <w:lang w:val="en-US" w:eastAsia="zh-CN"/>
    </w:rPr>
  </w:style>
  <w:style w:type="character" w:customStyle="1" w:styleId="NoSpacingChar">
    <w:name w:val="No Spacing Char"/>
    <w:basedOn w:val="DefaultParagraphFont"/>
    <w:link w:val="NoSpacing"/>
    <w:uiPriority w:val="1"/>
    <w:rsid w:val="00143EAF"/>
    <w:rPr>
      <w:rFonts w:eastAsiaTheme="minorEastAsia"/>
      <w:sz w:val="22"/>
      <w:szCs w:val="22"/>
      <w:lang w:val="en-US" w:eastAsia="zh-CN"/>
    </w:rPr>
  </w:style>
  <w:style w:type="paragraph" w:styleId="Footer">
    <w:name w:val="footer"/>
    <w:basedOn w:val="Normal"/>
    <w:link w:val="FooterChar"/>
    <w:uiPriority w:val="99"/>
    <w:unhideWhenUsed/>
    <w:rsid w:val="00143E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3EAF"/>
    <w:rPr>
      <w:rFonts w:ascii="Arial" w:hAnsi="Arial"/>
      <w:szCs w:val="22"/>
    </w:rPr>
  </w:style>
  <w:style w:type="character" w:styleId="PageNumber">
    <w:name w:val="page number"/>
    <w:basedOn w:val="DefaultParagraphFont"/>
    <w:uiPriority w:val="99"/>
    <w:semiHidden/>
    <w:unhideWhenUsed/>
    <w:rsid w:val="00143EAF"/>
  </w:style>
  <w:style w:type="character" w:customStyle="1" w:styleId="Heading1Char">
    <w:name w:val="Heading 1 Char"/>
    <w:basedOn w:val="DefaultParagraphFont"/>
    <w:link w:val="Heading1"/>
    <w:uiPriority w:val="9"/>
    <w:rsid w:val="00143EA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D3BCE"/>
    <w:pPr>
      <w:spacing w:before="480"/>
      <w:outlineLvl w:val="9"/>
    </w:pPr>
    <w:rPr>
      <w:b/>
      <w:bCs/>
      <w:sz w:val="28"/>
      <w:szCs w:val="28"/>
      <w:lang w:val="en-US"/>
    </w:rPr>
  </w:style>
  <w:style w:type="paragraph" w:styleId="TOC1">
    <w:name w:val="toc 1"/>
    <w:basedOn w:val="Normal"/>
    <w:next w:val="Normal"/>
    <w:autoRedefine/>
    <w:uiPriority w:val="39"/>
    <w:unhideWhenUsed/>
    <w:rsid w:val="00DD3BCE"/>
    <w:pPr>
      <w:spacing w:before="120" w:after="0"/>
    </w:pPr>
    <w:rPr>
      <w:rFonts w:asciiTheme="minorHAnsi" w:hAnsiTheme="minorHAnsi" w:cstheme="minorHAnsi"/>
      <w:b/>
      <w:bCs/>
      <w:i/>
      <w:iCs/>
      <w:szCs w:val="24"/>
    </w:rPr>
  </w:style>
  <w:style w:type="character" w:styleId="Hyperlink">
    <w:name w:val="Hyperlink"/>
    <w:basedOn w:val="DefaultParagraphFont"/>
    <w:uiPriority w:val="99"/>
    <w:unhideWhenUsed/>
    <w:rsid w:val="00DD3BCE"/>
    <w:rPr>
      <w:color w:val="0563C1" w:themeColor="hyperlink"/>
      <w:u w:val="single"/>
    </w:rPr>
  </w:style>
  <w:style w:type="paragraph" w:styleId="TOC2">
    <w:name w:val="toc 2"/>
    <w:basedOn w:val="Normal"/>
    <w:next w:val="Normal"/>
    <w:autoRedefine/>
    <w:uiPriority w:val="39"/>
    <w:semiHidden/>
    <w:unhideWhenUsed/>
    <w:rsid w:val="00DD3BCE"/>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DD3BCE"/>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DD3BCE"/>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DD3BCE"/>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DD3BCE"/>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DD3BCE"/>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DD3BCE"/>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DD3BCE"/>
    <w:pPr>
      <w:spacing w:after="0"/>
      <w:ind w:left="1920"/>
    </w:pPr>
    <w:rPr>
      <w:rFonts w:asciiTheme="minorHAnsi" w:hAnsiTheme="minorHAnsi" w:cstheme="minorHAnsi"/>
      <w:sz w:val="20"/>
      <w:szCs w:val="20"/>
    </w:rPr>
  </w:style>
  <w:style w:type="character" w:styleId="FollowedHyperlink">
    <w:name w:val="FollowedHyperlink"/>
    <w:basedOn w:val="DefaultParagraphFont"/>
    <w:uiPriority w:val="99"/>
    <w:semiHidden/>
    <w:unhideWhenUsed/>
    <w:rsid w:val="007F499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754BD83-D105-4C4F-B523-6410FF5A97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468</TotalTime>
  <Pages>7</Pages>
  <Words>1918</Words>
  <Characters>10935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BMHP4019_BIRM</vt:lpstr>
    </vt:vector>
  </TitlesOfParts>
  <Company>Student ID:</Company>
  <LinksUpToDate>false</LinksUpToDate>
  <CharactersWithSpaces>12828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BMHP4019_BIRM</dc:title>
  <dc:subject>Psychology for Health and Social Care – Case study report</dc:subject>
  <dc:creator/>
  <cp:keywords/>
  <dc:description/>
  <cp:lastModifiedBy>Teodora Panayotova</cp:lastModifiedBy>
  <cp:revision>7</cp:revision>
  <dcterms:created xsi:type="dcterms:W3CDTF">2021-12-02T16:10:00Z</dcterms:created>
  <dcterms:modified xsi:type="dcterms:W3CDTF">2021-12-15T08:47:00Z</dcterms:modified>
</cp:coreProperties>
</file>