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32D2C722" w:rsidR="7908378C" w:rsidRDefault="7908378C" w:rsidP="33572C6E">
            <w:pPr>
              <w:ind w:right="237"/>
              <w:rPr>
                <w:b/>
                <w:bCs/>
                <w:color w:val="auto"/>
                <w:sz w:val="32"/>
                <w:szCs w:val="32"/>
              </w:rPr>
            </w:pPr>
            <w:r w:rsidRPr="33572C6E">
              <w:rPr>
                <w:b/>
                <w:bCs/>
                <w:color w:val="auto"/>
                <w:sz w:val="32"/>
                <w:szCs w:val="32"/>
              </w:rPr>
              <w:t>Learner name: _</w:t>
            </w:r>
            <w:r w:rsidR="0061710E">
              <w:rPr>
                <w:b/>
                <w:bCs/>
                <w:color w:val="auto"/>
                <w:sz w:val="32"/>
                <w:szCs w:val="32"/>
              </w:rPr>
              <w:t>Dan BEADSLEY</w:t>
            </w:r>
            <w:r w:rsidRPr="33572C6E">
              <w:rPr>
                <w:b/>
                <w:bCs/>
                <w:color w:val="auto"/>
                <w:sz w:val="32"/>
                <w:szCs w:val="32"/>
              </w:rPr>
              <w:t>_____________________________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0CB38709" w:rsidR="7908378C" w:rsidRDefault="7908378C" w:rsidP="33572C6E">
            <w:pPr>
              <w:ind w:right="237"/>
              <w:rPr>
                <w:b/>
                <w:bCs/>
                <w:color w:val="auto"/>
                <w:sz w:val="32"/>
                <w:szCs w:val="32"/>
              </w:rPr>
            </w:pPr>
            <w:r w:rsidRPr="33572C6E">
              <w:rPr>
                <w:b/>
                <w:bCs/>
                <w:color w:val="auto"/>
                <w:sz w:val="32"/>
                <w:szCs w:val="32"/>
              </w:rPr>
              <w:t>___________</w:t>
            </w:r>
            <w:r w:rsidR="00DE4417">
              <w:rPr>
                <w:b/>
                <w:bCs/>
                <w:color w:val="auto"/>
                <w:sz w:val="32"/>
                <w:szCs w:val="32"/>
              </w:rPr>
              <w:t>2125117</w:t>
            </w:r>
            <w:r w:rsidRPr="33572C6E">
              <w:rPr>
                <w:b/>
                <w:bCs/>
                <w:color w:val="auto"/>
                <w:sz w:val="32"/>
                <w:szCs w:val="32"/>
              </w:rPr>
              <w:t>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D36F2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D36F2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400D6745"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5D3F8D38" w14:textId="77777777" w:rsidR="00DE4417" w:rsidRDefault="00DE4417" w:rsidP="5B843AF0">
      <w:pPr>
        <w:ind w:right="237"/>
        <w:jc w:val="both"/>
        <w:rPr>
          <w:rFonts w:eastAsia="Arial"/>
          <w:b/>
          <w:bCs/>
          <w:color w:val="000000" w:themeColor="text1"/>
          <w:sz w:val="24"/>
          <w:szCs w:val="24"/>
        </w:rPr>
      </w:pPr>
    </w:p>
    <w:p w14:paraId="2E23B4A4" w14:textId="77777777" w:rsidR="00DE4417" w:rsidRPr="00AC4FBE" w:rsidRDefault="00DE4417" w:rsidP="00DE4417">
      <w:pPr>
        <w:rPr>
          <w:rFonts w:asciiTheme="minorHAnsi" w:hAnsiTheme="minorHAnsi" w:cstheme="minorHAnsi"/>
          <w:sz w:val="22"/>
          <w:szCs w:val="22"/>
        </w:rPr>
      </w:pPr>
      <w:r w:rsidRPr="00AC4FBE">
        <w:rPr>
          <w:rFonts w:asciiTheme="minorHAnsi" w:hAnsiTheme="minorHAnsi" w:cstheme="minorHAnsi"/>
          <w:sz w:val="22"/>
          <w:szCs w:val="22"/>
        </w:rPr>
        <w:t>What is vulnerability?</w:t>
      </w:r>
    </w:p>
    <w:p w14:paraId="2AD5C1C2" w14:textId="77777777" w:rsidR="00DE4417" w:rsidRPr="00AC4FBE" w:rsidRDefault="00DE4417" w:rsidP="00DE4417">
      <w:pPr>
        <w:rPr>
          <w:rFonts w:asciiTheme="minorHAnsi" w:hAnsiTheme="minorHAnsi" w:cstheme="minorHAnsi"/>
          <w:sz w:val="22"/>
          <w:szCs w:val="22"/>
        </w:rPr>
      </w:pPr>
      <w:r w:rsidRPr="00AC4FBE">
        <w:rPr>
          <w:rFonts w:asciiTheme="minorHAnsi" w:hAnsiTheme="minorHAnsi" w:cstheme="minorHAnsi"/>
          <w:sz w:val="22"/>
          <w:szCs w:val="22"/>
        </w:rPr>
        <w:t xml:space="preserve">“Vulnerability can be the term used when speaking about people who are at risk, these can include different traits such as dependency, disability or psychological distress, but also from environmental factors such as lack of access to housing” (Stanford, 2012). This shows that there is not just one clear answer when talking about vulnerabilities, and this needs to be carefully considered when dealing with both offenders and victims. “Little time is spent addressing victimisation amongst the group most at risk; the heavily offending, young male, economically disadvantaged” (Green, 2012). This shows that vulnerability can come in many forms, and it is not just the victims that can be vulnerable but the offenders too. This gives police officers a lot to think about when dealing with incidents because often it is thought that the offender is just bad by choice but there may be vulnerabilities in his life where they feel that they have no other choice but to offend. Therefore because of this it is important that officers do consider other options when dealing with offenders and think about the different ways they may be able to help the individual and keep all parties safe. </w:t>
      </w:r>
    </w:p>
    <w:p w14:paraId="65770292" w14:textId="77777777" w:rsidR="00DE4417" w:rsidRPr="00AC4FBE" w:rsidRDefault="00DE4417" w:rsidP="00DE4417">
      <w:pPr>
        <w:rPr>
          <w:rFonts w:asciiTheme="minorHAnsi" w:hAnsiTheme="minorHAnsi" w:cstheme="minorHAnsi"/>
          <w:sz w:val="22"/>
          <w:szCs w:val="22"/>
        </w:rPr>
      </w:pPr>
    </w:p>
    <w:p w14:paraId="21AA85BD" w14:textId="77777777" w:rsidR="00DE4417" w:rsidRPr="00AC4FBE" w:rsidRDefault="00DE4417" w:rsidP="00DE4417">
      <w:pPr>
        <w:rPr>
          <w:rFonts w:asciiTheme="minorHAnsi" w:hAnsiTheme="minorHAnsi" w:cstheme="minorHAnsi"/>
          <w:sz w:val="22"/>
          <w:szCs w:val="22"/>
        </w:rPr>
      </w:pPr>
    </w:p>
    <w:p w14:paraId="25D97050" w14:textId="77777777" w:rsidR="00DE4417" w:rsidRPr="00AC4FBE" w:rsidRDefault="00DE4417" w:rsidP="00DE4417">
      <w:pPr>
        <w:rPr>
          <w:rFonts w:asciiTheme="minorHAnsi" w:hAnsiTheme="minorHAnsi" w:cstheme="minorHAnsi"/>
          <w:sz w:val="22"/>
          <w:szCs w:val="22"/>
        </w:rPr>
      </w:pPr>
      <w:r w:rsidRPr="00AC4FBE">
        <w:rPr>
          <w:rFonts w:asciiTheme="minorHAnsi" w:hAnsiTheme="minorHAnsi" w:cstheme="minorHAnsi"/>
          <w:sz w:val="22"/>
          <w:szCs w:val="22"/>
        </w:rPr>
        <w:t xml:space="preserve">The incident I will be referring to and critically evaluating in this question will be one where a vulnerable victim was assaulted by her ex-partner. As previously mentioned, there are many different factors that contribute towards this. The victim in this scenario is a repeat domestic violence (DV) victim from the offender and also a repeat victim from a previous relationship too. The victim also has flags for being subject to MARAC on multiple occasions. ‘MARAC is a multi-agency risk assessment conference, MARAC referrals are when information is shared on the highest risk domestic abuse cases between representatives of the police, health, child protection, housing practitioners, Independent Domestic Violence Advisors (IDVAS), probation and other specialists from statutory and voluntary sector’ (Gwentsafeguarding, 2018). The aim of a MARAC referral is to make as many agencies aware of the situation as possible so that the most effective safeguarding can be </w:t>
      </w:r>
      <w:r w:rsidRPr="00AC4FBE">
        <w:rPr>
          <w:rFonts w:asciiTheme="minorHAnsi" w:hAnsiTheme="minorHAnsi" w:cstheme="minorHAnsi"/>
          <w:sz w:val="22"/>
          <w:szCs w:val="22"/>
        </w:rPr>
        <w:lastRenderedPageBreak/>
        <w:t>put in place for the victim. Additionally, the victim is currently of No fixed abode (NFA) and has been diagnosed with anxiety, depression, and PTSD. A combination of all of these factors has shown that on multiple previous occasions she has been unable to protect herself from harm and is clearly a vulnerable victim.</w:t>
      </w:r>
    </w:p>
    <w:p w14:paraId="21B67FEF" w14:textId="77777777" w:rsidR="00DE4417" w:rsidRPr="00AC4FBE" w:rsidRDefault="00DE4417" w:rsidP="00DE4417">
      <w:pPr>
        <w:rPr>
          <w:rFonts w:asciiTheme="minorHAnsi" w:hAnsiTheme="minorHAnsi" w:cstheme="minorHAnsi"/>
          <w:sz w:val="22"/>
          <w:szCs w:val="22"/>
        </w:rPr>
      </w:pPr>
    </w:p>
    <w:p w14:paraId="7156C99D" w14:textId="77777777" w:rsidR="00DE4417" w:rsidRPr="00AC4FBE" w:rsidRDefault="00DE4417" w:rsidP="00DE4417">
      <w:pPr>
        <w:rPr>
          <w:rFonts w:asciiTheme="minorHAnsi" w:hAnsiTheme="minorHAnsi" w:cstheme="minorHAnsi"/>
          <w:sz w:val="22"/>
          <w:szCs w:val="22"/>
        </w:rPr>
      </w:pPr>
      <w:r w:rsidRPr="00AC4FBE">
        <w:rPr>
          <w:rFonts w:asciiTheme="minorHAnsi" w:hAnsiTheme="minorHAnsi" w:cstheme="minorHAnsi"/>
          <w:sz w:val="22"/>
          <w:szCs w:val="22"/>
        </w:rPr>
        <w:t>On this occasion officers received a call from the force control room saying that the victim had called in stating that she had been assaulted by her ex-partner who had punched her in the face and then strangled her, she then stated that both of them had left the address and she was no longer in company with him at the address. Due to the victim no longer being with the perpetrator this call was downgraded from an emergency to a priority. As the victim was of no fixed abode it was difficult to make contact due to the fact that it was unknown where she may be staying, and she did not answer initial calls to police.</w:t>
      </w:r>
    </w:p>
    <w:p w14:paraId="29818B6A" w14:textId="77777777" w:rsidR="00DE4417" w:rsidRPr="00AC4FBE" w:rsidRDefault="00DE4417" w:rsidP="00DE4417">
      <w:pPr>
        <w:rPr>
          <w:rFonts w:asciiTheme="minorHAnsi" w:hAnsiTheme="minorHAnsi" w:cstheme="minorHAnsi"/>
          <w:sz w:val="22"/>
          <w:szCs w:val="22"/>
        </w:rPr>
      </w:pPr>
    </w:p>
    <w:p w14:paraId="69CE3341" w14:textId="27E4F861" w:rsidR="00DE4417" w:rsidRDefault="00DE4417" w:rsidP="00DE4417">
      <w:pPr>
        <w:rPr>
          <w:rFonts w:asciiTheme="minorHAnsi" w:hAnsiTheme="minorHAnsi" w:cstheme="minorHAnsi"/>
          <w:sz w:val="22"/>
          <w:szCs w:val="22"/>
        </w:rPr>
      </w:pPr>
      <w:r w:rsidRPr="00AC4FBE">
        <w:rPr>
          <w:rFonts w:asciiTheme="minorHAnsi" w:hAnsiTheme="minorHAnsi" w:cstheme="minorHAnsi"/>
          <w:sz w:val="22"/>
          <w:szCs w:val="22"/>
        </w:rPr>
        <w:t xml:space="preserve">When officers were eventually able to contact the victim, she stated that she was staying at her niece’s address, upon attendance of this address officers were made aware by the victim that the offender was staying at the address with her, and he was currently there in the other room. Upon hearing this information and due to the allegations, that had been made via the 999 recording, the male was arrested and taken to custody. Following this the victim was spoken to where she disclosed that the assaults had happened as described but she did not wish to provide police with a statement, or any further details on the incident and she did not wish to pursue a formal complaint against her ex-partner. </w:t>
      </w:r>
    </w:p>
    <w:p w14:paraId="16195AC9" w14:textId="77777777" w:rsidR="00AC4FBE" w:rsidRPr="00AC4FBE" w:rsidRDefault="00AC4FBE" w:rsidP="00DE4417">
      <w:pPr>
        <w:rPr>
          <w:rFonts w:asciiTheme="minorHAnsi" w:hAnsiTheme="minorHAnsi" w:cstheme="minorHAnsi"/>
          <w:sz w:val="22"/>
          <w:szCs w:val="22"/>
        </w:rPr>
      </w:pPr>
    </w:p>
    <w:p w14:paraId="269124F9" w14:textId="77777777" w:rsidR="00DE4417" w:rsidRPr="00AC4FBE" w:rsidRDefault="00DE4417" w:rsidP="00DE4417">
      <w:pPr>
        <w:rPr>
          <w:rFonts w:asciiTheme="minorHAnsi" w:hAnsiTheme="minorHAnsi" w:cstheme="minorHAnsi"/>
          <w:sz w:val="22"/>
          <w:szCs w:val="22"/>
        </w:rPr>
      </w:pPr>
      <w:r w:rsidRPr="00AC4FBE">
        <w:rPr>
          <w:rFonts w:asciiTheme="minorHAnsi" w:hAnsiTheme="minorHAnsi" w:cstheme="minorHAnsi"/>
          <w:sz w:val="22"/>
          <w:szCs w:val="22"/>
        </w:rPr>
        <w:t>Throughout this question I will be using Gibbs reflective cycle (Husebø, et al., 2015), to reflect on what happened and then use this in my research to critically evaluate the events of the incident and different approaches that could have been used to support vulnerable victims. This will allow me to see what worked well and what potentially did not work so well so that in future incidents of this nature this research can be used in my decision making. There are 6 stages to this cycle:</w:t>
      </w:r>
    </w:p>
    <w:p w14:paraId="29442E90" w14:textId="77777777" w:rsidR="00DE4417" w:rsidRPr="00AC4FBE" w:rsidRDefault="00DE4417" w:rsidP="00DE4417">
      <w:pPr>
        <w:rPr>
          <w:rFonts w:asciiTheme="minorHAnsi" w:hAnsiTheme="minorHAnsi" w:cstheme="minorHAnsi"/>
          <w:sz w:val="22"/>
          <w:szCs w:val="22"/>
        </w:rPr>
      </w:pPr>
      <w:r w:rsidRPr="00AC4FBE">
        <w:rPr>
          <w:rFonts w:asciiTheme="minorHAnsi" w:hAnsiTheme="minorHAnsi" w:cstheme="minorHAnsi"/>
          <w:sz w:val="22"/>
          <w:szCs w:val="22"/>
        </w:rPr>
        <w:t xml:space="preserve">These are, describe what happened; what were you thinking and feeling; evaluate what was good and bad about the situation; analyse what sense can be made of the situation; conclude what could have been done differently and lastly an action plan of what you would do in a similar situation in the future. </w:t>
      </w:r>
    </w:p>
    <w:p w14:paraId="37BB1671" w14:textId="77777777" w:rsidR="00DE4417" w:rsidRPr="00AC4FBE" w:rsidRDefault="00DE4417" w:rsidP="00DE4417">
      <w:pPr>
        <w:rPr>
          <w:rFonts w:asciiTheme="minorHAnsi" w:hAnsiTheme="minorHAnsi" w:cstheme="minorHAnsi"/>
          <w:sz w:val="22"/>
          <w:szCs w:val="22"/>
        </w:rPr>
      </w:pPr>
    </w:p>
    <w:p w14:paraId="1F58B582" w14:textId="77777777" w:rsidR="00DE4417" w:rsidRPr="00AC4FBE" w:rsidRDefault="00DE4417" w:rsidP="00DE4417">
      <w:pPr>
        <w:rPr>
          <w:rFonts w:asciiTheme="minorHAnsi" w:hAnsiTheme="minorHAnsi" w:cstheme="minorHAnsi"/>
          <w:sz w:val="22"/>
          <w:szCs w:val="22"/>
        </w:rPr>
      </w:pPr>
      <w:r w:rsidRPr="00AC4FBE">
        <w:rPr>
          <w:rFonts w:asciiTheme="minorHAnsi" w:hAnsiTheme="minorHAnsi" w:cstheme="minorHAnsi"/>
          <w:sz w:val="22"/>
          <w:szCs w:val="22"/>
        </w:rPr>
        <w:t xml:space="preserve">My involvement in this incident was that I interviewed the suspect in custody, during his account he denied all allegations made against him in relation to this incident. Furthermore, there was no overwhelming evidence, and the victim did not wish to make a statement of pursue a formal complaint against the perpetrator. Due to all of the above factors this investigation was deemed no further action by the custody sergeant. </w:t>
      </w:r>
    </w:p>
    <w:p w14:paraId="29380881" w14:textId="77777777" w:rsidR="00DE4417" w:rsidRPr="00AC4FBE" w:rsidRDefault="00DE4417" w:rsidP="00DE4417">
      <w:pPr>
        <w:rPr>
          <w:rFonts w:asciiTheme="minorHAnsi" w:hAnsiTheme="minorHAnsi" w:cstheme="minorHAnsi"/>
          <w:sz w:val="22"/>
          <w:szCs w:val="22"/>
        </w:rPr>
      </w:pPr>
    </w:p>
    <w:p w14:paraId="65AB1341" w14:textId="77777777" w:rsidR="00DE4417" w:rsidRPr="00AC4FBE" w:rsidRDefault="00DE4417" w:rsidP="00DE4417">
      <w:pPr>
        <w:rPr>
          <w:rFonts w:asciiTheme="minorHAnsi" w:hAnsiTheme="minorHAnsi" w:cstheme="minorHAnsi"/>
          <w:sz w:val="22"/>
          <w:szCs w:val="22"/>
        </w:rPr>
      </w:pPr>
      <w:r w:rsidRPr="00AC4FBE">
        <w:rPr>
          <w:rFonts w:asciiTheme="minorHAnsi" w:hAnsiTheme="minorHAnsi" w:cstheme="minorHAnsi"/>
          <w:sz w:val="22"/>
          <w:szCs w:val="22"/>
        </w:rPr>
        <w:t xml:space="preserve">Before I had started the interview, due to the lack of evidence in this investigation, but the mention of violence being involved I decided to seek authorisation for a Domestic violence protection notice (DVPN) and a Domestic violence protection order (DVPO). ‘These are short term police-initiated protection mechanisms aimed at providing victims with tie to plan longer term strategies to escape abusive relationships (Blackburn and Graca 2021). A DVPN prevents the suspect from contacting the victim for the next 48 hours, until it is heard before an application for a DVPO is heard before magistrates, which will extend this protection for a period between 14 and 28 days (Gov.uk, 2010). This was then reviewed by the inspector who also agreed this would be suitable and then the DVPN application was authorised by the Superintendent who reviewed it. Following the interview of the suspect the DVPN was issued, and a file was submitted for the application of a DVPO to be reviewed by the magistrates. On this occasion the DVPO was granted and issued to the suspect, this allowed for the vulnerable victim to have 28 days where the suspect will be ordered by the courts not to contact or molest the victim. This gives the victim necessary time without the suspect there to liaise </w:t>
      </w:r>
      <w:r w:rsidRPr="00AC4FBE">
        <w:rPr>
          <w:rFonts w:asciiTheme="minorHAnsi" w:hAnsiTheme="minorHAnsi" w:cstheme="minorHAnsi"/>
          <w:sz w:val="22"/>
          <w:szCs w:val="22"/>
        </w:rPr>
        <w:lastRenderedPageBreak/>
        <w:t xml:space="preserve">with partnering agencies and find the help they need to escape from the abusive relationship.  This order is then monitored by police, with “powers available to the police and court to protect people from domestic violence” (Griffith, 2004). This shows that the police have powers If the order is broken to arrest the suspect and bring them back into custody to be interviewed on this. </w:t>
      </w:r>
    </w:p>
    <w:p w14:paraId="6F0E8F02" w14:textId="77777777" w:rsidR="00DE4417" w:rsidRPr="00AC4FBE" w:rsidRDefault="00DE4417" w:rsidP="00DE4417">
      <w:pPr>
        <w:rPr>
          <w:rFonts w:asciiTheme="minorHAnsi" w:hAnsiTheme="minorHAnsi" w:cstheme="minorHAnsi"/>
          <w:sz w:val="22"/>
          <w:szCs w:val="22"/>
        </w:rPr>
      </w:pPr>
    </w:p>
    <w:p w14:paraId="1C913D3C" w14:textId="77777777" w:rsidR="00DE4417" w:rsidRPr="00AC4FBE" w:rsidRDefault="00DE4417" w:rsidP="00DE4417">
      <w:pPr>
        <w:rPr>
          <w:rFonts w:asciiTheme="minorHAnsi" w:hAnsiTheme="minorHAnsi" w:cstheme="minorHAnsi"/>
          <w:sz w:val="22"/>
          <w:szCs w:val="22"/>
        </w:rPr>
      </w:pPr>
      <w:r w:rsidRPr="00AC4FBE">
        <w:rPr>
          <w:rFonts w:asciiTheme="minorHAnsi" w:hAnsiTheme="minorHAnsi" w:cstheme="minorHAnsi"/>
          <w:sz w:val="22"/>
          <w:szCs w:val="22"/>
        </w:rPr>
        <w:t>On the other hand, the downside to the application for DVPO can come when less experienced officers may have to do the application. This can have a large effect on the quality of the application and therefore affect whether the courts approve of the application or not. “Domestic violence protection order application process, has been questioned on the basis that quality and outcome might vary depending on who completes the form.” (Fitzgerald and Douglas, 2020). This shows that it can have a large impact on whether the victim is able to get a good service depending on how experienced the officers are and to what standard they are able to complete the application process.</w:t>
      </w:r>
    </w:p>
    <w:p w14:paraId="0AE6E3DE" w14:textId="77777777" w:rsidR="00DE4417" w:rsidRPr="00AC4FBE" w:rsidRDefault="00DE4417" w:rsidP="00DE4417">
      <w:pPr>
        <w:rPr>
          <w:rFonts w:asciiTheme="minorHAnsi" w:hAnsiTheme="minorHAnsi" w:cstheme="minorHAnsi"/>
          <w:sz w:val="22"/>
          <w:szCs w:val="22"/>
        </w:rPr>
      </w:pPr>
    </w:p>
    <w:p w14:paraId="34CA5B14" w14:textId="65BC97AD" w:rsidR="00DE4417" w:rsidRPr="00AC4FBE" w:rsidRDefault="00DE4417" w:rsidP="00DE4417">
      <w:pPr>
        <w:rPr>
          <w:rFonts w:asciiTheme="minorHAnsi" w:hAnsiTheme="minorHAnsi" w:cstheme="minorHAnsi"/>
          <w:sz w:val="22"/>
          <w:szCs w:val="22"/>
        </w:rPr>
      </w:pPr>
      <w:r w:rsidRPr="00AC4FBE">
        <w:rPr>
          <w:rFonts w:asciiTheme="minorHAnsi" w:hAnsiTheme="minorHAnsi" w:cstheme="minorHAnsi"/>
          <w:sz w:val="22"/>
          <w:szCs w:val="22"/>
        </w:rPr>
        <w:t>Furthermore, another downside of a DVPO can be that the victim does not always support this, and therefore even if the order is granted, they may be less willing to adhere to the safeguarding conditions that are set on this. “Many female victims of domestic violence become victims of their own psychological realities” (Hurley, Sullivan &amp; McCarthy, 2007). This suggests that there are many more factors in domestic abuse relationships and because the victim in this scenario is vulnerable, some of these factors may affect them throughout this. For example, Murray, 2008 said “Financial viability can be limiting for many female victims along with other barriers they face when attempting to flee safely from violent situations”. This can show that even if there is an opportunity to escape the relationship this may not always feel viable for the victim, this could be due to the amount of time they have been with the suspect and now feel like the are dependent on them and would not know how to care for themselves without this. This shows how important it is for partner agencies to be notified of the incident so that they are able to offer their expertise and help in these types of situations so that the victim feels they can move on and do what is best for themselves.</w:t>
      </w:r>
    </w:p>
    <w:p w14:paraId="5214E3D5" w14:textId="77777777" w:rsidR="00DE4417" w:rsidRPr="00AC4FBE" w:rsidRDefault="00DE4417" w:rsidP="00DE4417">
      <w:pPr>
        <w:rPr>
          <w:rFonts w:asciiTheme="minorHAnsi" w:hAnsiTheme="minorHAnsi" w:cstheme="minorHAnsi"/>
          <w:sz w:val="22"/>
          <w:szCs w:val="22"/>
        </w:rPr>
      </w:pPr>
    </w:p>
    <w:p w14:paraId="06754CDB" w14:textId="77777777" w:rsidR="00DE4417" w:rsidRPr="00AC4FBE" w:rsidRDefault="00DE4417" w:rsidP="00DE4417">
      <w:pPr>
        <w:rPr>
          <w:rFonts w:asciiTheme="minorHAnsi" w:hAnsiTheme="minorHAnsi" w:cstheme="minorHAnsi"/>
          <w:sz w:val="22"/>
          <w:szCs w:val="22"/>
        </w:rPr>
      </w:pPr>
      <w:r w:rsidRPr="00AC4FBE">
        <w:rPr>
          <w:rFonts w:asciiTheme="minorHAnsi" w:hAnsiTheme="minorHAnsi" w:cstheme="minorHAnsi"/>
          <w:sz w:val="22"/>
          <w:szCs w:val="22"/>
        </w:rPr>
        <w:t xml:space="preserve">When the initial account is taken from the victim of a domestic abuse incident, a Domestic Abuse, Stalking and harassment Risk Assessment (DASHRA) will be offered. The DASHRA offers an “initial risk identification” (Richards, 2009). This allows officers to see how serious the allegations made by the victim are so that they are able to “identify what level of intervention is needed” (Richards,2009). This shows how important the DASHRA can be when dealing with vulnerable victims and persons who have been subject to repeat victimisation.  The DASHRA can also allow for questions to be asked in relation to these past events and whether they have been disclosed or as to whether they are also part of this same incident and have not previously been disclosed due to fear of anything happening again. Once the DASHRA has been completed the officer who has taken it will the review the answers the victim has given and give a risk grading from this, Standard, medium or high depending on how sever the answers were. </w:t>
      </w:r>
    </w:p>
    <w:p w14:paraId="5D12254E" w14:textId="77777777" w:rsidR="00DE4417" w:rsidRPr="00AC4FBE" w:rsidRDefault="00DE4417" w:rsidP="00DE4417">
      <w:pPr>
        <w:rPr>
          <w:rFonts w:asciiTheme="minorHAnsi" w:hAnsiTheme="minorHAnsi" w:cstheme="minorHAnsi"/>
          <w:sz w:val="22"/>
          <w:szCs w:val="22"/>
        </w:rPr>
      </w:pPr>
    </w:p>
    <w:p w14:paraId="1C2E0093" w14:textId="77777777" w:rsidR="00DE4417" w:rsidRPr="00AC4FBE" w:rsidRDefault="00DE4417" w:rsidP="00DE4417">
      <w:pPr>
        <w:rPr>
          <w:rFonts w:asciiTheme="minorHAnsi" w:hAnsiTheme="minorHAnsi" w:cstheme="minorHAnsi"/>
          <w:sz w:val="22"/>
          <w:szCs w:val="22"/>
        </w:rPr>
      </w:pPr>
      <w:r w:rsidRPr="00AC4FBE">
        <w:rPr>
          <w:rFonts w:asciiTheme="minorHAnsi" w:hAnsiTheme="minorHAnsi" w:cstheme="minorHAnsi"/>
          <w:sz w:val="22"/>
          <w:szCs w:val="22"/>
        </w:rPr>
        <w:t>On the other hand, there are some issues with a DASHRA, the victim is able to refuse to give these to the officers and does not have to consent to any information being shared with partner agencies. This can add complications as it does not allow the officers to fully understand the severity of the incident. Therefore, if this is the case this could lead to the safety advice and planning that is given to be not sufficient and leave the victim in danger of further violence. Therefore, it is important for officers in all cases to take positive action and make sure both parties are safe for a period of time and are given an opportunity to get help that they need.</w:t>
      </w:r>
    </w:p>
    <w:p w14:paraId="2BD8B5B6" w14:textId="77777777" w:rsidR="00DE4417" w:rsidRPr="00AC4FBE" w:rsidRDefault="00DE4417" w:rsidP="00DE4417">
      <w:pPr>
        <w:rPr>
          <w:rFonts w:asciiTheme="minorHAnsi" w:hAnsiTheme="minorHAnsi" w:cstheme="minorHAnsi"/>
          <w:sz w:val="22"/>
          <w:szCs w:val="22"/>
        </w:rPr>
      </w:pPr>
    </w:p>
    <w:p w14:paraId="33BFC456" w14:textId="77777777" w:rsidR="00DE4417" w:rsidRPr="00AC4FBE" w:rsidRDefault="00DE4417" w:rsidP="00DE4417">
      <w:pPr>
        <w:rPr>
          <w:rFonts w:asciiTheme="minorHAnsi" w:hAnsiTheme="minorHAnsi" w:cstheme="minorHAnsi"/>
          <w:sz w:val="22"/>
          <w:szCs w:val="22"/>
        </w:rPr>
      </w:pPr>
    </w:p>
    <w:p w14:paraId="5EDBDA14" w14:textId="77777777" w:rsidR="00DE4417" w:rsidRPr="00AC4FBE" w:rsidRDefault="00DE4417" w:rsidP="00DE4417">
      <w:pPr>
        <w:rPr>
          <w:rFonts w:asciiTheme="minorHAnsi" w:hAnsiTheme="minorHAnsi" w:cstheme="minorHAnsi"/>
          <w:sz w:val="22"/>
          <w:szCs w:val="22"/>
        </w:rPr>
      </w:pPr>
      <w:r w:rsidRPr="00AC4FBE">
        <w:rPr>
          <w:rFonts w:asciiTheme="minorHAnsi" w:hAnsiTheme="minorHAnsi" w:cstheme="minorHAnsi"/>
          <w:sz w:val="22"/>
          <w:szCs w:val="22"/>
        </w:rPr>
        <w:t xml:space="preserve">Throughout dealing with incidents such as this one where vulnerable victims are identified a Public Protection Notification (PPN) will also be submitted. “A PPN is a document which is submitted by officers which summarises the vulnerabilities of the victims” (HMIC, 2015). This document is then </w:t>
      </w:r>
      <w:r w:rsidRPr="00AC4FBE">
        <w:rPr>
          <w:rFonts w:asciiTheme="minorHAnsi" w:hAnsiTheme="minorHAnsi" w:cstheme="minorHAnsi"/>
          <w:sz w:val="22"/>
          <w:szCs w:val="22"/>
        </w:rPr>
        <w:lastRenderedPageBreak/>
        <w:t>sent to partner agencies of the police to discuss potential support pathways that can be put in place for the victim. Due to police being the first at the incident in both cases that the parties are known and ones where they are unknown, this can be very important as it allows social services to get a first account of what has happened. Furthermore, it allows officers to give their thoughts on the situation and how the environment around the incident was, whether anything that was not spoken was picked up on. In this particular case it could be seen that because the parties were together at the time of police arrival the victim may have been less willing to disclose any information to police. This is all the undocumented and sent to social services who take the information into account and are able to develop their own plan accordingly to make sur that they can keep the victim safe.</w:t>
      </w:r>
    </w:p>
    <w:p w14:paraId="334A0C01" w14:textId="77777777" w:rsidR="00DE4417" w:rsidRPr="00AC4FBE" w:rsidRDefault="00DE4417" w:rsidP="00DE4417">
      <w:pPr>
        <w:rPr>
          <w:rFonts w:asciiTheme="minorHAnsi" w:hAnsiTheme="minorHAnsi" w:cstheme="minorHAnsi"/>
          <w:sz w:val="22"/>
          <w:szCs w:val="22"/>
        </w:rPr>
      </w:pPr>
    </w:p>
    <w:p w14:paraId="3ABB5AEE" w14:textId="77777777" w:rsidR="00DE4417" w:rsidRPr="00AC4FBE" w:rsidRDefault="00DE4417" w:rsidP="00DE4417">
      <w:pPr>
        <w:rPr>
          <w:rFonts w:asciiTheme="minorHAnsi" w:hAnsiTheme="minorHAnsi" w:cstheme="minorHAnsi"/>
          <w:sz w:val="22"/>
          <w:szCs w:val="22"/>
        </w:rPr>
      </w:pPr>
      <w:r w:rsidRPr="00AC4FBE">
        <w:rPr>
          <w:rFonts w:asciiTheme="minorHAnsi" w:hAnsiTheme="minorHAnsi" w:cstheme="minorHAnsi"/>
          <w:sz w:val="22"/>
          <w:szCs w:val="22"/>
        </w:rPr>
        <w:t>I think when I reflect on this incident the victims as safety was at the forefront of my mind and due to this the actions that were taken were justifiable and proportionate. Although the victim did not wish to make a complaint on this particular occasion, we were able to put together conditions tat allowed for time to be taken apart from the aggressor. This allowed for the victim to be able to liaise with social services and other partner agencies and make a plan of how best to keep herself safe from getting back into an abusive relationship. I think this particular incident could have been improved by making further attempts to get to the victim without spending days before speaking to them. Although no further harm came to her, there was potential for this to happen as they were together. I think in future it would be beneficial to look into associates and find other potential places the victim could have been residing to make sure they are spoken to at the earliest opportunity.</w:t>
      </w:r>
    </w:p>
    <w:p w14:paraId="088D41D8" w14:textId="77777777" w:rsidR="00DE4417" w:rsidRPr="00AC4FBE" w:rsidRDefault="00DE4417" w:rsidP="5B843AF0">
      <w:pPr>
        <w:ind w:right="237"/>
        <w:jc w:val="both"/>
        <w:rPr>
          <w:rFonts w:asciiTheme="minorHAnsi" w:eastAsia="Arial" w:hAnsiTheme="minorHAnsi" w:cstheme="minorHAnsi"/>
          <w:b/>
          <w:bCs/>
          <w:color w:val="000000" w:themeColor="text1"/>
          <w:sz w:val="22"/>
          <w:szCs w:val="22"/>
        </w:rPr>
      </w:pPr>
    </w:p>
    <w:p w14:paraId="08B7E535" w14:textId="77777777" w:rsidR="00DE4417" w:rsidRPr="00E676F7" w:rsidRDefault="00DE4417" w:rsidP="5B843AF0">
      <w:pPr>
        <w:ind w:right="237"/>
        <w:jc w:val="both"/>
        <w:rPr>
          <w:rFonts w:eastAsia="Arial"/>
          <w:color w:val="000000" w:themeColor="text1"/>
          <w:sz w:val="24"/>
          <w:szCs w:val="24"/>
        </w:rPr>
      </w:pP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5CE196A1">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D36F2F">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0" w:name="_Int_iqtpDieQ"/>
      <w:r w:rsidRPr="5CE196A1">
        <w:rPr>
          <w:rFonts w:eastAsia="Arial"/>
          <w:color w:val="000000" w:themeColor="text1"/>
          <w:sz w:val="24"/>
          <w:szCs w:val="24"/>
        </w:rPr>
        <w:t>In regard to</w:t>
      </w:r>
      <w:bookmarkEnd w:id="0"/>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65121FC2" w:rsidR="00025650" w:rsidRDefault="530F4161" w:rsidP="0FF883D4">
      <w:pPr>
        <w:ind w:right="237"/>
        <w:jc w:val="both"/>
        <w:rPr>
          <w:b/>
          <w:bCs/>
          <w:sz w:val="24"/>
          <w:szCs w:val="24"/>
        </w:rPr>
      </w:pPr>
      <w:r w:rsidRPr="5CE196A1">
        <w:rPr>
          <w:b/>
          <w:bCs/>
          <w:sz w:val="24"/>
          <w:szCs w:val="24"/>
        </w:rPr>
        <w:t xml:space="preserve">Answer: </w:t>
      </w:r>
    </w:p>
    <w:p w14:paraId="0359396F" w14:textId="10FD16A4" w:rsidR="00DE4417" w:rsidRDefault="00DE4417" w:rsidP="0FF883D4">
      <w:pPr>
        <w:ind w:right="237"/>
        <w:jc w:val="both"/>
        <w:rPr>
          <w:b/>
          <w:bCs/>
          <w:sz w:val="24"/>
          <w:szCs w:val="24"/>
        </w:rPr>
      </w:pPr>
    </w:p>
    <w:p w14:paraId="1CE3BB8F" w14:textId="77777777" w:rsidR="00DE4417" w:rsidRPr="00C20FEC" w:rsidRDefault="00DE4417" w:rsidP="00DE4417">
      <w:pPr>
        <w:rPr>
          <w:rFonts w:asciiTheme="minorHAnsi" w:hAnsiTheme="minorHAnsi" w:cstheme="minorHAnsi"/>
          <w:sz w:val="22"/>
          <w:szCs w:val="22"/>
        </w:rPr>
      </w:pPr>
      <w:r w:rsidRPr="00C20FEC">
        <w:rPr>
          <w:rFonts w:asciiTheme="minorHAnsi" w:hAnsiTheme="minorHAnsi" w:cstheme="minorHAnsi"/>
          <w:sz w:val="22"/>
          <w:szCs w:val="22"/>
        </w:rPr>
        <w:t>What is a road traffic collision?</w:t>
      </w:r>
    </w:p>
    <w:p w14:paraId="679F19A4" w14:textId="77777777" w:rsidR="00DE4417" w:rsidRPr="00C20FEC" w:rsidRDefault="00DE4417" w:rsidP="00DE4417">
      <w:pPr>
        <w:rPr>
          <w:rFonts w:asciiTheme="minorHAnsi" w:hAnsiTheme="minorHAnsi" w:cstheme="minorHAnsi"/>
          <w:sz w:val="22"/>
          <w:szCs w:val="22"/>
        </w:rPr>
      </w:pPr>
      <w:r w:rsidRPr="00C20FEC">
        <w:rPr>
          <w:rFonts w:asciiTheme="minorHAnsi" w:hAnsiTheme="minorHAnsi" w:cstheme="minorHAnsi"/>
          <w:sz w:val="22"/>
          <w:szCs w:val="22"/>
        </w:rPr>
        <w:t xml:space="preserve">A collision is defined as </w:t>
      </w:r>
    </w:p>
    <w:p w14:paraId="5DA7875C" w14:textId="77777777" w:rsidR="00DE4417" w:rsidRPr="00C20FEC" w:rsidRDefault="00DE4417" w:rsidP="00DE4417">
      <w:pPr>
        <w:rPr>
          <w:rFonts w:asciiTheme="minorHAnsi" w:hAnsiTheme="minorHAnsi" w:cstheme="minorHAnsi"/>
          <w:sz w:val="22"/>
          <w:szCs w:val="22"/>
        </w:rPr>
      </w:pPr>
      <w:r w:rsidRPr="00C20FEC">
        <w:rPr>
          <w:rFonts w:asciiTheme="minorHAnsi" w:hAnsiTheme="minorHAnsi" w:cstheme="minorHAnsi"/>
          <w:sz w:val="22"/>
          <w:szCs w:val="22"/>
        </w:rPr>
        <w:t>“a collision involving a mechanically propelled vehicle on a road or other public area which causes.</w:t>
      </w:r>
    </w:p>
    <w:p w14:paraId="7F00CC01" w14:textId="1F0ECDEE" w:rsidR="00DE4417" w:rsidRPr="00C20FEC" w:rsidRDefault="00DE4417">
      <w:pPr>
        <w:pStyle w:val="ListParagraph"/>
        <w:numPr>
          <w:ilvl w:val="0"/>
          <w:numId w:val="8"/>
        </w:numPr>
        <w:rPr>
          <w:rFonts w:asciiTheme="minorHAnsi" w:hAnsiTheme="minorHAnsi" w:cstheme="minorHAnsi"/>
          <w:sz w:val="22"/>
          <w:szCs w:val="22"/>
        </w:rPr>
      </w:pPr>
      <w:r w:rsidRPr="00C20FEC">
        <w:rPr>
          <w:rFonts w:asciiTheme="minorHAnsi" w:hAnsiTheme="minorHAnsi" w:cstheme="minorHAnsi"/>
          <w:sz w:val="22"/>
          <w:szCs w:val="22"/>
        </w:rPr>
        <w:t>Injury or damage to anybody, other than the driver of the vehicle.</w:t>
      </w:r>
    </w:p>
    <w:p w14:paraId="5C9F3EAB" w14:textId="37EB4340" w:rsidR="00DE4417" w:rsidRPr="00C20FEC" w:rsidRDefault="00DE4417">
      <w:pPr>
        <w:pStyle w:val="ListParagraph"/>
        <w:numPr>
          <w:ilvl w:val="0"/>
          <w:numId w:val="8"/>
        </w:numPr>
        <w:rPr>
          <w:rFonts w:asciiTheme="minorHAnsi" w:hAnsiTheme="minorHAnsi" w:cstheme="minorHAnsi"/>
          <w:sz w:val="22"/>
          <w:szCs w:val="22"/>
        </w:rPr>
      </w:pPr>
      <w:r w:rsidRPr="00C20FEC">
        <w:rPr>
          <w:rFonts w:asciiTheme="minorHAnsi" w:hAnsiTheme="minorHAnsi" w:cstheme="minorHAnsi"/>
          <w:sz w:val="22"/>
          <w:szCs w:val="22"/>
        </w:rPr>
        <w:t>Injury or damage to an animal, other than one being carried in that vehicle,</w:t>
      </w:r>
    </w:p>
    <w:p w14:paraId="64340D25" w14:textId="5F664D35" w:rsidR="00DE4417" w:rsidRPr="00C20FEC" w:rsidRDefault="00DE4417">
      <w:pPr>
        <w:pStyle w:val="ListParagraph"/>
        <w:numPr>
          <w:ilvl w:val="0"/>
          <w:numId w:val="8"/>
        </w:numPr>
        <w:rPr>
          <w:rFonts w:asciiTheme="minorHAnsi" w:hAnsiTheme="minorHAnsi" w:cstheme="minorHAnsi"/>
          <w:sz w:val="22"/>
          <w:szCs w:val="22"/>
        </w:rPr>
      </w:pPr>
      <w:r w:rsidRPr="00C20FEC">
        <w:rPr>
          <w:rFonts w:asciiTheme="minorHAnsi" w:hAnsiTheme="minorHAnsi" w:cstheme="minorHAnsi"/>
          <w:sz w:val="22"/>
          <w:szCs w:val="22"/>
        </w:rPr>
        <w:t>Damage to a vehicle, other than the vehicle that caused the collision.</w:t>
      </w:r>
    </w:p>
    <w:p w14:paraId="3BE93B47" w14:textId="113964C1" w:rsidR="00DE4417" w:rsidRPr="00C20FEC" w:rsidRDefault="00DE4417">
      <w:pPr>
        <w:pStyle w:val="ListParagraph"/>
        <w:numPr>
          <w:ilvl w:val="0"/>
          <w:numId w:val="8"/>
        </w:numPr>
        <w:rPr>
          <w:rFonts w:asciiTheme="minorHAnsi" w:hAnsiTheme="minorHAnsi" w:cstheme="minorHAnsi"/>
          <w:sz w:val="22"/>
          <w:szCs w:val="22"/>
        </w:rPr>
      </w:pPr>
      <w:r w:rsidRPr="00C20FEC">
        <w:rPr>
          <w:rFonts w:asciiTheme="minorHAnsi" w:hAnsiTheme="minorHAnsi" w:cstheme="minorHAnsi"/>
          <w:sz w:val="22"/>
          <w:szCs w:val="22"/>
        </w:rPr>
        <w:t>Damage to property built on, attached to, growing in, or otherwise forming part of the land where the road is” (Police.uk, 2023)</w:t>
      </w:r>
    </w:p>
    <w:p w14:paraId="7D93EFC7" w14:textId="61DAF4A3" w:rsidR="00DE4417" w:rsidRDefault="00DE4417" w:rsidP="00DE4417">
      <w:pPr>
        <w:rPr>
          <w:rFonts w:asciiTheme="minorHAnsi" w:hAnsiTheme="minorHAnsi" w:cstheme="minorHAnsi"/>
          <w:sz w:val="22"/>
          <w:szCs w:val="22"/>
        </w:rPr>
      </w:pPr>
      <w:r w:rsidRPr="00C20FEC">
        <w:rPr>
          <w:rFonts w:asciiTheme="minorHAnsi" w:hAnsiTheme="minorHAnsi" w:cstheme="minorHAnsi"/>
          <w:sz w:val="22"/>
          <w:szCs w:val="22"/>
        </w:rPr>
        <w:lastRenderedPageBreak/>
        <w:t>What has the potential to make a road traffic collision serious?</w:t>
      </w:r>
    </w:p>
    <w:p w14:paraId="27E7F7B8" w14:textId="77777777" w:rsidR="00C20FEC" w:rsidRPr="00C20FEC" w:rsidRDefault="00C20FEC" w:rsidP="00DE4417">
      <w:pPr>
        <w:rPr>
          <w:rFonts w:asciiTheme="minorHAnsi" w:hAnsiTheme="minorHAnsi" w:cstheme="minorHAnsi"/>
          <w:sz w:val="22"/>
          <w:szCs w:val="22"/>
        </w:rPr>
      </w:pPr>
    </w:p>
    <w:p w14:paraId="2F628F18" w14:textId="091713E8" w:rsidR="00DE4417" w:rsidRDefault="00DE4417" w:rsidP="00DE4417">
      <w:pPr>
        <w:rPr>
          <w:rFonts w:asciiTheme="minorHAnsi" w:hAnsiTheme="minorHAnsi" w:cstheme="minorHAnsi"/>
          <w:sz w:val="22"/>
          <w:szCs w:val="22"/>
        </w:rPr>
      </w:pPr>
      <w:r w:rsidRPr="00C20FEC">
        <w:rPr>
          <w:rFonts w:asciiTheme="minorHAnsi" w:hAnsiTheme="minorHAnsi" w:cstheme="minorHAnsi"/>
          <w:sz w:val="22"/>
          <w:szCs w:val="22"/>
        </w:rPr>
        <w:t>“A serious road traffic collision is one where the persons involved suffer injuries that are potentially fatal or life changing “( College of policing 2023).</w:t>
      </w:r>
    </w:p>
    <w:p w14:paraId="55635863" w14:textId="77777777" w:rsidR="00C20FEC" w:rsidRPr="00C20FEC" w:rsidRDefault="00C20FEC" w:rsidP="00DE4417">
      <w:pPr>
        <w:rPr>
          <w:rFonts w:asciiTheme="minorHAnsi" w:hAnsiTheme="minorHAnsi" w:cstheme="minorHAnsi"/>
          <w:sz w:val="22"/>
          <w:szCs w:val="22"/>
        </w:rPr>
      </w:pPr>
    </w:p>
    <w:p w14:paraId="06FA9349" w14:textId="346B1C10" w:rsidR="00DE4417" w:rsidRDefault="00DE4417" w:rsidP="00DE4417">
      <w:pPr>
        <w:rPr>
          <w:rFonts w:asciiTheme="minorHAnsi" w:hAnsiTheme="minorHAnsi" w:cstheme="minorHAnsi"/>
          <w:sz w:val="22"/>
          <w:szCs w:val="22"/>
        </w:rPr>
      </w:pPr>
      <w:r w:rsidRPr="00C20FEC">
        <w:rPr>
          <w:rFonts w:asciiTheme="minorHAnsi" w:hAnsiTheme="minorHAnsi" w:cstheme="minorHAnsi"/>
          <w:sz w:val="22"/>
          <w:szCs w:val="22"/>
        </w:rPr>
        <w:t>This means that a road traffic collision that causes the injured parties to potentially die or have injuries that are so serious that their lifelong health and wellbeing will be affected.</w:t>
      </w:r>
      <w:r w:rsidR="00C20FEC">
        <w:rPr>
          <w:rFonts w:asciiTheme="minorHAnsi" w:hAnsiTheme="minorHAnsi" w:cstheme="minorHAnsi"/>
          <w:sz w:val="22"/>
          <w:szCs w:val="22"/>
        </w:rPr>
        <w:t xml:space="preserve"> </w:t>
      </w:r>
      <w:r w:rsidRPr="00C20FEC">
        <w:rPr>
          <w:rFonts w:asciiTheme="minorHAnsi" w:hAnsiTheme="minorHAnsi" w:cstheme="minorHAnsi"/>
          <w:sz w:val="22"/>
          <w:szCs w:val="22"/>
        </w:rPr>
        <w:t>Due to police officers commonly being first at scene at a road traffic collision it is their responsibility to make an initial assessment and send a report to the control room who can source necessary resources and supervisors to the scene (College of policing 2023).</w:t>
      </w:r>
    </w:p>
    <w:p w14:paraId="076D36B8" w14:textId="77777777" w:rsidR="00C20FEC" w:rsidRPr="00C20FEC" w:rsidRDefault="00C20FEC" w:rsidP="00DE4417">
      <w:pPr>
        <w:rPr>
          <w:rFonts w:asciiTheme="minorHAnsi" w:hAnsiTheme="minorHAnsi" w:cstheme="minorHAnsi"/>
          <w:sz w:val="22"/>
          <w:szCs w:val="22"/>
        </w:rPr>
      </w:pPr>
    </w:p>
    <w:p w14:paraId="55F1029A" w14:textId="77777777" w:rsidR="00DE4417" w:rsidRPr="00C20FEC" w:rsidRDefault="00DE4417" w:rsidP="00DE4417">
      <w:pPr>
        <w:rPr>
          <w:rFonts w:asciiTheme="minorHAnsi" w:hAnsiTheme="minorHAnsi" w:cstheme="minorHAnsi"/>
          <w:sz w:val="22"/>
          <w:szCs w:val="22"/>
        </w:rPr>
      </w:pPr>
      <w:r w:rsidRPr="00C20FEC">
        <w:rPr>
          <w:rFonts w:asciiTheme="minorHAnsi" w:hAnsiTheme="minorHAnsi" w:cstheme="minorHAnsi"/>
          <w:sz w:val="22"/>
          <w:szCs w:val="22"/>
        </w:rPr>
        <w:t>To do this Police use the Mnemonic METHANE to report this as a major incident.</w:t>
      </w:r>
    </w:p>
    <w:p w14:paraId="19FDB8CC" w14:textId="77777777" w:rsidR="00DE4417" w:rsidRPr="00C20FEC" w:rsidRDefault="00DE4417" w:rsidP="00DE4417">
      <w:pPr>
        <w:rPr>
          <w:rFonts w:asciiTheme="minorHAnsi" w:hAnsiTheme="minorHAnsi" w:cstheme="minorHAnsi"/>
          <w:sz w:val="22"/>
          <w:szCs w:val="22"/>
        </w:rPr>
      </w:pPr>
      <w:r w:rsidRPr="00C20FEC">
        <w:rPr>
          <w:rFonts w:asciiTheme="minorHAnsi" w:hAnsiTheme="minorHAnsi" w:cstheme="minorHAnsi"/>
          <w:sz w:val="22"/>
          <w:szCs w:val="22"/>
        </w:rPr>
        <w:t>METHANE stands for:</w:t>
      </w:r>
    </w:p>
    <w:p w14:paraId="35A71E56" w14:textId="77777777" w:rsidR="00DE4417" w:rsidRPr="00C20FEC" w:rsidRDefault="00DE4417" w:rsidP="00DE4417">
      <w:pPr>
        <w:rPr>
          <w:rFonts w:asciiTheme="minorHAnsi" w:hAnsiTheme="minorHAnsi" w:cstheme="minorHAnsi"/>
          <w:sz w:val="22"/>
          <w:szCs w:val="22"/>
        </w:rPr>
      </w:pPr>
      <w:r w:rsidRPr="00C20FEC">
        <w:rPr>
          <w:rFonts w:asciiTheme="minorHAnsi" w:hAnsiTheme="minorHAnsi" w:cstheme="minorHAnsi"/>
          <w:sz w:val="22"/>
          <w:szCs w:val="22"/>
        </w:rPr>
        <w:t>“Major Incident, Exact location, Type of incident, Hazards, Access, Number of casualties, Emergency services” (Jesip. Org, 2023).</w:t>
      </w:r>
    </w:p>
    <w:p w14:paraId="7187F60D" w14:textId="77777777" w:rsidR="00AC4FBE" w:rsidRDefault="00AC4FBE" w:rsidP="00AC4FBE">
      <w:pPr>
        <w:rPr>
          <w:rFonts w:asciiTheme="minorHAnsi" w:hAnsiTheme="minorHAnsi" w:cstheme="minorHAnsi"/>
          <w:sz w:val="22"/>
          <w:szCs w:val="22"/>
        </w:rPr>
      </w:pPr>
    </w:p>
    <w:p w14:paraId="06D04E9D" w14:textId="77777777" w:rsidR="00AC4FBE" w:rsidRDefault="00DE4417" w:rsidP="00AC4FBE">
      <w:pPr>
        <w:rPr>
          <w:rFonts w:asciiTheme="minorHAnsi" w:hAnsiTheme="minorHAnsi" w:cstheme="minorHAnsi"/>
          <w:sz w:val="22"/>
          <w:szCs w:val="22"/>
        </w:rPr>
      </w:pPr>
      <w:r w:rsidRPr="00C20FEC">
        <w:rPr>
          <w:rFonts w:asciiTheme="minorHAnsi" w:hAnsiTheme="minorHAnsi" w:cstheme="minorHAnsi"/>
          <w:sz w:val="22"/>
          <w:szCs w:val="22"/>
        </w:rPr>
        <w:t>A major incident is an event or situation requiring a response under one or more of the emergency services’ major incident plans (college of policing, 2023). This means an event that will need more than just one type of response to it, for example a road traffic collision that requires police attendance, may also need the attendance of an ambulance, an air ambulance and also fire service.</w:t>
      </w:r>
    </w:p>
    <w:p w14:paraId="2A682187" w14:textId="77777777" w:rsidR="00AC4FBE" w:rsidRDefault="00AC4FBE" w:rsidP="00AC4FBE">
      <w:pPr>
        <w:rPr>
          <w:rFonts w:asciiTheme="minorHAnsi" w:hAnsiTheme="minorHAnsi" w:cstheme="minorHAnsi"/>
          <w:sz w:val="22"/>
          <w:szCs w:val="22"/>
        </w:rPr>
      </w:pPr>
    </w:p>
    <w:p w14:paraId="268CA88E" w14:textId="00647EFB" w:rsidR="00DE4417" w:rsidRPr="00C20FEC" w:rsidRDefault="00DE4417" w:rsidP="00AC4FBE">
      <w:pPr>
        <w:rPr>
          <w:rFonts w:asciiTheme="minorHAnsi" w:hAnsiTheme="minorHAnsi" w:cstheme="minorHAnsi"/>
          <w:sz w:val="22"/>
          <w:szCs w:val="22"/>
        </w:rPr>
      </w:pPr>
      <w:r w:rsidRPr="00C20FEC">
        <w:rPr>
          <w:rFonts w:asciiTheme="minorHAnsi" w:hAnsiTheme="minorHAnsi" w:cstheme="minorHAnsi"/>
          <w:sz w:val="22"/>
          <w:szCs w:val="22"/>
        </w:rPr>
        <w:t>The other factors for METHANE allow the responders plan their route to the scene of the incident, for example they will need to know exactly where the incident has happened and what the access to the scene of the incident is like to make sure that they can plan the fastest and safest route to the scene. They will also need to know what type of incident and how many casualties there are in order to make sure that they bring the correct equipment and enough of the equipment to the scene of the incident in order to deal with the casualties appropriately.</w:t>
      </w:r>
    </w:p>
    <w:p w14:paraId="7D2B218E" w14:textId="77777777" w:rsidR="00DE4417" w:rsidRPr="00C20FEC" w:rsidRDefault="00DE4417" w:rsidP="00DE4417">
      <w:pPr>
        <w:rPr>
          <w:rFonts w:asciiTheme="minorHAnsi" w:hAnsiTheme="minorHAnsi" w:cstheme="minorHAnsi"/>
          <w:sz w:val="22"/>
          <w:szCs w:val="22"/>
        </w:rPr>
      </w:pPr>
    </w:p>
    <w:p w14:paraId="7AB339D8" w14:textId="77777777" w:rsidR="00DE4417" w:rsidRPr="00C20FEC" w:rsidRDefault="00DE4417" w:rsidP="00DE4417">
      <w:pPr>
        <w:rPr>
          <w:rFonts w:asciiTheme="minorHAnsi" w:hAnsiTheme="minorHAnsi" w:cstheme="minorHAnsi"/>
          <w:sz w:val="22"/>
          <w:szCs w:val="22"/>
        </w:rPr>
      </w:pPr>
      <w:r w:rsidRPr="00C20FEC">
        <w:rPr>
          <w:rFonts w:asciiTheme="minorHAnsi" w:hAnsiTheme="minorHAnsi" w:cstheme="minorHAnsi"/>
          <w:sz w:val="22"/>
          <w:szCs w:val="22"/>
        </w:rPr>
        <w:t>“Timelines for major incidents are frequently divided into four distinct stages: initial response, consolidation phase, recovery phase, and restoration of normality” (Lowes and Cosgrove, 2016).</w:t>
      </w:r>
    </w:p>
    <w:p w14:paraId="48BF1E03" w14:textId="77DAF050" w:rsidR="00DE4417" w:rsidRDefault="00DE4417" w:rsidP="00DE4417">
      <w:pPr>
        <w:rPr>
          <w:rFonts w:asciiTheme="minorHAnsi" w:hAnsiTheme="minorHAnsi" w:cstheme="minorHAnsi"/>
          <w:sz w:val="22"/>
          <w:szCs w:val="22"/>
        </w:rPr>
      </w:pPr>
      <w:r w:rsidRPr="00C20FEC">
        <w:rPr>
          <w:rFonts w:asciiTheme="minorHAnsi" w:hAnsiTheme="minorHAnsi" w:cstheme="minorHAnsi"/>
          <w:sz w:val="22"/>
          <w:szCs w:val="22"/>
        </w:rPr>
        <w:t>This shows there are 4 different components when dealing with a major incident to make sure that normal routine is able to carry on after this has happened, the amount of time each of these stages will take will depend on the complexity and seriousness of the incident.</w:t>
      </w:r>
    </w:p>
    <w:p w14:paraId="17FBF4ED" w14:textId="77777777" w:rsidR="00AC4FBE" w:rsidRDefault="00AC4FBE" w:rsidP="00AC4FBE">
      <w:pPr>
        <w:rPr>
          <w:rFonts w:asciiTheme="minorHAnsi" w:hAnsiTheme="minorHAnsi" w:cstheme="minorHAnsi"/>
          <w:sz w:val="22"/>
          <w:szCs w:val="22"/>
        </w:rPr>
      </w:pPr>
    </w:p>
    <w:p w14:paraId="66EF2D62" w14:textId="7596099E" w:rsidR="00DE4417" w:rsidRPr="00C20FEC" w:rsidRDefault="00DE4417" w:rsidP="00AC4FBE">
      <w:pPr>
        <w:rPr>
          <w:rFonts w:asciiTheme="minorHAnsi" w:hAnsiTheme="minorHAnsi" w:cstheme="minorHAnsi"/>
          <w:sz w:val="22"/>
          <w:szCs w:val="22"/>
        </w:rPr>
      </w:pPr>
      <w:r w:rsidRPr="00C20FEC">
        <w:rPr>
          <w:rFonts w:asciiTheme="minorHAnsi" w:hAnsiTheme="minorHAnsi" w:cstheme="minorHAnsi"/>
          <w:sz w:val="22"/>
          <w:szCs w:val="22"/>
        </w:rPr>
        <w:t>Throughout this question I will be describing an incident of this nature that I have dealt with and critically evaluating the evidence base I had to deal with and also evaluating strategies to make incidents like this less likely to reoccur.</w:t>
      </w:r>
    </w:p>
    <w:p w14:paraId="00ACEFB5" w14:textId="77777777" w:rsidR="00DE4417" w:rsidRPr="00C20FEC" w:rsidRDefault="00DE4417" w:rsidP="00DE4417">
      <w:pPr>
        <w:rPr>
          <w:rFonts w:asciiTheme="minorHAnsi" w:hAnsiTheme="minorHAnsi" w:cstheme="minorHAnsi"/>
          <w:sz w:val="22"/>
          <w:szCs w:val="22"/>
        </w:rPr>
      </w:pPr>
    </w:p>
    <w:p w14:paraId="0574A3D6" w14:textId="77777777" w:rsidR="00DE4417" w:rsidRPr="00C20FEC" w:rsidRDefault="00DE4417" w:rsidP="00DE4417">
      <w:pPr>
        <w:rPr>
          <w:rFonts w:asciiTheme="minorHAnsi" w:hAnsiTheme="minorHAnsi" w:cstheme="minorHAnsi"/>
          <w:sz w:val="22"/>
          <w:szCs w:val="22"/>
        </w:rPr>
      </w:pPr>
      <w:r w:rsidRPr="00C20FEC">
        <w:rPr>
          <w:rFonts w:asciiTheme="minorHAnsi" w:hAnsiTheme="minorHAnsi" w:cstheme="minorHAnsi"/>
          <w:sz w:val="22"/>
          <w:szCs w:val="22"/>
        </w:rPr>
        <w:t xml:space="preserve">The incident of which I will be evaluating in this question is one where we were alerted to a call that there had been an RTC on a busy dual carriage way leading out of the city centre. I would double crewed with a traffic officer to this call and we attended on an emergency response. When we arrived at the call the officer who was driving blocked off the road with his car so no more traffic was able to pass by the scene and potentially cause further injuries to anyone. Whilst my colleague blocked the road safely, I approached the scene of the accident to see what had happened and check on the severity of the injuries sustained by person involved. As I approached the scene there were two males laying on the floor with a motorbike laying approximately 10 metres away. One of the males was unconscious and the other male was conscious but severely injured. I quickly told my colleague to call for more units at the scene whilst I approached the unconscious male to assess his levels of injuries. There were no visible injuries however I was unsure if there could have been anything internal. </w:t>
      </w:r>
    </w:p>
    <w:p w14:paraId="66BDFB3E" w14:textId="0A344C25" w:rsidR="00DE4417" w:rsidRDefault="00DE4417" w:rsidP="00DE4417">
      <w:pPr>
        <w:rPr>
          <w:rFonts w:asciiTheme="minorHAnsi" w:hAnsiTheme="minorHAnsi" w:cstheme="minorHAnsi"/>
          <w:sz w:val="22"/>
          <w:szCs w:val="22"/>
        </w:rPr>
      </w:pPr>
      <w:r w:rsidRPr="00C20FEC">
        <w:rPr>
          <w:rFonts w:asciiTheme="minorHAnsi" w:hAnsiTheme="minorHAnsi" w:cstheme="minorHAnsi"/>
          <w:sz w:val="22"/>
          <w:szCs w:val="22"/>
        </w:rPr>
        <w:lastRenderedPageBreak/>
        <w:t xml:space="preserve"> At this point Ambulance booked off, so I updated them on what I had done so far and the conditions of the males. I then started to speak to the people around the incident to ascertain what had been seen and if there were any witnesses to the incident. As I was doing so all the individuals stood by told me they did not witness the actual incident they just stopped afterwards to check on the males and await police arrival Due to both males at the scene being unable to confirm who they were or what had happened their property was checked to ascertain their information. Whilst still at the scene the male who was conscious lost consciousness, at this point both of the males were placed in ambulances and taken to the hospital. Due to the circumstances still being unknown bloods needed to be taken at the hospital to be able to know whether there was drink or drugs involved in the incident. Therefore, myself and another officer went in the ambulance to the hospital, the hospital staff were able to update us that the injuries to both males were potentially life threatening. Following bloods been taken when safe to do so; from the two males at the hospital whilst they were still unconscious the CCTV was followed up on from the incident top ascertain who was driving the bike at the time and who was the passenger, but also to see if any other vehicles or pedestrians had been involved.</w:t>
      </w:r>
    </w:p>
    <w:p w14:paraId="158AEAD6" w14:textId="77777777" w:rsidR="00AC4FBE" w:rsidRDefault="00AC4FBE" w:rsidP="00AC4FBE">
      <w:pPr>
        <w:rPr>
          <w:rFonts w:asciiTheme="minorHAnsi" w:hAnsiTheme="minorHAnsi" w:cstheme="minorHAnsi"/>
          <w:sz w:val="22"/>
          <w:szCs w:val="22"/>
        </w:rPr>
      </w:pPr>
    </w:p>
    <w:p w14:paraId="215C6F32" w14:textId="72DCA3F5" w:rsidR="00DE4417" w:rsidRPr="00C20FEC" w:rsidRDefault="00DE4417" w:rsidP="00AC4FBE">
      <w:pPr>
        <w:rPr>
          <w:rFonts w:asciiTheme="minorHAnsi" w:hAnsiTheme="minorHAnsi" w:cstheme="minorHAnsi"/>
          <w:sz w:val="22"/>
          <w:szCs w:val="22"/>
        </w:rPr>
      </w:pPr>
      <w:r w:rsidRPr="00C20FEC">
        <w:rPr>
          <w:rFonts w:asciiTheme="minorHAnsi" w:hAnsiTheme="minorHAnsi" w:cstheme="minorHAnsi"/>
          <w:sz w:val="22"/>
          <w:szCs w:val="22"/>
        </w:rPr>
        <w:t>The CCTV of the incident showed the bike travelling towards the scene of the incident however did not show thew actual incident itself, this however did allow for the ID of who was driving the bike to be made. Once the males became stable in the hospital the male who was the passenger was willing to provide a statement to say that the other male was the driver of the vehicle.</w:t>
      </w:r>
    </w:p>
    <w:p w14:paraId="31F6D826" w14:textId="77777777" w:rsidR="00AC4FBE" w:rsidRDefault="00AC4FBE" w:rsidP="00AC4FBE">
      <w:pPr>
        <w:rPr>
          <w:rFonts w:asciiTheme="minorHAnsi" w:hAnsiTheme="minorHAnsi" w:cstheme="minorHAnsi"/>
          <w:sz w:val="22"/>
          <w:szCs w:val="22"/>
        </w:rPr>
      </w:pPr>
    </w:p>
    <w:p w14:paraId="72229A71" w14:textId="0D5FDEE6" w:rsidR="00DE4417" w:rsidRPr="00C20FEC" w:rsidRDefault="00DE4417" w:rsidP="00AC4FBE">
      <w:pPr>
        <w:rPr>
          <w:rFonts w:asciiTheme="minorHAnsi" w:hAnsiTheme="minorHAnsi" w:cstheme="minorHAnsi"/>
          <w:sz w:val="22"/>
          <w:szCs w:val="22"/>
        </w:rPr>
      </w:pPr>
      <w:r w:rsidRPr="00C20FEC">
        <w:rPr>
          <w:rFonts w:asciiTheme="minorHAnsi" w:hAnsiTheme="minorHAnsi" w:cstheme="minorHAnsi"/>
          <w:sz w:val="22"/>
          <w:szCs w:val="22"/>
        </w:rPr>
        <w:t>The driver of the vehicle was interviewed regarding this matter and admitted that he was driving without insurance and an improper license, however the blood tests confirmed there was no sign of drink or drugs in his body. The male was charged with no licence and no insurance.</w:t>
      </w:r>
    </w:p>
    <w:p w14:paraId="348BD39E" w14:textId="77777777" w:rsidR="00DE4417" w:rsidRPr="00C20FEC" w:rsidRDefault="00DE4417" w:rsidP="00DE4417">
      <w:pPr>
        <w:rPr>
          <w:rFonts w:asciiTheme="minorHAnsi" w:hAnsiTheme="minorHAnsi" w:cstheme="minorHAnsi"/>
          <w:sz w:val="22"/>
          <w:szCs w:val="22"/>
        </w:rPr>
      </w:pPr>
    </w:p>
    <w:p w14:paraId="734223E5" w14:textId="65CF054A" w:rsidR="00DE4417" w:rsidRDefault="00DE4417" w:rsidP="00DE4417">
      <w:pPr>
        <w:rPr>
          <w:rFonts w:asciiTheme="minorHAnsi" w:hAnsiTheme="minorHAnsi" w:cstheme="minorHAnsi"/>
          <w:sz w:val="22"/>
          <w:szCs w:val="22"/>
        </w:rPr>
      </w:pPr>
      <w:r w:rsidRPr="00C20FEC">
        <w:rPr>
          <w:rFonts w:asciiTheme="minorHAnsi" w:hAnsiTheme="minorHAnsi" w:cstheme="minorHAnsi"/>
          <w:sz w:val="22"/>
          <w:szCs w:val="22"/>
        </w:rPr>
        <w:t>When the initial call for this came in, it was attended on an emergency response this is important to be able to secure and preserve as much evidence as possible and also to make sure all parties are safe and there is a reduced risk of any further incidents. Memory for a witnessed event decays over time, with a steep decline in memory quality in the hours and days following the incident, which then levels off as further time passes (Wixted &amp; Ebbesen,1991). This shows the importance of arriving at incidents such as these as fast as safely possible, because this means that any witnesses at the scene can be spoken to as quickly as possible, so any memories are fresh and do not become distorted. This can also be the case if the incident is traumatic, the longer this is from the incident the more likely the witness is to try and forget the events. As more time passes, the vulnerability of memory to misinformation increases, and witnesses find it increasingly difficult to distinguish between details that were personally experienced and details that were learned from another source (Paz-Alonso &amp; Goodman, 2008).</w:t>
      </w:r>
    </w:p>
    <w:p w14:paraId="520ADFC4" w14:textId="77777777" w:rsidR="00AC4FBE" w:rsidRPr="00C20FEC" w:rsidRDefault="00AC4FBE" w:rsidP="00DE4417">
      <w:pPr>
        <w:rPr>
          <w:rFonts w:asciiTheme="minorHAnsi" w:hAnsiTheme="minorHAnsi" w:cstheme="minorHAnsi"/>
          <w:sz w:val="22"/>
          <w:szCs w:val="22"/>
        </w:rPr>
      </w:pPr>
    </w:p>
    <w:p w14:paraId="4B67FDAE" w14:textId="77777777" w:rsidR="00DE4417" w:rsidRPr="00C20FEC" w:rsidRDefault="00DE4417" w:rsidP="00DE4417">
      <w:pPr>
        <w:rPr>
          <w:rFonts w:asciiTheme="minorHAnsi" w:hAnsiTheme="minorHAnsi" w:cstheme="minorHAnsi"/>
          <w:sz w:val="22"/>
          <w:szCs w:val="22"/>
        </w:rPr>
      </w:pPr>
      <w:r w:rsidRPr="00C20FEC">
        <w:rPr>
          <w:rFonts w:asciiTheme="minorHAnsi" w:hAnsiTheme="minorHAnsi" w:cstheme="minorHAnsi"/>
          <w:sz w:val="22"/>
          <w:szCs w:val="22"/>
        </w:rPr>
        <w:t>Initially in this incident there was very little evidence base to go from due to the fact that we had not witnessed the incident, furthermore when we arrived at the scene there were no witnesses to the actual incident. “Detailed and accurate testimony can be used to establish the sequence of events that led to the collision, who was at fault, and whether that driver was being reckless” (Horry, 2021).</w:t>
      </w:r>
    </w:p>
    <w:p w14:paraId="6F7BCEDB" w14:textId="77777777" w:rsidR="00DE4417" w:rsidRPr="00C20FEC" w:rsidRDefault="00DE4417" w:rsidP="00DE4417">
      <w:pPr>
        <w:rPr>
          <w:rFonts w:asciiTheme="minorHAnsi" w:hAnsiTheme="minorHAnsi" w:cstheme="minorHAnsi"/>
          <w:sz w:val="22"/>
          <w:szCs w:val="22"/>
        </w:rPr>
      </w:pPr>
      <w:r w:rsidRPr="00C20FEC">
        <w:rPr>
          <w:rFonts w:asciiTheme="minorHAnsi" w:hAnsiTheme="minorHAnsi" w:cstheme="minorHAnsi"/>
          <w:sz w:val="22"/>
          <w:szCs w:val="22"/>
        </w:rPr>
        <w:t>This shows how important it is to make sure all people present at the scene are spoken to, to be able to get an account if they saw anything at all or if they know anyone who may have seen anything to do with the incident. This will not only allow officers to understand what has happened but also give them an indication of how they are able to help any injured person and keep others safe.</w:t>
      </w:r>
    </w:p>
    <w:p w14:paraId="7BBB8ECE" w14:textId="77777777" w:rsidR="00DE4417" w:rsidRPr="00C20FEC" w:rsidRDefault="00DE4417" w:rsidP="00DE4417">
      <w:pPr>
        <w:rPr>
          <w:rFonts w:asciiTheme="minorHAnsi" w:hAnsiTheme="minorHAnsi" w:cstheme="minorHAnsi"/>
          <w:sz w:val="22"/>
          <w:szCs w:val="22"/>
        </w:rPr>
      </w:pPr>
    </w:p>
    <w:p w14:paraId="656280BA" w14:textId="77777777" w:rsidR="00DE4417" w:rsidRPr="00C20FEC" w:rsidRDefault="00DE4417" w:rsidP="00DE4417">
      <w:pPr>
        <w:rPr>
          <w:rFonts w:asciiTheme="minorHAnsi" w:hAnsiTheme="minorHAnsi" w:cstheme="minorHAnsi"/>
          <w:sz w:val="22"/>
          <w:szCs w:val="22"/>
        </w:rPr>
      </w:pPr>
      <w:r w:rsidRPr="00C20FEC">
        <w:rPr>
          <w:rFonts w:asciiTheme="minorHAnsi" w:hAnsiTheme="minorHAnsi" w:cstheme="minorHAnsi"/>
          <w:sz w:val="22"/>
          <w:szCs w:val="22"/>
        </w:rPr>
        <w:t>Throughout the time in which witness accounts were being taken and ambulance had already been called as well as more officers to help control the scene. “The results of the study show that police, fire, and ambulance services want to develop excellent forms of collaboration at the accident scene” (Berlin and Calstrom, 2011).</w:t>
      </w:r>
    </w:p>
    <w:p w14:paraId="0EF13E35" w14:textId="77777777" w:rsidR="00DE4417" w:rsidRPr="00C20FEC" w:rsidRDefault="00DE4417" w:rsidP="00DE4417">
      <w:pPr>
        <w:rPr>
          <w:rFonts w:asciiTheme="minorHAnsi" w:hAnsiTheme="minorHAnsi" w:cstheme="minorHAnsi"/>
          <w:sz w:val="22"/>
          <w:szCs w:val="22"/>
        </w:rPr>
      </w:pPr>
      <w:r w:rsidRPr="00C20FEC">
        <w:rPr>
          <w:rFonts w:asciiTheme="minorHAnsi" w:hAnsiTheme="minorHAnsi" w:cstheme="minorHAnsi"/>
          <w:sz w:val="22"/>
          <w:szCs w:val="22"/>
        </w:rPr>
        <w:lastRenderedPageBreak/>
        <w:t>This shows why it is important for all necessary emergency services to be notified, in this scenario as [police officers were first responders at the scene they were able to notify ambulance straight away with the details they had collected. This therefore allowed for ambulance to respond as fast as possible and allow the victims to have the best chance of survival from such a serious incident.</w:t>
      </w:r>
    </w:p>
    <w:p w14:paraId="57EC3A8A" w14:textId="77777777" w:rsidR="00DE4417" w:rsidRPr="00C20FEC" w:rsidRDefault="00DE4417" w:rsidP="00DE4417">
      <w:pPr>
        <w:rPr>
          <w:rFonts w:asciiTheme="minorHAnsi" w:hAnsiTheme="minorHAnsi" w:cstheme="minorHAnsi"/>
          <w:sz w:val="22"/>
          <w:szCs w:val="22"/>
        </w:rPr>
      </w:pPr>
    </w:p>
    <w:p w14:paraId="1C8E9E52" w14:textId="77777777" w:rsidR="00DE4417" w:rsidRPr="00C20FEC" w:rsidRDefault="00DE4417" w:rsidP="00DE4417">
      <w:pPr>
        <w:rPr>
          <w:rFonts w:asciiTheme="minorHAnsi" w:hAnsiTheme="minorHAnsi" w:cstheme="minorHAnsi"/>
          <w:sz w:val="22"/>
          <w:szCs w:val="22"/>
        </w:rPr>
      </w:pPr>
      <w:r w:rsidRPr="00C20FEC">
        <w:rPr>
          <w:rFonts w:asciiTheme="minorHAnsi" w:hAnsiTheme="minorHAnsi" w:cstheme="minorHAnsi"/>
          <w:sz w:val="22"/>
          <w:szCs w:val="22"/>
        </w:rPr>
        <w:t>Due to many details of the incident still unknown and both involved persons still unconscious officers travelled with the persons in the ambulance to the hospital, in order to keep eyes on them before their bloods would be taken. “Alcohol and drug levels often fall to undetectable levels by the time incapacitated drivers regain consciousness, making it difficult to determine whether they had been under the influence of alcohol or drugs” (Spooner, 2003). This shows how important it was for bloods to be taken ion the hospital even though both people were unconscious as it would allow for it to be determined whether either of the persons involved were under the influence of drink or drugs.</w:t>
      </w:r>
    </w:p>
    <w:p w14:paraId="265C6FA1" w14:textId="77777777" w:rsidR="00DE4417" w:rsidRPr="00C20FEC" w:rsidRDefault="00DE4417" w:rsidP="00DE4417">
      <w:pPr>
        <w:rPr>
          <w:rFonts w:asciiTheme="minorHAnsi" w:hAnsiTheme="minorHAnsi" w:cstheme="minorHAnsi"/>
          <w:sz w:val="22"/>
          <w:szCs w:val="22"/>
        </w:rPr>
      </w:pPr>
    </w:p>
    <w:p w14:paraId="43334409" w14:textId="77777777" w:rsidR="00DE4417" w:rsidRPr="00C20FEC" w:rsidRDefault="00DE4417" w:rsidP="00DE4417">
      <w:pPr>
        <w:rPr>
          <w:rFonts w:asciiTheme="minorHAnsi" w:hAnsiTheme="minorHAnsi" w:cstheme="minorHAnsi"/>
          <w:sz w:val="22"/>
          <w:szCs w:val="22"/>
        </w:rPr>
      </w:pPr>
      <w:r w:rsidRPr="00C20FEC">
        <w:rPr>
          <w:rFonts w:asciiTheme="minorHAnsi" w:hAnsiTheme="minorHAnsi" w:cstheme="minorHAnsi"/>
          <w:sz w:val="22"/>
          <w:szCs w:val="22"/>
        </w:rPr>
        <w:t>Once the bloods had been taken, they were sent off and awaited the result, however in the meantime CCTV of the passengers prior to the incident was viewed in order to ascertain who was the driver and who was the passenger in the incident. Also sought out whilst the males were in hospital weas any details of the passengers and whether they had the correct documentations to ride the motorbike. The result of this showed that the male who was driving the motorbike did not have the correct insurance or a valid driving licence to allow him to drive the vehicle.</w:t>
      </w:r>
    </w:p>
    <w:p w14:paraId="20C5F13A" w14:textId="06375406" w:rsidR="00DE4417" w:rsidRDefault="00DE4417" w:rsidP="00DE4417">
      <w:pPr>
        <w:rPr>
          <w:rFonts w:asciiTheme="minorHAnsi" w:hAnsiTheme="minorHAnsi" w:cstheme="minorHAnsi"/>
          <w:sz w:val="22"/>
          <w:szCs w:val="22"/>
        </w:rPr>
      </w:pPr>
      <w:r w:rsidRPr="00C20FEC">
        <w:rPr>
          <w:rFonts w:asciiTheme="minorHAnsi" w:hAnsiTheme="minorHAnsi" w:cstheme="minorHAnsi"/>
          <w:sz w:val="22"/>
          <w:szCs w:val="22"/>
        </w:rPr>
        <w:t>“A significant association was found between all reasons for Driving without valid licence (DWVL) and the risk of causing a road crash” (Martin-Delosreyes, et al,. 2021). This shows how the importance of drivers holding a valid licence before they attempt to drive a vehicle as if they are not holding the correct one or one at all this can have a massive impact on the likelihood of causing an RTC.</w:t>
      </w:r>
    </w:p>
    <w:p w14:paraId="139F1A49" w14:textId="77777777" w:rsidR="00AC4FBE" w:rsidRPr="00C20FEC" w:rsidRDefault="00AC4FBE" w:rsidP="00DE4417">
      <w:pPr>
        <w:rPr>
          <w:rFonts w:asciiTheme="minorHAnsi" w:hAnsiTheme="minorHAnsi" w:cstheme="minorHAnsi"/>
          <w:sz w:val="22"/>
          <w:szCs w:val="22"/>
        </w:rPr>
      </w:pPr>
    </w:p>
    <w:p w14:paraId="64C3FD62" w14:textId="77777777" w:rsidR="00DE4417" w:rsidRPr="00C20FEC" w:rsidRDefault="00DE4417" w:rsidP="00DE4417">
      <w:pPr>
        <w:rPr>
          <w:rFonts w:asciiTheme="minorHAnsi" w:hAnsiTheme="minorHAnsi" w:cstheme="minorHAnsi"/>
          <w:sz w:val="22"/>
          <w:szCs w:val="22"/>
        </w:rPr>
      </w:pPr>
      <w:r w:rsidRPr="00C20FEC">
        <w:rPr>
          <w:rFonts w:asciiTheme="minorHAnsi" w:hAnsiTheme="minorHAnsi" w:cstheme="minorHAnsi"/>
          <w:sz w:val="22"/>
          <w:szCs w:val="22"/>
        </w:rPr>
        <w:t>Further to this “Drivers owning a motorcycle licence turned out to be less responsible for motorcycle–car crashes than drivers who do not have one” (Maguzzie, et al,. 2006). Again this shows that when the driver has the correct licence they are less willing to cause a crash than one who does hold one. Therefore, in this situation the driver would have been less likely to be involved in this collision if he had the correct licence before ever getting behind the wheel and also endangering his friend.</w:t>
      </w:r>
    </w:p>
    <w:p w14:paraId="4DDC8519" w14:textId="77777777" w:rsidR="00DE4417" w:rsidRPr="00C20FEC" w:rsidRDefault="00DE4417" w:rsidP="00DE4417">
      <w:pPr>
        <w:rPr>
          <w:rFonts w:asciiTheme="minorHAnsi" w:hAnsiTheme="minorHAnsi" w:cstheme="minorHAnsi"/>
          <w:sz w:val="22"/>
          <w:szCs w:val="22"/>
        </w:rPr>
      </w:pPr>
    </w:p>
    <w:p w14:paraId="1FEAEA86" w14:textId="0894A6C4" w:rsidR="00DE4417" w:rsidRPr="00C20FEC" w:rsidRDefault="00DE4417" w:rsidP="00DE4417">
      <w:pPr>
        <w:rPr>
          <w:rFonts w:asciiTheme="minorHAnsi" w:hAnsiTheme="minorHAnsi" w:cstheme="minorHAnsi"/>
          <w:sz w:val="22"/>
          <w:szCs w:val="22"/>
        </w:rPr>
      </w:pPr>
      <w:r w:rsidRPr="00C20FEC">
        <w:rPr>
          <w:rFonts w:asciiTheme="minorHAnsi" w:hAnsiTheme="minorHAnsi" w:cstheme="minorHAnsi"/>
          <w:sz w:val="22"/>
          <w:szCs w:val="22"/>
        </w:rPr>
        <w:t xml:space="preserve">Due to the male involved in this RTC not holding a valid licence he was charged with this offence. ‘Revoking or suspending the licenses of persons has often been claimed to be uniquely effective in reducing subsequent dangerous driving, as indexed by crashes and violations.’ (Ross and Gonzales, 1988). </w:t>
      </w:r>
    </w:p>
    <w:p w14:paraId="08DDD393" w14:textId="77777777" w:rsidR="00702268" w:rsidRPr="00C20FEC" w:rsidRDefault="00702268" w:rsidP="00DE4417">
      <w:pPr>
        <w:rPr>
          <w:rFonts w:asciiTheme="minorHAnsi" w:hAnsiTheme="minorHAnsi" w:cstheme="minorHAnsi"/>
          <w:sz w:val="22"/>
          <w:szCs w:val="22"/>
        </w:rPr>
      </w:pPr>
    </w:p>
    <w:p w14:paraId="1233D360" w14:textId="77777777" w:rsidR="00DE4417" w:rsidRPr="00C20FEC" w:rsidRDefault="00DE4417" w:rsidP="00DE4417">
      <w:pPr>
        <w:rPr>
          <w:rFonts w:asciiTheme="minorHAnsi" w:hAnsiTheme="minorHAnsi" w:cstheme="minorHAnsi"/>
          <w:sz w:val="22"/>
          <w:szCs w:val="22"/>
        </w:rPr>
      </w:pPr>
      <w:r w:rsidRPr="00C20FEC">
        <w:rPr>
          <w:rFonts w:asciiTheme="minorHAnsi" w:hAnsiTheme="minorHAnsi" w:cstheme="minorHAnsi"/>
          <w:sz w:val="22"/>
          <w:szCs w:val="22"/>
        </w:rPr>
        <w:t>This shows how important it is that the male was charged with the following offence as this will have a major impact on the likelihood of the male causing any further driving related offences. By the male being charged for this, it will reduce the likelihood of this reoccurring.  Therefore if all matters of driving without a valid licence are dealt with in a similar matter this will reduce the likelihood of all accidents happening. Although it will not irradicate accidents altogether it will be able to reduce the number of them, making the roads a safer place for all drivers, passengers and pedestrians to use.</w:t>
      </w:r>
    </w:p>
    <w:p w14:paraId="585A57B6" w14:textId="77777777" w:rsidR="00DE4417" w:rsidRPr="00E676F7" w:rsidRDefault="00DE4417" w:rsidP="0FF883D4">
      <w:pPr>
        <w:ind w:right="237"/>
        <w:jc w:val="both"/>
        <w:rPr>
          <w:b/>
          <w:bCs/>
          <w:sz w:val="24"/>
          <w:szCs w:val="24"/>
        </w:rPr>
      </w:pP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lastRenderedPageBreak/>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4207DFA" w:rsidR="0FF883D4" w:rsidRDefault="5CE196A1" w:rsidP="5CE196A1">
      <w:r w:rsidRPr="5CE196A1">
        <w:rPr>
          <w:rFonts w:eastAsia="Arial"/>
          <w:b/>
          <w:bCs/>
          <w:color w:val="000000" w:themeColor="text1"/>
          <w:sz w:val="24"/>
          <w:szCs w:val="24"/>
        </w:rPr>
        <w:t xml:space="preserve">Signed: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8CD1802" w:rsidR="0FF883D4" w:rsidRDefault="0FF883D4" w:rsidP="5CE196A1">
      <w:pPr>
        <w:ind w:left="2880" w:right="225" w:firstLine="720"/>
        <w:rPr>
          <w:b/>
          <w:bCs/>
          <w:sz w:val="24"/>
          <w:szCs w:val="24"/>
          <w:lang w:eastAsia="zh-TW"/>
        </w:rPr>
        <w:sectPr w:rsidR="0FF883D4"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09341FBF"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2FB2A6B9" w14:textId="73B2D3DB" w:rsidR="00DE4417" w:rsidRDefault="00DE4417" w:rsidP="00EA28F1">
      <w:pPr>
        <w:keepNext/>
        <w:spacing w:before="240" w:after="60"/>
        <w:ind w:right="237"/>
        <w:jc w:val="both"/>
        <w:rPr>
          <w:sz w:val="24"/>
          <w:szCs w:val="24"/>
        </w:rPr>
      </w:pPr>
    </w:p>
    <w:p w14:paraId="7891DF2C" w14:textId="77777777" w:rsidR="00DE4417" w:rsidRDefault="00DE4417" w:rsidP="00DE4417"/>
    <w:p w14:paraId="0F2BA096" w14:textId="66693132" w:rsidR="00DE4417" w:rsidRDefault="00DE4417">
      <w:pPr>
        <w:pStyle w:val="ListParagraph"/>
        <w:numPr>
          <w:ilvl w:val="0"/>
          <w:numId w:val="7"/>
        </w:numPr>
        <w:rPr>
          <w:color w:val="222222"/>
          <w:shd w:val="clear" w:color="auto" w:fill="FFFFFF"/>
        </w:rPr>
      </w:pPr>
      <w:r w:rsidRPr="00DE4417">
        <w:rPr>
          <w:color w:val="222222"/>
          <w:shd w:val="clear" w:color="auto" w:fill="FFFFFF"/>
        </w:rPr>
        <w:t>Berlin, J.M. and Carlstrom, E.D., 2011. Why is collaboration minimised at the accident scene? A critical study of a hidden phenomenon. Disaster prevention and management: An international Journal, 20(2), pp. 159-171.</w:t>
      </w:r>
    </w:p>
    <w:p w14:paraId="6C913C9A" w14:textId="77777777" w:rsidR="004D1411" w:rsidRPr="00DE4417" w:rsidRDefault="004D1411" w:rsidP="00C20FEC">
      <w:pPr>
        <w:pStyle w:val="ListParagraph"/>
        <w:rPr>
          <w:color w:val="222222"/>
          <w:shd w:val="clear" w:color="auto" w:fill="FFFFFF"/>
        </w:rPr>
      </w:pPr>
    </w:p>
    <w:p w14:paraId="17BC48E0" w14:textId="77777777" w:rsidR="00DE4417" w:rsidRDefault="00DE4417" w:rsidP="00C20FEC"/>
    <w:p w14:paraId="2D447D90" w14:textId="231081A1" w:rsidR="00DE4417" w:rsidRDefault="00DE4417">
      <w:pPr>
        <w:pStyle w:val="ListParagraph"/>
        <w:numPr>
          <w:ilvl w:val="0"/>
          <w:numId w:val="7"/>
        </w:numPr>
        <w:rPr>
          <w:color w:val="222222"/>
          <w:shd w:val="clear" w:color="auto" w:fill="FFFFFF"/>
        </w:rPr>
      </w:pPr>
      <w:r w:rsidRPr="00DE4417">
        <w:rPr>
          <w:color w:val="222222"/>
          <w:shd w:val="clear" w:color="auto" w:fill="FFFFFF"/>
        </w:rPr>
        <w:t>Blackburn, K. and Graca, S., 2021. A critical reflection on the use and effectiveness of DVPNs and DVPOs. </w:t>
      </w:r>
      <w:r w:rsidRPr="00DE4417">
        <w:rPr>
          <w:i/>
          <w:iCs/>
          <w:color w:val="222222"/>
          <w:shd w:val="clear" w:color="auto" w:fill="FFFFFF"/>
        </w:rPr>
        <w:t>Police Practice and Research</w:t>
      </w:r>
      <w:r w:rsidRPr="00DE4417">
        <w:rPr>
          <w:color w:val="222222"/>
          <w:shd w:val="clear" w:color="auto" w:fill="FFFFFF"/>
        </w:rPr>
        <w:t>, </w:t>
      </w:r>
      <w:r w:rsidRPr="00DE4417">
        <w:rPr>
          <w:i/>
          <w:iCs/>
          <w:color w:val="222222"/>
          <w:shd w:val="clear" w:color="auto" w:fill="FFFFFF"/>
        </w:rPr>
        <w:t>22</w:t>
      </w:r>
      <w:r w:rsidRPr="00DE4417">
        <w:rPr>
          <w:color w:val="222222"/>
          <w:shd w:val="clear" w:color="auto" w:fill="FFFFFF"/>
        </w:rPr>
        <w:t>(1), pp.23-39.</w:t>
      </w:r>
    </w:p>
    <w:p w14:paraId="4B49B828" w14:textId="51E90F58" w:rsidR="00E22B81" w:rsidRDefault="00E22B81" w:rsidP="00C20FEC">
      <w:pPr>
        <w:rPr>
          <w:color w:val="222222"/>
          <w:shd w:val="clear" w:color="auto" w:fill="FFFFFF"/>
        </w:rPr>
      </w:pPr>
    </w:p>
    <w:p w14:paraId="62F57823" w14:textId="77777777" w:rsidR="00E22B81" w:rsidRDefault="00E22B81">
      <w:pPr>
        <w:pStyle w:val="ListParagraph"/>
        <w:numPr>
          <w:ilvl w:val="0"/>
          <w:numId w:val="7"/>
        </w:numPr>
        <w:rPr>
          <w:rStyle w:val="Hyperlink"/>
        </w:rPr>
      </w:pPr>
      <w:r>
        <w:t xml:space="preserve">College of Policing (n.d.) </w:t>
      </w:r>
      <w:r>
        <w:rPr>
          <w:i/>
          <w:iCs/>
        </w:rPr>
        <w:t xml:space="preserve">Investigation of fatal and serious injury road collisions. </w:t>
      </w:r>
      <w:r>
        <w:t xml:space="preserve">Available at: </w:t>
      </w:r>
      <w:hyperlink r:id="rId21" w:history="1">
        <w:r w:rsidRPr="00942909">
          <w:rPr>
            <w:rStyle w:val="Hyperlink"/>
          </w:rPr>
          <w:t>https://www.college.police.uk/app/roads-policing/investigation-fatal-and-serious-injury-road-collisions</w:t>
        </w:r>
      </w:hyperlink>
      <w:r>
        <w:rPr>
          <w:rStyle w:val="Hyperlink"/>
          <w:u w:val="none"/>
        </w:rPr>
        <w:t xml:space="preserve"> </w:t>
      </w:r>
      <w:r>
        <w:rPr>
          <w:rStyle w:val="Hyperlink"/>
          <w:color w:val="auto"/>
          <w:u w:val="none"/>
        </w:rPr>
        <w:t>(Accessed 5th August 2023)</w:t>
      </w:r>
    </w:p>
    <w:p w14:paraId="0D7FA34C" w14:textId="77777777" w:rsidR="004D1411" w:rsidRPr="00DE4417" w:rsidRDefault="004D1411" w:rsidP="00C20FEC">
      <w:pPr>
        <w:pStyle w:val="ListParagraph"/>
        <w:rPr>
          <w:color w:val="222222"/>
          <w:shd w:val="clear" w:color="auto" w:fill="FFFFFF"/>
        </w:rPr>
      </w:pPr>
    </w:p>
    <w:p w14:paraId="7CB58912" w14:textId="77777777" w:rsidR="00DE4417" w:rsidRDefault="00DE4417" w:rsidP="00C20FEC">
      <w:pPr>
        <w:rPr>
          <w:color w:val="222222"/>
          <w:shd w:val="clear" w:color="auto" w:fill="FFFFFF"/>
        </w:rPr>
      </w:pPr>
    </w:p>
    <w:p w14:paraId="5B587E09" w14:textId="77B696BC" w:rsidR="00DE4417" w:rsidRDefault="00DE4417">
      <w:pPr>
        <w:pStyle w:val="ListParagraph"/>
        <w:numPr>
          <w:ilvl w:val="0"/>
          <w:numId w:val="7"/>
        </w:numPr>
        <w:rPr>
          <w:color w:val="222222"/>
          <w:shd w:val="clear" w:color="auto" w:fill="FFFFFF"/>
        </w:rPr>
      </w:pPr>
      <w:r w:rsidRPr="00DE4417">
        <w:rPr>
          <w:color w:val="222222"/>
          <w:shd w:val="clear" w:color="auto" w:fill="FFFFFF"/>
        </w:rPr>
        <w:t>Green, S., 2012. Crime, victimisation and vulnerability. In </w:t>
      </w:r>
      <w:r w:rsidRPr="00DE4417">
        <w:rPr>
          <w:i/>
          <w:iCs/>
          <w:color w:val="222222"/>
          <w:shd w:val="clear" w:color="auto" w:fill="FFFFFF"/>
        </w:rPr>
        <w:t>Handbook of victims and victimology</w:t>
      </w:r>
      <w:r w:rsidRPr="00DE4417">
        <w:rPr>
          <w:color w:val="222222"/>
          <w:shd w:val="clear" w:color="auto" w:fill="FFFFFF"/>
        </w:rPr>
        <w:t> (pp. 107-134). Willan.</w:t>
      </w:r>
    </w:p>
    <w:p w14:paraId="32C19D50" w14:textId="77777777" w:rsidR="004D1411" w:rsidRPr="00DE4417" w:rsidRDefault="004D1411" w:rsidP="00C20FEC">
      <w:pPr>
        <w:pStyle w:val="ListParagraph"/>
        <w:rPr>
          <w:color w:val="222222"/>
          <w:shd w:val="clear" w:color="auto" w:fill="FFFFFF"/>
        </w:rPr>
      </w:pPr>
    </w:p>
    <w:p w14:paraId="6CE7FAE8" w14:textId="77777777" w:rsidR="00DE4417" w:rsidRDefault="00DE4417" w:rsidP="00C20FEC">
      <w:pPr>
        <w:rPr>
          <w:color w:val="222222"/>
          <w:shd w:val="clear" w:color="auto" w:fill="FFFFFF"/>
        </w:rPr>
      </w:pPr>
    </w:p>
    <w:p w14:paraId="1A9175BE" w14:textId="07B3E0E2" w:rsidR="00DE4417" w:rsidRDefault="00DE4417">
      <w:pPr>
        <w:pStyle w:val="ListParagraph"/>
        <w:numPr>
          <w:ilvl w:val="0"/>
          <w:numId w:val="7"/>
        </w:numPr>
        <w:rPr>
          <w:color w:val="222222"/>
          <w:shd w:val="clear" w:color="auto" w:fill="FFFFFF"/>
        </w:rPr>
      </w:pPr>
      <w:r w:rsidRPr="004D1411">
        <w:rPr>
          <w:color w:val="222222"/>
          <w:shd w:val="clear" w:color="auto" w:fill="FFFFFF"/>
        </w:rPr>
        <w:t>Griffith, R., 2014. Government implementation of domestic violence protection measures nationwide. </w:t>
      </w:r>
      <w:r w:rsidRPr="004D1411">
        <w:rPr>
          <w:i/>
          <w:iCs/>
          <w:color w:val="222222"/>
          <w:shd w:val="clear" w:color="auto" w:fill="FFFFFF"/>
        </w:rPr>
        <w:t>British journal of community nursing</w:t>
      </w:r>
      <w:r w:rsidRPr="004D1411">
        <w:rPr>
          <w:color w:val="222222"/>
          <w:shd w:val="clear" w:color="auto" w:fill="FFFFFF"/>
        </w:rPr>
        <w:t>, </w:t>
      </w:r>
      <w:r w:rsidRPr="004D1411">
        <w:rPr>
          <w:i/>
          <w:iCs/>
          <w:color w:val="222222"/>
          <w:shd w:val="clear" w:color="auto" w:fill="FFFFFF"/>
        </w:rPr>
        <w:t>19</w:t>
      </w:r>
      <w:r w:rsidRPr="004D1411">
        <w:rPr>
          <w:color w:val="222222"/>
          <w:shd w:val="clear" w:color="auto" w:fill="FFFFFF"/>
        </w:rPr>
        <w:t>(6), pp.302-306.</w:t>
      </w:r>
    </w:p>
    <w:p w14:paraId="1AC70489" w14:textId="28367BDC" w:rsidR="00E22B81" w:rsidRDefault="00E22B81" w:rsidP="00C20FEC">
      <w:pPr>
        <w:pStyle w:val="ListParagraph"/>
        <w:rPr>
          <w:color w:val="222222"/>
          <w:shd w:val="clear" w:color="auto" w:fill="FFFFFF"/>
        </w:rPr>
      </w:pPr>
    </w:p>
    <w:p w14:paraId="4D3A60B1" w14:textId="77777777" w:rsidR="00C20FEC" w:rsidRDefault="00C20FEC" w:rsidP="00C20FEC">
      <w:pPr>
        <w:pStyle w:val="ListParagraph"/>
        <w:rPr>
          <w:color w:val="222222"/>
          <w:shd w:val="clear" w:color="auto" w:fill="FFFFFF"/>
        </w:rPr>
      </w:pPr>
    </w:p>
    <w:p w14:paraId="54061080" w14:textId="77777777" w:rsidR="00E22B81" w:rsidRDefault="00E22B81">
      <w:pPr>
        <w:pStyle w:val="ListParagraph"/>
        <w:numPr>
          <w:ilvl w:val="0"/>
          <w:numId w:val="7"/>
        </w:numPr>
        <w:rPr>
          <w:rStyle w:val="Hyperlink"/>
        </w:rPr>
      </w:pPr>
      <w:r>
        <w:t xml:space="preserve">Home Office (2022) </w:t>
      </w:r>
      <w:r>
        <w:rPr>
          <w:i/>
          <w:iCs/>
        </w:rPr>
        <w:t xml:space="preserve">Domestic Violence Protection Notices (DVPNs) and Domestic Violence Protection Orders (DVPOs) guidance. </w:t>
      </w:r>
      <w:r>
        <w:t xml:space="preserve">Available at: </w:t>
      </w:r>
      <w:hyperlink w:history="1">
        <w:r w:rsidRPr="00942909">
          <w:rPr>
            <w:rStyle w:val="Hyperlink"/>
          </w:rPr>
          <w:t>Domestic Violence Protection Notices (DVPNs) and Domestic Violence Protection Orders (DVPOs</w:t>
        </w:r>
        <w:r w:rsidRPr="00942909">
          <w:rPr>
            <w:rStyle w:val="Hyperlink"/>
          </w:rPr>
          <w:t>)</w:t>
        </w:r>
        <w:r w:rsidRPr="00942909">
          <w:rPr>
            <w:rStyle w:val="Hyperlink"/>
          </w:rPr>
          <w:t xml:space="preserve"> guidance - GOV.UK (www.gov.uk)</w:t>
        </w:r>
      </w:hyperlink>
      <w:r>
        <w:t xml:space="preserve"> (Accessed 5</w:t>
      </w:r>
      <w:r w:rsidRPr="00E22B81">
        <w:rPr>
          <w:vertAlign w:val="superscript"/>
        </w:rPr>
        <w:t>th</w:t>
      </w:r>
      <w:r>
        <w:t xml:space="preserve"> August 2023)</w:t>
      </w:r>
    </w:p>
    <w:p w14:paraId="595EBD62" w14:textId="77777777" w:rsidR="00DE4417" w:rsidRDefault="00DE4417" w:rsidP="00C20FEC">
      <w:pPr>
        <w:rPr>
          <w:color w:val="222222"/>
          <w:shd w:val="clear" w:color="auto" w:fill="FFFFFF"/>
        </w:rPr>
      </w:pPr>
    </w:p>
    <w:p w14:paraId="22943DC2" w14:textId="22F8F627" w:rsidR="00DE4417" w:rsidRDefault="00DE4417">
      <w:pPr>
        <w:pStyle w:val="ListParagraph"/>
        <w:numPr>
          <w:ilvl w:val="0"/>
          <w:numId w:val="7"/>
        </w:numPr>
        <w:rPr>
          <w:color w:val="222222"/>
          <w:shd w:val="clear" w:color="auto" w:fill="FFFFFF"/>
        </w:rPr>
      </w:pPr>
      <w:r w:rsidRPr="004D1411">
        <w:rPr>
          <w:color w:val="222222"/>
          <w:shd w:val="clear" w:color="auto" w:fill="FFFFFF"/>
        </w:rPr>
        <w:t>Horry, R., </w:t>
      </w:r>
      <w:r w:rsidRPr="004D1411">
        <w:rPr>
          <w:i/>
          <w:iCs/>
          <w:color w:val="222222"/>
          <w:shd w:val="clear" w:color="auto" w:fill="FFFFFF"/>
        </w:rPr>
        <w:t>Capturing best evidence from witnesses to serious road traffic collisions: A field trial of the Self-Administered Interview for Road Traffic Collisions</w:t>
      </w:r>
      <w:r w:rsidRPr="004D1411">
        <w:rPr>
          <w:color w:val="222222"/>
          <w:shd w:val="clear" w:color="auto" w:fill="FFFFFF"/>
        </w:rPr>
        <w:t> (Doctoral dissertation, University of London)</w:t>
      </w:r>
      <w:r w:rsidR="00C20FEC">
        <w:rPr>
          <w:color w:val="222222"/>
          <w:shd w:val="clear" w:color="auto" w:fill="FFFFFF"/>
        </w:rPr>
        <w:t>.</w:t>
      </w:r>
    </w:p>
    <w:p w14:paraId="7F0E2B70" w14:textId="77777777" w:rsidR="00C20FEC" w:rsidRPr="00C20FEC" w:rsidRDefault="00C20FEC" w:rsidP="00C20FEC">
      <w:pPr>
        <w:pStyle w:val="ListParagraph"/>
        <w:rPr>
          <w:color w:val="222222"/>
          <w:shd w:val="clear" w:color="auto" w:fill="FFFFFF"/>
        </w:rPr>
      </w:pPr>
    </w:p>
    <w:p w14:paraId="4407ECA4" w14:textId="77777777" w:rsidR="00C20FEC" w:rsidRDefault="00C20FEC" w:rsidP="00C20FEC">
      <w:pPr>
        <w:pStyle w:val="ListParagraph"/>
        <w:rPr>
          <w:color w:val="222222"/>
          <w:shd w:val="clear" w:color="auto" w:fill="FFFFFF"/>
        </w:rPr>
      </w:pPr>
    </w:p>
    <w:p w14:paraId="4F98DBBF" w14:textId="2A40C57B" w:rsidR="00C20FEC" w:rsidRDefault="00C20FEC">
      <w:pPr>
        <w:pStyle w:val="ListParagraph"/>
        <w:numPr>
          <w:ilvl w:val="0"/>
          <w:numId w:val="7"/>
        </w:numPr>
        <w:rPr>
          <w:color w:val="222222"/>
          <w:shd w:val="clear" w:color="auto" w:fill="FFFFFF"/>
        </w:rPr>
      </w:pPr>
      <w:r w:rsidRPr="004D1411">
        <w:rPr>
          <w:color w:val="222222"/>
          <w:shd w:val="clear" w:color="auto" w:fill="FFFFFF"/>
        </w:rPr>
        <w:t>Hurley, A.L., Sullivan, P. and McCarthy, J., 2007. The construction of self in online support groups for victims of domestic violence. </w:t>
      </w:r>
      <w:r w:rsidRPr="004D1411">
        <w:rPr>
          <w:i/>
          <w:iCs/>
          <w:color w:val="222222"/>
          <w:shd w:val="clear" w:color="auto" w:fill="FFFFFF"/>
        </w:rPr>
        <w:t>British Journal of Social Psychology</w:t>
      </w:r>
      <w:r w:rsidRPr="004D1411">
        <w:rPr>
          <w:color w:val="222222"/>
          <w:shd w:val="clear" w:color="auto" w:fill="FFFFFF"/>
        </w:rPr>
        <w:t>, </w:t>
      </w:r>
      <w:r w:rsidRPr="004D1411">
        <w:rPr>
          <w:i/>
          <w:iCs/>
          <w:color w:val="222222"/>
          <w:shd w:val="clear" w:color="auto" w:fill="FFFFFF"/>
        </w:rPr>
        <w:t>46</w:t>
      </w:r>
      <w:r w:rsidRPr="004D1411">
        <w:rPr>
          <w:color w:val="222222"/>
          <w:shd w:val="clear" w:color="auto" w:fill="FFFFFF"/>
        </w:rPr>
        <w:t>(4), pp.859-874.</w:t>
      </w:r>
    </w:p>
    <w:p w14:paraId="11E4B7CF" w14:textId="77777777" w:rsidR="00C20FEC" w:rsidRDefault="00C20FEC" w:rsidP="00C20FEC">
      <w:pPr>
        <w:pStyle w:val="ListParagraph"/>
        <w:rPr>
          <w:color w:val="222222"/>
          <w:shd w:val="clear" w:color="auto" w:fill="FFFFFF"/>
        </w:rPr>
      </w:pPr>
    </w:p>
    <w:p w14:paraId="4F6329A0" w14:textId="77777777" w:rsidR="00C20FEC" w:rsidRDefault="00C20FEC">
      <w:pPr>
        <w:pStyle w:val="ListParagraph"/>
        <w:numPr>
          <w:ilvl w:val="0"/>
          <w:numId w:val="7"/>
        </w:numPr>
        <w:rPr>
          <w:color w:val="222222"/>
          <w:shd w:val="clear" w:color="auto" w:fill="FFFFFF"/>
        </w:rPr>
      </w:pPr>
      <w:r w:rsidRPr="004D1411">
        <w:rPr>
          <w:color w:val="222222"/>
          <w:shd w:val="clear" w:color="auto" w:fill="FFFFFF"/>
        </w:rPr>
        <w:t>Husebø, S.E., O'Regan, S. and Nestel, D., 2015. Reflective practice and its role in simulation. </w:t>
      </w:r>
      <w:r w:rsidRPr="004D1411">
        <w:rPr>
          <w:i/>
          <w:iCs/>
          <w:color w:val="222222"/>
          <w:shd w:val="clear" w:color="auto" w:fill="FFFFFF"/>
        </w:rPr>
        <w:t>Clinical Simulation in Nursing</w:t>
      </w:r>
      <w:r w:rsidRPr="004D1411">
        <w:rPr>
          <w:color w:val="222222"/>
          <w:shd w:val="clear" w:color="auto" w:fill="FFFFFF"/>
        </w:rPr>
        <w:t>, </w:t>
      </w:r>
      <w:r w:rsidRPr="004D1411">
        <w:rPr>
          <w:i/>
          <w:iCs/>
          <w:color w:val="222222"/>
          <w:shd w:val="clear" w:color="auto" w:fill="FFFFFF"/>
        </w:rPr>
        <w:t>11</w:t>
      </w:r>
      <w:r w:rsidRPr="004D1411">
        <w:rPr>
          <w:color w:val="222222"/>
          <w:shd w:val="clear" w:color="auto" w:fill="FFFFFF"/>
        </w:rPr>
        <w:t>(8), pp.368-375.</w:t>
      </w:r>
    </w:p>
    <w:p w14:paraId="72E47997" w14:textId="77777777" w:rsidR="00C20FEC" w:rsidRPr="00C20FEC" w:rsidRDefault="00C20FEC" w:rsidP="00C20FEC">
      <w:pPr>
        <w:pStyle w:val="ListParagraph"/>
        <w:rPr>
          <w:color w:val="222222"/>
          <w:shd w:val="clear" w:color="auto" w:fill="FFFFFF"/>
        </w:rPr>
      </w:pPr>
    </w:p>
    <w:p w14:paraId="5527CCB1" w14:textId="47A68370" w:rsidR="00C20FEC" w:rsidRPr="00C20FEC" w:rsidRDefault="00C20FEC">
      <w:pPr>
        <w:pStyle w:val="ListParagraph"/>
        <w:numPr>
          <w:ilvl w:val="0"/>
          <w:numId w:val="7"/>
        </w:numPr>
        <w:rPr>
          <w:rStyle w:val="Hyperlink"/>
          <w:color w:val="auto"/>
          <w:u w:val="none"/>
          <w:shd w:val="clear" w:color="auto" w:fill="FFFFFF"/>
        </w:rPr>
      </w:pPr>
      <w:r>
        <w:rPr>
          <w:color w:val="222222"/>
          <w:shd w:val="clear" w:color="auto" w:fill="FFFFFF"/>
        </w:rPr>
        <w:t xml:space="preserve">JESIP (N.D.) M/ETHANE. Available at </w:t>
      </w:r>
      <w:hyperlink r:id="rId22" w:history="1">
        <w:r w:rsidRPr="00266E47">
          <w:rPr>
            <w:rStyle w:val="Hyperlink"/>
          </w:rPr>
          <w:t>https://www.jesi</w:t>
        </w:r>
        <w:r w:rsidRPr="00266E47">
          <w:rPr>
            <w:rStyle w:val="Hyperlink"/>
          </w:rPr>
          <w:t>p.org.uk/joint-doctrine/m-ethane/</w:t>
        </w:r>
      </w:hyperlink>
      <w:r>
        <w:rPr>
          <w:rStyle w:val="Hyperlink"/>
        </w:rPr>
        <w:t xml:space="preserve"> </w:t>
      </w:r>
      <w:r w:rsidRPr="00C20FEC">
        <w:rPr>
          <w:rStyle w:val="Hyperlink"/>
          <w:color w:val="auto"/>
          <w:u w:val="none"/>
        </w:rPr>
        <w:t>( Accessed 5</w:t>
      </w:r>
      <w:r w:rsidRPr="00C20FEC">
        <w:rPr>
          <w:rStyle w:val="Hyperlink"/>
          <w:color w:val="auto"/>
          <w:u w:val="none"/>
          <w:vertAlign w:val="superscript"/>
        </w:rPr>
        <w:t>th</w:t>
      </w:r>
      <w:r w:rsidRPr="00C20FEC">
        <w:rPr>
          <w:rStyle w:val="Hyperlink"/>
          <w:color w:val="auto"/>
          <w:u w:val="none"/>
        </w:rPr>
        <w:t xml:space="preserve"> August 2023)</w:t>
      </w:r>
    </w:p>
    <w:p w14:paraId="4667F89B" w14:textId="77777777" w:rsidR="00C20FEC" w:rsidRPr="00C20FEC" w:rsidRDefault="00C20FEC" w:rsidP="00C20FEC">
      <w:pPr>
        <w:pStyle w:val="ListParagraph"/>
        <w:rPr>
          <w:color w:val="auto"/>
          <w:shd w:val="clear" w:color="auto" w:fill="FFFFFF"/>
        </w:rPr>
      </w:pPr>
    </w:p>
    <w:p w14:paraId="5A0D2C43" w14:textId="77777777" w:rsidR="00C20FEC" w:rsidRPr="00C20FEC" w:rsidRDefault="00C20FEC" w:rsidP="00C20FEC">
      <w:pPr>
        <w:pStyle w:val="ListParagraph"/>
        <w:rPr>
          <w:color w:val="auto"/>
          <w:shd w:val="clear" w:color="auto" w:fill="FFFFFF"/>
        </w:rPr>
      </w:pPr>
    </w:p>
    <w:p w14:paraId="29CD64F3" w14:textId="77777777" w:rsidR="00C20FEC" w:rsidRDefault="00C20FEC">
      <w:pPr>
        <w:pStyle w:val="ListParagraph"/>
        <w:numPr>
          <w:ilvl w:val="0"/>
          <w:numId w:val="7"/>
        </w:numPr>
        <w:rPr>
          <w:color w:val="222222"/>
          <w:shd w:val="clear" w:color="auto" w:fill="FFFFFF"/>
        </w:rPr>
      </w:pPr>
      <w:r w:rsidRPr="004D1411">
        <w:rPr>
          <w:color w:val="222222"/>
          <w:shd w:val="clear" w:color="auto" w:fill="FFFFFF"/>
        </w:rPr>
        <w:t>Lowes, A.J. and Cosgrove, J.F., 2016. Prehospital organization and management of a mass casualty incident. </w:t>
      </w:r>
      <w:r w:rsidRPr="004D1411">
        <w:rPr>
          <w:i/>
          <w:iCs/>
          <w:color w:val="222222"/>
          <w:shd w:val="clear" w:color="auto" w:fill="FFFFFF"/>
        </w:rPr>
        <w:t>Bja Education</w:t>
      </w:r>
      <w:r w:rsidRPr="004D1411">
        <w:rPr>
          <w:color w:val="222222"/>
          <w:shd w:val="clear" w:color="auto" w:fill="FFFFFF"/>
        </w:rPr>
        <w:t>, </w:t>
      </w:r>
      <w:r w:rsidRPr="004D1411">
        <w:rPr>
          <w:i/>
          <w:iCs/>
          <w:color w:val="222222"/>
          <w:shd w:val="clear" w:color="auto" w:fill="FFFFFF"/>
        </w:rPr>
        <w:t>16</w:t>
      </w:r>
      <w:r w:rsidRPr="004D1411">
        <w:rPr>
          <w:color w:val="222222"/>
          <w:shd w:val="clear" w:color="auto" w:fill="FFFFFF"/>
        </w:rPr>
        <w:t>(10), pp.323-328.</w:t>
      </w:r>
    </w:p>
    <w:p w14:paraId="231250CA" w14:textId="666CE3EB" w:rsidR="00DE4417" w:rsidRDefault="00DE4417">
      <w:pPr>
        <w:pStyle w:val="ListParagraph"/>
        <w:numPr>
          <w:ilvl w:val="0"/>
          <w:numId w:val="7"/>
        </w:numPr>
        <w:rPr>
          <w:color w:val="222222"/>
          <w:shd w:val="clear" w:color="auto" w:fill="FFFFFF"/>
        </w:rPr>
      </w:pPr>
      <w:r w:rsidRPr="004D1411">
        <w:rPr>
          <w:color w:val="222222"/>
          <w:shd w:val="clear" w:color="auto" w:fill="FFFFFF"/>
        </w:rPr>
        <w:lastRenderedPageBreak/>
        <w:t>Magazzù, D., Comelli, M. and Marinoni, A., 2006. Are car drivers holding a motorcycle licence less responsible for motorcycle—Car crash occurrence?: A non-parametric approach. </w:t>
      </w:r>
      <w:r w:rsidRPr="004D1411">
        <w:rPr>
          <w:i/>
          <w:iCs/>
          <w:color w:val="222222"/>
          <w:shd w:val="clear" w:color="auto" w:fill="FFFFFF"/>
        </w:rPr>
        <w:t>Accident Analysis &amp; Prevention</w:t>
      </w:r>
      <w:r w:rsidRPr="004D1411">
        <w:rPr>
          <w:color w:val="222222"/>
          <w:shd w:val="clear" w:color="auto" w:fill="FFFFFF"/>
        </w:rPr>
        <w:t>, </w:t>
      </w:r>
      <w:r w:rsidRPr="004D1411">
        <w:rPr>
          <w:i/>
          <w:iCs/>
          <w:color w:val="222222"/>
          <w:shd w:val="clear" w:color="auto" w:fill="FFFFFF"/>
        </w:rPr>
        <w:t>38</w:t>
      </w:r>
      <w:r w:rsidRPr="004D1411">
        <w:rPr>
          <w:color w:val="222222"/>
          <w:shd w:val="clear" w:color="auto" w:fill="FFFFFF"/>
        </w:rPr>
        <w:t>(2), pp.365-370.</w:t>
      </w:r>
    </w:p>
    <w:p w14:paraId="7A709312" w14:textId="77777777" w:rsidR="004D1411" w:rsidRPr="004D1411" w:rsidRDefault="004D1411" w:rsidP="00C20FEC">
      <w:pPr>
        <w:pStyle w:val="ListParagraph"/>
        <w:rPr>
          <w:color w:val="222222"/>
          <w:shd w:val="clear" w:color="auto" w:fill="FFFFFF"/>
        </w:rPr>
      </w:pPr>
    </w:p>
    <w:p w14:paraId="10B223FC" w14:textId="77777777" w:rsidR="00DE4417" w:rsidRDefault="00DE4417" w:rsidP="00C20FEC">
      <w:pPr>
        <w:rPr>
          <w:color w:val="222222"/>
          <w:shd w:val="clear" w:color="auto" w:fill="FFFFFF"/>
        </w:rPr>
      </w:pPr>
    </w:p>
    <w:p w14:paraId="1D1B42C8" w14:textId="4BC71E89" w:rsidR="00DE4417" w:rsidRDefault="00DE4417">
      <w:pPr>
        <w:pStyle w:val="ListParagraph"/>
        <w:numPr>
          <w:ilvl w:val="0"/>
          <w:numId w:val="7"/>
        </w:numPr>
        <w:rPr>
          <w:color w:val="222222"/>
          <w:shd w:val="clear" w:color="auto" w:fill="FFFFFF"/>
        </w:rPr>
      </w:pPr>
      <w:r w:rsidRPr="004D1411">
        <w:rPr>
          <w:color w:val="222222"/>
          <w:shd w:val="clear" w:color="auto" w:fill="FFFFFF"/>
        </w:rPr>
        <w:t>Martín-delosReyes, L.M., Martínez-Ruiz, V., Rivera-Izquierdo, M., Jiménez-Mejías, E. and Lardelli-Claret, P., 2021. Is driving without a valid license associated with an increased risk of causing a road crash?. </w:t>
      </w:r>
      <w:r w:rsidRPr="004D1411">
        <w:rPr>
          <w:i/>
          <w:iCs/>
          <w:color w:val="222222"/>
          <w:shd w:val="clear" w:color="auto" w:fill="FFFFFF"/>
        </w:rPr>
        <w:t>Accident Analysis &amp; Prevention</w:t>
      </w:r>
      <w:r w:rsidRPr="004D1411">
        <w:rPr>
          <w:color w:val="222222"/>
          <w:shd w:val="clear" w:color="auto" w:fill="FFFFFF"/>
        </w:rPr>
        <w:t>, </w:t>
      </w:r>
      <w:r w:rsidRPr="004D1411">
        <w:rPr>
          <w:i/>
          <w:iCs/>
          <w:color w:val="222222"/>
          <w:shd w:val="clear" w:color="auto" w:fill="FFFFFF"/>
        </w:rPr>
        <w:t>149</w:t>
      </w:r>
      <w:r w:rsidRPr="004D1411">
        <w:rPr>
          <w:color w:val="222222"/>
          <w:shd w:val="clear" w:color="auto" w:fill="FFFFFF"/>
        </w:rPr>
        <w:t>, p.105872.</w:t>
      </w:r>
    </w:p>
    <w:p w14:paraId="30EB577F" w14:textId="77777777" w:rsidR="004D1411" w:rsidRPr="004D1411" w:rsidRDefault="004D1411" w:rsidP="00C20FEC">
      <w:pPr>
        <w:pStyle w:val="ListParagraph"/>
        <w:rPr>
          <w:color w:val="222222"/>
          <w:shd w:val="clear" w:color="auto" w:fill="FFFFFF"/>
        </w:rPr>
      </w:pPr>
    </w:p>
    <w:p w14:paraId="39DDAA07" w14:textId="77777777" w:rsidR="00DE4417" w:rsidRDefault="00DE4417" w:rsidP="00C20FEC">
      <w:pPr>
        <w:rPr>
          <w:color w:val="222222"/>
          <w:shd w:val="clear" w:color="auto" w:fill="FFFFFF"/>
        </w:rPr>
      </w:pPr>
    </w:p>
    <w:p w14:paraId="07D0B14D" w14:textId="4F8861ED" w:rsidR="00DE4417" w:rsidRDefault="00DE4417">
      <w:pPr>
        <w:pStyle w:val="ListParagraph"/>
        <w:numPr>
          <w:ilvl w:val="0"/>
          <w:numId w:val="7"/>
        </w:numPr>
        <w:rPr>
          <w:color w:val="222222"/>
          <w:shd w:val="clear" w:color="auto" w:fill="FFFFFF"/>
        </w:rPr>
      </w:pPr>
      <w:r w:rsidRPr="004D1411">
        <w:rPr>
          <w:color w:val="222222"/>
          <w:shd w:val="clear" w:color="auto" w:fill="FFFFFF"/>
        </w:rPr>
        <w:t>Murray, S., 2008, January. “Why doesn't she just leave?”: Belonging, disruption and domestic violence. In </w:t>
      </w:r>
      <w:r w:rsidRPr="004D1411">
        <w:rPr>
          <w:i/>
          <w:iCs/>
          <w:color w:val="222222"/>
          <w:shd w:val="clear" w:color="auto" w:fill="FFFFFF"/>
        </w:rPr>
        <w:t>Women's Studies International Forum</w:t>
      </w:r>
      <w:r w:rsidRPr="004D1411">
        <w:rPr>
          <w:color w:val="222222"/>
          <w:shd w:val="clear" w:color="auto" w:fill="FFFFFF"/>
        </w:rPr>
        <w:t> (Vol. 31, No. 1, pp. 65-72). Pergamon.</w:t>
      </w:r>
    </w:p>
    <w:p w14:paraId="3E21A32E" w14:textId="77777777" w:rsidR="004D1411" w:rsidRPr="004D1411" w:rsidRDefault="004D1411" w:rsidP="00C20FEC">
      <w:pPr>
        <w:pStyle w:val="ListParagraph"/>
        <w:rPr>
          <w:color w:val="222222"/>
          <w:shd w:val="clear" w:color="auto" w:fill="FFFFFF"/>
        </w:rPr>
      </w:pPr>
    </w:p>
    <w:p w14:paraId="6C2E99E2" w14:textId="77777777" w:rsidR="00DE4417" w:rsidRDefault="00DE4417" w:rsidP="00C20FEC">
      <w:pPr>
        <w:rPr>
          <w:color w:val="222222"/>
          <w:shd w:val="clear" w:color="auto" w:fill="FFFFFF"/>
        </w:rPr>
      </w:pPr>
    </w:p>
    <w:p w14:paraId="52D254CF" w14:textId="2B7DECA3" w:rsidR="00DE4417" w:rsidRDefault="00DE4417">
      <w:pPr>
        <w:pStyle w:val="ListParagraph"/>
        <w:numPr>
          <w:ilvl w:val="0"/>
          <w:numId w:val="7"/>
        </w:numPr>
        <w:rPr>
          <w:color w:val="222222"/>
          <w:shd w:val="clear" w:color="auto" w:fill="FFFFFF"/>
        </w:rPr>
      </w:pPr>
      <w:r w:rsidRPr="004D1411">
        <w:rPr>
          <w:color w:val="222222"/>
          <w:shd w:val="clear" w:color="auto" w:fill="FFFFFF"/>
        </w:rPr>
        <w:t>Payne, D. and Wermeling, L., 2009. Domestic violence and the female victim: The real reason women stay. </w:t>
      </w:r>
      <w:r w:rsidRPr="004D1411">
        <w:rPr>
          <w:i/>
          <w:iCs/>
          <w:color w:val="222222"/>
          <w:shd w:val="clear" w:color="auto" w:fill="FFFFFF"/>
        </w:rPr>
        <w:t>Journal of multicultural, gender and Minority studies</w:t>
      </w:r>
      <w:r w:rsidRPr="004D1411">
        <w:rPr>
          <w:color w:val="222222"/>
          <w:shd w:val="clear" w:color="auto" w:fill="FFFFFF"/>
        </w:rPr>
        <w:t>, </w:t>
      </w:r>
      <w:r w:rsidRPr="004D1411">
        <w:rPr>
          <w:i/>
          <w:iCs/>
          <w:color w:val="222222"/>
          <w:shd w:val="clear" w:color="auto" w:fill="FFFFFF"/>
        </w:rPr>
        <w:t>3</w:t>
      </w:r>
      <w:r w:rsidRPr="004D1411">
        <w:rPr>
          <w:color w:val="222222"/>
          <w:shd w:val="clear" w:color="auto" w:fill="FFFFFF"/>
        </w:rPr>
        <w:t>(1), pp.1-6.</w:t>
      </w:r>
    </w:p>
    <w:p w14:paraId="18EBE349" w14:textId="77777777" w:rsidR="004D1411" w:rsidRPr="004D1411" w:rsidRDefault="004D1411" w:rsidP="00C20FEC">
      <w:pPr>
        <w:pStyle w:val="ListParagraph"/>
        <w:rPr>
          <w:color w:val="222222"/>
          <w:shd w:val="clear" w:color="auto" w:fill="FFFFFF"/>
        </w:rPr>
      </w:pPr>
    </w:p>
    <w:p w14:paraId="6A0C5DA4" w14:textId="77777777" w:rsidR="00DE4417" w:rsidRDefault="00DE4417" w:rsidP="00C20FEC">
      <w:pPr>
        <w:rPr>
          <w:color w:val="222222"/>
          <w:shd w:val="clear" w:color="auto" w:fill="FFFFFF"/>
        </w:rPr>
      </w:pPr>
    </w:p>
    <w:p w14:paraId="7771519D" w14:textId="3ABD652C" w:rsidR="00DE4417" w:rsidRDefault="00DE4417">
      <w:pPr>
        <w:pStyle w:val="ListParagraph"/>
        <w:numPr>
          <w:ilvl w:val="0"/>
          <w:numId w:val="7"/>
        </w:numPr>
        <w:rPr>
          <w:color w:val="222222"/>
          <w:shd w:val="clear" w:color="auto" w:fill="FFFFFF"/>
        </w:rPr>
      </w:pPr>
      <w:r w:rsidRPr="004D1411">
        <w:rPr>
          <w:color w:val="222222"/>
          <w:shd w:val="clear" w:color="auto" w:fill="FFFFFF"/>
        </w:rPr>
        <w:t>Paz-Alonso, P.M. and Goodman, G.S., 2008. Trauma and memory: Effects of post-event misinformation, retrieval order, and retention interval. </w:t>
      </w:r>
      <w:r w:rsidRPr="004D1411">
        <w:rPr>
          <w:i/>
          <w:iCs/>
          <w:color w:val="222222"/>
          <w:shd w:val="clear" w:color="auto" w:fill="FFFFFF"/>
        </w:rPr>
        <w:t>Memory</w:t>
      </w:r>
      <w:r w:rsidRPr="004D1411">
        <w:rPr>
          <w:color w:val="222222"/>
          <w:shd w:val="clear" w:color="auto" w:fill="FFFFFF"/>
        </w:rPr>
        <w:t>, </w:t>
      </w:r>
      <w:r w:rsidRPr="004D1411">
        <w:rPr>
          <w:i/>
          <w:iCs/>
          <w:color w:val="222222"/>
          <w:shd w:val="clear" w:color="auto" w:fill="FFFFFF"/>
        </w:rPr>
        <w:t>16</w:t>
      </w:r>
      <w:r w:rsidRPr="004D1411">
        <w:rPr>
          <w:color w:val="222222"/>
          <w:shd w:val="clear" w:color="auto" w:fill="FFFFFF"/>
        </w:rPr>
        <w:t>(1), pp.58-75.</w:t>
      </w:r>
    </w:p>
    <w:p w14:paraId="0EDF16D7" w14:textId="1F7BDF05" w:rsidR="00C20FEC" w:rsidRDefault="00C20FEC" w:rsidP="00C20FEC">
      <w:pPr>
        <w:pStyle w:val="ListParagraph"/>
        <w:rPr>
          <w:color w:val="222222"/>
          <w:shd w:val="clear" w:color="auto" w:fill="FFFFFF"/>
        </w:rPr>
      </w:pPr>
    </w:p>
    <w:p w14:paraId="6E277D08" w14:textId="77777777" w:rsidR="00C20FEC" w:rsidRDefault="00C20FEC" w:rsidP="00C20FEC">
      <w:pPr>
        <w:pStyle w:val="ListParagraph"/>
        <w:rPr>
          <w:color w:val="222222"/>
          <w:shd w:val="clear" w:color="auto" w:fill="FFFFFF"/>
        </w:rPr>
      </w:pPr>
    </w:p>
    <w:p w14:paraId="7943D7DE" w14:textId="77777777" w:rsidR="00C20FEC" w:rsidRPr="00C20FEC" w:rsidRDefault="00C20FEC">
      <w:pPr>
        <w:pStyle w:val="ListParagraph"/>
        <w:numPr>
          <w:ilvl w:val="0"/>
          <w:numId w:val="7"/>
        </w:numPr>
        <w:rPr>
          <w:rStyle w:val="Hyperlink"/>
          <w:color w:val="auto"/>
          <w:u w:val="none"/>
        </w:rPr>
      </w:pPr>
      <w:r>
        <w:rPr>
          <w:rStyle w:val="Hyperlink"/>
          <w:color w:val="000000"/>
          <w:u w:val="none"/>
        </w:rPr>
        <w:t xml:space="preserve">Police.uk (2023) Collisions and incidents. Available at </w:t>
      </w:r>
      <w:hyperlink r:id="rId23" w:history="1">
        <w:r w:rsidRPr="00266E47">
          <w:rPr>
            <w:rStyle w:val="Hyperlink"/>
          </w:rPr>
          <w:t>https://www.police.u</w:t>
        </w:r>
        <w:r w:rsidRPr="00266E47">
          <w:rPr>
            <w:rStyle w:val="Hyperlink"/>
          </w:rPr>
          <w:t>k/advice/advice-and-information/rs/road-safety/collisions/</w:t>
        </w:r>
      </w:hyperlink>
      <w:r>
        <w:rPr>
          <w:rStyle w:val="Hyperlink"/>
        </w:rPr>
        <w:t xml:space="preserve">. </w:t>
      </w:r>
      <w:r w:rsidRPr="00C20FEC">
        <w:rPr>
          <w:rStyle w:val="Hyperlink"/>
          <w:color w:val="auto"/>
          <w:u w:val="none"/>
        </w:rPr>
        <w:t>(Accessed 5</w:t>
      </w:r>
      <w:r w:rsidRPr="00C20FEC">
        <w:rPr>
          <w:rStyle w:val="Hyperlink"/>
          <w:color w:val="auto"/>
          <w:u w:val="none"/>
          <w:vertAlign w:val="superscript"/>
        </w:rPr>
        <w:t>th</w:t>
      </w:r>
      <w:r w:rsidRPr="00C20FEC">
        <w:rPr>
          <w:rStyle w:val="Hyperlink"/>
          <w:color w:val="auto"/>
          <w:u w:val="none"/>
        </w:rPr>
        <w:t xml:space="preserve"> August 2023)</w:t>
      </w:r>
    </w:p>
    <w:p w14:paraId="0E36E73A" w14:textId="77777777" w:rsidR="004D1411" w:rsidRPr="004D1411" w:rsidRDefault="004D1411" w:rsidP="00C20FEC">
      <w:pPr>
        <w:pStyle w:val="ListParagraph"/>
        <w:rPr>
          <w:color w:val="222222"/>
          <w:shd w:val="clear" w:color="auto" w:fill="FFFFFF"/>
        </w:rPr>
      </w:pPr>
    </w:p>
    <w:p w14:paraId="5154E999" w14:textId="77777777" w:rsidR="00DE4417" w:rsidRDefault="00DE4417" w:rsidP="00C20FEC">
      <w:pPr>
        <w:rPr>
          <w:color w:val="222222"/>
          <w:shd w:val="clear" w:color="auto" w:fill="FFFFFF"/>
        </w:rPr>
      </w:pPr>
    </w:p>
    <w:p w14:paraId="41926C45" w14:textId="6B5164E6" w:rsidR="00DE4417" w:rsidRPr="004D1411" w:rsidRDefault="00DE4417">
      <w:pPr>
        <w:pStyle w:val="ListParagraph"/>
        <w:numPr>
          <w:ilvl w:val="0"/>
          <w:numId w:val="7"/>
        </w:numPr>
      </w:pPr>
      <w:r w:rsidRPr="004D1411">
        <w:rPr>
          <w:color w:val="222222"/>
          <w:shd w:val="clear" w:color="auto" w:fill="FFFFFF"/>
        </w:rPr>
        <w:t>Ross, H.L. and Gonzales, P., 1988. Effects of license revocation on drunk-driving offenders</w:t>
      </w:r>
      <w:r w:rsidRPr="004D1411">
        <w:rPr>
          <w:rFonts w:ascii="Cambria Math" w:hAnsi="Cambria Math" w:cs="Cambria Math"/>
          <w:color w:val="222222"/>
          <w:shd w:val="clear" w:color="auto" w:fill="FFFFFF"/>
        </w:rPr>
        <w:t>∗</w:t>
      </w:r>
      <w:r w:rsidRPr="004D1411">
        <w:rPr>
          <w:color w:val="222222"/>
          <w:shd w:val="clear" w:color="auto" w:fill="FFFFFF"/>
        </w:rPr>
        <w:t>. </w:t>
      </w:r>
      <w:r w:rsidRPr="004D1411">
        <w:rPr>
          <w:i/>
          <w:iCs/>
          <w:color w:val="222222"/>
          <w:shd w:val="clear" w:color="auto" w:fill="FFFFFF"/>
        </w:rPr>
        <w:t>Accident Analysis &amp; Prevention</w:t>
      </w:r>
      <w:r w:rsidRPr="004D1411">
        <w:rPr>
          <w:color w:val="222222"/>
          <w:shd w:val="clear" w:color="auto" w:fill="FFFFFF"/>
        </w:rPr>
        <w:t>, </w:t>
      </w:r>
      <w:r w:rsidRPr="004D1411">
        <w:rPr>
          <w:i/>
          <w:iCs/>
          <w:color w:val="222222"/>
          <w:shd w:val="clear" w:color="auto" w:fill="FFFFFF"/>
        </w:rPr>
        <w:t>20</w:t>
      </w:r>
      <w:r w:rsidRPr="004D1411">
        <w:rPr>
          <w:color w:val="222222"/>
          <w:shd w:val="clear" w:color="auto" w:fill="FFFFFF"/>
        </w:rPr>
        <w:t>(5), pp.379-391.</w:t>
      </w:r>
    </w:p>
    <w:p w14:paraId="2C98BAAD" w14:textId="77777777" w:rsidR="004D1411" w:rsidRDefault="004D1411" w:rsidP="00C20FEC">
      <w:pPr>
        <w:pStyle w:val="ListParagraph"/>
      </w:pPr>
    </w:p>
    <w:p w14:paraId="29507D2B" w14:textId="77777777" w:rsidR="00DE4417" w:rsidRDefault="00DE4417" w:rsidP="00C20FEC">
      <w:pPr>
        <w:rPr>
          <w:color w:val="222222"/>
          <w:shd w:val="clear" w:color="auto" w:fill="FFFFFF"/>
        </w:rPr>
      </w:pPr>
    </w:p>
    <w:p w14:paraId="0FDE95E5" w14:textId="7A3E40B5" w:rsidR="00DE4417" w:rsidRDefault="00DE4417">
      <w:pPr>
        <w:pStyle w:val="ListParagraph"/>
        <w:numPr>
          <w:ilvl w:val="0"/>
          <w:numId w:val="7"/>
        </w:numPr>
        <w:rPr>
          <w:color w:val="222222"/>
          <w:shd w:val="clear" w:color="auto" w:fill="FFFFFF"/>
        </w:rPr>
      </w:pPr>
      <w:r w:rsidRPr="004D1411">
        <w:rPr>
          <w:color w:val="222222"/>
          <w:shd w:val="clear" w:color="auto" w:fill="FFFFFF"/>
        </w:rPr>
        <w:t>Spooner, M.H., 2003. Drawing blood from unconscious accident victims now legal in UK</w:t>
      </w:r>
    </w:p>
    <w:p w14:paraId="414552FE" w14:textId="77777777" w:rsidR="004D1411" w:rsidRPr="004D1411" w:rsidRDefault="004D1411" w:rsidP="00C20FEC">
      <w:pPr>
        <w:pStyle w:val="ListParagraph"/>
        <w:rPr>
          <w:color w:val="222222"/>
          <w:shd w:val="clear" w:color="auto" w:fill="FFFFFF"/>
        </w:rPr>
      </w:pPr>
    </w:p>
    <w:p w14:paraId="6929194D" w14:textId="77777777" w:rsidR="00DE4417" w:rsidRDefault="00DE4417" w:rsidP="00C20FEC">
      <w:pPr>
        <w:rPr>
          <w:color w:val="222222"/>
          <w:shd w:val="clear" w:color="auto" w:fill="FFFFFF"/>
        </w:rPr>
      </w:pPr>
    </w:p>
    <w:p w14:paraId="68BC9821" w14:textId="1B8DC234" w:rsidR="00DE4417" w:rsidRDefault="00DE4417">
      <w:pPr>
        <w:pStyle w:val="ListParagraph"/>
        <w:numPr>
          <w:ilvl w:val="0"/>
          <w:numId w:val="7"/>
        </w:numPr>
        <w:rPr>
          <w:color w:val="222222"/>
          <w:shd w:val="clear" w:color="auto" w:fill="FFFFFF"/>
        </w:rPr>
      </w:pPr>
      <w:r w:rsidRPr="004D1411">
        <w:rPr>
          <w:color w:val="222222"/>
          <w:shd w:val="clear" w:color="auto" w:fill="FFFFFF"/>
        </w:rPr>
        <w:t>Stanford, S., 2012. Critically reflecting on being'at risk'and'a risk'in vulnerable people policing.</w:t>
      </w:r>
    </w:p>
    <w:p w14:paraId="285FF5E5" w14:textId="77777777" w:rsidR="004D1411" w:rsidRPr="004D1411" w:rsidRDefault="004D1411" w:rsidP="00C20FEC">
      <w:pPr>
        <w:pStyle w:val="ListParagraph"/>
        <w:rPr>
          <w:color w:val="222222"/>
          <w:shd w:val="clear" w:color="auto" w:fill="FFFFFF"/>
        </w:rPr>
      </w:pPr>
    </w:p>
    <w:p w14:paraId="0E6A1B11" w14:textId="77777777" w:rsidR="00C20FEC" w:rsidRDefault="00C20FEC">
      <w:pPr>
        <w:pStyle w:val="ListParagraph"/>
        <w:numPr>
          <w:ilvl w:val="0"/>
          <w:numId w:val="7"/>
        </w:numPr>
        <w:rPr>
          <w:rStyle w:val="Hyperlink"/>
        </w:rPr>
      </w:pPr>
      <w:r>
        <w:rPr>
          <w:color w:val="222222"/>
          <w:shd w:val="clear" w:color="auto" w:fill="FFFFFF"/>
        </w:rPr>
        <w:t>VAWDASV (2018) Multi-Agency Risk Assessment Conferences (MARAC) Gwent Operating Protocol Available at:</w:t>
      </w:r>
      <w:r w:rsidRPr="00E22B81">
        <w:t xml:space="preserve"> </w:t>
      </w:r>
      <w:hyperlink r:id="rId24" w:history="1">
        <w:r w:rsidRPr="00807954">
          <w:rPr>
            <w:rStyle w:val="Hyperlink"/>
          </w:rPr>
          <w:t>https://www.gwentsafeguar</w:t>
        </w:r>
        <w:r w:rsidRPr="00807954">
          <w:rPr>
            <w:rStyle w:val="Hyperlink"/>
          </w:rPr>
          <w:t>ding.org.uk/assets/en-documents/Gwent-MARAC-Protocol.pdf</w:t>
        </w:r>
      </w:hyperlink>
      <w:r>
        <w:rPr>
          <w:rStyle w:val="Hyperlink"/>
        </w:rPr>
        <w:t xml:space="preserve"> (</w:t>
      </w:r>
      <w:r>
        <w:rPr>
          <w:rStyle w:val="Hyperlink"/>
          <w:color w:val="auto"/>
          <w:u w:val="none"/>
        </w:rPr>
        <w:t>Accessed 5th August 2023)</w:t>
      </w:r>
    </w:p>
    <w:p w14:paraId="26251F2E" w14:textId="77777777" w:rsidR="00DE4417" w:rsidRDefault="00DE4417" w:rsidP="00C20FEC">
      <w:pPr>
        <w:rPr>
          <w:color w:val="222222"/>
          <w:shd w:val="clear" w:color="auto" w:fill="FFFFFF"/>
        </w:rPr>
      </w:pPr>
    </w:p>
    <w:p w14:paraId="7929DE7B" w14:textId="77777777" w:rsidR="00DE4417" w:rsidRPr="004D1411" w:rsidRDefault="00DE4417">
      <w:pPr>
        <w:pStyle w:val="ListParagraph"/>
        <w:numPr>
          <w:ilvl w:val="0"/>
          <w:numId w:val="7"/>
        </w:numPr>
        <w:rPr>
          <w:color w:val="222222"/>
          <w:shd w:val="clear" w:color="auto" w:fill="FFFFFF"/>
        </w:rPr>
      </w:pPr>
      <w:r w:rsidRPr="004D1411">
        <w:rPr>
          <w:color w:val="222222"/>
          <w:shd w:val="clear" w:color="auto" w:fill="FFFFFF"/>
        </w:rPr>
        <w:t>Wixted, J.T. and Ebbesen, E.B., 1991. On the form of forgetting. </w:t>
      </w:r>
      <w:r w:rsidRPr="004D1411">
        <w:rPr>
          <w:i/>
          <w:iCs/>
          <w:color w:val="222222"/>
          <w:shd w:val="clear" w:color="auto" w:fill="FFFFFF"/>
        </w:rPr>
        <w:t>Psychological science</w:t>
      </w:r>
      <w:r w:rsidRPr="004D1411">
        <w:rPr>
          <w:color w:val="222222"/>
          <w:shd w:val="clear" w:color="auto" w:fill="FFFFFF"/>
        </w:rPr>
        <w:t>, </w:t>
      </w:r>
      <w:r w:rsidRPr="004D1411">
        <w:rPr>
          <w:i/>
          <w:iCs/>
          <w:color w:val="222222"/>
          <w:shd w:val="clear" w:color="auto" w:fill="FFFFFF"/>
        </w:rPr>
        <w:t>2</w:t>
      </w:r>
      <w:r w:rsidRPr="004D1411">
        <w:rPr>
          <w:color w:val="222222"/>
          <w:shd w:val="clear" w:color="auto" w:fill="FFFFFF"/>
        </w:rPr>
        <w:t>(6), pp.409-415.</w:t>
      </w:r>
    </w:p>
    <w:p w14:paraId="2E7671CB" w14:textId="10F84EB1" w:rsidR="00DE4417" w:rsidRDefault="00DE4417" w:rsidP="00C20FEC">
      <w:pPr>
        <w:keepNext/>
        <w:spacing w:before="240" w:after="60"/>
        <w:ind w:right="237"/>
        <w:jc w:val="both"/>
        <w:rPr>
          <w:sz w:val="24"/>
          <w:szCs w:val="24"/>
        </w:rPr>
      </w:pPr>
    </w:p>
    <w:p w14:paraId="20EF9CE4" w14:textId="77777777" w:rsidR="00DE4417" w:rsidRDefault="00DE4417" w:rsidP="00EA28F1">
      <w:pPr>
        <w:keepNext/>
        <w:spacing w:before="240" w:after="60"/>
        <w:ind w:right="237"/>
        <w:jc w:val="both"/>
      </w:pPr>
    </w:p>
    <w:sectPr w:rsidR="00DE4417"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BF1DB" w14:textId="77777777" w:rsidR="00BA4C42" w:rsidRDefault="00BA4C42">
      <w:r>
        <w:separator/>
      </w:r>
    </w:p>
  </w:endnote>
  <w:endnote w:type="continuationSeparator" w:id="0">
    <w:p w14:paraId="6FF69612" w14:textId="77777777" w:rsidR="00BA4C42" w:rsidRDefault="00BA4C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CD8C4" w14:textId="77777777" w:rsidR="00574B12" w:rsidRDefault="00574B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CE32E" w14:textId="77777777" w:rsidR="00574B12" w:rsidRDefault="00574B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91F5D" w14:textId="77777777" w:rsidR="00BA4C42" w:rsidRDefault="00BA4C42">
      <w:r>
        <w:separator/>
      </w:r>
    </w:p>
  </w:footnote>
  <w:footnote w:type="continuationSeparator" w:id="0">
    <w:p w14:paraId="04BCEED7" w14:textId="77777777" w:rsidR="00BA4C42" w:rsidRDefault="00BA4C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0D45E" w14:textId="77777777" w:rsidR="00574B12" w:rsidRDefault="00574B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A990" w14:textId="77777777" w:rsidR="00574B12" w:rsidRDefault="00574B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42D98" w14:textId="77777777" w:rsidR="00574B12" w:rsidRDefault="00574B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00B0143"/>
    <w:multiLevelType w:val="hybridMultilevel"/>
    <w:tmpl w:val="CA325F42"/>
    <w:lvl w:ilvl="0" w:tplc="73E21696">
      <w:start w:val="200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4F5CF4"/>
    <w:multiLevelType w:val="hybridMultilevel"/>
    <w:tmpl w:val="6AE2D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4CF194"/>
    <w:multiLevelType w:val="hybridMultilevel"/>
    <w:tmpl w:val="B4C8E5CE"/>
    <w:lvl w:ilvl="0" w:tplc="BA8C1BE8">
      <w:start w:val="1"/>
      <w:numFmt w:val="decimal"/>
      <w:lvlText w:val="%1."/>
      <w:lvlJc w:val="left"/>
      <w:pPr>
        <w:ind w:left="720" w:hanging="360"/>
      </w:pPr>
    </w:lvl>
    <w:lvl w:ilvl="1" w:tplc="F22630F6">
      <w:start w:val="1"/>
      <w:numFmt w:val="decimal"/>
      <w:lvlText w:val="%2."/>
      <w:lvlJc w:val="left"/>
      <w:pPr>
        <w:ind w:left="1440" w:hanging="360"/>
      </w:pPr>
    </w:lvl>
    <w:lvl w:ilvl="2" w:tplc="C520153A">
      <w:start w:val="1"/>
      <w:numFmt w:val="lowerRoman"/>
      <w:lvlText w:val="%3."/>
      <w:lvlJc w:val="right"/>
      <w:pPr>
        <w:ind w:left="2160" w:hanging="180"/>
      </w:pPr>
    </w:lvl>
    <w:lvl w:ilvl="3" w:tplc="BAFE3D8C">
      <w:start w:val="1"/>
      <w:numFmt w:val="decimal"/>
      <w:lvlText w:val="%4."/>
      <w:lvlJc w:val="left"/>
      <w:pPr>
        <w:ind w:left="2880" w:hanging="360"/>
      </w:pPr>
    </w:lvl>
    <w:lvl w:ilvl="4" w:tplc="9286BA82">
      <w:start w:val="1"/>
      <w:numFmt w:val="lowerLetter"/>
      <w:lvlText w:val="%5."/>
      <w:lvlJc w:val="left"/>
      <w:pPr>
        <w:ind w:left="3600" w:hanging="360"/>
      </w:pPr>
    </w:lvl>
    <w:lvl w:ilvl="5" w:tplc="85F0E25A">
      <w:start w:val="1"/>
      <w:numFmt w:val="lowerRoman"/>
      <w:lvlText w:val="%6."/>
      <w:lvlJc w:val="right"/>
      <w:pPr>
        <w:ind w:left="4320" w:hanging="180"/>
      </w:pPr>
    </w:lvl>
    <w:lvl w:ilvl="6" w:tplc="1B7E0710">
      <w:start w:val="1"/>
      <w:numFmt w:val="decimal"/>
      <w:lvlText w:val="%7."/>
      <w:lvlJc w:val="left"/>
      <w:pPr>
        <w:ind w:left="5040" w:hanging="360"/>
      </w:pPr>
    </w:lvl>
    <w:lvl w:ilvl="7" w:tplc="355A3BB4">
      <w:start w:val="1"/>
      <w:numFmt w:val="lowerLetter"/>
      <w:lvlText w:val="%8."/>
      <w:lvlJc w:val="left"/>
      <w:pPr>
        <w:ind w:left="5760" w:hanging="360"/>
      </w:pPr>
    </w:lvl>
    <w:lvl w:ilvl="8" w:tplc="D68EC510">
      <w:start w:val="1"/>
      <w:numFmt w:val="lowerRoman"/>
      <w:lvlText w:val="%9."/>
      <w:lvlJc w:val="right"/>
      <w:pPr>
        <w:ind w:left="6480" w:hanging="180"/>
      </w:p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58494597">
    <w:abstractNumId w:val="6"/>
  </w:num>
  <w:num w:numId="2" w16cid:durableId="1865707057">
    <w:abstractNumId w:val="0"/>
    <w:lvlOverride w:ilvl="0">
      <w:lvl w:ilvl="0">
        <w:start w:val="1"/>
        <w:numFmt w:val="bullet"/>
        <w:lvlText w:val=""/>
        <w:lvlJc w:val="left"/>
        <w:pPr>
          <w:ind w:left="720" w:hanging="360"/>
        </w:pPr>
        <w:rPr>
          <w:rFonts w:ascii="Symbol" w:hAnsi="Symbol" w:hint="default"/>
        </w:rPr>
      </w:lvl>
    </w:lvlOverride>
  </w:num>
  <w:num w:numId="3" w16cid:durableId="679889808">
    <w:abstractNumId w:val="2"/>
  </w:num>
  <w:num w:numId="4" w16cid:durableId="1486508521">
    <w:abstractNumId w:val="4"/>
  </w:num>
  <w:num w:numId="5" w16cid:durableId="427309171">
    <w:abstractNumId w:val="3"/>
  </w:num>
  <w:num w:numId="6" w16cid:durableId="465315237">
    <w:abstractNumId w:val="7"/>
  </w:num>
  <w:num w:numId="7" w16cid:durableId="1591504018">
    <w:abstractNumId w:val="5"/>
  </w:num>
  <w:num w:numId="8" w16cid:durableId="952588755">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141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4B12"/>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1710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5E6F"/>
    <w:rsid w:val="00677E42"/>
    <w:rsid w:val="00682334"/>
    <w:rsid w:val="00684B16"/>
    <w:rsid w:val="00694C00"/>
    <w:rsid w:val="00696F65"/>
    <w:rsid w:val="006A7A6D"/>
    <w:rsid w:val="006B5E67"/>
    <w:rsid w:val="006C2EB5"/>
    <w:rsid w:val="006D18A3"/>
    <w:rsid w:val="006D5970"/>
    <w:rsid w:val="006E481E"/>
    <w:rsid w:val="006E795F"/>
    <w:rsid w:val="00700249"/>
    <w:rsid w:val="00702268"/>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C4FBE"/>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4C42"/>
    <w:rsid w:val="00BA7292"/>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0FEC"/>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05D"/>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36F2F"/>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4417"/>
    <w:rsid w:val="00DE556F"/>
    <w:rsid w:val="00E03B6D"/>
    <w:rsid w:val="00E0649E"/>
    <w:rsid w:val="00E17160"/>
    <w:rsid w:val="00E22B81"/>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31D0D5AF-7B39-4B2C-A15C-D8DA65541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FollowedHyperlink">
    <w:name w:val="FollowedHyperlink"/>
    <w:basedOn w:val="DefaultParagraphFont"/>
    <w:uiPriority w:val="99"/>
    <w:semiHidden/>
    <w:unhideWhenUsed/>
    <w:rsid w:val="00E22B81"/>
    <w:rPr>
      <w:color w:val="954F72" w:themeColor="followedHyperlink"/>
      <w:u w:val="single"/>
    </w:rPr>
  </w:style>
  <w:style w:type="character" w:styleId="UnresolvedMention">
    <w:name w:val="Unresolved Mention"/>
    <w:basedOn w:val="DefaultParagraphFont"/>
    <w:uiPriority w:val="99"/>
    <w:semiHidden/>
    <w:unhideWhenUsed/>
    <w:rsid w:val="00E22B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54539189">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1901287412">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73347531">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3214967">
                  <w:marLeft w:val="0"/>
                  <w:marRight w:val="0"/>
                  <w:marTop w:val="0"/>
                  <w:marBottom w:val="0"/>
                  <w:divBdr>
                    <w:top w:val="none" w:sz="0" w:space="0" w:color="auto"/>
                    <w:left w:val="none" w:sz="0" w:space="0" w:color="auto"/>
                    <w:bottom w:val="none" w:sz="0" w:space="0" w:color="auto"/>
                    <w:right w:val="none" w:sz="0" w:space="0" w:color="auto"/>
                  </w:divBdr>
                  <w:divsChild>
                    <w:div w:id="1264146128">
                      <w:marLeft w:val="0"/>
                      <w:marRight w:val="0"/>
                      <w:marTop w:val="0"/>
                      <w:marBottom w:val="0"/>
                      <w:divBdr>
                        <w:top w:val="none" w:sz="0" w:space="0" w:color="auto"/>
                        <w:left w:val="none" w:sz="0" w:space="0" w:color="auto"/>
                        <w:bottom w:val="none" w:sz="0" w:space="0" w:color="auto"/>
                        <w:right w:val="none" w:sz="0" w:space="0" w:color="auto"/>
                      </w:divBdr>
                    </w:div>
                    <w:div w:id="1604067943">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250852063">
                      <w:marLeft w:val="0"/>
                      <w:marRight w:val="0"/>
                      <w:marTop w:val="0"/>
                      <w:marBottom w:val="0"/>
                      <w:divBdr>
                        <w:top w:val="none" w:sz="0" w:space="0" w:color="auto"/>
                        <w:left w:val="none" w:sz="0" w:space="0" w:color="auto"/>
                        <w:bottom w:val="none" w:sz="0" w:space="0" w:color="auto"/>
                        <w:right w:val="none" w:sz="0" w:space="0" w:color="auto"/>
                      </w:divBdr>
                    </w:div>
                    <w:div w:id="1825393961">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1362631546">
                      <w:marLeft w:val="0"/>
                      <w:marRight w:val="0"/>
                      <w:marTop w:val="0"/>
                      <w:marBottom w:val="0"/>
                      <w:divBdr>
                        <w:top w:val="none" w:sz="0" w:space="0" w:color="auto"/>
                        <w:left w:val="none" w:sz="0" w:space="0" w:color="auto"/>
                        <w:bottom w:val="none" w:sz="0" w:space="0" w:color="auto"/>
                        <w:right w:val="none" w:sz="0" w:space="0" w:color="auto"/>
                      </w:divBdr>
                    </w:div>
                    <w:div w:id="2000235105">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218905989">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1193761593">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682319646">
                      <w:marLeft w:val="0"/>
                      <w:marRight w:val="0"/>
                      <w:marTop w:val="0"/>
                      <w:marBottom w:val="0"/>
                      <w:divBdr>
                        <w:top w:val="none" w:sz="0" w:space="0" w:color="auto"/>
                        <w:left w:val="none" w:sz="0" w:space="0" w:color="auto"/>
                        <w:bottom w:val="none" w:sz="0" w:space="0" w:color="auto"/>
                        <w:right w:val="none" w:sz="0" w:space="0" w:color="auto"/>
                      </w:divBdr>
                    </w:div>
                    <w:div w:id="1967734479">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126001437">
                      <w:marLeft w:val="0"/>
                      <w:marRight w:val="0"/>
                      <w:marTop w:val="0"/>
                      <w:marBottom w:val="0"/>
                      <w:divBdr>
                        <w:top w:val="none" w:sz="0" w:space="0" w:color="auto"/>
                        <w:left w:val="none" w:sz="0" w:space="0" w:color="auto"/>
                        <w:bottom w:val="none" w:sz="0" w:space="0" w:color="auto"/>
                        <w:right w:val="none" w:sz="0" w:space="0" w:color="auto"/>
                      </w:divBdr>
                    </w:div>
                    <w:div w:id="1929071429">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066876214">
                      <w:marLeft w:val="0"/>
                      <w:marRight w:val="0"/>
                      <w:marTop w:val="0"/>
                      <w:marBottom w:val="0"/>
                      <w:divBdr>
                        <w:top w:val="none" w:sz="0" w:space="0" w:color="auto"/>
                        <w:left w:val="none" w:sz="0" w:space="0" w:color="auto"/>
                        <w:bottom w:val="none" w:sz="0" w:space="0" w:color="auto"/>
                        <w:right w:val="none" w:sz="0" w:space="0" w:color="auto"/>
                      </w:divBdr>
                    </w:div>
                    <w:div w:id="1968051083">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610010188">
                      <w:marLeft w:val="0"/>
                      <w:marRight w:val="0"/>
                      <w:marTop w:val="0"/>
                      <w:marBottom w:val="0"/>
                      <w:divBdr>
                        <w:top w:val="none" w:sz="0" w:space="0" w:color="auto"/>
                        <w:left w:val="none" w:sz="0" w:space="0" w:color="auto"/>
                        <w:bottom w:val="none" w:sz="0" w:space="0" w:color="auto"/>
                        <w:right w:val="none" w:sz="0" w:space="0" w:color="auto"/>
                      </w:divBdr>
                    </w:div>
                    <w:div w:id="1285624874">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209391516">
                      <w:marLeft w:val="0"/>
                      <w:marRight w:val="0"/>
                      <w:marTop w:val="0"/>
                      <w:marBottom w:val="0"/>
                      <w:divBdr>
                        <w:top w:val="none" w:sz="0" w:space="0" w:color="auto"/>
                        <w:left w:val="none" w:sz="0" w:space="0" w:color="auto"/>
                        <w:bottom w:val="none" w:sz="0" w:space="0" w:color="auto"/>
                        <w:right w:val="none" w:sz="0" w:space="0" w:color="auto"/>
                      </w:divBdr>
                    </w:div>
                    <w:div w:id="1758676694">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257522274">
                      <w:marLeft w:val="0"/>
                      <w:marRight w:val="0"/>
                      <w:marTop w:val="0"/>
                      <w:marBottom w:val="0"/>
                      <w:divBdr>
                        <w:top w:val="none" w:sz="0" w:space="0" w:color="auto"/>
                        <w:left w:val="none" w:sz="0" w:space="0" w:color="auto"/>
                        <w:bottom w:val="none" w:sz="0" w:space="0" w:color="auto"/>
                        <w:right w:val="none" w:sz="0" w:space="0" w:color="auto"/>
                      </w:divBdr>
                    </w:div>
                    <w:div w:id="1808668869">
                      <w:marLeft w:val="0"/>
                      <w:marRight w:val="0"/>
                      <w:marTop w:val="0"/>
                      <w:marBottom w:val="0"/>
                      <w:divBdr>
                        <w:top w:val="none" w:sz="0" w:space="0" w:color="auto"/>
                        <w:left w:val="none" w:sz="0" w:space="0" w:color="auto"/>
                        <w:bottom w:val="none" w:sz="0" w:space="0" w:color="auto"/>
                        <w:right w:val="none" w:sz="0" w:space="0" w:color="auto"/>
                      </w:divBdr>
                    </w:div>
                  </w:divsChild>
                </w:div>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616935727">
                      <w:marLeft w:val="0"/>
                      <w:marRight w:val="0"/>
                      <w:marTop w:val="0"/>
                      <w:marBottom w:val="0"/>
                      <w:divBdr>
                        <w:top w:val="none" w:sz="0" w:space="0" w:color="auto"/>
                        <w:left w:val="none" w:sz="0" w:space="0" w:color="auto"/>
                        <w:bottom w:val="none" w:sz="0" w:space="0" w:color="auto"/>
                        <w:right w:val="none" w:sz="0" w:space="0" w:color="auto"/>
                      </w:divBdr>
                    </w:div>
                    <w:div w:id="1874610961">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67411105">
                      <w:marLeft w:val="0"/>
                      <w:marRight w:val="0"/>
                      <w:marTop w:val="0"/>
                      <w:marBottom w:val="0"/>
                      <w:divBdr>
                        <w:top w:val="none" w:sz="0" w:space="0" w:color="auto"/>
                        <w:left w:val="none" w:sz="0" w:space="0" w:color="auto"/>
                        <w:bottom w:val="none" w:sz="0" w:space="0" w:color="auto"/>
                        <w:right w:val="none" w:sz="0" w:space="0" w:color="auto"/>
                      </w:divBdr>
                    </w:div>
                    <w:div w:id="1382557007">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254128845">
                      <w:marLeft w:val="0"/>
                      <w:marRight w:val="0"/>
                      <w:marTop w:val="0"/>
                      <w:marBottom w:val="0"/>
                      <w:divBdr>
                        <w:top w:val="none" w:sz="0" w:space="0" w:color="auto"/>
                        <w:left w:val="none" w:sz="0" w:space="0" w:color="auto"/>
                        <w:bottom w:val="none" w:sz="0" w:space="0" w:color="auto"/>
                        <w:right w:val="none" w:sz="0" w:space="0" w:color="auto"/>
                      </w:divBdr>
                    </w:div>
                    <w:div w:id="199079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729929">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376007182">
          <w:marLeft w:val="0"/>
          <w:marRight w:val="0"/>
          <w:marTop w:val="0"/>
          <w:marBottom w:val="0"/>
          <w:divBdr>
            <w:top w:val="none" w:sz="0" w:space="0" w:color="auto"/>
            <w:left w:val="none" w:sz="0" w:space="0" w:color="auto"/>
            <w:bottom w:val="none" w:sz="0" w:space="0" w:color="auto"/>
            <w:right w:val="none" w:sz="0" w:space="0" w:color="auto"/>
          </w:divBdr>
        </w:div>
        <w:div w:id="46677857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college.police.uk/app/roads-policing/investigation-fatal-and-serious-injury-road-collision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wentsafeguarding.org.uk/assets/en-documents/Gwent-MARAC-Protocol.pdf"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police.uk/advice/advice-and-information/rs/road-safety/collisions/" TargetMode="Externa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jesip.org.uk/joint-doctrine/m-etha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23</Pages>
  <Words>6112</Words>
  <Characters>34840</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40871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Beadsley, Dan</cp:lastModifiedBy>
  <cp:revision>11</cp:revision>
  <cp:lastPrinted>2014-08-26T08:55:00Z</cp:lastPrinted>
  <dcterms:created xsi:type="dcterms:W3CDTF">2023-01-25T06:23:00Z</dcterms:created>
  <dcterms:modified xsi:type="dcterms:W3CDTF">2023-08-05T00:11:00Z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2023-01-11T15:24:14Z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0c20516e-9e06-4d42-bea3-fda81f333aea</vt:lpwstr>
  </property>
  <property fmtid="{D5CDD505-2E9C-101B-9397-08002B2CF9AE}" pid="9" name="MSIP_Label_f2acd28b-79a3-4a0f-b0ff-4b75658b1549_ContentBits">
    <vt:lpwstr>0</vt:lpwstr>
  </property>
</Properties>
</file>