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DD5E1AC" w14:textId="77777777" w:rsidR="004019C0" w:rsidRDefault="004019C0"/>
    <w:p w14:paraId="07144904" w14:textId="77777777" w:rsidR="004019C0" w:rsidRDefault="004019C0"/>
    <w:p w14:paraId="6AE8490F" w14:textId="77777777" w:rsidR="004019C0" w:rsidRDefault="004019C0"/>
    <w:p w14:paraId="148FF79D" w14:textId="77777777" w:rsidR="004019C0" w:rsidRDefault="004019C0"/>
    <w:p w14:paraId="0F9430E7" w14:textId="77777777" w:rsidR="004019C0" w:rsidRDefault="004019C0"/>
    <w:p w14:paraId="753B846E" w14:textId="77777777" w:rsidR="004019C0" w:rsidRDefault="004019C0"/>
    <w:p w14:paraId="490A3EED" w14:textId="10DC0E80" w:rsidR="004019C0" w:rsidRDefault="004019C0"/>
    <w:p w14:paraId="65250071" w14:textId="77777777" w:rsidR="004019C0" w:rsidRDefault="004019C0"/>
    <w:p w14:paraId="5247B80B" w14:textId="77777777" w:rsidR="004019C0" w:rsidRDefault="004019C0"/>
    <w:p w14:paraId="7A549817" w14:textId="489CC646" w:rsidR="00C92AEE" w:rsidRDefault="004019C0" w:rsidP="004019C0">
      <w:pPr>
        <w:pStyle w:val="Title"/>
      </w:pPr>
      <w:r w:rsidRPr="004019C0">
        <w:t xml:space="preserve">Essay </w:t>
      </w:r>
      <w:r>
        <w:t>o</w:t>
      </w:r>
      <w:r w:rsidRPr="004019C0">
        <w:t>n Accounting Fundamentals</w:t>
      </w:r>
    </w:p>
    <w:p w14:paraId="416F4B1D" w14:textId="77777777" w:rsidR="00C92AEE" w:rsidRDefault="00C92AEE">
      <w:pPr>
        <w:rPr>
          <w:rFonts w:ascii="Times New Roman" w:eastAsiaTheme="majorEastAsia" w:hAnsi="Times New Roman" w:cstheme="majorBidi"/>
          <w:b/>
          <w:spacing w:val="-10"/>
          <w:kern w:val="28"/>
          <w:sz w:val="56"/>
          <w:szCs w:val="56"/>
        </w:rPr>
      </w:pPr>
      <w:r>
        <w:br w:type="page"/>
      </w:r>
    </w:p>
    <w:bookmarkStart w:id="0" w:name="_Toc108284454" w:displacedByCustomXml="next"/>
    <w:sdt>
      <w:sdtPr>
        <w:rPr>
          <w:rFonts w:asciiTheme="minorHAnsi" w:eastAsiaTheme="minorHAnsi" w:hAnsiTheme="minorHAnsi" w:cstheme="minorBidi"/>
          <w:b w:val="0"/>
          <w:color w:val="auto"/>
          <w:sz w:val="22"/>
          <w:szCs w:val="22"/>
        </w:rPr>
        <w:id w:val="-467049040"/>
        <w:docPartObj>
          <w:docPartGallery w:val="Table of Contents"/>
          <w:docPartUnique/>
        </w:docPartObj>
      </w:sdtPr>
      <w:sdtEndPr>
        <w:rPr>
          <w:bCs/>
          <w:noProof/>
        </w:rPr>
      </w:sdtEndPr>
      <w:sdtContent>
        <w:p w14:paraId="78F78AD1" w14:textId="3DA61413" w:rsidR="008B5065" w:rsidRDefault="008B5065" w:rsidP="00674A79">
          <w:pPr>
            <w:pStyle w:val="Heading1"/>
            <w:jc w:val="center"/>
          </w:pPr>
          <w:r>
            <w:t>Table of Contents</w:t>
          </w:r>
          <w:bookmarkEnd w:id="0"/>
        </w:p>
        <w:p w14:paraId="55DE0648" w14:textId="4DB7BF31" w:rsidR="00EA70E0" w:rsidRDefault="008B5065">
          <w:pPr>
            <w:pStyle w:val="TOC1"/>
            <w:tabs>
              <w:tab w:val="right" w:leader="dot" w:pos="9350"/>
            </w:tabs>
            <w:rPr>
              <w:rFonts w:eastAsiaTheme="minorEastAsia"/>
              <w:noProof/>
            </w:rPr>
          </w:pPr>
          <w:r>
            <w:fldChar w:fldCharType="begin"/>
          </w:r>
          <w:r>
            <w:instrText xml:space="preserve"> TOC \o "1-3" \h \z \u </w:instrText>
          </w:r>
          <w:r>
            <w:fldChar w:fldCharType="separate"/>
          </w:r>
          <w:hyperlink w:anchor="_Toc108284454" w:history="1">
            <w:r w:rsidR="00EA70E0" w:rsidRPr="00662DC9">
              <w:rPr>
                <w:rStyle w:val="Hyperlink"/>
                <w:noProof/>
              </w:rPr>
              <w:t>Table of Contents</w:t>
            </w:r>
            <w:r w:rsidR="00EA70E0">
              <w:rPr>
                <w:noProof/>
                <w:webHidden/>
              </w:rPr>
              <w:tab/>
            </w:r>
            <w:r w:rsidR="00EA70E0">
              <w:rPr>
                <w:noProof/>
                <w:webHidden/>
              </w:rPr>
              <w:fldChar w:fldCharType="begin"/>
            </w:r>
            <w:r w:rsidR="00EA70E0">
              <w:rPr>
                <w:noProof/>
                <w:webHidden/>
              </w:rPr>
              <w:instrText xml:space="preserve"> PAGEREF _Toc108284454 \h </w:instrText>
            </w:r>
            <w:r w:rsidR="00EA70E0">
              <w:rPr>
                <w:noProof/>
                <w:webHidden/>
              </w:rPr>
            </w:r>
            <w:r w:rsidR="00EA70E0">
              <w:rPr>
                <w:noProof/>
                <w:webHidden/>
              </w:rPr>
              <w:fldChar w:fldCharType="separate"/>
            </w:r>
            <w:r w:rsidR="00EA70E0">
              <w:rPr>
                <w:noProof/>
                <w:webHidden/>
              </w:rPr>
              <w:t>2</w:t>
            </w:r>
            <w:r w:rsidR="00EA70E0">
              <w:rPr>
                <w:noProof/>
                <w:webHidden/>
              </w:rPr>
              <w:fldChar w:fldCharType="end"/>
            </w:r>
          </w:hyperlink>
        </w:p>
        <w:p w14:paraId="41A3CD5A" w14:textId="15DC3EA5" w:rsidR="00EA70E0" w:rsidRDefault="00377A3E">
          <w:pPr>
            <w:pStyle w:val="TOC1"/>
            <w:tabs>
              <w:tab w:val="right" w:leader="dot" w:pos="9350"/>
            </w:tabs>
            <w:rPr>
              <w:rFonts w:eastAsiaTheme="minorEastAsia"/>
              <w:noProof/>
            </w:rPr>
          </w:pPr>
          <w:hyperlink w:anchor="_Toc108284455" w:history="1">
            <w:r w:rsidR="00EA70E0" w:rsidRPr="00662DC9">
              <w:rPr>
                <w:rStyle w:val="Hyperlink"/>
                <w:noProof/>
              </w:rPr>
              <w:t>Introduction</w:t>
            </w:r>
            <w:r w:rsidR="00EA70E0">
              <w:rPr>
                <w:noProof/>
                <w:webHidden/>
              </w:rPr>
              <w:tab/>
            </w:r>
            <w:r w:rsidR="00EA70E0">
              <w:rPr>
                <w:noProof/>
                <w:webHidden/>
              </w:rPr>
              <w:fldChar w:fldCharType="begin"/>
            </w:r>
            <w:r w:rsidR="00EA70E0">
              <w:rPr>
                <w:noProof/>
                <w:webHidden/>
              </w:rPr>
              <w:instrText xml:space="preserve"> PAGEREF _Toc108284455 \h </w:instrText>
            </w:r>
            <w:r w:rsidR="00EA70E0">
              <w:rPr>
                <w:noProof/>
                <w:webHidden/>
              </w:rPr>
            </w:r>
            <w:r w:rsidR="00EA70E0">
              <w:rPr>
                <w:noProof/>
                <w:webHidden/>
              </w:rPr>
              <w:fldChar w:fldCharType="separate"/>
            </w:r>
            <w:r w:rsidR="00EA70E0">
              <w:rPr>
                <w:noProof/>
                <w:webHidden/>
              </w:rPr>
              <w:t>3</w:t>
            </w:r>
            <w:r w:rsidR="00EA70E0">
              <w:rPr>
                <w:noProof/>
                <w:webHidden/>
              </w:rPr>
              <w:fldChar w:fldCharType="end"/>
            </w:r>
          </w:hyperlink>
        </w:p>
        <w:p w14:paraId="4409BD54" w14:textId="152CCD05" w:rsidR="00EA70E0" w:rsidRDefault="00377A3E">
          <w:pPr>
            <w:pStyle w:val="TOC1"/>
            <w:tabs>
              <w:tab w:val="right" w:leader="dot" w:pos="9350"/>
            </w:tabs>
            <w:rPr>
              <w:rFonts w:eastAsiaTheme="minorEastAsia"/>
              <w:noProof/>
            </w:rPr>
          </w:pPr>
          <w:hyperlink w:anchor="_Toc108284456" w:history="1">
            <w:r w:rsidR="00EA70E0" w:rsidRPr="00662DC9">
              <w:rPr>
                <w:rStyle w:val="Hyperlink"/>
                <w:noProof/>
              </w:rPr>
              <w:t>Angela’s Income Statement and Balance Sheet</w:t>
            </w:r>
            <w:r w:rsidR="00EA70E0">
              <w:rPr>
                <w:noProof/>
                <w:webHidden/>
              </w:rPr>
              <w:tab/>
            </w:r>
            <w:r w:rsidR="00EA70E0">
              <w:rPr>
                <w:noProof/>
                <w:webHidden/>
              </w:rPr>
              <w:fldChar w:fldCharType="begin"/>
            </w:r>
            <w:r w:rsidR="00EA70E0">
              <w:rPr>
                <w:noProof/>
                <w:webHidden/>
              </w:rPr>
              <w:instrText xml:space="preserve"> PAGEREF _Toc108284456 \h </w:instrText>
            </w:r>
            <w:r w:rsidR="00EA70E0">
              <w:rPr>
                <w:noProof/>
                <w:webHidden/>
              </w:rPr>
            </w:r>
            <w:r w:rsidR="00EA70E0">
              <w:rPr>
                <w:noProof/>
                <w:webHidden/>
              </w:rPr>
              <w:fldChar w:fldCharType="separate"/>
            </w:r>
            <w:r w:rsidR="00EA70E0">
              <w:rPr>
                <w:noProof/>
                <w:webHidden/>
              </w:rPr>
              <w:t>4</w:t>
            </w:r>
            <w:r w:rsidR="00EA70E0">
              <w:rPr>
                <w:noProof/>
                <w:webHidden/>
              </w:rPr>
              <w:fldChar w:fldCharType="end"/>
            </w:r>
          </w:hyperlink>
        </w:p>
        <w:p w14:paraId="44B10BDE" w14:textId="5D9348C2" w:rsidR="00EA70E0" w:rsidRDefault="00377A3E">
          <w:pPr>
            <w:pStyle w:val="TOC1"/>
            <w:tabs>
              <w:tab w:val="right" w:leader="dot" w:pos="9350"/>
            </w:tabs>
            <w:rPr>
              <w:rFonts w:eastAsiaTheme="minorEastAsia"/>
              <w:noProof/>
            </w:rPr>
          </w:pPr>
          <w:hyperlink w:anchor="_Toc108284457" w:history="1">
            <w:r w:rsidR="00EA70E0" w:rsidRPr="00662DC9">
              <w:rPr>
                <w:rStyle w:val="Hyperlink"/>
                <w:noProof/>
              </w:rPr>
              <w:t>Discussion of Accounting Principles</w:t>
            </w:r>
            <w:r w:rsidR="00EA70E0">
              <w:rPr>
                <w:noProof/>
                <w:webHidden/>
              </w:rPr>
              <w:tab/>
            </w:r>
            <w:r w:rsidR="00EA70E0">
              <w:rPr>
                <w:noProof/>
                <w:webHidden/>
              </w:rPr>
              <w:fldChar w:fldCharType="begin"/>
            </w:r>
            <w:r w:rsidR="00EA70E0">
              <w:rPr>
                <w:noProof/>
                <w:webHidden/>
              </w:rPr>
              <w:instrText xml:space="preserve"> PAGEREF _Toc108284457 \h </w:instrText>
            </w:r>
            <w:r w:rsidR="00EA70E0">
              <w:rPr>
                <w:noProof/>
                <w:webHidden/>
              </w:rPr>
            </w:r>
            <w:r w:rsidR="00EA70E0">
              <w:rPr>
                <w:noProof/>
                <w:webHidden/>
              </w:rPr>
              <w:fldChar w:fldCharType="separate"/>
            </w:r>
            <w:r w:rsidR="00EA70E0">
              <w:rPr>
                <w:noProof/>
                <w:webHidden/>
              </w:rPr>
              <w:t>6</w:t>
            </w:r>
            <w:r w:rsidR="00EA70E0">
              <w:rPr>
                <w:noProof/>
                <w:webHidden/>
              </w:rPr>
              <w:fldChar w:fldCharType="end"/>
            </w:r>
          </w:hyperlink>
        </w:p>
        <w:p w14:paraId="57212102" w14:textId="29F49078" w:rsidR="00EA70E0" w:rsidRDefault="00377A3E">
          <w:pPr>
            <w:pStyle w:val="TOC2"/>
            <w:tabs>
              <w:tab w:val="right" w:leader="dot" w:pos="9350"/>
            </w:tabs>
            <w:rPr>
              <w:rFonts w:eastAsiaTheme="minorEastAsia"/>
              <w:noProof/>
            </w:rPr>
          </w:pPr>
          <w:hyperlink w:anchor="_Toc108284458" w:history="1">
            <w:r w:rsidR="00EA70E0" w:rsidRPr="00662DC9">
              <w:rPr>
                <w:rStyle w:val="Hyperlink"/>
                <w:noProof/>
              </w:rPr>
              <w:t>The Monetary Unit Assumption</w:t>
            </w:r>
            <w:r w:rsidR="00EA70E0">
              <w:rPr>
                <w:noProof/>
                <w:webHidden/>
              </w:rPr>
              <w:tab/>
            </w:r>
            <w:r w:rsidR="00EA70E0">
              <w:rPr>
                <w:noProof/>
                <w:webHidden/>
              </w:rPr>
              <w:fldChar w:fldCharType="begin"/>
            </w:r>
            <w:r w:rsidR="00EA70E0">
              <w:rPr>
                <w:noProof/>
                <w:webHidden/>
              </w:rPr>
              <w:instrText xml:space="preserve"> PAGEREF _Toc108284458 \h </w:instrText>
            </w:r>
            <w:r w:rsidR="00EA70E0">
              <w:rPr>
                <w:noProof/>
                <w:webHidden/>
              </w:rPr>
            </w:r>
            <w:r w:rsidR="00EA70E0">
              <w:rPr>
                <w:noProof/>
                <w:webHidden/>
              </w:rPr>
              <w:fldChar w:fldCharType="separate"/>
            </w:r>
            <w:r w:rsidR="00EA70E0">
              <w:rPr>
                <w:noProof/>
                <w:webHidden/>
              </w:rPr>
              <w:t>6</w:t>
            </w:r>
            <w:r w:rsidR="00EA70E0">
              <w:rPr>
                <w:noProof/>
                <w:webHidden/>
              </w:rPr>
              <w:fldChar w:fldCharType="end"/>
            </w:r>
          </w:hyperlink>
        </w:p>
        <w:p w14:paraId="2CFC3001" w14:textId="6DFF8ADF" w:rsidR="00EA70E0" w:rsidRDefault="00377A3E">
          <w:pPr>
            <w:pStyle w:val="TOC2"/>
            <w:tabs>
              <w:tab w:val="right" w:leader="dot" w:pos="9350"/>
            </w:tabs>
            <w:rPr>
              <w:rFonts w:eastAsiaTheme="minorEastAsia"/>
              <w:noProof/>
            </w:rPr>
          </w:pPr>
          <w:hyperlink w:anchor="_Toc108284459" w:history="1">
            <w:r w:rsidR="00EA70E0" w:rsidRPr="00662DC9">
              <w:rPr>
                <w:rStyle w:val="Hyperlink"/>
                <w:noProof/>
              </w:rPr>
              <w:t>The Principle of Consistency</w:t>
            </w:r>
            <w:r w:rsidR="00EA70E0">
              <w:rPr>
                <w:noProof/>
                <w:webHidden/>
              </w:rPr>
              <w:tab/>
            </w:r>
            <w:r w:rsidR="00EA70E0">
              <w:rPr>
                <w:noProof/>
                <w:webHidden/>
              </w:rPr>
              <w:fldChar w:fldCharType="begin"/>
            </w:r>
            <w:r w:rsidR="00EA70E0">
              <w:rPr>
                <w:noProof/>
                <w:webHidden/>
              </w:rPr>
              <w:instrText xml:space="preserve"> PAGEREF _Toc108284459 \h </w:instrText>
            </w:r>
            <w:r w:rsidR="00EA70E0">
              <w:rPr>
                <w:noProof/>
                <w:webHidden/>
              </w:rPr>
            </w:r>
            <w:r w:rsidR="00EA70E0">
              <w:rPr>
                <w:noProof/>
                <w:webHidden/>
              </w:rPr>
              <w:fldChar w:fldCharType="separate"/>
            </w:r>
            <w:r w:rsidR="00EA70E0">
              <w:rPr>
                <w:noProof/>
                <w:webHidden/>
              </w:rPr>
              <w:t>7</w:t>
            </w:r>
            <w:r w:rsidR="00EA70E0">
              <w:rPr>
                <w:noProof/>
                <w:webHidden/>
              </w:rPr>
              <w:fldChar w:fldCharType="end"/>
            </w:r>
          </w:hyperlink>
        </w:p>
        <w:p w14:paraId="61CA6DE1" w14:textId="3453C0B9" w:rsidR="00EA70E0" w:rsidRDefault="00377A3E">
          <w:pPr>
            <w:pStyle w:val="TOC2"/>
            <w:tabs>
              <w:tab w:val="right" w:leader="dot" w:pos="9350"/>
            </w:tabs>
            <w:rPr>
              <w:rFonts w:eastAsiaTheme="minorEastAsia"/>
              <w:noProof/>
            </w:rPr>
          </w:pPr>
          <w:hyperlink w:anchor="_Toc108284460" w:history="1">
            <w:r w:rsidR="00EA70E0" w:rsidRPr="00662DC9">
              <w:rPr>
                <w:rStyle w:val="Hyperlink"/>
                <w:noProof/>
              </w:rPr>
              <w:t>The Going Concern Concept</w:t>
            </w:r>
            <w:r w:rsidR="00EA70E0">
              <w:rPr>
                <w:noProof/>
                <w:webHidden/>
              </w:rPr>
              <w:tab/>
            </w:r>
            <w:r w:rsidR="00EA70E0">
              <w:rPr>
                <w:noProof/>
                <w:webHidden/>
              </w:rPr>
              <w:fldChar w:fldCharType="begin"/>
            </w:r>
            <w:r w:rsidR="00EA70E0">
              <w:rPr>
                <w:noProof/>
                <w:webHidden/>
              </w:rPr>
              <w:instrText xml:space="preserve"> PAGEREF _Toc108284460 \h </w:instrText>
            </w:r>
            <w:r w:rsidR="00EA70E0">
              <w:rPr>
                <w:noProof/>
                <w:webHidden/>
              </w:rPr>
            </w:r>
            <w:r w:rsidR="00EA70E0">
              <w:rPr>
                <w:noProof/>
                <w:webHidden/>
              </w:rPr>
              <w:fldChar w:fldCharType="separate"/>
            </w:r>
            <w:r w:rsidR="00EA70E0">
              <w:rPr>
                <w:noProof/>
                <w:webHidden/>
              </w:rPr>
              <w:t>9</w:t>
            </w:r>
            <w:r w:rsidR="00EA70E0">
              <w:rPr>
                <w:noProof/>
                <w:webHidden/>
              </w:rPr>
              <w:fldChar w:fldCharType="end"/>
            </w:r>
          </w:hyperlink>
        </w:p>
        <w:p w14:paraId="2DE63093" w14:textId="56C9C562" w:rsidR="00EA70E0" w:rsidRDefault="00377A3E">
          <w:pPr>
            <w:pStyle w:val="TOC2"/>
            <w:tabs>
              <w:tab w:val="right" w:leader="dot" w:pos="9350"/>
            </w:tabs>
            <w:rPr>
              <w:rFonts w:eastAsiaTheme="minorEastAsia"/>
              <w:noProof/>
            </w:rPr>
          </w:pPr>
          <w:hyperlink w:anchor="_Toc108284461" w:history="1">
            <w:r w:rsidR="00EA70E0" w:rsidRPr="00662DC9">
              <w:rPr>
                <w:rStyle w:val="Hyperlink"/>
                <w:noProof/>
              </w:rPr>
              <w:t>The Materiality Concept</w:t>
            </w:r>
            <w:r w:rsidR="00EA70E0">
              <w:rPr>
                <w:noProof/>
                <w:webHidden/>
              </w:rPr>
              <w:tab/>
            </w:r>
            <w:r w:rsidR="00EA70E0">
              <w:rPr>
                <w:noProof/>
                <w:webHidden/>
              </w:rPr>
              <w:fldChar w:fldCharType="begin"/>
            </w:r>
            <w:r w:rsidR="00EA70E0">
              <w:rPr>
                <w:noProof/>
                <w:webHidden/>
              </w:rPr>
              <w:instrText xml:space="preserve"> PAGEREF _Toc108284461 \h </w:instrText>
            </w:r>
            <w:r w:rsidR="00EA70E0">
              <w:rPr>
                <w:noProof/>
                <w:webHidden/>
              </w:rPr>
            </w:r>
            <w:r w:rsidR="00EA70E0">
              <w:rPr>
                <w:noProof/>
                <w:webHidden/>
              </w:rPr>
              <w:fldChar w:fldCharType="separate"/>
            </w:r>
            <w:r w:rsidR="00EA70E0">
              <w:rPr>
                <w:noProof/>
                <w:webHidden/>
              </w:rPr>
              <w:t>10</w:t>
            </w:r>
            <w:r w:rsidR="00EA70E0">
              <w:rPr>
                <w:noProof/>
                <w:webHidden/>
              </w:rPr>
              <w:fldChar w:fldCharType="end"/>
            </w:r>
          </w:hyperlink>
        </w:p>
        <w:p w14:paraId="72E23717" w14:textId="75AAE24D" w:rsidR="00EA70E0" w:rsidRDefault="00377A3E">
          <w:pPr>
            <w:pStyle w:val="TOC1"/>
            <w:tabs>
              <w:tab w:val="right" w:leader="dot" w:pos="9350"/>
            </w:tabs>
            <w:rPr>
              <w:rFonts w:eastAsiaTheme="minorEastAsia"/>
              <w:noProof/>
            </w:rPr>
          </w:pPr>
          <w:hyperlink w:anchor="_Toc108284462" w:history="1">
            <w:r w:rsidR="00EA70E0" w:rsidRPr="00662DC9">
              <w:rPr>
                <w:rStyle w:val="Hyperlink"/>
                <w:noProof/>
              </w:rPr>
              <w:t>Conclusion</w:t>
            </w:r>
            <w:r w:rsidR="00EA70E0">
              <w:rPr>
                <w:noProof/>
                <w:webHidden/>
              </w:rPr>
              <w:tab/>
            </w:r>
            <w:r w:rsidR="00EA70E0">
              <w:rPr>
                <w:noProof/>
                <w:webHidden/>
              </w:rPr>
              <w:fldChar w:fldCharType="begin"/>
            </w:r>
            <w:r w:rsidR="00EA70E0">
              <w:rPr>
                <w:noProof/>
                <w:webHidden/>
              </w:rPr>
              <w:instrText xml:space="preserve"> PAGEREF _Toc108284462 \h </w:instrText>
            </w:r>
            <w:r w:rsidR="00EA70E0">
              <w:rPr>
                <w:noProof/>
                <w:webHidden/>
              </w:rPr>
            </w:r>
            <w:r w:rsidR="00EA70E0">
              <w:rPr>
                <w:noProof/>
                <w:webHidden/>
              </w:rPr>
              <w:fldChar w:fldCharType="separate"/>
            </w:r>
            <w:r w:rsidR="00EA70E0">
              <w:rPr>
                <w:noProof/>
                <w:webHidden/>
              </w:rPr>
              <w:t>12</w:t>
            </w:r>
            <w:r w:rsidR="00EA70E0">
              <w:rPr>
                <w:noProof/>
                <w:webHidden/>
              </w:rPr>
              <w:fldChar w:fldCharType="end"/>
            </w:r>
          </w:hyperlink>
        </w:p>
        <w:p w14:paraId="6B685654" w14:textId="491F34E0" w:rsidR="00EA70E0" w:rsidRDefault="00377A3E">
          <w:pPr>
            <w:pStyle w:val="TOC1"/>
            <w:tabs>
              <w:tab w:val="right" w:leader="dot" w:pos="9350"/>
            </w:tabs>
            <w:rPr>
              <w:rFonts w:eastAsiaTheme="minorEastAsia"/>
              <w:noProof/>
            </w:rPr>
          </w:pPr>
          <w:hyperlink w:anchor="_Toc108284463" w:history="1">
            <w:r w:rsidR="00EA70E0" w:rsidRPr="00662DC9">
              <w:rPr>
                <w:rStyle w:val="Hyperlink"/>
                <w:noProof/>
              </w:rPr>
              <w:t>References</w:t>
            </w:r>
            <w:r w:rsidR="00EA70E0">
              <w:rPr>
                <w:noProof/>
                <w:webHidden/>
              </w:rPr>
              <w:tab/>
            </w:r>
            <w:r w:rsidR="00EA70E0">
              <w:rPr>
                <w:noProof/>
                <w:webHidden/>
              </w:rPr>
              <w:fldChar w:fldCharType="begin"/>
            </w:r>
            <w:r w:rsidR="00EA70E0">
              <w:rPr>
                <w:noProof/>
                <w:webHidden/>
              </w:rPr>
              <w:instrText xml:space="preserve"> PAGEREF _Toc108284463 \h </w:instrText>
            </w:r>
            <w:r w:rsidR="00EA70E0">
              <w:rPr>
                <w:noProof/>
                <w:webHidden/>
              </w:rPr>
            </w:r>
            <w:r w:rsidR="00EA70E0">
              <w:rPr>
                <w:noProof/>
                <w:webHidden/>
              </w:rPr>
              <w:fldChar w:fldCharType="separate"/>
            </w:r>
            <w:r w:rsidR="00EA70E0">
              <w:rPr>
                <w:noProof/>
                <w:webHidden/>
              </w:rPr>
              <w:t>13</w:t>
            </w:r>
            <w:r w:rsidR="00EA70E0">
              <w:rPr>
                <w:noProof/>
                <w:webHidden/>
              </w:rPr>
              <w:fldChar w:fldCharType="end"/>
            </w:r>
          </w:hyperlink>
        </w:p>
        <w:p w14:paraId="4B957B19" w14:textId="04915106" w:rsidR="008B5065" w:rsidRDefault="008B5065">
          <w:r>
            <w:rPr>
              <w:b/>
              <w:bCs/>
              <w:noProof/>
            </w:rPr>
            <w:fldChar w:fldCharType="end"/>
          </w:r>
        </w:p>
      </w:sdtContent>
    </w:sdt>
    <w:p w14:paraId="17DACE98" w14:textId="77777777" w:rsidR="008B5065" w:rsidRDefault="008B5065">
      <w:pPr>
        <w:rPr>
          <w:rFonts w:ascii="Times New Roman" w:eastAsiaTheme="majorEastAsia" w:hAnsi="Times New Roman" w:cstheme="majorBidi"/>
          <w:b/>
          <w:color w:val="2F5496" w:themeColor="accent1" w:themeShade="BF"/>
          <w:sz w:val="36"/>
          <w:szCs w:val="36"/>
        </w:rPr>
      </w:pPr>
      <w:r>
        <w:rPr>
          <w:sz w:val="36"/>
          <w:szCs w:val="36"/>
        </w:rPr>
        <w:br w:type="page"/>
      </w:r>
    </w:p>
    <w:p w14:paraId="289B4B35" w14:textId="4FE395A8" w:rsidR="006535CA" w:rsidRPr="006535CA" w:rsidRDefault="00421FDC" w:rsidP="006535CA">
      <w:pPr>
        <w:pStyle w:val="Heading1"/>
        <w:rPr>
          <w:sz w:val="36"/>
          <w:szCs w:val="36"/>
        </w:rPr>
      </w:pPr>
      <w:bookmarkStart w:id="1" w:name="_Toc108284455"/>
      <w:r w:rsidRPr="006B1A51">
        <w:rPr>
          <w:sz w:val="36"/>
          <w:szCs w:val="36"/>
        </w:rPr>
        <w:t>Introduction</w:t>
      </w:r>
      <w:bookmarkEnd w:id="1"/>
    </w:p>
    <w:p w14:paraId="19F93925" w14:textId="77777777" w:rsidR="00AE1BF5" w:rsidRPr="00AE1BF5" w:rsidRDefault="00AE1BF5" w:rsidP="00AE1BF5">
      <w:pPr>
        <w:spacing w:line="360" w:lineRule="auto"/>
        <w:jc w:val="both"/>
        <w:rPr>
          <w:rFonts w:ascii="Times New Roman" w:hAnsi="Times New Roman" w:cs="Times New Roman"/>
          <w:sz w:val="24"/>
          <w:szCs w:val="24"/>
        </w:rPr>
      </w:pPr>
      <w:r w:rsidRPr="00AE1BF5">
        <w:rPr>
          <w:rFonts w:ascii="Times New Roman" w:hAnsi="Times New Roman" w:cs="Times New Roman"/>
          <w:sz w:val="24"/>
          <w:szCs w:val="24"/>
        </w:rPr>
        <w:t>Two out of the four financial statements—the income statement and balance sheet—are unquestionably the most crucial. The financial results of an entity's financial transactions throughout the course of an accounting period are shown in the income statement. The financial position of a business entity is represented by the sums of the entity's assets and liabilities at a specific point in time in a balance sheet, on the other hand. The balance sheet and income statement of "Angela," a business entity, have been prepared in the first half of this assignment to indicate her financial activities and economic position for the year ending on December 31, 2021.</w:t>
      </w:r>
    </w:p>
    <w:p w14:paraId="5BE8F55D" w14:textId="09120767" w:rsidR="004A2C7C" w:rsidRPr="006B1A51" w:rsidRDefault="00AE1BF5" w:rsidP="00AE1BF5">
      <w:pPr>
        <w:spacing w:line="360" w:lineRule="auto"/>
        <w:jc w:val="both"/>
        <w:rPr>
          <w:rFonts w:ascii="Times New Roman" w:hAnsi="Times New Roman" w:cs="Times New Roman"/>
        </w:rPr>
      </w:pPr>
      <w:r w:rsidRPr="00AE1BF5">
        <w:rPr>
          <w:rFonts w:ascii="Times New Roman" w:hAnsi="Times New Roman" w:cs="Times New Roman"/>
          <w:sz w:val="24"/>
          <w:szCs w:val="24"/>
        </w:rPr>
        <w:t>The consistency, going concern, materiality, and monetary unit are the four important accounting concepts that are covered in detail in the second half of the assignment. According to the standards, the definitions, justifications, significance, benefits, and drawbacks of the principles have been explored.</w:t>
      </w:r>
      <w:r w:rsidR="004A2C7C" w:rsidRPr="006B1A51">
        <w:rPr>
          <w:rFonts w:ascii="Times New Roman" w:hAnsi="Times New Roman" w:cs="Times New Roman"/>
        </w:rPr>
        <w:br w:type="page"/>
      </w:r>
    </w:p>
    <w:p w14:paraId="0FE4BF14" w14:textId="28BDE907" w:rsidR="00AF6E83" w:rsidRDefault="004A2C7C" w:rsidP="00AF6E83">
      <w:pPr>
        <w:pStyle w:val="Heading1"/>
      </w:pPr>
      <w:bookmarkStart w:id="2" w:name="_Toc108284456"/>
      <w:r>
        <w:t xml:space="preserve">Angela’s Income Statement </w:t>
      </w:r>
      <w:r w:rsidR="005971A7">
        <w:t>and</w:t>
      </w:r>
      <w:r>
        <w:t xml:space="preserve"> Balance Sheet</w:t>
      </w:r>
      <w:bookmarkEnd w:id="2"/>
    </w:p>
    <w:p w14:paraId="7EA85E2E" w14:textId="4099D2A4" w:rsidR="007A5E5F" w:rsidRPr="00353F7E" w:rsidRDefault="007A5E5F" w:rsidP="00353F7E"/>
    <w:tbl>
      <w:tblPr>
        <w:tblW w:w="5861" w:type="dxa"/>
        <w:jc w:val="center"/>
        <w:tblLook w:val="04A0" w:firstRow="1" w:lastRow="0" w:firstColumn="1" w:lastColumn="0" w:noHBand="0" w:noVBand="1"/>
      </w:tblPr>
      <w:tblGrid>
        <w:gridCol w:w="3999"/>
        <w:gridCol w:w="940"/>
        <w:gridCol w:w="940"/>
      </w:tblGrid>
      <w:tr w:rsidR="00F91DA4" w:rsidRPr="00F91DA4" w14:paraId="6389C33C" w14:textId="77777777" w:rsidTr="00F91DA4">
        <w:trPr>
          <w:trHeight w:val="300"/>
          <w:jc w:val="center"/>
        </w:trPr>
        <w:tc>
          <w:tcPr>
            <w:tcW w:w="5861" w:type="dxa"/>
            <w:gridSpan w:val="3"/>
            <w:tcBorders>
              <w:top w:val="single" w:sz="8" w:space="0" w:color="auto"/>
              <w:left w:val="single" w:sz="8" w:space="0" w:color="auto"/>
              <w:bottom w:val="nil"/>
              <w:right w:val="single" w:sz="8" w:space="0" w:color="auto"/>
            </w:tcBorders>
            <w:shd w:val="clear" w:color="000000" w:fill="D6DCE4"/>
            <w:noWrap/>
            <w:vAlign w:val="center"/>
            <w:hideMark/>
          </w:tcPr>
          <w:p w14:paraId="182521AE" w14:textId="77777777" w:rsidR="00F91DA4" w:rsidRPr="00F91DA4" w:rsidRDefault="00F91DA4" w:rsidP="00F91DA4">
            <w:pPr>
              <w:spacing w:after="0" w:line="240" w:lineRule="auto"/>
              <w:jc w:val="center"/>
              <w:rPr>
                <w:rFonts w:ascii="Calibri" w:eastAsia="Times New Roman" w:hAnsi="Calibri" w:cs="Calibri"/>
                <w:b/>
                <w:bCs/>
              </w:rPr>
            </w:pPr>
            <w:r w:rsidRPr="00F91DA4">
              <w:rPr>
                <w:rFonts w:ascii="Calibri" w:eastAsia="Times New Roman" w:hAnsi="Calibri" w:cs="Calibri"/>
                <w:b/>
                <w:bCs/>
              </w:rPr>
              <w:t>Angela</w:t>
            </w:r>
          </w:p>
        </w:tc>
      </w:tr>
      <w:tr w:rsidR="00F91DA4" w:rsidRPr="00F91DA4" w14:paraId="0D21A6B9" w14:textId="77777777" w:rsidTr="00F91DA4">
        <w:trPr>
          <w:trHeight w:val="300"/>
          <w:jc w:val="center"/>
        </w:trPr>
        <w:tc>
          <w:tcPr>
            <w:tcW w:w="5861" w:type="dxa"/>
            <w:gridSpan w:val="3"/>
            <w:tcBorders>
              <w:top w:val="nil"/>
              <w:left w:val="single" w:sz="8" w:space="0" w:color="auto"/>
              <w:bottom w:val="nil"/>
              <w:right w:val="single" w:sz="8" w:space="0" w:color="auto"/>
            </w:tcBorders>
            <w:shd w:val="clear" w:color="000000" w:fill="D6DCE4"/>
            <w:noWrap/>
            <w:vAlign w:val="center"/>
            <w:hideMark/>
          </w:tcPr>
          <w:p w14:paraId="3713C963" w14:textId="77777777" w:rsidR="00F91DA4" w:rsidRPr="00F91DA4" w:rsidRDefault="00F91DA4" w:rsidP="00F91DA4">
            <w:pPr>
              <w:spacing w:after="0" w:line="240" w:lineRule="auto"/>
              <w:jc w:val="center"/>
              <w:rPr>
                <w:rFonts w:ascii="Calibri" w:eastAsia="Times New Roman" w:hAnsi="Calibri" w:cs="Calibri"/>
                <w:b/>
                <w:bCs/>
              </w:rPr>
            </w:pPr>
            <w:r w:rsidRPr="00F91DA4">
              <w:rPr>
                <w:rFonts w:ascii="Calibri" w:eastAsia="Times New Roman" w:hAnsi="Calibri" w:cs="Calibri"/>
                <w:b/>
                <w:bCs/>
              </w:rPr>
              <w:t>Income Statement</w:t>
            </w:r>
          </w:p>
        </w:tc>
      </w:tr>
      <w:tr w:rsidR="00F91DA4" w:rsidRPr="00F91DA4" w14:paraId="77C3D52B" w14:textId="77777777" w:rsidTr="00F91DA4">
        <w:trPr>
          <w:trHeight w:val="300"/>
          <w:jc w:val="center"/>
        </w:trPr>
        <w:tc>
          <w:tcPr>
            <w:tcW w:w="5861" w:type="dxa"/>
            <w:gridSpan w:val="3"/>
            <w:tcBorders>
              <w:top w:val="nil"/>
              <w:left w:val="single" w:sz="8" w:space="0" w:color="auto"/>
              <w:bottom w:val="nil"/>
              <w:right w:val="single" w:sz="8" w:space="0" w:color="auto"/>
            </w:tcBorders>
            <w:shd w:val="clear" w:color="000000" w:fill="D6DCE4"/>
            <w:noWrap/>
            <w:vAlign w:val="bottom"/>
            <w:hideMark/>
          </w:tcPr>
          <w:p w14:paraId="5F05ACD2" w14:textId="77777777" w:rsidR="00F91DA4" w:rsidRPr="00F91DA4" w:rsidRDefault="00F91DA4" w:rsidP="00F91DA4">
            <w:pPr>
              <w:spacing w:after="0" w:line="240" w:lineRule="auto"/>
              <w:jc w:val="center"/>
              <w:rPr>
                <w:rFonts w:ascii="Calibri" w:eastAsia="Times New Roman" w:hAnsi="Calibri" w:cs="Calibri"/>
                <w:b/>
                <w:bCs/>
              </w:rPr>
            </w:pPr>
            <w:r w:rsidRPr="00F91DA4">
              <w:rPr>
                <w:rFonts w:ascii="Calibri" w:eastAsia="Times New Roman" w:hAnsi="Calibri" w:cs="Calibri"/>
                <w:b/>
                <w:bCs/>
              </w:rPr>
              <w:t xml:space="preserve"> For the year ending 31st December 2021</w:t>
            </w:r>
          </w:p>
        </w:tc>
      </w:tr>
      <w:tr w:rsidR="00F91DA4" w:rsidRPr="00F91DA4" w14:paraId="0ACDF354" w14:textId="77777777" w:rsidTr="00F91DA4">
        <w:trPr>
          <w:trHeight w:val="300"/>
          <w:jc w:val="center"/>
        </w:trPr>
        <w:tc>
          <w:tcPr>
            <w:tcW w:w="3999" w:type="dxa"/>
            <w:tcBorders>
              <w:top w:val="nil"/>
              <w:left w:val="single" w:sz="8" w:space="0" w:color="auto"/>
              <w:bottom w:val="nil"/>
              <w:right w:val="single" w:sz="8" w:space="0" w:color="auto"/>
            </w:tcBorders>
            <w:shd w:val="clear" w:color="000000" w:fill="DDEBF7"/>
            <w:noWrap/>
            <w:vAlign w:val="bottom"/>
            <w:hideMark/>
          </w:tcPr>
          <w:p w14:paraId="2ED5CD81" w14:textId="77777777" w:rsidR="00F91DA4" w:rsidRPr="00F91DA4" w:rsidRDefault="00F91DA4" w:rsidP="00F91DA4">
            <w:pPr>
              <w:spacing w:after="0" w:line="240" w:lineRule="auto"/>
              <w:rPr>
                <w:rFonts w:ascii="Calibri" w:eastAsia="Times New Roman" w:hAnsi="Calibri" w:cs="Calibri"/>
                <w:b/>
                <w:bCs/>
                <w:color w:val="000000"/>
              </w:rPr>
            </w:pPr>
            <w:r w:rsidRPr="00F91DA4">
              <w:rPr>
                <w:rFonts w:ascii="Calibri" w:eastAsia="Times New Roman" w:hAnsi="Calibri" w:cs="Calibri"/>
                <w:b/>
                <w:bCs/>
                <w:color w:val="000000"/>
              </w:rPr>
              <w:t>Items</w:t>
            </w:r>
          </w:p>
        </w:tc>
        <w:tc>
          <w:tcPr>
            <w:tcW w:w="931" w:type="dxa"/>
            <w:tcBorders>
              <w:top w:val="nil"/>
              <w:left w:val="nil"/>
              <w:bottom w:val="nil"/>
              <w:right w:val="single" w:sz="8" w:space="0" w:color="auto"/>
            </w:tcBorders>
            <w:shd w:val="clear" w:color="000000" w:fill="DDEBF7"/>
            <w:noWrap/>
            <w:vAlign w:val="bottom"/>
            <w:hideMark/>
          </w:tcPr>
          <w:p w14:paraId="5B39A381" w14:textId="77777777" w:rsidR="00F91DA4" w:rsidRPr="00F91DA4" w:rsidRDefault="00F91DA4" w:rsidP="00F91DA4">
            <w:pPr>
              <w:spacing w:after="0" w:line="240" w:lineRule="auto"/>
              <w:jc w:val="center"/>
              <w:rPr>
                <w:rFonts w:ascii="Calibri" w:eastAsia="Times New Roman" w:hAnsi="Calibri" w:cs="Calibri"/>
                <w:b/>
                <w:bCs/>
                <w:color w:val="000000"/>
              </w:rPr>
            </w:pPr>
            <w:r w:rsidRPr="00F91DA4">
              <w:rPr>
                <w:rFonts w:ascii="Calibri" w:eastAsia="Times New Roman" w:hAnsi="Calibri" w:cs="Calibri"/>
                <w:b/>
                <w:bCs/>
                <w:color w:val="000000"/>
              </w:rPr>
              <w:t>₤</w:t>
            </w:r>
          </w:p>
        </w:tc>
        <w:tc>
          <w:tcPr>
            <w:tcW w:w="931" w:type="dxa"/>
            <w:tcBorders>
              <w:top w:val="nil"/>
              <w:left w:val="nil"/>
              <w:bottom w:val="nil"/>
              <w:right w:val="single" w:sz="8" w:space="0" w:color="auto"/>
            </w:tcBorders>
            <w:shd w:val="clear" w:color="000000" w:fill="DDEBF7"/>
            <w:noWrap/>
            <w:vAlign w:val="bottom"/>
            <w:hideMark/>
          </w:tcPr>
          <w:p w14:paraId="4D427D4E" w14:textId="77777777" w:rsidR="00F91DA4" w:rsidRPr="00F91DA4" w:rsidRDefault="00F91DA4" w:rsidP="00F91DA4">
            <w:pPr>
              <w:spacing w:after="0" w:line="240" w:lineRule="auto"/>
              <w:jc w:val="center"/>
              <w:rPr>
                <w:rFonts w:ascii="Calibri" w:eastAsia="Times New Roman" w:hAnsi="Calibri" w:cs="Calibri"/>
                <w:b/>
                <w:bCs/>
                <w:color w:val="000000"/>
              </w:rPr>
            </w:pPr>
            <w:r w:rsidRPr="00F91DA4">
              <w:rPr>
                <w:rFonts w:ascii="Calibri" w:eastAsia="Times New Roman" w:hAnsi="Calibri" w:cs="Calibri"/>
                <w:b/>
                <w:bCs/>
                <w:color w:val="000000"/>
              </w:rPr>
              <w:t>₤</w:t>
            </w:r>
          </w:p>
        </w:tc>
      </w:tr>
      <w:tr w:rsidR="00F91DA4" w:rsidRPr="00F91DA4" w14:paraId="10B0A02D" w14:textId="77777777" w:rsidTr="00F91DA4">
        <w:trPr>
          <w:trHeight w:val="300"/>
          <w:jc w:val="center"/>
        </w:trPr>
        <w:tc>
          <w:tcPr>
            <w:tcW w:w="3999" w:type="dxa"/>
            <w:tcBorders>
              <w:top w:val="nil"/>
              <w:left w:val="single" w:sz="8" w:space="0" w:color="auto"/>
              <w:bottom w:val="nil"/>
              <w:right w:val="single" w:sz="8" w:space="0" w:color="auto"/>
            </w:tcBorders>
            <w:shd w:val="clear" w:color="auto" w:fill="auto"/>
            <w:noWrap/>
            <w:vAlign w:val="bottom"/>
            <w:hideMark/>
          </w:tcPr>
          <w:p w14:paraId="19FC96C3" w14:textId="77777777" w:rsidR="00F91DA4" w:rsidRPr="00F91DA4" w:rsidRDefault="00F91DA4" w:rsidP="00F91DA4">
            <w:pPr>
              <w:spacing w:after="0" w:line="240" w:lineRule="auto"/>
              <w:rPr>
                <w:rFonts w:ascii="Calibri" w:eastAsia="Times New Roman" w:hAnsi="Calibri" w:cs="Calibri"/>
                <w:color w:val="000000"/>
              </w:rPr>
            </w:pPr>
            <w:r w:rsidRPr="00F91DA4">
              <w:rPr>
                <w:rFonts w:ascii="Calibri" w:eastAsia="Times New Roman" w:hAnsi="Calibri" w:cs="Calibri"/>
                <w:color w:val="000000"/>
              </w:rPr>
              <w:t>Sales</w:t>
            </w:r>
          </w:p>
        </w:tc>
        <w:tc>
          <w:tcPr>
            <w:tcW w:w="931" w:type="dxa"/>
            <w:tcBorders>
              <w:top w:val="nil"/>
              <w:left w:val="nil"/>
              <w:bottom w:val="nil"/>
              <w:right w:val="single" w:sz="8" w:space="0" w:color="auto"/>
            </w:tcBorders>
            <w:shd w:val="clear" w:color="auto" w:fill="auto"/>
            <w:noWrap/>
            <w:vAlign w:val="bottom"/>
            <w:hideMark/>
          </w:tcPr>
          <w:p w14:paraId="0A3087FE" w14:textId="77777777" w:rsidR="00F91DA4" w:rsidRPr="00F91DA4" w:rsidRDefault="00F91DA4" w:rsidP="00F91DA4">
            <w:pPr>
              <w:spacing w:after="0" w:line="240" w:lineRule="auto"/>
              <w:rPr>
                <w:rFonts w:ascii="Calibri" w:eastAsia="Times New Roman" w:hAnsi="Calibri" w:cs="Calibri"/>
                <w:color w:val="000000"/>
              </w:rPr>
            </w:pPr>
            <w:r w:rsidRPr="00F91DA4">
              <w:rPr>
                <w:rFonts w:ascii="Calibri" w:eastAsia="Times New Roman" w:hAnsi="Calibri" w:cs="Calibri"/>
                <w:color w:val="000000"/>
              </w:rPr>
              <w:t> </w:t>
            </w:r>
          </w:p>
        </w:tc>
        <w:tc>
          <w:tcPr>
            <w:tcW w:w="931" w:type="dxa"/>
            <w:tcBorders>
              <w:top w:val="nil"/>
              <w:left w:val="nil"/>
              <w:bottom w:val="nil"/>
              <w:right w:val="single" w:sz="8" w:space="0" w:color="auto"/>
            </w:tcBorders>
            <w:shd w:val="clear" w:color="auto" w:fill="auto"/>
            <w:noWrap/>
            <w:vAlign w:val="bottom"/>
            <w:hideMark/>
          </w:tcPr>
          <w:p w14:paraId="02DDC3E3" w14:textId="77777777" w:rsidR="00F91DA4" w:rsidRPr="00F91DA4" w:rsidRDefault="00F91DA4" w:rsidP="00F91DA4">
            <w:pPr>
              <w:spacing w:after="0" w:line="240" w:lineRule="auto"/>
              <w:jc w:val="right"/>
              <w:rPr>
                <w:rFonts w:ascii="Calibri" w:eastAsia="Times New Roman" w:hAnsi="Calibri" w:cs="Calibri"/>
                <w:color w:val="000000"/>
              </w:rPr>
            </w:pPr>
            <w:r w:rsidRPr="00F91DA4">
              <w:rPr>
                <w:rFonts w:ascii="Calibri" w:eastAsia="Times New Roman" w:hAnsi="Calibri" w:cs="Calibri"/>
                <w:color w:val="000000"/>
              </w:rPr>
              <w:t>310423</w:t>
            </w:r>
          </w:p>
        </w:tc>
      </w:tr>
      <w:tr w:rsidR="00F91DA4" w:rsidRPr="00F91DA4" w14:paraId="6B8E73C1" w14:textId="77777777" w:rsidTr="00F91DA4">
        <w:trPr>
          <w:trHeight w:val="300"/>
          <w:jc w:val="center"/>
        </w:trPr>
        <w:tc>
          <w:tcPr>
            <w:tcW w:w="3999" w:type="dxa"/>
            <w:tcBorders>
              <w:top w:val="nil"/>
              <w:left w:val="single" w:sz="8" w:space="0" w:color="auto"/>
              <w:bottom w:val="nil"/>
              <w:right w:val="single" w:sz="8" w:space="0" w:color="auto"/>
            </w:tcBorders>
            <w:shd w:val="clear" w:color="auto" w:fill="auto"/>
            <w:noWrap/>
            <w:vAlign w:val="bottom"/>
            <w:hideMark/>
          </w:tcPr>
          <w:p w14:paraId="62FDA77A" w14:textId="77777777" w:rsidR="00F91DA4" w:rsidRPr="00F91DA4" w:rsidRDefault="00F91DA4" w:rsidP="00F91DA4">
            <w:pPr>
              <w:spacing w:after="0" w:line="240" w:lineRule="auto"/>
              <w:rPr>
                <w:rFonts w:ascii="Calibri" w:eastAsia="Times New Roman" w:hAnsi="Calibri" w:cs="Calibri"/>
                <w:b/>
                <w:bCs/>
                <w:color w:val="000000"/>
              </w:rPr>
            </w:pPr>
            <w:r w:rsidRPr="00F91DA4">
              <w:rPr>
                <w:rFonts w:ascii="Calibri" w:eastAsia="Times New Roman" w:hAnsi="Calibri" w:cs="Calibri"/>
                <w:b/>
                <w:bCs/>
                <w:color w:val="000000"/>
              </w:rPr>
              <w:t>Less: Cost of Goods Sold</w:t>
            </w:r>
          </w:p>
        </w:tc>
        <w:tc>
          <w:tcPr>
            <w:tcW w:w="931" w:type="dxa"/>
            <w:tcBorders>
              <w:top w:val="nil"/>
              <w:left w:val="nil"/>
              <w:bottom w:val="nil"/>
              <w:right w:val="single" w:sz="8" w:space="0" w:color="auto"/>
            </w:tcBorders>
            <w:shd w:val="clear" w:color="auto" w:fill="auto"/>
            <w:noWrap/>
            <w:vAlign w:val="bottom"/>
            <w:hideMark/>
          </w:tcPr>
          <w:p w14:paraId="380EEEF4" w14:textId="77777777" w:rsidR="00F91DA4" w:rsidRPr="00F91DA4" w:rsidRDefault="00F91DA4" w:rsidP="00F91DA4">
            <w:pPr>
              <w:spacing w:after="0" w:line="240" w:lineRule="auto"/>
              <w:rPr>
                <w:rFonts w:ascii="Calibri" w:eastAsia="Times New Roman" w:hAnsi="Calibri" w:cs="Calibri"/>
                <w:color w:val="000000"/>
              </w:rPr>
            </w:pPr>
            <w:r w:rsidRPr="00F91DA4">
              <w:rPr>
                <w:rFonts w:ascii="Calibri" w:eastAsia="Times New Roman" w:hAnsi="Calibri" w:cs="Calibri"/>
                <w:color w:val="000000"/>
              </w:rPr>
              <w:t> </w:t>
            </w:r>
          </w:p>
        </w:tc>
        <w:tc>
          <w:tcPr>
            <w:tcW w:w="931" w:type="dxa"/>
            <w:tcBorders>
              <w:top w:val="nil"/>
              <w:left w:val="nil"/>
              <w:bottom w:val="nil"/>
              <w:right w:val="single" w:sz="8" w:space="0" w:color="auto"/>
            </w:tcBorders>
            <w:shd w:val="clear" w:color="auto" w:fill="auto"/>
            <w:noWrap/>
            <w:vAlign w:val="bottom"/>
            <w:hideMark/>
          </w:tcPr>
          <w:p w14:paraId="2FF1D53E" w14:textId="77777777" w:rsidR="00F91DA4" w:rsidRPr="00F91DA4" w:rsidRDefault="00F91DA4" w:rsidP="00F91DA4">
            <w:pPr>
              <w:spacing w:after="0" w:line="240" w:lineRule="auto"/>
              <w:rPr>
                <w:rFonts w:ascii="Calibri" w:eastAsia="Times New Roman" w:hAnsi="Calibri" w:cs="Calibri"/>
                <w:color w:val="000000"/>
              </w:rPr>
            </w:pPr>
            <w:r w:rsidRPr="00F91DA4">
              <w:rPr>
                <w:rFonts w:ascii="Calibri" w:eastAsia="Times New Roman" w:hAnsi="Calibri" w:cs="Calibri"/>
                <w:color w:val="000000"/>
              </w:rPr>
              <w:t> </w:t>
            </w:r>
          </w:p>
        </w:tc>
      </w:tr>
      <w:tr w:rsidR="00F91DA4" w:rsidRPr="00F91DA4" w14:paraId="321850CD" w14:textId="77777777" w:rsidTr="00F91DA4">
        <w:trPr>
          <w:trHeight w:val="300"/>
          <w:jc w:val="center"/>
        </w:trPr>
        <w:tc>
          <w:tcPr>
            <w:tcW w:w="3999" w:type="dxa"/>
            <w:tcBorders>
              <w:top w:val="nil"/>
              <w:left w:val="single" w:sz="8" w:space="0" w:color="auto"/>
              <w:bottom w:val="nil"/>
              <w:right w:val="single" w:sz="8" w:space="0" w:color="auto"/>
            </w:tcBorders>
            <w:shd w:val="clear" w:color="auto" w:fill="auto"/>
            <w:noWrap/>
            <w:vAlign w:val="bottom"/>
            <w:hideMark/>
          </w:tcPr>
          <w:p w14:paraId="52FB90D9" w14:textId="77777777" w:rsidR="00F91DA4" w:rsidRPr="00F91DA4" w:rsidRDefault="00F91DA4" w:rsidP="00F91DA4">
            <w:pPr>
              <w:spacing w:after="0" w:line="240" w:lineRule="auto"/>
              <w:rPr>
                <w:rFonts w:ascii="Calibri" w:eastAsia="Times New Roman" w:hAnsi="Calibri" w:cs="Calibri"/>
                <w:color w:val="000000"/>
              </w:rPr>
            </w:pPr>
            <w:r w:rsidRPr="00F91DA4">
              <w:rPr>
                <w:rFonts w:ascii="Calibri" w:eastAsia="Times New Roman" w:hAnsi="Calibri" w:cs="Calibri"/>
                <w:color w:val="000000"/>
              </w:rPr>
              <w:t>Purchases</w:t>
            </w:r>
          </w:p>
        </w:tc>
        <w:tc>
          <w:tcPr>
            <w:tcW w:w="931" w:type="dxa"/>
            <w:tcBorders>
              <w:top w:val="nil"/>
              <w:left w:val="nil"/>
              <w:bottom w:val="nil"/>
              <w:right w:val="single" w:sz="8" w:space="0" w:color="auto"/>
            </w:tcBorders>
            <w:shd w:val="clear" w:color="auto" w:fill="auto"/>
            <w:noWrap/>
            <w:vAlign w:val="bottom"/>
            <w:hideMark/>
          </w:tcPr>
          <w:p w14:paraId="17F0B7AA" w14:textId="77777777" w:rsidR="00F91DA4" w:rsidRPr="00F91DA4" w:rsidRDefault="00F91DA4" w:rsidP="00F91DA4">
            <w:pPr>
              <w:spacing w:after="0" w:line="240" w:lineRule="auto"/>
              <w:jc w:val="right"/>
              <w:rPr>
                <w:rFonts w:ascii="Calibri" w:eastAsia="Times New Roman" w:hAnsi="Calibri" w:cs="Calibri"/>
                <w:color w:val="000000"/>
                <w:u w:val="single"/>
              </w:rPr>
            </w:pPr>
            <w:r w:rsidRPr="00F91DA4">
              <w:rPr>
                <w:rFonts w:ascii="Calibri" w:eastAsia="Times New Roman" w:hAnsi="Calibri" w:cs="Calibri"/>
                <w:color w:val="000000"/>
                <w:u w:val="single"/>
              </w:rPr>
              <w:t>214,165</w:t>
            </w:r>
          </w:p>
        </w:tc>
        <w:tc>
          <w:tcPr>
            <w:tcW w:w="931" w:type="dxa"/>
            <w:tcBorders>
              <w:top w:val="nil"/>
              <w:left w:val="nil"/>
              <w:bottom w:val="nil"/>
              <w:right w:val="single" w:sz="8" w:space="0" w:color="auto"/>
            </w:tcBorders>
            <w:shd w:val="clear" w:color="auto" w:fill="auto"/>
            <w:noWrap/>
            <w:vAlign w:val="bottom"/>
            <w:hideMark/>
          </w:tcPr>
          <w:p w14:paraId="08C2BEA4" w14:textId="77777777" w:rsidR="00F91DA4" w:rsidRPr="00F91DA4" w:rsidRDefault="00F91DA4" w:rsidP="00F91DA4">
            <w:pPr>
              <w:spacing w:after="0" w:line="240" w:lineRule="auto"/>
              <w:rPr>
                <w:rFonts w:ascii="Calibri" w:eastAsia="Times New Roman" w:hAnsi="Calibri" w:cs="Calibri"/>
                <w:color w:val="000000"/>
              </w:rPr>
            </w:pPr>
            <w:r w:rsidRPr="00F91DA4">
              <w:rPr>
                <w:rFonts w:ascii="Calibri" w:eastAsia="Times New Roman" w:hAnsi="Calibri" w:cs="Calibri"/>
                <w:color w:val="000000"/>
              </w:rPr>
              <w:t> </w:t>
            </w:r>
          </w:p>
        </w:tc>
      </w:tr>
      <w:tr w:rsidR="00F91DA4" w:rsidRPr="00F91DA4" w14:paraId="1155E995" w14:textId="77777777" w:rsidTr="00F91DA4">
        <w:trPr>
          <w:trHeight w:val="300"/>
          <w:jc w:val="center"/>
        </w:trPr>
        <w:tc>
          <w:tcPr>
            <w:tcW w:w="3999" w:type="dxa"/>
            <w:tcBorders>
              <w:top w:val="nil"/>
              <w:left w:val="single" w:sz="8" w:space="0" w:color="auto"/>
              <w:bottom w:val="nil"/>
              <w:right w:val="single" w:sz="8" w:space="0" w:color="auto"/>
            </w:tcBorders>
            <w:shd w:val="clear" w:color="auto" w:fill="auto"/>
            <w:noWrap/>
            <w:vAlign w:val="bottom"/>
            <w:hideMark/>
          </w:tcPr>
          <w:p w14:paraId="69E09D4A" w14:textId="77777777" w:rsidR="00F91DA4" w:rsidRPr="00F91DA4" w:rsidRDefault="00F91DA4" w:rsidP="00F91DA4">
            <w:pPr>
              <w:spacing w:after="0" w:line="240" w:lineRule="auto"/>
              <w:rPr>
                <w:rFonts w:ascii="Calibri" w:eastAsia="Times New Roman" w:hAnsi="Calibri" w:cs="Calibri"/>
                <w:color w:val="000000"/>
              </w:rPr>
            </w:pPr>
            <w:r w:rsidRPr="00F91DA4">
              <w:rPr>
                <w:rFonts w:ascii="Calibri" w:eastAsia="Times New Roman" w:hAnsi="Calibri" w:cs="Calibri"/>
                <w:color w:val="000000"/>
              </w:rPr>
              <w:t> </w:t>
            </w:r>
          </w:p>
        </w:tc>
        <w:tc>
          <w:tcPr>
            <w:tcW w:w="931" w:type="dxa"/>
            <w:tcBorders>
              <w:top w:val="nil"/>
              <w:left w:val="nil"/>
              <w:bottom w:val="nil"/>
              <w:right w:val="single" w:sz="8" w:space="0" w:color="auto"/>
            </w:tcBorders>
            <w:shd w:val="clear" w:color="auto" w:fill="auto"/>
            <w:noWrap/>
            <w:vAlign w:val="bottom"/>
            <w:hideMark/>
          </w:tcPr>
          <w:p w14:paraId="68FF1166" w14:textId="77777777" w:rsidR="00F91DA4" w:rsidRPr="00F91DA4" w:rsidRDefault="00F91DA4" w:rsidP="00F91DA4">
            <w:pPr>
              <w:spacing w:after="0" w:line="240" w:lineRule="auto"/>
              <w:rPr>
                <w:rFonts w:ascii="Calibri" w:eastAsia="Times New Roman" w:hAnsi="Calibri" w:cs="Calibri"/>
                <w:color w:val="000000"/>
              </w:rPr>
            </w:pPr>
            <w:r w:rsidRPr="00F91DA4">
              <w:rPr>
                <w:rFonts w:ascii="Calibri" w:eastAsia="Times New Roman" w:hAnsi="Calibri" w:cs="Calibri"/>
                <w:color w:val="000000"/>
              </w:rPr>
              <w:t> </w:t>
            </w:r>
          </w:p>
        </w:tc>
        <w:tc>
          <w:tcPr>
            <w:tcW w:w="931" w:type="dxa"/>
            <w:tcBorders>
              <w:top w:val="nil"/>
              <w:left w:val="nil"/>
              <w:bottom w:val="nil"/>
              <w:right w:val="single" w:sz="8" w:space="0" w:color="auto"/>
            </w:tcBorders>
            <w:shd w:val="clear" w:color="auto" w:fill="auto"/>
            <w:noWrap/>
            <w:vAlign w:val="bottom"/>
            <w:hideMark/>
          </w:tcPr>
          <w:p w14:paraId="1C4B5704" w14:textId="77777777" w:rsidR="00F91DA4" w:rsidRPr="00F91DA4" w:rsidRDefault="00F91DA4" w:rsidP="00F91DA4">
            <w:pPr>
              <w:spacing w:after="0" w:line="240" w:lineRule="auto"/>
              <w:jc w:val="right"/>
              <w:rPr>
                <w:rFonts w:ascii="Calibri" w:eastAsia="Times New Roman" w:hAnsi="Calibri" w:cs="Calibri"/>
                <w:color w:val="000000"/>
                <w:u w:val="single"/>
              </w:rPr>
            </w:pPr>
            <w:r w:rsidRPr="00F91DA4">
              <w:rPr>
                <w:rFonts w:ascii="Calibri" w:eastAsia="Times New Roman" w:hAnsi="Calibri" w:cs="Calibri"/>
                <w:color w:val="000000"/>
                <w:u w:val="single"/>
              </w:rPr>
              <w:t>214,165</w:t>
            </w:r>
          </w:p>
        </w:tc>
      </w:tr>
      <w:tr w:rsidR="00F91DA4" w:rsidRPr="00F91DA4" w14:paraId="2E59EC1F" w14:textId="77777777" w:rsidTr="00F91DA4">
        <w:trPr>
          <w:trHeight w:val="300"/>
          <w:jc w:val="center"/>
        </w:trPr>
        <w:tc>
          <w:tcPr>
            <w:tcW w:w="3999" w:type="dxa"/>
            <w:tcBorders>
              <w:top w:val="nil"/>
              <w:left w:val="single" w:sz="8" w:space="0" w:color="auto"/>
              <w:bottom w:val="nil"/>
              <w:right w:val="single" w:sz="8" w:space="0" w:color="auto"/>
            </w:tcBorders>
            <w:shd w:val="clear" w:color="auto" w:fill="auto"/>
            <w:noWrap/>
            <w:vAlign w:val="bottom"/>
            <w:hideMark/>
          </w:tcPr>
          <w:p w14:paraId="27EEA44A" w14:textId="77777777" w:rsidR="00F91DA4" w:rsidRPr="00F91DA4" w:rsidRDefault="00F91DA4" w:rsidP="00F91DA4">
            <w:pPr>
              <w:spacing w:after="0" w:line="240" w:lineRule="auto"/>
              <w:jc w:val="right"/>
              <w:rPr>
                <w:rFonts w:ascii="Calibri" w:eastAsia="Times New Roman" w:hAnsi="Calibri" w:cs="Calibri"/>
                <w:b/>
                <w:bCs/>
                <w:color w:val="000000"/>
              </w:rPr>
            </w:pPr>
            <w:r w:rsidRPr="00F91DA4">
              <w:rPr>
                <w:rFonts w:ascii="Calibri" w:eastAsia="Times New Roman" w:hAnsi="Calibri" w:cs="Calibri"/>
                <w:b/>
                <w:bCs/>
                <w:color w:val="000000"/>
              </w:rPr>
              <w:t>Gross Profit</w:t>
            </w:r>
          </w:p>
        </w:tc>
        <w:tc>
          <w:tcPr>
            <w:tcW w:w="931" w:type="dxa"/>
            <w:tcBorders>
              <w:top w:val="nil"/>
              <w:left w:val="nil"/>
              <w:bottom w:val="nil"/>
              <w:right w:val="single" w:sz="8" w:space="0" w:color="auto"/>
            </w:tcBorders>
            <w:shd w:val="clear" w:color="auto" w:fill="auto"/>
            <w:noWrap/>
            <w:vAlign w:val="bottom"/>
            <w:hideMark/>
          </w:tcPr>
          <w:p w14:paraId="09217657" w14:textId="77777777" w:rsidR="00F91DA4" w:rsidRPr="00F91DA4" w:rsidRDefault="00F91DA4" w:rsidP="00F91DA4">
            <w:pPr>
              <w:spacing w:after="0" w:line="240" w:lineRule="auto"/>
              <w:rPr>
                <w:rFonts w:ascii="Calibri" w:eastAsia="Times New Roman" w:hAnsi="Calibri" w:cs="Calibri"/>
                <w:color w:val="000000"/>
              </w:rPr>
            </w:pPr>
            <w:r w:rsidRPr="00F91DA4">
              <w:rPr>
                <w:rFonts w:ascii="Calibri" w:eastAsia="Times New Roman" w:hAnsi="Calibri" w:cs="Calibri"/>
                <w:color w:val="000000"/>
              </w:rPr>
              <w:t> </w:t>
            </w:r>
          </w:p>
        </w:tc>
        <w:tc>
          <w:tcPr>
            <w:tcW w:w="931" w:type="dxa"/>
            <w:tcBorders>
              <w:top w:val="nil"/>
              <w:left w:val="nil"/>
              <w:bottom w:val="nil"/>
              <w:right w:val="single" w:sz="8" w:space="0" w:color="auto"/>
            </w:tcBorders>
            <w:shd w:val="clear" w:color="auto" w:fill="auto"/>
            <w:noWrap/>
            <w:vAlign w:val="bottom"/>
            <w:hideMark/>
          </w:tcPr>
          <w:p w14:paraId="63C597B5" w14:textId="77777777" w:rsidR="00F91DA4" w:rsidRPr="00F91DA4" w:rsidRDefault="00F91DA4" w:rsidP="00F91DA4">
            <w:pPr>
              <w:spacing w:after="0" w:line="240" w:lineRule="auto"/>
              <w:jc w:val="right"/>
              <w:rPr>
                <w:rFonts w:ascii="Calibri" w:eastAsia="Times New Roman" w:hAnsi="Calibri" w:cs="Calibri"/>
                <w:color w:val="000000"/>
              </w:rPr>
            </w:pPr>
            <w:r w:rsidRPr="00F91DA4">
              <w:rPr>
                <w:rFonts w:ascii="Calibri" w:eastAsia="Times New Roman" w:hAnsi="Calibri" w:cs="Calibri"/>
                <w:color w:val="000000"/>
              </w:rPr>
              <w:t>96,258</w:t>
            </w:r>
          </w:p>
        </w:tc>
      </w:tr>
      <w:tr w:rsidR="00F91DA4" w:rsidRPr="00F91DA4" w14:paraId="5C7C30A8" w14:textId="77777777" w:rsidTr="00F91DA4">
        <w:trPr>
          <w:trHeight w:val="300"/>
          <w:jc w:val="center"/>
        </w:trPr>
        <w:tc>
          <w:tcPr>
            <w:tcW w:w="3999" w:type="dxa"/>
            <w:tcBorders>
              <w:top w:val="nil"/>
              <w:left w:val="single" w:sz="8" w:space="0" w:color="auto"/>
              <w:bottom w:val="nil"/>
              <w:right w:val="single" w:sz="8" w:space="0" w:color="auto"/>
            </w:tcBorders>
            <w:shd w:val="clear" w:color="auto" w:fill="auto"/>
            <w:noWrap/>
            <w:vAlign w:val="bottom"/>
            <w:hideMark/>
          </w:tcPr>
          <w:p w14:paraId="4AC43448" w14:textId="77777777" w:rsidR="00F91DA4" w:rsidRPr="00F91DA4" w:rsidRDefault="00F91DA4" w:rsidP="00F91DA4">
            <w:pPr>
              <w:spacing w:after="0" w:line="240" w:lineRule="auto"/>
              <w:rPr>
                <w:rFonts w:ascii="Calibri" w:eastAsia="Times New Roman" w:hAnsi="Calibri" w:cs="Calibri"/>
                <w:b/>
                <w:bCs/>
                <w:color w:val="000000"/>
              </w:rPr>
            </w:pPr>
            <w:r w:rsidRPr="00F91DA4">
              <w:rPr>
                <w:rFonts w:ascii="Calibri" w:eastAsia="Times New Roman" w:hAnsi="Calibri" w:cs="Calibri"/>
                <w:b/>
                <w:bCs/>
                <w:color w:val="000000"/>
              </w:rPr>
              <w:t>Less: Operating Costs</w:t>
            </w:r>
          </w:p>
        </w:tc>
        <w:tc>
          <w:tcPr>
            <w:tcW w:w="931" w:type="dxa"/>
            <w:tcBorders>
              <w:top w:val="nil"/>
              <w:left w:val="nil"/>
              <w:bottom w:val="nil"/>
              <w:right w:val="single" w:sz="8" w:space="0" w:color="auto"/>
            </w:tcBorders>
            <w:shd w:val="clear" w:color="auto" w:fill="auto"/>
            <w:noWrap/>
            <w:vAlign w:val="bottom"/>
            <w:hideMark/>
          </w:tcPr>
          <w:p w14:paraId="641691E2" w14:textId="77777777" w:rsidR="00F91DA4" w:rsidRPr="00F91DA4" w:rsidRDefault="00F91DA4" w:rsidP="00F91DA4">
            <w:pPr>
              <w:spacing w:after="0" w:line="240" w:lineRule="auto"/>
              <w:rPr>
                <w:rFonts w:ascii="Calibri" w:eastAsia="Times New Roman" w:hAnsi="Calibri" w:cs="Calibri"/>
                <w:color w:val="000000"/>
              </w:rPr>
            </w:pPr>
            <w:r w:rsidRPr="00F91DA4">
              <w:rPr>
                <w:rFonts w:ascii="Calibri" w:eastAsia="Times New Roman" w:hAnsi="Calibri" w:cs="Calibri"/>
                <w:color w:val="000000"/>
              </w:rPr>
              <w:t> </w:t>
            </w:r>
          </w:p>
        </w:tc>
        <w:tc>
          <w:tcPr>
            <w:tcW w:w="931" w:type="dxa"/>
            <w:tcBorders>
              <w:top w:val="nil"/>
              <w:left w:val="nil"/>
              <w:bottom w:val="nil"/>
              <w:right w:val="single" w:sz="8" w:space="0" w:color="auto"/>
            </w:tcBorders>
            <w:shd w:val="clear" w:color="auto" w:fill="auto"/>
            <w:noWrap/>
            <w:vAlign w:val="bottom"/>
            <w:hideMark/>
          </w:tcPr>
          <w:p w14:paraId="50E7823D" w14:textId="77777777" w:rsidR="00F91DA4" w:rsidRPr="00F91DA4" w:rsidRDefault="00F91DA4" w:rsidP="00F91DA4">
            <w:pPr>
              <w:spacing w:after="0" w:line="240" w:lineRule="auto"/>
              <w:rPr>
                <w:rFonts w:ascii="Calibri" w:eastAsia="Times New Roman" w:hAnsi="Calibri" w:cs="Calibri"/>
                <w:color w:val="000000"/>
              </w:rPr>
            </w:pPr>
            <w:r w:rsidRPr="00F91DA4">
              <w:rPr>
                <w:rFonts w:ascii="Calibri" w:eastAsia="Times New Roman" w:hAnsi="Calibri" w:cs="Calibri"/>
                <w:color w:val="000000"/>
              </w:rPr>
              <w:t> </w:t>
            </w:r>
          </w:p>
        </w:tc>
      </w:tr>
      <w:tr w:rsidR="00F91DA4" w:rsidRPr="00F91DA4" w14:paraId="12B3948A" w14:textId="77777777" w:rsidTr="00F91DA4">
        <w:trPr>
          <w:trHeight w:val="300"/>
          <w:jc w:val="center"/>
        </w:trPr>
        <w:tc>
          <w:tcPr>
            <w:tcW w:w="3999" w:type="dxa"/>
            <w:tcBorders>
              <w:top w:val="nil"/>
              <w:left w:val="single" w:sz="8" w:space="0" w:color="auto"/>
              <w:bottom w:val="nil"/>
              <w:right w:val="single" w:sz="8" w:space="0" w:color="auto"/>
            </w:tcBorders>
            <w:shd w:val="clear" w:color="auto" w:fill="auto"/>
            <w:noWrap/>
            <w:vAlign w:val="bottom"/>
            <w:hideMark/>
          </w:tcPr>
          <w:p w14:paraId="23637659" w14:textId="77777777" w:rsidR="00F91DA4" w:rsidRPr="00F91DA4" w:rsidRDefault="00F91DA4" w:rsidP="00F91DA4">
            <w:pPr>
              <w:spacing w:after="0" w:line="240" w:lineRule="auto"/>
              <w:rPr>
                <w:rFonts w:ascii="Calibri" w:eastAsia="Times New Roman" w:hAnsi="Calibri" w:cs="Calibri"/>
                <w:color w:val="000000"/>
              </w:rPr>
            </w:pPr>
            <w:r w:rsidRPr="00F91DA4">
              <w:rPr>
                <w:rFonts w:ascii="Calibri" w:eastAsia="Times New Roman" w:hAnsi="Calibri" w:cs="Calibri"/>
                <w:color w:val="000000"/>
              </w:rPr>
              <w:t>Administration expenses</w:t>
            </w:r>
          </w:p>
        </w:tc>
        <w:tc>
          <w:tcPr>
            <w:tcW w:w="931" w:type="dxa"/>
            <w:tcBorders>
              <w:top w:val="nil"/>
              <w:left w:val="nil"/>
              <w:bottom w:val="nil"/>
              <w:right w:val="single" w:sz="8" w:space="0" w:color="auto"/>
            </w:tcBorders>
            <w:shd w:val="clear" w:color="auto" w:fill="auto"/>
            <w:noWrap/>
            <w:vAlign w:val="bottom"/>
            <w:hideMark/>
          </w:tcPr>
          <w:p w14:paraId="39BFFB97" w14:textId="77777777" w:rsidR="00F91DA4" w:rsidRPr="00F91DA4" w:rsidRDefault="00F91DA4" w:rsidP="00F91DA4">
            <w:pPr>
              <w:spacing w:after="0" w:line="240" w:lineRule="auto"/>
              <w:jc w:val="right"/>
              <w:rPr>
                <w:rFonts w:ascii="Calibri" w:eastAsia="Times New Roman" w:hAnsi="Calibri" w:cs="Calibri"/>
                <w:color w:val="000000"/>
              </w:rPr>
            </w:pPr>
            <w:r w:rsidRPr="00F91DA4">
              <w:rPr>
                <w:rFonts w:ascii="Calibri" w:eastAsia="Times New Roman" w:hAnsi="Calibri" w:cs="Calibri"/>
                <w:color w:val="000000"/>
              </w:rPr>
              <w:t>2,772</w:t>
            </w:r>
          </w:p>
        </w:tc>
        <w:tc>
          <w:tcPr>
            <w:tcW w:w="931" w:type="dxa"/>
            <w:tcBorders>
              <w:top w:val="nil"/>
              <w:left w:val="nil"/>
              <w:bottom w:val="nil"/>
              <w:right w:val="single" w:sz="8" w:space="0" w:color="auto"/>
            </w:tcBorders>
            <w:shd w:val="clear" w:color="auto" w:fill="auto"/>
            <w:noWrap/>
            <w:vAlign w:val="bottom"/>
            <w:hideMark/>
          </w:tcPr>
          <w:p w14:paraId="15239FBB" w14:textId="77777777" w:rsidR="00F91DA4" w:rsidRPr="00F91DA4" w:rsidRDefault="00F91DA4" w:rsidP="00F91DA4">
            <w:pPr>
              <w:spacing w:after="0" w:line="240" w:lineRule="auto"/>
              <w:rPr>
                <w:rFonts w:ascii="Calibri" w:eastAsia="Times New Roman" w:hAnsi="Calibri" w:cs="Calibri"/>
                <w:color w:val="000000"/>
              </w:rPr>
            </w:pPr>
            <w:r w:rsidRPr="00F91DA4">
              <w:rPr>
                <w:rFonts w:ascii="Calibri" w:eastAsia="Times New Roman" w:hAnsi="Calibri" w:cs="Calibri"/>
                <w:color w:val="000000"/>
              </w:rPr>
              <w:t> </w:t>
            </w:r>
          </w:p>
        </w:tc>
      </w:tr>
      <w:tr w:rsidR="00F91DA4" w:rsidRPr="00F91DA4" w14:paraId="0BDA043E" w14:textId="77777777" w:rsidTr="00F91DA4">
        <w:trPr>
          <w:trHeight w:val="300"/>
          <w:jc w:val="center"/>
        </w:trPr>
        <w:tc>
          <w:tcPr>
            <w:tcW w:w="3999" w:type="dxa"/>
            <w:tcBorders>
              <w:top w:val="nil"/>
              <w:left w:val="single" w:sz="8" w:space="0" w:color="auto"/>
              <w:bottom w:val="nil"/>
              <w:right w:val="single" w:sz="8" w:space="0" w:color="auto"/>
            </w:tcBorders>
            <w:shd w:val="clear" w:color="auto" w:fill="auto"/>
            <w:noWrap/>
            <w:vAlign w:val="bottom"/>
            <w:hideMark/>
          </w:tcPr>
          <w:p w14:paraId="0E56302D" w14:textId="77777777" w:rsidR="00F91DA4" w:rsidRPr="00F91DA4" w:rsidRDefault="00F91DA4" w:rsidP="00F91DA4">
            <w:pPr>
              <w:spacing w:after="0" w:line="240" w:lineRule="auto"/>
              <w:rPr>
                <w:rFonts w:ascii="Calibri" w:eastAsia="Times New Roman" w:hAnsi="Calibri" w:cs="Calibri"/>
                <w:color w:val="000000"/>
              </w:rPr>
            </w:pPr>
            <w:r w:rsidRPr="00F91DA4">
              <w:rPr>
                <w:rFonts w:ascii="Calibri" w:eastAsia="Times New Roman" w:hAnsi="Calibri" w:cs="Calibri"/>
                <w:color w:val="000000"/>
              </w:rPr>
              <w:t>Rental and insurance costs</w:t>
            </w:r>
          </w:p>
        </w:tc>
        <w:tc>
          <w:tcPr>
            <w:tcW w:w="931" w:type="dxa"/>
            <w:tcBorders>
              <w:top w:val="nil"/>
              <w:left w:val="nil"/>
              <w:bottom w:val="nil"/>
              <w:right w:val="single" w:sz="8" w:space="0" w:color="auto"/>
            </w:tcBorders>
            <w:shd w:val="clear" w:color="auto" w:fill="auto"/>
            <w:noWrap/>
            <w:vAlign w:val="bottom"/>
            <w:hideMark/>
          </w:tcPr>
          <w:p w14:paraId="1B82F11C" w14:textId="77777777" w:rsidR="00F91DA4" w:rsidRPr="00F91DA4" w:rsidRDefault="00F91DA4" w:rsidP="00F91DA4">
            <w:pPr>
              <w:spacing w:after="0" w:line="240" w:lineRule="auto"/>
              <w:jc w:val="right"/>
              <w:rPr>
                <w:rFonts w:ascii="Calibri" w:eastAsia="Times New Roman" w:hAnsi="Calibri" w:cs="Calibri"/>
                <w:color w:val="000000"/>
              </w:rPr>
            </w:pPr>
            <w:r w:rsidRPr="00F91DA4">
              <w:rPr>
                <w:rFonts w:ascii="Calibri" w:eastAsia="Times New Roman" w:hAnsi="Calibri" w:cs="Calibri"/>
                <w:color w:val="000000"/>
              </w:rPr>
              <w:t>19,200</w:t>
            </w:r>
          </w:p>
        </w:tc>
        <w:tc>
          <w:tcPr>
            <w:tcW w:w="931" w:type="dxa"/>
            <w:tcBorders>
              <w:top w:val="nil"/>
              <w:left w:val="nil"/>
              <w:bottom w:val="nil"/>
              <w:right w:val="single" w:sz="8" w:space="0" w:color="auto"/>
            </w:tcBorders>
            <w:shd w:val="clear" w:color="auto" w:fill="auto"/>
            <w:noWrap/>
            <w:vAlign w:val="bottom"/>
            <w:hideMark/>
          </w:tcPr>
          <w:p w14:paraId="096892F2" w14:textId="77777777" w:rsidR="00F91DA4" w:rsidRPr="00F91DA4" w:rsidRDefault="00F91DA4" w:rsidP="00F91DA4">
            <w:pPr>
              <w:spacing w:after="0" w:line="240" w:lineRule="auto"/>
              <w:rPr>
                <w:rFonts w:ascii="Calibri" w:eastAsia="Times New Roman" w:hAnsi="Calibri" w:cs="Calibri"/>
                <w:color w:val="000000"/>
              </w:rPr>
            </w:pPr>
            <w:r w:rsidRPr="00F91DA4">
              <w:rPr>
                <w:rFonts w:ascii="Calibri" w:eastAsia="Times New Roman" w:hAnsi="Calibri" w:cs="Calibri"/>
                <w:color w:val="000000"/>
              </w:rPr>
              <w:t> </w:t>
            </w:r>
          </w:p>
        </w:tc>
      </w:tr>
      <w:tr w:rsidR="00F91DA4" w:rsidRPr="00F91DA4" w14:paraId="3E3EA583" w14:textId="77777777" w:rsidTr="00F91DA4">
        <w:trPr>
          <w:trHeight w:val="300"/>
          <w:jc w:val="center"/>
        </w:trPr>
        <w:tc>
          <w:tcPr>
            <w:tcW w:w="3999" w:type="dxa"/>
            <w:tcBorders>
              <w:top w:val="nil"/>
              <w:left w:val="single" w:sz="8" w:space="0" w:color="auto"/>
              <w:bottom w:val="nil"/>
              <w:right w:val="single" w:sz="8" w:space="0" w:color="auto"/>
            </w:tcBorders>
            <w:shd w:val="clear" w:color="auto" w:fill="auto"/>
            <w:noWrap/>
            <w:vAlign w:val="bottom"/>
            <w:hideMark/>
          </w:tcPr>
          <w:p w14:paraId="45E16616" w14:textId="77777777" w:rsidR="00F91DA4" w:rsidRPr="00F91DA4" w:rsidRDefault="00F91DA4" w:rsidP="00F91DA4">
            <w:pPr>
              <w:spacing w:after="0" w:line="240" w:lineRule="auto"/>
              <w:rPr>
                <w:rFonts w:ascii="Calibri" w:eastAsia="Times New Roman" w:hAnsi="Calibri" w:cs="Calibri"/>
                <w:color w:val="000000"/>
              </w:rPr>
            </w:pPr>
            <w:r w:rsidRPr="00F91DA4">
              <w:rPr>
                <w:rFonts w:ascii="Calibri" w:eastAsia="Times New Roman" w:hAnsi="Calibri" w:cs="Calibri"/>
                <w:color w:val="000000"/>
              </w:rPr>
              <w:t>Salaries and wages</w:t>
            </w:r>
          </w:p>
        </w:tc>
        <w:tc>
          <w:tcPr>
            <w:tcW w:w="931" w:type="dxa"/>
            <w:tcBorders>
              <w:top w:val="nil"/>
              <w:left w:val="nil"/>
              <w:bottom w:val="nil"/>
              <w:right w:val="single" w:sz="8" w:space="0" w:color="auto"/>
            </w:tcBorders>
            <w:shd w:val="clear" w:color="auto" w:fill="auto"/>
            <w:noWrap/>
            <w:vAlign w:val="bottom"/>
            <w:hideMark/>
          </w:tcPr>
          <w:p w14:paraId="7316303B" w14:textId="77777777" w:rsidR="00F91DA4" w:rsidRPr="00F91DA4" w:rsidRDefault="00F91DA4" w:rsidP="00F91DA4">
            <w:pPr>
              <w:spacing w:after="0" w:line="240" w:lineRule="auto"/>
              <w:jc w:val="right"/>
              <w:rPr>
                <w:rFonts w:ascii="Calibri" w:eastAsia="Times New Roman" w:hAnsi="Calibri" w:cs="Calibri"/>
                <w:color w:val="000000"/>
              </w:rPr>
            </w:pPr>
            <w:r w:rsidRPr="00F91DA4">
              <w:rPr>
                <w:rFonts w:ascii="Calibri" w:eastAsia="Times New Roman" w:hAnsi="Calibri" w:cs="Calibri"/>
                <w:color w:val="000000"/>
              </w:rPr>
              <w:t>35,804</w:t>
            </w:r>
          </w:p>
        </w:tc>
        <w:tc>
          <w:tcPr>
            <w:tcW w:w="931" w:type="dxa"/>
            <w:tcBorders>
              <w:top w:val="nil"/>
              <w:left w:val="nil"/>
              <w:bottom w:val="nil"/>
              <w:right w:val="single" w:sz="8" w:space="0" w:color="auto"/>
            </w:tcBorders>
            <w:shd w:val="clear" w:color="auto" w:fill="auto"/>
            <w:noWrap/>
            <w:vAlign w:val="bottom"/>
            <w:hideMark/>
          </w:tcPr>
          <w:p w14:paraId="35454A42" w14:textId="77777777" w:rsidR="00F91DA4" w:rsidRPr="00F91DA4" w:rsidRDefault="00F91DA4" w:rsidP="00F91DA4">
            <w:pPr>
              <w:spacing w:after="0" w:line="240" w:lineRule="auto"/>
              <w:rPr>
                <w:rFonts w:ascii="Calibri" w:eastAsia="Times New Roman" w:hAnsi="Calibri" w:cs="Calibri"/>
                <w:color w:val="000000"/>
              </w:rPr>
            </w:pPr>
            <w:r w:rsidRPr="00F91DA4">
              <w:rPr>
                <w:rFonts w:ascii="Calibri" w:eastAsia="Times New Roman" w:hAnsi="Calibri" w:cs="Calibri"/>
                <w:color w:val="000000"/>
              </w:rPr>
              <w:t> </w:t>
            </w:r>
          </w:p>
        </w:tc>
      </w:tr>
      <w:tr w:rsidR="00F91DA4" w:rsidRPr="00F91DA4" w14:paraId="1621CF60" w14:textId="77777777" w:rsidTr="00F91DA4">
        <w:trPr>
          <w:trHeight w:val="300"/>
          <w:jc w:val="center"/>
        </w:trPr>
        <w:tc>
          <w:tcPr>
            <w:tcW w:w="3999" w:type="dxa"/>
            <w:tcBorders>
              <w:top w:val="nil"/>
              <w:left w:val="single" w:sz="8" w:space="0" w:color="auto"/>
              <w:bottom w:val="nil"/>
              <w:right w:val="single" w:sz="8" w:space="0" w:color="auto"/>
            </w:tcBorders>
            <w:shd w:val="clear" w:color="auto" w:fill="auto"/>
            <w:noWrap/>
            <w:vAlign w:val="bottom"/>
            <w:hideMark/>
          </w:tcPr>
          <w:p w14:paraId="04605CC6" w14:textId="77777777" w:rsidR="00F91DA4" w:rsidRPr="00F91DA4" w:rsidRDefault="00F91DA4" w:rsidP="00F91DA4">
            <w:pPr>
              <w:spacing w:after="0" w:line="240" w:lineRule="auto"/>
              <w:rPr>
                <w:rFonts w:ascii="Calibri" w:eastAsia="Times New Roman" w:hAnsi="Calibri" w:cs="Calibri"/>
                <w:color w:val="000000"/>
              </w:rPr>
            </w:pPr>
            <w:r w:rsidRPr="00F91DA4">
              <w:rPr>
                <w:rFonts w:ascii="Calibri" w:eastAsia="Times New Roman" w:hAnsi="Calibri" w:cs="Calibri"/>
                <w:color w:val="000000"/>
              </w:rPr>
              <w:t>Bad Debt Expense</w:t>
            </w:r>
          </w:p>
        </w:tc>
        <w:tc>
          <w:tcPr>
            <w:tcW w:w="931" w:type="dxa"/>
            <w:tcBorders>
              <w:top w:val="nil"/>
              <w:left w:val="nil"/>
              <w:bottom w:val="nil"/>
              <w:right w:val="single" w:sz="8" w:space="0" w:color="auto"/>
            </w:tcBorders>
            <w:shd w:val="clear" w:color="auto" w:fill="auto"/>
            <w:noWrap/>
            <w:vAlign w:val="bottom"/>
            <w:hideMark/>
          </w:tcPr>
          <w:p w14:paraId="7FD3C4A9" w14:textId="77777777" w:rsidR="00F91DA4" w:rsidRPr="00F91DA4" w:rsidRDefault="00F91DA4" w:rsidP="00F91DA4">
            <w:pPr>
              <w:spacing w:after="0" w:line="240" w:lineRule="auto"/>
              <w:jc w:val="right"/>
              <w:rPr>
                <w:rFonts w:ascii="Calibri" w:eastAsia="Times New Roman" w:hAnsi="Calibri" w:cs="Calibri"/>
                <w:color w:val="000000"/>
              </w:rPr>
            </w:pPr>
            <w:r w:rsidRPr="00F91DA4">
              <w:rPr>
                <w:rFonts w:ascii="Calibri" w:eastAsia="Times New Roman" w:hAnsi="Calibri" w:cs="Calibri"/>
                <w:color w:val="000000"/>
              </w:rPr>
              <w:t>980</w:t>
            </w:r>
          </w:p>
        </w:tc>
        <w:tc>
          <w:tcPr>
            <w:tcW w:w="931" w:type="dxa"/>
            <w:tcBorders>
              <w:top w:val="nil"/>
              <w:left w:val="nil"/>
              <w:bottom w:val="nil"/>
              <w:right w:val="single" w:sz="8" w:space="0" w:color="auto"/>
            </w:tcBorders>
            <w:shd w:val="clear" w:color="auto" w:fill="auto"/>
            <w:noWrap/>
            <w:vAlign w:val="bottom"/>
            <w:hideMark/>
          </w:tcPr>
          <w:p w14:paraId="7A2C7217" w14:textId="77777777" w:rsidR="00F91DA4" w:rsidRPr="00F91DA4" w:rsidRDefault="00F91DA4" w:rsidP="00F91DA4">
            <w:pPr>
              <w:spacing w:after="0" w:line="240" w:lineRule="auto"/>
              <w:rPr>
                <w:rFonts w:ascii="Calibri" w:eastAsia="Times New Roman" w:hAnsi="Calibri" w:cs="Calibri"/>
                <w:color w:val="000000"/>
              </w:rPr>
            </w:pPr>
            <w:r w:rsidRPr="00F91DA4">
              <w:rPr>
                <w:rFonts w:ascii="Calibri" w:eastAsia="Times New Roman" w:hAnsi="Calibri" w:cs="Calibri"/>
                <w:color w:val="000000"/>
              </w:rPr>
              <w:t> </w:t>
            </w:r>
          </w:p>
        </w:tc>
      </w:tr>
      <w:tr w:rsidR="00F91DA4" w:rsidRPr="00F91DA4" w14:paraId="07CF27B5" w14:textId="77777777" w:rsidTr="00F91DA4">
        <w:trPr>
          <w:trHeight w:val="300"/>
          <w:jc w:val="center"/>
        </w:trPr>
        <w:tc>
          <w:tcPr>
            <w:tcW w:w="3999" w:type="dxa"/>
            <w:tcBorders>
              <w:top w:val="nil"/>
              <w:left w:val="single" w:sz="8" w:space="0" w:color="auto"/>
              <w:bottom w:val="nil"/>
              <w:right w:val="single" w:sz="8" w:space="0" w:color="auto"/>
            </w:tcBorders>
            <w:shd w:val="clear" w:color="auto" w:fill="auto"/>
            <w:noWrap/>
            <w:vAlign w:val="bottom"/>
            <w:hideMark/>
          </w:tcPr>
          <w:p w14:paraId="2A1D4276" w14:textId="77777777" w:rsidR="00F91DA4" w:rsidRPr="00F91DA4" w:rsidRDefault="00F91DA4" w:rsidP="00F91DA4">
            <w:pPr>
              <w:spacing w:after="0" w:line="240" w:lineRule="auto"/>
              <w:rPr>
                <w:rFonts w:ascii="Calibri" w:eastAsia="Times New Roman" w:hAnsi="Calibri" w:cs="Calibri"/>
                <w:color w:val="000000"/>
              </w:rPr>
            </w:pPr>
            <w:r w:rsidRPr="00F91DA4">
              <w:rPr>
                <w:rFonts w:ascii="Calibri" w:eastAsia="Times New Roman" w:hAnsi="Calibri" w:cs="Calibri"/>
                <w:color w:val="000000"/>
              </w:rPr>
              <w:t>Depreciation Expense- Delivery Van</w:t>
            </w:r>
          </w:p>
        </w:tc>
        <w:tc>
          <w:tcPr>
            <w:tcW w:w="931" w:type="dxa"/>
            <w:tcBorders>
              <w:top w:val="nil"/>
              <w:left w:val="nil"/>
              <w:bottom w:val="nil"/>
              <w:right w:val="single" w:sz="8" w:space="0" w:color="auto"/>
            </w:tcBorders>
            <w:shd w:val="clear" w:color="auto" w:fill="auto"/>
            <w:noWrap/>
            <w:vAlign w:val="bottom"/>
            <w:hideMark/>
          </w:tcPr>
          <w:p w14:paraId="3F8B5F44" w14:textId="77777777" w:rsidR="00F91DA4" w:rsidRPr="00F91DA4" w:rsidRDefault="00F91DA4" w:rsidP="00F91DA4">
            <w:pPr>
              <w:spacing w:after="0" w:line="240" w:lineRule="auto"/>
              <w:jc w:val="right"/>
              <w:rPr>
                <w:rFonts w:ascii="Calibri" w:eastAsia="Times New Roman" w:hAnsi="Calibri" w:cs="Calibri"/>
                <w:color w:val="000000"/>
              </w:rPr>
            </w:pPr>
            <w:r w:rsidRPr="00F91DA4">
              <w:rPr>
                <w:rFonts w:ascii="Calibri" w:eastAsia="Times New Roman" w:hAnsi="Calibri" w:cs="Calibri"/>
                <w:color w:val="000000"/>
              </w:rPr>
              <w:t>6,918</w:t>
            </w:r>
          </w:p>
        </w:tc>
        <w:tc>
          <w:tcPr>
            <w:tcW w:w="931" w:type="dxa"/>
            <w:tcBorders>
              <w:top w:val="nil"/>
              <w:left w:val="nil"/>
              <w:bottom w:val="nil"/>
              <w:right w:val="single" w:sz="8" w:space="0" w:color="auto"/>
            </w:tcBorders>
            <w:shd w:val="clear" w:color="auto" w:fill="auto"/>
            <w:noWrap/>
            <w:vAlign w:val="bottom"/>
            <w:hideMark/>
          </w:tcPr>
          <w:p w14:paraId="60D28898" w14:textId="77777777" w:rsidR="00F91DA4" w:rsidRPr="00F91DA4" w:rsidRDefault="00F91DA4" w:rsidP="00F91DA4">
            <w:pPr>
              <w:spacing w:after="0" w:line="240" w:lineRule="auto"/>
              <w:rPr>
                <w:rFonts w:ascii="Calibri" w:eastAsia="Times New Roman" w:hAnsi="Calibri" w:cs="Calibri"/>
                <w:color w:val="000000"/>
              </w:rPr>
            </w:pPr>
            <w:r w:rsidRPr="00F91DA4">
              <w:rPr>
                <w:rFonts w:ascii="Calibri" w:eastAsia="Times New Roman" w:hAnsi="Calibri" w:cs="Calibri"/>
                <w:color w:val="000000"/>
              </w:rPr>
              <w:t> </w:t>
            </w:r>
          </w:p>
        </w:tc>
      </w:tr>
      <w:tr w:rsidR="00F91DA4" w:rsidRPr="00F91DA4" w14:paraId="7557D2DC" w14:textId="77777777" w:rsidTr="00F91DA4">
        <w:trPr>
          <w:trHeight w:val="300"/>
          <w:jc w:val="center"/>
        </w:trPr>
        <w:tc>
          <w:tcPr>
            <w:tcW w:w="3999" w:type="dxa"/>
            <w:tcBorders>
              <w:top w:val="nil"/>
              <w:left w:val="single" w:sz="8" w:space="0" w:color="auto"/>
              <w:bottom w:val="nil"/>
              <w:right w:val="single" w:sz="8" w:space="0" w:color="auto"/>
            </w:tcBorders>
            <w:shd w:val="clear" w:color="auto" w:fill="auto"/>
            <w:noWrap/>
            <w:vAlign w:val="bottom"/>
            <w:hideMark/>
          </w:tcPr>
          <w:p w14:paraId="3133013A" w14:textId="77777777" w:rsidR="00F91DA4" w:rsidRPr="00F91DA4" w:rsidRDefault="00F91DA4" w:rsidP="00F91DA4">
            <w:pPr>
              <w:spacing w:after="0" w:line="240" w:lineRule="auto"/>
              <w:rPr>
                <w:rFonts w:ascii="Calibri" w:eastAsia="Times New Roman" w:hAnsi="Calibri" w:cs="Calibri"/>
                <w:color w:val="000000"/>
              </w:rPr>
            </w:pPr>
            <w:r w:rsidRPr="00F91DA4">
              <w:rPr>
                <w:rFonts w:ascii="Calibri" w:eastAsia="Times New Roman" w:hAnsi="Calibri" w:cs="Calibri"/>
                <w:color w:val="000000"/>
              </w:rPr>
              <w:t>Depreciation Expense- Shop Fittings</w:t>
            </w:r>
          </w:p>
        </w:tc>
        <w:tc>
          <w:tcPr>
            <w:tcW w:w="931" w:type="dxa"/>
            <w:tcBorders>
              <w:top w:val="nil"/>
              <w:left w:val="nil"/>
              <w:bottom w:val="nil"/>
              <w:right w:val="single" w:sz="8" w:space="0" w:color="auto"/>
            </w:tcBorders>
            <w:shd w:val="clear" w:color="auto" w:fill="auto"/>
            <w:noWrap/>
            <w:vAlign w:val="bottom"/>
            <w:hideMark/>
          </w:tcPr>
          <w:p w14:paraId="0CC2E9F0" w14:textId="77777777" w:rsidR="00F91DA4" w:rsidRPr="00F91DA4" w:rsidRDefault="00F91DA4" w:rsidP="00F91DA4">
            <w:pPr>
              <w:spacing w:after="0" w:line="240" w:lineRule="auto"/>
              <w:jc w:val="right"/>
              <w:rPr>
                <w:rFonts w:ascii="Calibri" w:eastAsia="Times New Roman" w:hAnsi="Calibri" w:cs="Calibri"/>
                <w:color w:val="000000"/>
                <w:u w:val="single"/>
              </w:rPr>
            </w:pPr>
            <w:r w:rsidRPr="00F91DA4">
              <w:rPr>
                <w:rFonts w:ascii="Calibri" w:eastAsia="Times New Roman" w:hAnsi="Calibri" w:cs="Calibri"/>
                <w:color w:val="000000"/>
                <w:u w:val="single"/>
              </w:rPr>
              <w:t>1,220</w:t>
            </w:r>
          </w:p>
        </w:tc>
        <w:tc>
          <w:tcPr>
            <w:tcW w:w="931" w:type="dxa"/>
            <w:tcBorders>
              <w:top w:val="nil"/>
              <w:left w:val="nil"/>
              <w:bottom w:val="nil"/>
              <w:right w:val="single" w:sz="8" w:space="0" w:color="auto"/>
            </w:tcBorders>
            <w:shd w:val="clear" w:color="auto" w:fill="auto"/>
            <w:noWrap/>
            <w:vAlign w:val="bottom"/>
            <w:hideMark/>
          </w:tcPr>
          <w:p w14:paraId="2C9543D3" w14:textId="77777777" w:rsidR="00F91DA4" w:rsidRPr="00F91DA4" w:rsidRDefault="00F91DA4" w:rsidP="00F91DA4">
            <w:pPr>
              <w:spacing w:after="0" w:line="240" w:lineRule="auto"/>
              <w:rPr>
                <w:rFonts w:ascii="Calibri" w:eastAsia="Times New Roman" w:hAnsi="Calibri" w:cs="Calibri"/>
                <w:color w:val="000000"/>
              </w:rPr>
            </w:pPr>
            <w:r w:rsidRPr="00F91DA4">
              <w:rPr>
                <w:rFonts w:ascii="Calibri" w:eastAsia="Times New Roman" w:hAnsi="Calibri" w:cs="Calibri"/>
                <w:color w:val="000000"/>
              </w:rPr>
              <w:t> </w:t>
            </w:r>
          </w:p>
        </w:tc>
      </w:tr>
      <w:tr w:rsidR="00F91DA4" w:rsidRPr="00F91DA4" w14:paraId="58CCAC36" w14:textId="77777777" w:rsidTr="00F91DA4">
        <w:trPr>
          <w:trHeight w:val="300"/>
          <w:jc w:val="center"/>
        </w:trPr>
        <w:tc>
          <w:tcPr>
            <w:tcW w:w="3999" w:type="dxa"/>
            <w:tcBorders>
              <w:top w:val="nil"/>
              <w:left w:val="single" w:sz="8" w:space="0" w:color="auto"/>
              <w:bottom w:val="nil"/>
              <w:right w:val="single" w:sz="8" w:space="0" w:color="auto"/>
            </w:tcBorders>
            <w:shd w:val="clear" w:color="auto" w:fill="auto"/>
            <w:noWrap/>
            <w:vAlign w:val="bottom"/>
            <w:hideMark/>
          </w:tcPr>
          <w:p w14:paraId="454140A0" w14:textId="77777777" w:rsidR="00F91DA4" w:rsidRPr="00F91DA4" w:rsidRDefault="00F91DA4" w:rsidP="00F91DA4">
            <w:pPr>
              <w:spacing w:after="0" w:line="240" w:lineRule="auto"/>
              <w:rPr>
                <w:rFonts w:ascii="Calibri" w:eastAsia="Times New Roman" w:hAnsi="Calibri" w:cs="Calibri"/>
                <w:color w:val="000000"/>
              </w:rPr>
            </w:pPr>
            <w:r w:rsidRPr="00F91DA4">
              <w:rPr>
                <w:rFonts w:ascii="Calibri" w:eastAsia="Times New Roman" w:hAnsi="Calibri" w:cs="Calibri"/>
                <w:color w:val="000000"/>
              </w:rPr>
              <w:t> </w:t>
            </w:r>
          </w:p>
        </w:tc>
        <w:tc>
          <w:tcPr>
            <w:tcW w:w="931" w:type="dxa"/>
            <w:tcBorders>
              <w:top w:val="nil"/>
              <w:left w:val="nil"/>
              <w:bottom w:val="nil"/>
              <w:right w:val="single" w:sz="8" w:space="0" w:color="auto"/>
            </w:tcBorders>
            <w:shd w:val="clear" w:color="auto" w:fill="auto"/>
            <w:noWrap/>
            <w:vAlign w:val="bottom"/>
            <w:hideMark/>
          </w:tcPr>
          <w:p w14:paraId="735919F5" w14:textId="77777777" w:rsidR="00F91DA4" w:rsidRPr="00F91DA4" w:rsidRDefault="00F91DA4" w:rsidP="00F91DA4">
            <w:pPr>
              <w:spacing w:after="0" w:line="240" w:lineRule="auto"/>
              <w:rPr>
                <w:rFonts w:ascii="Calibri" w:eastAsia="Times New Roman" w:hAnsi="Calibri" w:cs="Calibri"/>
                <w:color w:val="000000"/>
              </w:rPr>
            </w:pPr>
            <w:r w:rsidRPr="00F91DA4">
              <w:rPr>
                <w:rFonts w:ascii="Calibri" w:eastAsia="Times New Roman" w:hAnsi="Calibri" w:cs="Calibri"/>
                <w:color w:val="000000"/>
              </w:rPr>
              <w:t> </w:t>
            </w:r>
          </w:p>
        </w:tc>
        <w:tc>
          <w:tcPr>
            <w:tcW w:w="931" w:type="dxa"/>
            <w:tcBorders>
              <w:top w:val="nil"/>
              <w:left w:val="nil"/>
              <w:bottom w:val="nil"/>
              <w:right w:val="single" w:sz="8" w:space="0" w:color="auto"/>
            </w:tcBorders>
            <w:shd w:val="clear" w:color="auto" w:fill="auto"/>
            <w:noWrap/>
            <w:vAlign w:val="bottom"/>
            <w:hideMark/>
          </w:tcPr>
          <w:p w14:paraId="3C45B20F" w14:textId="77777777" w:rsidR="00F91DA4" w:rsidRPr="00F91DA4" w:rsidRDefault="00F91DA4" w:rsidP="00F91DA4">
            <w:pPr>
              <w:spacing w:after="0" w:line="240" w:lineRule="auto"/>
              <w:jc w:val="right"/>
              <w:rPr>
                <w:rFonts w:ascii="Calibri" w:eastAsia="Times New Roman" w:hAnsi="Calibri" w:cs="Calibri"/>
                <w:color w:val="000000"/>
                <w:u w:val="single"/>
              </w:rPr>
            </w:pPr>
            <w:r w:rsidRPr="00F91DA4">
              <w:rPr>
                <w:rFonts w:ascii="Calibri" w:eastAsia="Times New Roman" w:hAnsi="Calibri" w:cs="Calibri"/>
                <w:color w:val="000000"/>
                <w:u w:val="single"/>
              </w:rPr>
              <w:t>66,894</w:t>
            </w:r>
          </w:p>
        </w:tc>
      </w:tr>
      <w:tr w:rsidR="00F91DA4" w:rsidRPr="00F91DA4" w14:paraId="06CF6677" w14:textId="77777777" w:rsidTr="00F91DA4">
        <w:trPr>
          <w:trHeight w:val="300"/>
          <w:jc w:val="center"/>
        </w:trPr>
        <w:tc>
          <w:tcPr>
            <w:tcW w:w="3999" w:type="dxa"/>
            <w:tcBorders>
              <w:top w:val="nil"/>
              <w:left w:val="single" w:sz="8" w:space="0" w:color="auto"/>
              <w:bottom w:val="nil"/>
              <w:right w:val="single" w:sz="8" w:space="0" w:color="auto"/>
            </w:tcBorders>
            <w:shd w:val="clear" w:color="auto" w:fill="auto"/>
            <w:noWrap/>
            <w:vAlign w:val="bottom"/>
            <w:hideMark/>
          </w:tcPr>
          <w:p w14:paraId="3EF76763" w14:textId="77777777" w:rsidR="00F91DA4" w:rsidRPr="00F91DA4" w:rsidRDefault="00F91DA4" w:rsidP="00F91DA4">
            <w:pPr>
              <w:spacing w:after="0" w:line="240" w:lineRule="auto"/>
              <w:jc w:val="right"/>
              <w:rPr>
                <w:rFonts w:ascii="Calibri" w:eastAsia="Times New Roman" w:hAnsi="Calibri" w:cs="Calibri"/>
                <w:b/>
                <w:bCs/>
                <w:color w:val="000000"/>
              </w:rPr>
            </w:pPr>
            <w:r w:rsidRPr="00F91DA4">
              <w:rPr>
                <w:rFonts w:ascii="Calibri" w:eastAsia="Times New Roman" w:hAnsi="Calibri" w:cs="Calibri"/>
                <w:b/>
                <w:bCs/>
                <w:color w:val="000000"/>
              </w:rPr>
              <w:t>Operating Profit</w:t>
            </w:r>
          </w:p>
        </w:tc>
        <w:tc>
          <w:tcPr>
            <w:tcW w:w="931" w:type="dxa"/>
            <w:tcBorders>
              <w:top w:val="nil"/>
              <w:left w:val="nil"/>
              <w:bottom w:val="nil"/>
              <w:right w:val="single" w:sz="8" w:space="0" w:color="auto"/>
            </w:tcBorders>
            <w:shd w:val="clear" w:color="auto" w:fill="auto"/>
            <w:noWrap/>
            <w:vAlign w:val="bottom"/>
            <w:hideMark/>
          </w:tcPr>
          <w:p w14:paraId="34461DA7" w14:textId="77777777" w:rsidR="00F91DA4" w:rsidRPr="00F91DA4" w:rsidRDefault="00F91DA4" w:rsidP="00F91DA4">
            <w:pPr>
              <w:spacing w:after="0" w:line="240" w:lineRule="auto"/>
              <w:rPr>
                <w:rFonts w:ascii="Calibri" w:eastAsia="Times New Roman" w:hAnsi="Calibri" w:cs="Calibri"/>
                <w:color w:val="000000"/>
              </w:rPr>
            </w:pPr>
            <w:r w:rsidRPr="00F91DA4">
              <w:rPr>
                <w:rFonts w:ascii="Calibri" w:eastAsia="Times New Roman" w:hAnsi="Calibri" w:cs="Calibri"/>
                <w:color w:val="000000"/>
              </w:rPr>
              <w:t> </w:t>
            </w:r>
          </w:p>
        </w:tc>
        <w:tc>
          <w:tcPr>
            <w:tcW w:w="931" w:type="dxa"/>
            <w:tcBorders>
              <w:top w:val="nil"/>
              <w:left w:val="nil"/>
              <w:bottom w:val="nil"/>
              <w:right w:val="single" w:sz="8" w:space="0" w:color="auto"/>
            </w:tcBorders>
            <w:shd w:val="clear" w:color="auto" w:fill="auto"/>
            <w:noWrap/>
            <w:vAlign w:val="bottom"/>
            <w:hideMark/>
          </w:tcPr>
          <w:p w14:paraId="00EC5D99" w14:textId="77777777" w:rsidR="00F91DA4" w:rsidRPr="00F91DA4" w:rsidRDefault="00F91DA4" w:rsidP="00F91DA4">
            <w:pPr>
              <w:spacing w:after="0" w:line="240" w:lineRule="auto"/>
              <w:jc w:val="right"/>
              <w:rPr>
                <w:rFonts w:ascii="Calibri" w:eastAsia="Times New Roman" w:hAnsi="Calibri" w:cs="Calibri"/>
                <w:color w:val="000000"/>
              </w:rPr>
            </w:pPr>
            <w:r w:rsidRPr="00F91DA4">
              <w:rPr>
                <w:rFonts w:ascii="Calibri" w:eastAsia="Times New Roman" w:hAnsi="Calibri" w:cs="Calibri"/>
                <w:color w:val="000000"/>
              </w:rPr>
              <w:t>29,364</w:t>
            </w:r>
          </w:p>
        </w:tc>
      </w:tr>
      <w:tr w:rsidR="00F91DA4" w:rsidRPr="00F91DA4" w14:paraId="35C77A63" w14:textId="77777777" w:rsidTr="00F91DA4">
        <w:trPr>
          <w:trHeight w:val="300"/>
          <w:jc w:val="center"/>
        </w:trPr>
        <w:tc>
          <w:tcPr>
            <w:tcW w:w="3999" w:type="dxa"/>
            <w:tcBorders>
              <w:top w:val="nil"/>
              <w:left w:val="single" w:sz="8" w:space="0" w:color="auto"/>
              <w:bottom w:val="nil"/>
              <w:right w:val="single" w:sz="8" w:space="0" w:color="auto"/>
            </w:tcBorders>
            <w:shd w:val="clear" w:color="auto" w:fill="auto"/>
            <w:noWrap/>
            <w:vAlign w:val="bottom"/>
            <w:hideMark/>
          </w:tcPr>
          <w:p w14:paraId="5D9A9954" w14:textId="77777777" w:rsidR="00F91DA4" w:rsidRPr="00F91DA4" w:rsidRDefault="00F91DA4" w:rsidP="00F91DA4">
            <w:pPr>
              <w:spacing w:after="0" w:line="240" w:lineRule="auto"/>
              <w:rPr>
                <w:rFonts w:ascii="Calibri" w:eastAsia="Times New Roman" w:hAnsi="Calibri" w:cs="Calibri"/>
                <w:color w:val="000000"/>
              </w:rPr>
            </w:pPr>
            <w:r w:rsidRPr="00F91DA4">
              <w:rPr>
                <w:rFonts w:ascii="Calibri" w:eastAsia="Times New Roman" w:hAnsi="Calibri" w:cs="Calibri"/>
                <w:color w:val="000000"/>
              </w:rPr>
              <w:t>Less: Unrealized Holding Loss</w:t>
            </w:r>
          </w:p>
        </w:tc>
        <w:tc>
          <w:tcPr>
            <w:tcW w:w="931" w:type="dxa"/>
            <w:tcBorders>
              <w:top w:val="nil"/>
              <w:left w:val="nil"/>
              <w:bottom w:val="nil"/>
              <w:right w:val="single" w:sz="8" w:space="0" w:color="auto"/>
            </w:tcBorders>
            <w:shd w:val="clear" w:color="auto" w:fill="auto"/>
            <w:noWrap/>
            <w:vAlign w:val="bottom"/>
            <w:hideMark/>
          </w:tcPr>
          <w:p w14:paraId="0EF91667" w14:textId="77777777" w:rsidR="00F91DA4" w:rsidRPr="00F91DA4" w:rsidRDefault="00F91DA4" w:rsidP="00F91DA4">
            <w:pPr>
              <w:spacing w:after="0" w:line="240" w:lineRule="auto"/>
              <w:jc w:val="right"/>
              <w:rPr>
                <w:rFonts w:ascii="Calibri" w:eastAsia="Times New Roman" w:hAnsi="Calibri" w:cs="Calibri"/>
                <w:color w:val="000000"/>
              </w:rPr>
            </w:pPr>
            <w:r w:rsidRPr="00F91DA4">
              <w:rPr>
                <w:rFonts w:ascii="Calibri" w:eastAsia="Times New Roman" w:hAnsi="Calibri" w:cs="Calibri"/>
                <w:color w:val="000000"/>
              </w:rPr>
              <w:t>5058</w:t>
            </w:r>
          </w:p>
        </w:tc>
        <w:tc>
          <w:tcPr>
            <w:tcW w:w="931" w:type="dxa"/>
            <w:tcBorders>
              <w:top w:val="nil"/>
              <w:left w:val="nil"/>
              <w:bottom w:val="nil"/>
              <w:right w:val="single" w:sz="8" w:space="0" w:color="auto"/>
            </w:tcBorders>
            <w:shd w:val="clear" w:color="auto" w:fill="auto"/>
            <w:noWrap/>
            <w:vAlign w:val="bottom"/>
            <w:hideMark/>
          </w:tcPr>
          <w:p w14:paraId="04DD385A" w14:textId="77777777" w:rsidR="00F91DA4" w:rsidRPr="00F91DA4" w:rsidRDefault="00F91DA4" w:rsidP="00F91DA4">
            <w:pPr>
              <w:spacing w:after="0" w:line="240" w:lineRule="auto"/>
              <w:rPr>
                <w:rFonts w:ascii="Calibri" w:eastAsia="Times New Roman" w:hAnsi="Calibri" w:cs="Calibri"/>
                <w:color w:val="000000"/>
              </w:rPr>
            </w:pPr>
            <w:r w:rsidRPr="00F91DA4">
              <w:rPr>
                <w:rFonts w:ascii="Calibri" w:eastAsia="Times New Roman" w:hAnsi="Calibri" w:cs="Calibri"/>
                <w:color w:val="000000"/>
              </w:rPr>
              <w:t> </w:t>
            </w:r>
          </w:p>
        </w:tc>
      </w:tr>
      <w:tr w:rsidR="00F91DA4" w:rsidRPr="00F91DA4" w14:paraId="47E962B9" w14:textId="77777777" w:rsidTr="00F91DA4">
        <w:trPr>
          <w:trHeight w:val="300"/>
          <w:jc w:val="center"/>
        </w:trPr>
        <w:tc>
          <w:tcPr>
            <w:tcW w:w="3999" w:type="dxa"/>
            <w:tcBorders>
              <w:top w:val="nil"/>
              <w:left w:val="single" w:sz="8" w:space="0" w:color="auto"/>
              <w:bottom w:val="nil"/>
              <w:right w:val="single" w:sz="8" w:space="0" w:color="auto"/>
            </w:tcBorders>
            <w:shd w:val="clear" w:color="auto" w:fill="auto"/>
            <w:noWrap/>
            <w:vAlign w:val="bottom"/>
            <w:hideMark/>
          </w:tcPr>
          <w:p w14:paraId="40AEE974" w14:textId="77777777" w:rsidR="00F91DA4" w:rsidRPr="00F91DA4" w:rsidRDefault="00F91DA4" w:rsidP="00F91DA4">
            <w:pPr>
              <w:spacing w:after="0" w:line="240" w:lineRule="auto"/>
              <w:rPr>
                <w:rFonts w:ascii="Calibri" w:eastAsia="Times New Roman" w:hAnsi="Calibri" w:cs="Calibri"/>
                <w:color w:val="000000"/>
              </w:rPr>
            </w:pPr>
            <w:r w:rsidRPr="00F91DA4">
              <w:rPr>
                <w:rFonts w:ascii="Calibri" w:eastAsia="Times New Roman" w:hAnsi="Calibri" w:cs="Calibri"/>
                <w:color w:val="000000"/>
              </w:rPr>
              <w:t>Sundry Expenses</w:t>
            </w:r>
          </w:p>
        </w:tc>
        <w:tc>
          <w:tcPr>
            <w:tcW w:w="931" w:type="dxa"/>
            <w:tcBorders>
              <w:top w:val="nil"/>
              <w:left w:val="nil"/>
              <w:bottom w:val="nil"/>
              <w:right w:val="single" w:sz="8" w:space="0" w:color="auto"/>
            </w:tcBorders>
            <w:shd w:val="clear" w:color="auto" w:fill="auto"/>
            <w:noWrap/>
            <w:vAlign w:val="bottom"/>
            <w:hideMark/>
          </w:tcPr>
          <w:p w14:paraId="113ED78B" w14:textId="77777777" w:rsidR="00F91DA4" w:rsidRPr="00F91DA4" w:rsidRDefault="00F91DA4" w:rsidP="00F91DA4">
            <w:pPr>
              <w:spacing w:after="0" w:line="240" w:lineRule="auto"/>
              <w:jc w:val="right"/>
              <w:rPr>
                <w:rFonts w:ascii="Calibri" w:eastAsia="Times New Roman" w:hAnsi="Calibri" w:cs="Calibri"/>
                <w:color w:val="000000"/>
                <w:u w:val="single"/>
              </w:rPr>
            </w:pPr>
            <w:r w:rsidRPr="00F91DA4">
              <w:rPr>
                <w:rFonts w:ascii="Calibri" w:eastAsia="Times New Roman" w:hAnsi="Calibri" w:cs="Calibri"/>
                <w:color w:val="000000"/>
                <w:u w:val="single"/>
              </w:rPr>
              <w:t>2,250</w:t>
            </w:r>
          </w:p>
        </w:tc>
        <w:tc>
          <w:tcPr>
            <w:tcW w:w="931" w:type="dxa"/>
            <w:tcBorders>
              <w:top w:val="nil"/>
              <w:left w:val="nil"/>
              <w:bottom w:val="nil"/>
              <w:right w:val="single" w:sz="8" w:space="0" w:color="auto"/>
            </w:tcBorders>
            <w:shd w:val="clear" w:color="auto" w:fill="auto"/>
            <w:noWrap/>
            <w:vAlign w:val="bottom"/>
            <w:hideMark/>
          </w:tcPr>
          <w:p w14:paraId="32DF9F27" w14:textId="77777777" w:rsidR="00F91DA4" w:rsidRPr="00F91DA4" w:rsidRDefault="00F91DA4" w:rsidP="00F91DA4">
            <w:pPr>
              <w:spacing w:after="0" w:line="240" w:lineRule="auto"/>
              <w:rPr>
                <w:rFonts w:ascii="Calibri" w:eastAsia="Times New Roman" w:hAnsi="Calibri" w:cs="Calibri"/>
                <w:color w:val="000000"/>
              </w:rPr>
            </w:pPr>
            <w:r w:rsidRPr="00F91DA4">
              <w:rPr>
                <w:rFonts w:ascii="Calibri" w:eastAsia="Times New Roman" w:hAnsi="Calibri" w:cs="Calibri"/>
                <w:color w:val="000000"/>
              </w:rPr>
              <w:t> </w:t>
            </w:r>
          </w:p>
        </w:tc>
      </w:tr>
      <w:tr w:rsidR="00F91DA4" w:rsidRPr="00F91DA4" w14:paraId="43F35D4C" w14:textId="77777777" w:rsidTr="00F91DA4">
        <w:trPr>
          <w:trHeight w:val="300"/>
          <w:jc w:val="center"/>
        </w:trPr>
        <w:tc>
          <w:tcPr>
            <w:tcW w:w="3999" w:type="dxa"/>
            <w:tcBorders>
              <w:top w:val="nil"/>
              <w:left w:val="single" w:sz="8" w:space="0" w:color="auto"/>
              <w:bottom w:val="nil"/>
              <w:right w:val="single" w:sz="8" w:space="0" w:color="auto"/>
            </w:tcBorders>
            <w:shd w:val="clear" w:color="auto" w:fill="auto"/>
            <w:noWrap/>
            <w:vAlign w:val="bottom"/>
            <w:hideMark/>
          </w:tcPr>
          <w:p w14:paraId="5F7D3EF4" w14:textId="77777777" w:rsidR="00F91DA4" w:rsidRPr="00F91DA4" w:rsidRDefault="00F91DA4" w:rsidP="00F91DA4">
            <w:pPr>
              <w:spacing w:after="0" w:line="240" w:lineRule="auto"/>
              <w:rPr>
                <w:rFonts w:ascii="Calibri" w:eastAsia="Times New Roman" w:hAnsi="Calibri" w:cs="Calibri"/>
                <w:color w:val="000000"/>
              </w:rPr>
            </w:pPr>
            <w:r w:rsidRPr="00F91DA4">
              <w:rPr>
                <w:rFonts w:ascii="Calibri" w:eastAsia="Times New Roman" w:hAnsi="Calibri" w:cs="Calibri"/>
                <w:color w:val="000000"/>
              </w:rPr>
              <w:t> </w:t>
            </w:r>
          </w:p>
        </w:tc>
        <w:tc>
          <w:tcPr>
            <w:tcW w:w="931" w:type="dxa"/>
            <w:tcBorders>
              <w:top w:val="nil"/>
              <w:left w:val="nil"/>
              <w:bottom w:val="nil"/>
              <w:right w:val="single" w:sz="8" w:space="0" w:color="auto"/>
            </w:tcBorders>
            <w:shd w:val="clear" w:color="auto" w:fill="auto"/>
            <w:noWrap/>
            <w:vAlign w:val="bottom"/>
            <w:hideMark/>
          </w:tcPr>
          <w:p w14:paraId="62E4F81F" w14:textId="77777777" w:rsidR="00F91DA4" w:rsidRPr="00F91DA4" w:rsidRDefault="00F91DA4" w:rsidP="00F91DA4">
            <w:pPr>
              <w:spacing w:after="0" w:line="240" w:lineRule="auto"/>
              <w:rPr>
                <w:rFonts w:ascii="Calibri" w:eastAsia="Times New Roman" w:hAnsi="Calibri" w:cs="Calibri"/>
                <w:color w:val="000000"/>
              </w:rPr>
            </w:pPr>
            <w:r w:rsidRPr="00F91DA4">
              <w:rPr>
                <w:rFonts w:ascii="Calibri" w:eastAsia="Times New Roman" w:hAnsi="Calibri" w:cs="Calibri"/>
                <w:color w:val="000000"/>
              </w:rPr>
              <w:t> </w:t>
            </w:r>
          </w:p>
        </w:tc>
        <w:tc>
          <w:tcPr>
            <w:tcW w:w="931" w:type="dxa"/>
            <w:tcBorders>
              <w:top w:val="nil"/>
              <w:left w:val="nil"/>
              <w:bottom w:val="nil"/>
              <w:right w:val="single" w:sz="8" w:space="0" w:color="auto"/>
            </w:tcBorders>
            <w:shd w:val="clear" w:color="auto" w:fill="auto"/>
            <w:noWrap/>
            <w:vAlign w:val="bottom"/>
            <w:hideMark/>
          </w:tcPr>
          <w:p w14:paraId="050FA32B" w14:textId="77777777" w:rsidR="00F91DA4" w:rsidRPr="00F91DA4" w:rsidRDefault="00F91DA4" w:rsidP="00F91DA4">
            <w:pPr>
              <w:spacing w:after="0" w:line="240" w:lineRule="auto"/>
              <w:jc w:val="right"/>
              <w:rPr>
                <w:rFonts w:ascii="Calibri" w:eastAsia="Times New Roman" w:hAnsi="Calibri" w:cs="Calibri"/>
                <w:color w:val="000000"/>
              </w:rPr>
            </w:pPr>
            <w:r w:rsidRPr="00F91DA4">
              <w:rPr>
                <w:rFonts w:ascii="Calibri" w:eastAsia="Times New Roman" w:hAnsi="Calibri" w:cs="Calibri"/>
                <w:color w:val="000000"/>
              </w:rPr>
              <w:t>7,308</w:t>
            </w:r>
          </w:p>
        </w:tc>
      </w:tr>
      <w:tr w:rsidR="00F91DA4" w:rsidRPr="00F91DA4" w14:paraId="55BE0403" w14:textId="77777777" w:rsidTr="00F91DA4">
        <w:trPr>
          <w:trHeight w:val="315"/>
          <w:jc w:val="center"/>
        </w:trPr>
        <w:tc>
          <w:tcPr>
            <w:tcW w:w="3999" w:type="dxa"/>
            <w:tcBorders>
              <w:top w:val="nil"/>
              <w:left w:val="single" w:sz="8" w:space="0" w:color="auto"/>
              <w:bottom w:val="single" w:sz="8" w:space="0" w:color="auto"/>
              <w:right w:val="single" w:sz="8" w:space="0" w:color="auto"/>
            </w:tcBorders>
            <w:shd w:val="clear" w:color="auto" w:fill="auto"/>
            <w:noWrap/>
            <w:vAlign w:val="bottom"/>
            <w:hideMark/>
          </w:tcPr>
          <w:p w14:paraId="6A4EFAAF" w14:textId="77777777" w:rsidR="00F91DA4" w:rsidRPr="00F91DA4" w:rsidRDefault="00F91DA4" w:rsidP="00F91DA4">
            <w:pPr>
              <w:spacing w:after="0" w:line="240" w:lineRule="auto"/>
              <w:jc w:val="right"/>
              <w:rPr>
                <w:rFonts w:ascii="Calibri" w:eastAsia="Times New Roman" w:hAnsi="Calibri" w:cs="Calibri"/>
                <w:b/>
                <w:bCs/>
                <w:color w:val="000000"/>
              </w:rPr>
            </w:pPr>
            <w:r w:rsidRPr="00F91DA4">
              <w:rPr>
                <w:rFonts w:ascii="Calibri" w:eastAsia="Times New Roman" w:hAnsi="Calibri" w:cs="Calibri"/>
                <w:b/>
                <w:bCs/>
                <w:color w:val="000000"/>
              </w:rPr>
              <w:t>Net Profit</w:t>
            </w:r>
          </w:p>
        </w:tc>
        <w:tc>
          <w:tcPr>
            <w:tcW w:w="931" w:type="dxa"/>
            <w:tcBorders>
              <w:top w:val="nil"/>
              <w:left w:val="nil"/>
              <w:bottom w:val="single" w:sz="8" w:space="0" w:color="auto"/>
              <w:right w:val="single" w:sz="8" w:space="0" w:color="auto"/>
            </w:tcBorders>
            <w:shd w:val="clear" w:color="auto" w:fill="auto"/>
            <w:noWrap/>
            <w:vAlign w:val="bottom"/>
            <w:hideMark/>
          </w:tcPr>
          <w:p w14:paraId="72F3EFC0" w14:textId="77777777" w:rsidR="00F91DA4" w:rsidRPr="00F91DA4" w:rsidRDefault="00F91DA4" w:rsidP="00F91DA4">
            <w:pPr>
              <w:spacing w:after="0" w:line="240" w:lineRule="auto"/>
              <w:rPr>
                <w:rFonts w:ascii="Calibri" w:eastAsia="Times New Roman" w:hAnsi="Calibri" w:cs="Calibri"/>
                <w:color w:val="000000"/>
              </w:rPr>
            </w:pPr>
            <w:r w:rsidRPr="00F91DA4">
              <w:rPr>
                <w:rFonts w:ascii="Calibri" w:eastAsia="Times New Roman" w:hAnsi="Calibri" w:cs="Calibri"/>
                <w:color w:val="000000"/>
              </w:rPr>
              <w:t> </w:t>
            </w:r>
          </w:p>
        </w:tc>
        <w:tc>
          <w:tcPr>
            <w:tcW w:w="931" w:type="dxa"/>
            <w:tcBorders>
              <w:top w:val="nil"/>
              <w:left w:val="nil"/>
              <w:bottom w:val="single" w:sz="8" w:space="0" w:color="auto"/>
              <w:right w:val="single" w:sz="8" w:space="0" w:color="auto"/>
            </w:tcBorders>
            <w:shd w:val="clear" w:color="auto" w:fill="auto"/>
            <w:noWrap/>
            <w:vAlign w:val="bottom"/>
            <w:hideMark/>
          </w:tcPr>
          <w:p w14:paraId="13419356" w14:textId="77777777" w:rsidR="00F91DA4" w:rsidRPr="00F91DA4" w:rsidRDefault="00F91DA4" w:rsidP="00F91DA4">
            <w:pPr>
              <w:spacing w:after="0" w:line="240" w:lineRule="auto"/>
              <w:jc w:val="right"/>
              <w:rPr>
                <w:rFonts w:ascii="Calibri" w:eastAsia="Times New Roman" w:hAnsi="Calibri" w:cs="Calibri"/>
                <w:color w:val="000000"/>
                <w:u w:val="double"/>
              </w:rPr>
            </w:pPr>
            <w:r w:rsidRPr="00F91DA4">
              <w:rPr>
                <w:rFonts w:ascii="Calibri" w:eastAsia="Times New Roman" w:hAnsi="Calibri" w:cs="Calibri"/>
                <w:color w:val="000000"/>
                <w:u w:val="double"/>
              </w:rPr>
              <w:t>22,056</w:t>
            </w:r>
          </w:p>
        </w:tc>
      </w:tr>
    </w:tbl>
    <w:p w14:paraId="540B17CC" w14:textId="436527C0" w:rsidR="007A5E5F" w:rsidRDefault="007A5E5F" w:rsidP="00F91DA4">
      <w:pPr>
        <w:jc w:val="center"/>
      </w:pPr>
    </w:p>
    <w:p w14:paraId="1AB2D8C1" w14:textId="77777777" w:rsidR="007A5E5F" w:rsidRDefault="007A5E5F">
      <w:r>
        <w:br w:type="page"/>
      </w:r>
    </w:p>
    <w:p w14:paraId="4B602B2D" w14:textId="77777777" w:rsidR="00C92AEE" w:rsidRDefault="00C92AEE" w:rsidP="00353F7E"/>
    <w:tbl>
      <w:tblPr>
        <w:tblW w:w="6240" w:type="dxa"/>
        <w:jc w:val="center"/>
        <w:tblLook w:val="04A0" w:firstRow="1" w:lastRow="0" w:firstColumn="1" w:lastColumn="0" w:noHBand="0" w:noVBand="1"/>
      </w:tblPr>
      <w:tblGrid>
        <w:gridCol w:w="3912"/>
        <w:gridCol w:w="829"/>
        <w:gridCol w:w="829"/>
        <w:gridCol w:w="829"/>
      </w:tblGrid>
      <w:tr w:rsidR="004E52D5" w:rsidRPr="004E52D5" w14:paraId="63E6CAA5" w14:textId="77777777" w:rsidTr="004E52D5">
        <w:trPr>
          <w:trHeight w:val="300"/>
          <w:jc w:val="center"/>
        </w:trPr>
        <w:tc>
          <w:tcPr>
            <w:tcW w:w="6240" w:type="dxa"/>
            <w:gridSpan w:val="4"/>
            <w:tcBorders>
              <w:top w:val="single" w:sz="4" w:space="0" w:color="auto"/>
              <w:left w:val="single" w:sz="4" w:space="0" w:color="auto"/>
              <w:bottom w:val="nil"/>
              <w:right w:val="single" w:sz="4" w:space="0" w:color="auto"/>
            </w:tcBorders>
            <w:shd w:val="clear" w:color="000000" w:fill="D6DCE4"/>
            <w:noWrap/>
            <w:vAlign w:val="center"/>
            <w:hideMark/>
          </w:tcPr>
          <w:p w14:paraId="501F82B9" w14:textId="77777777" w:rsidR="004E52D5" w:rsidRPr="004E52D5" w:rsidRDefault="004E52D5" w:rsidP="004E52D5">
            <w:pPr>
              <w:spacing w:after="0" w:line="240" w:lineRule="auto"/>
              <w:jc w:val="center"/>
              <w:rPr>
                <w:rFonts w:ascii="Calibri" w:eastAsia="Times New Roman" w:hAnsi="Calibri" w:cs="Calibri"/>
                <w:color w:val="006100"/>
              </w:rPr>
            </w:pPr>
            <w:r w:rsidRPr="004E52D5">
              <w:rPr>
                <w:rFonts w:ascii="Calibri" w:eastAsia="Times New Roman" w:hAnsi="Calibri" w:cs="Calibri"/>
                <w:color w:val="006100"/>
              </w:rPr>
              <w:t>Angela</w:t>
            </w:r>
          </w:p>
        </w:tc>
      </w:tr>
      <w:tr w:rsidR="004E52D5" w:rsidRPr="004E52D5" w14:paraId="1A942ACC" w14:textId="77777777" w:rsidTr="004E52D5">
        <w:trPr>
          <w:trHeight w:val="300"/>
          <w:jc w:val="center"/>
        </w:trPr>
        <w:tc>
          <w:tcPr>
            <w:tcW w:w="6240" w:type="dxa"/>
            <w:gridSpan w:val="4"/>
            <w:tcBorders>
              <w:top w:val="nil"/>
              <w:left w:val="single" w:sz="4" w:space="0" w:color="auto"/>
              <w:bottom w:val="nil"/>
              <w:right w:val="single" w:sz="4" w:space="0" w:color="auto"/>
            </w:tcBorders>
            <w:shd w:val="clear" w:color="000000" w:fill="D6DCE4"/>
            <w:noWrap/>
            <w:vAlign w:val="center"/>
            <w:hideMark/>
          </w:tcPr>
          <w:p w14:paraId="27F91B2C" w14:textId="77777777" w:rsidR="004E52D5" w:rsidRPr="004E52D5" w:rsidRDefault="004E52D5" w:rsidP="004E52D5">
            <w:pPr>
              <w:spacing w:after="0" w:line="240" w:lineRule="auto"/>
              <w:jc w:val="center"/>
              <w:rPr>
                <w:rFonts w:ascii="Calibri" w:eastAsia="Times New Roman" w:hAnsi="Calibri" w:cs="Calibri"/>
                <w:color w:val="006100"/>
              </w:rPr>
            </w:pPr>
            <w:r w:rsidRPr="004E52D5">
              <w:rPr>
                <w:rFonts w:ascii="Calibri" w:eastAsia="Times New Roman" w:hAnsi="Calibri" w:cs="Calibri"/>
                <w:color w:val="006100"/>
              </w:rPr>
              <w:t>Balance Sheet</w:t>
            </w:r>
          </w:p>
        </w:tc>
      </w:tr>
      <w:tr w:rsidR="004E52D5" w:rsidRPr="004E52D5" w14:paraId="7FA69DAF" w14:textId="77777777" w:rsidTr="004E52D5">
        <w:trPr>
          <w:trHeight w:val="300"/>
          <w:jc w:val="center"/>
        </w:trPr>
        <w:tc>
          <w:tcPr>
            <w:tcW w:w="6240" w:type="dxa"/>
            <w:gridSpan w:val="4"/>
            <w:tcBorders>
              <w:top w:val="nil"/>
              <w:left w:val="single" w:sz="4" w:space="0" w:color="auto"/>
              <w:bottom w:val="nil"/>
              <w:right w:val="single" w:sz="4" w:space="0" w:color="auto"/>
            </w:tcBorders>
            <w:shd w:val="clear" w:color="000000" w:fill="D6DCE4"/>
            <w:noWrap/>
            <w:vAlign w:val="bottom"/>
            <w:hideMark/>
          </w:tcPr>
          <w:p w14:paraId="413A9659" w14:textId="77777777" w:rsidR="004E52D5" w:rsidRPr="004E52D5" w:rsidRDefault="004E52D5" w:rsidP="004E52D5">
            <w:pPr>
              <w:spacing w:after="0" w:line="240" w:lineRule="auto"/>
              <w:jc w:val="center"/>
              <w:rPr>
                <w:rFonts w:ascii="Calibri" w:eastAsia="Times New Roman" w:hAnsi="Calibri" w:cs="Calibri"/>
                <w:color w:val="006100"/>
              </w:rPr>
            </w:pPr>
            <w:r w:rsidRPr="004E52D5">
              <w:rPr>
                <w:rFonts w:ascii="Calibri" w:eastAsia="Times New Roman" w:hAnsi="Calibri" w:cs="Calibri"/>
                <w:color w:val="006100"/>
              </w:rPr>
              <w:t xml:space="preserve"> For the year ending 31st December 2021</w:t>
            </w:r>
          </w:p>
        </w:tc>
      </w:tr>
      <w:tr w:rsidR="004E52D5" w:rsidRPr="004E52D5" w14:paraId="4F32A4BA" w14:textId="77777777" w:rsidTr="004E52D5">
        <w:trPr>
          <w:trHeight w:val="300"/>
          <w:jc w:val="center"/>
        </w:trPr>
        <w:tc>
          <w:tcPr>
            <w:tcW w:w="3912" w:type="dxa"/>
            <w:tcBorders>
              <w:top w:val="nil"/>
              <w:left w:val="single" w:sz="4" w:space="0" w:color="auto"/>
              <w:bottom w:val="nil"/>
              <w:right w:val="single" w:sz="4" w:space="0" w:color="auto"/>
            </w:tcBorders>
            <w:shd w:val="clear" w:color="000000" w:fill="DDEBF7"/>
            <w:noWrap/>
            <w:vAlign w:val="bottom"/>
            <w:hideMark/>
          </w:tcPr>
          <w:p w14:paraId="35FC3C1C" w14:textId="77777777" w:rsidR="004E52D5" w:rsidRPr="004E52D5" w:rsidRDefault="004E52D5" w:rsidP="004E52D5">
            <w:pPr>
              <w:spacing w:after="0" w:line="240" w:lineRule="auto"/>
              <w:rPr>
                <w:rFonts w:ascii="Calibri" w:eastAsia="Times New Roman" w:hAnsi="Calibri" w:cs="Calibri"/>
                <w:b/>
                <w:bCs/>
                <w:color w:val="000000"/>
              </w:rPr>
            </w:pPr>
            <w:r w:rsidRPr="004E52D5">
              <w:rPr>
                <w:rFonts w:ascii="Calibri" w:eastAsia="Times New Roman" w:hAnsi="Calibri" w:cs="Calibri"/>
                <w:b/>
                <w:bCs/>
                <w:color w:val="000000"/>
              </w:rPr>
              <w:t>Items</w:t>
            </w:r>
          </w:p>
        </w:tc>
        <w:tc>
          <w:tcPr>
            <w:tcW w:w="776" w:type="dxa"/>
            <w:tcBorders>
              <w:top w:val="nil"/>
              <w:left w:val="nil"/>
              <w:bottom w:val="nil"/>
              <w:right w:val="single" w:sz="4" w:space="0" w:color="auto"/>
            </w:tcBorders>
            <w:shd w:val="clear" w:color="000000" w:fill="DDEBF7"/>
            <w:noWrap/>
            <w:vAlign w:val="bottom"/>
            <w:hideMark/>
          </w:tcPr>
          <w:p w14:paraId="289AC9A0" w14:textId="77777777" w:rsidR="004E52D5" w:rsidRPr="004E52D5" w:rsidRDefault="004E52D5" w:rsidP="004E52D5">
            <w:pPr>
              <w:spacing w:after="0" w:line="240" w:lineRule="auto"/>
              <w:jc w:val="center"/>
              <w:rPr>
                <w:rFonts w:ascii="Calibri" w:eastAsia="Times New Roman" w:hAnsi="Calibri" w:cs="Calibri"/>
                <w:b/>
                <w:bCs/>
                <w:color w:val="000000"/>
              </w:rPr>
            </w:pPr>
            <w:r w:rsidRPr="004E52D5">
              <w:rPr>
                <w:rFonts w:ascii="Calibri" w:eastAsia="Times New Roman" w:hAnsi="Calibri" w:cs="Calibri"/>
                <w:b/>
                <w:bCs/>
                <w:color w:val="000000"/>
              </w:rPr>
              <w:t>₤</w:t>
            </w:r>
          </w:p>
        </w:tc>
        <w:tc>
          <w:tcPr>
            <w:tcW w:w="776" w:type="dxa"/>
            <w:tcBorders>
              <w:top w:val="nil"/>
              <w:left w:val="nil"/>
              <w:bottom w:val="nil"/>
              <w:right w:val="single" w:sz="4" w:space="0" w:color="auto"/>
            </w:tcBorders>
            <w:shd w:val="clear" w:color="000000" w:fill="DDEBF7"/>
            <w:noWrap/>
            <w:vAlign w:val="bottom"/>
            <w:hideMark/>
          </w:tcPr>
          <w:p w14:paraId="5535D597" w14:textId="77777777" w:rsidR="004E52D5" w:rsidRPr="004E52D5" w:rsidRDefault="004E52D5" w:rsidP="004E52D5">
            <w:pPr>
              <w:spacing w:after="0" w:line="240" w:lineRule="auto"/>
              <w:jc w:val="center"/>
              <w:rPr>
                <w:rFonts w:ascii="Calibri" w:eastAsia="Times New Roman" w:hAnsi="Calibri" w:cs="Calibri"/>
                <w:b/>
                <w:bCs/>
                <w:color w:val="000000"/>
              </w:rPr>
            </w:pPr>
            <w:r w:rsidRPr="004E52D5">
              <w:rPr>
                <w:rFonts w:ascii="Calibri" w:eastAsia="Times New Roman" w:hAnsi="Calibri" w:cs="Calibri"/>
                <w:b/>
                <w:bCs/>
                <w:color w:val="000000"/>
              </w:rPr>
              <w:t>₤</w:t>
            </w:r>
          </w:p>
        </w:tc>
        <w:tc>
          <w:tcPr>
            <w:tcW w:w="776" w:type="dxa"/>
            <w:tcBorders>
              <w:top w:val="nil"/>
              <w:left w:val="nil"/>
              <w:bottom w:val="nil"/>
              <w:right w:val="single" w:sz="4" w:space="0" w:color="auto"/>
            </w:tcBorders>
            <w:shd w:val="clear" w:color="000000" w:fill="DDEBF7"/>
            <w:noWrap/>
            <w:vAlign w:val="bottom"/>
            <w:hideMark/>
          </w:tcPr>
          <w:p w14:paraId="0D4FF33A" w14:textId="77777777" w:rsidR="004E52D5" w:rsidRPr="004E52D5" w:rsidRDefault="004E52D5" w:rsidP="004E52D5">
            <w:pPr>
              <w:spacing w:after="0" w:line="240" w:lineRule="auto"/>
              <w:jc w:val="center"/>
              <w:rPr>
                <w:rFonts w:ascii="Calibri" w:eastAsia="Times New Roman" w:hAnsi="Calibri" w:cs="Calibri"/>
                <w:b/>
                <w:bCs/>
                <w:color w:val="000000"/>
              </w:rPr>
            </w:pPr>
            <w:r w:rsidRPr="004E52D5">
              <w:rPr>
                <w:rFonts w:ascii="Calibri" w:eastAsia="Times New Roman" w:hAnsi="Calibri" w:cs="Calibri"/>
                <w:b/>
                <w:bCs/>
                <w:color w:val="000000"/>
              </w:rPr>
              <w:t>₤</w:t>
            </w:r>
          </w:p>
        </w:tc>
      </w:tr>
      <w:tr w:rsidR="004E52D5" w:rsidRPr="004E52D5" w14:paraId="4E10ACFF" w14:textId="77777777" w:rsidTr="004E52D5">
        <w:trPr>
          <w:trHeight w:val="300"/>
          <w:jc w:val="center"/>
        </w:trPr>
        <w:tc>
          <w:tcPr>
            <w:tcW w:w="3912" w:type="dxa"/>
            <w:tcBorders>
              <w:top w:val="nil"/>
              <w:left w:val="single" w:sz="4" w:space="0" w:color="auto"/>
              <w:bottom w:val="nil"/>
              <w:right w:val="single" w:sz="4" w:space="0" w:color="auto"/>
            </w:tcBorders>
            <w:shd w:val="clear" w:color="auto" w:fill="auto"/>
            <w:noWrap/>
            <w:vAlign w:val="bottom"/>
            <w:hideMark/>
          </w:tcPr>
          <w:p w14:paraId="64E6574C" w14:textId="77777777" w:rsidR="004E52D5" w:rsidRPr="004E52D5" w:rsidRDefault="004E52D5" w:rsidP="004E52D5">
            <w:pPr>
              <w:spacing w:after="0" w:line="240" w:lineRule="auto"/>
              <w:rPr>
                <w:rFonts w:ascii="Calibri" w:eastAsia="Times New Roman" w:hAnsi="Calibri" w:cs="Calibri"/>
                <w:b/>
                <w:bCs/>
                <w:color w:val="000000"/>
              </w:rPr>
            </w:pPr>
            <w:r w:rsidRPr="004E52D5">
              <w:rPr>
                <w:rFonts w:ascii="Calibri" w:eastAsia="Times New Roman" w:hAnsi="Calibri" w:cs="Calibri"/>
                <w:b/>
                <w:bCs/>
                <w:color w:val="000000"/>
              </w:rPr>
              <w:t>Assets</w:t>
            </w:r>
          </w:p>
        </w:tc>
        <w:tc>
          <w:tcPr>
            <w:tcW w:w="776" w:type="dxa"/>
            <w:tcBorders>
              <w:top w:val="nil"/>
              <w:left w:val="nil"/>
              <w:bottom w:val="nil"/>
              <w:right w:val="single" w:sz="4" w:space="0" w:color="auto"/>
            </w:tcBorders>
            <w:shd w:val="clear" w:color="auto" w:fill="auto"/>
            <w:noWrap/>
            <w:vAlign w:val="bottom"/>
            <w:hideMark/>
          </w:tcPr>
          <w:p w14:paraId="73AFF5BE" w14:textId="77777777" w:rsidR="004E52D5" w:rsidRPr="004E52D5" w:rsidRDefault="004E52D5" w:rsidP="004E52D5">
            <w:pPr>
              <w:spacing w:after="0" w:line="240" w:lineRule="auto"/>
              <w:rPr>
                <w:rFonts w:ascii="Calibri" w:eastAsia="Times New Roman" w:hAnsi="Calibri" w:cs="Calibri"/>
                <w:color w:val="000000"/>
              </w:rPr>
            </w:pPr>
            <w:r w:rsidRPr="004E52D5">
              <w:rPr>
                <w:rFonts w:ascii="Calibri" w:eastAsia="Times New Roman" w:hAnsi="Calibri" w:cs="Calibri"/>
                <w:color w:val="000000"/>
              </w:rPr>
              <w:t> </w:t>
            </w:r>
          </w:p>
        </w:tc>
        <w:tc>
          <w:tcPr>
            <w:tcW w:w="776" w:type="dxa"/>
            <w:tcBorders>
              <w:top w:val="nil"/>
              <w:left w:val="nil"/>
              <w:bottom w:val="nil"/>
              <w:right w:val="single" w:sz="4" w:space="0" w:color="auto"/>
            </w:tcBorders>
            <w:shd w:val="clear" w:color="auto" w:fill="auto"/>
            <w:noWrap/>
            <w:vAlign w:val="bottom"/>
            <w:hideMark/>
          </w:tcPr>
          <w:p w14:paraId="407372E2" w14:textId="77777777" w:rsidR="004E52D5" w:rsidRPr="004E52D5" w:rsidRDefault="004E52D5" w:rsidP="004E52D5">
            <w:pPr>
              <w:spacing w:after="0" w:line="240" w:lineRule="auto"/>
              <w:rPr>
                <w:rFonts w:ascii="Calibri" w:eastAsia="Times New Roman" w:hAnsi="Calibri" w:cs="Calibri"/>
                <w:color w:val="000000"/>
              </w:rPr>
            </w:pPr>
            <w:r w:rsidRPr="004E52D5">
              <w:rPr>
                <w:rFonts w:ascii="Calibri" w:eastAsia="Times New Roman" w:hAnsi="Calibri" w:cs="Calibri"/>
                <w:color w:val="000000"/>
              </w:rPr>
              <w:t> </w:t>
            </w:r>
          </w:p>
        </w:tc>
        <w:tc>
          <w:tcPr>
            <w:tcW w:w="776" w:type="dxa"/>
            <w:tcBorders>
              <w:top w:val="nil"/>
              <w:left w:val="nil"/>
              <w:bottom w:val="nil"/>
              <w:right w:val="single" w:sz="4" w:space="0" w:color="auto"/>
            </w:tcBorders>
            <w:shd w:val="clear" w:color="auto" w:fill="auto"/>
            <w:noWrap/>
            <w:vAlign w:val="bottom"/>
            <w:hideMark/>
          </w:tcPr>
          <w:p w14:paraId="280B217E" w14:textId="77777777" w:rsidR="004E52D5" w:rsidRPr="004E52D5" w:rsidRDefault="004E52D5" w:rsidP="004E52D5">
            <w:pPr>
              <w:spacing w:after="0" w:line="240" w:lineRule="auto"/>
              <w:rPr>
                <w:rFonts w:ascii="Calibri" w:eastAsia="Times New Roman" w:hAnsi="Calibri" w:cs="Calibri"/>
                <w:color w:val="000000"/>
              </w:rPr>
            </w:pPr>
            <w:r w:rsidRPr="004E52D5">
              <w:rPr>
                <w:rFonts w:ascii="Calibri" w:eastAsia="Times New Roman" w:hAnsi="Calibri" w:cs="Calibri"/>
                <w:color w:val="000000"/>
              </w:rPr>
              <w:t> </w:t>
            </w:r>
          </w:p>
        </w:tc>
      </w:tr>
      <w:tr w:rsidR="004E52D5" w:rsidRPr="004E52D5" w14:paraId="48C292B7" w14:textId="77777777" w:rsidTr="004E52D5">
        <w:trPr>
          <w:trHeight w:val="300"/>
          <w:jc w:val="center"/>
        </w:trPr>
        <w:tc>
          <w:tcPr>
            <w:tcW w:w="3912" w:type="dxa"/>
            <w:tcBorders>
              <w:top w:val="nil"/>
              <w:left w:val="single" w:sz="4" w:space="0" w:color="auto"/>
              <w:bottom w:val="nil"/>
              <w:right w:val="single" w:sz="4" w:space="0" w:color="auto"/>
            </w:tcBorders>
            <w:shd w:val="clear" w:color="auto" w:fill="auto"/>
            <w:noWrap/>
            <w:vAlign w:val="bottom"/>
            <w:hideMark/>
          </w:tcPr>
          <w:p w14:paraId="70C9A4C0" w14:textId="77777777" w:rsidR="004E52D5" w:rsidRPr="004E52D5" w:rsidRDefault="004E52D5" w:rsidP="004E52D5">
            <w:pPr>
              <w:spacing w:after="0" w:line="240" w:lineRule="auto"/>
              <w:rPr>
                <w:rFonts w:ascii="Calibri" w:eastAsia="Times New Roman" w:hAnsi="Calibri" w:cs="Calibri"/>
                <w:color w:val="000000"/>
              </w:rPr>
            </w:pPr>
            <w:r w:rsidRPr="004E52D5">
              <w:rPr>
                <w:rFonts w:ascii="Calibri" w:eastAsia="Times New Roman" w:hAnsi="Calibri" w:cs="Calibri"/>
                <w:color w:val="000000"/>
              </w:rPr>
              <w:t>Delivery van at cost</w:t>
            </w:r>
          </w:p>
        </w:tc>
        <w:tc>
          <w:tcPr>
            <w:tcW w:w="776" w:type="dxa"/>
            <w:tcBorders>
              <w:top w:val="nil"/>
              <w:left w:val="nil"/>
              <w:bottom w:val="nil"/>
              <w:right w:val="single" w:sz="4" w:space="0" w:color="auto"/>
            </w:tcBorders>
            <w:shd w:val="clear" w:color="auto" w:fill="auto"/>
            <w:noWrap/>
            <w:vAlign w:val="bottom"/>
            <w:hideMark/>
          </w:tcPr>
          <w:p w14:paraId="02C24C18" w14:textId="77777777" w:rsidR="004E52D5" w:rsidRPr="004E52D5" w:rsidRDefault="004E52D5" w:rsidP="004E52D5">
            <w:pPr>
              <w:spacing w:after="0" w:line="240" w:lineRule="auto"/>
              <w:jc w:val="right"/>
              <w:rPr>
                <w:rFonts w:ascii="Calibri" w:eastAsia="Times New Roman" w:hAnsi="Calibri" w:cs="Calibri"/>
                <w:color w:val="000000"/>
              </w:rPr>
            </w:pPr>
            <w:r w:rsidRPr="004E52D5">
              <w:rPr>
                <w:rFonts w:ascii="Calibri" w:eastAsia="Times New Roman" w:hAnsi="Calibri" w:cs="Calibri"/>
                <w:color w:val="000000"/>
              </w:rPr>
              <w:t>35,580</w:t>
            </w:r>
          </w:p>
        </w:tc>
        <w:tc>
          <w:tcPr>
            <w:tcW w:w="776" w:type="dxa"/>
            <w:tcBorders>
              <w:top w:val="nil"/>
              <w:left w:val="nil"/>
              <w:bottom w:val="nil"/>
              <w:right w:val="single" w:sz="4" w:space="0" w:color="auto"/>
            </w:tcBorders>
            <w:shd w:val="clear" w:color="auto" w:fill="auto"/>
            <w:noWrap/>
            <w:vAlign w:val="bottom"/>
            <w:hideMark/>
          </w:tcPr>
          <w:p w14:paraId="72EDEF63" w14:textId="77777777" w:rsidR="004E52D5" w:rsidRPr="004E52D5" w:rsidRDefault="004E52D5" w:rsidP="004E52D5">
            <w:pPr>
              <w:spacing w:after="0" w:line="240" w:lineRule="auto"/>
              <w:rPr>
                <w:rFonts w:ascii="Calibri" w:eastAsia="Times New Roman" w:hAnsi="Calibri" w:cs="Calibri"/>
                <w:color w:val="000000"/>
              </w:rPr>
            </w:pPr>
            <w:r w:rsidRPr="004E52D5">
              <w:rPr>
                <w:rFonts w:ascii="Calibri" w:eastAsia="Times New Roman" w:hAnsi="Calibri" w:cs="Calibri"/>
                <w:color w:val="000000"/>
              </w:rPr>
              <w:t> </w:t>
            </w:r>
          </w:p>
        </w:tc>
        <w:tc>
          <w:tcPr>
            <w:tcW w:w="776" w:type="dxa"/>
            <w:tcBorders>
              <w:top w:val="nil"/>
              <w:left w:val="nil"/>
              <w:bottom w:val="nil"/>
              <w:right w:val="single" w:sz="4" w:space="0" w:color="auto"/>
            </w:tcBorders>
            <w:shd w:val="clear" w:color="auto" w:fill="auto"/>
            <w:noWrap/>
            <w:vAlign w:val="bottom"/>
            <w:hideMark/>
          </w:tcPr>
          <w:p w14:paraId="2D058B6D" w14:textId="77777777" w:rsidR="004E52D5" w:rsidRPr="004E52D5" w:rsidRDefault="004E52D5" w:rsidP="004E52D5">
            <w:pPr>
              <w:spacing w:after="0" w:line="240" w:lineRule="auto"/>
              <w:rPr>
                <w:rFonts w:ascii="Calibri" w:eastAsia="Times New Roman" w:hAnsi="Calibri" w:cs="Calibri"/>
                <w:color w:val="000000"/>
              </w:rPr>
            </w:pPr>
            <w:r w:rsidRPr="004E52D5">
              <w:rPr>
                <w:rFonts w:ascii="Calibri" w:eastAsia="Times New Roman" w:hAnsi="Calibri" w:cs="Calibri"/>
                <w:color w:val="000000"/>
              </w:rPr>
              <w:t> </w:t>
            </w:r>
          </w:p>
        </w:tc>
      </w:tr>
      <w:tr w:rsidR="004E52D5" w:rsidRPr="004E52D5" w14:paraId="7C4B6932" w14:textId="77777777" w:rsidTr="004E52D5">
        <w:trPr>
          <w:trHeight w:val="300"/>
          <w:jc w:val="center"/>
        </w:trPr>
        <w:tc>
          <w:tcPr>
            <w:tcW w:w="3912" w:type="dxa"/>
            <w:tcBorders>
              <w:top w:val="nil"/>
              <w:left w:val="single" w:sz="4" w:space="0" w:color="auto"/>
              <w:bottom w:val="nil"/>
              <w:right w:val="single" w:sz="4" w:space="0" w:color="auto"/>
            </w:tcBorders>
            <w:shd w:val="clear" w:color="auto" w:fill="auto"/>
            <w:noWrap/>
            <w:vAlign w:val="bottom"/>
            <w:hideMark/>
          </w:tcPr>
          <w:p w14:paraId="6B834035" w14:textId="77777777" w:rsidR="004E52D5" w:rsidRPr="004E52D5" w:rsidRDefault="004E52D5" w:rsidP="004E52D5">
            <w:pPr>
              <w:spacing w:after="0" w:line="240" w:lineRule="auto"/>
              <w:rPr>
                <w:rFonts w:ascii="Calibri" w:eastAsia="Times New Roman" w:hAnsi="Calibri" w:cs="Calibri"/>
                <w:color w:val="000000"/>
              </w:rPr>
            </w:pPr>
            <w:r w:rsidRPr="004E52D5">
              <w:rPr>
                <w:rFonts w:ascii="Calibri" w:eastAsia="Times New Roman" w:hAnsi="Calibri" w:cs="Calibri"/>
                <w:color w:val="000000"/>
              </w:rPr>
              <w:t>less: Accumulated Depreciation</w:t>
            </w:r>
          </w:p>
        </w:tc>
        <w:tc>
          <w:tcPr>
            <w:tcW w:w="776" w:type="dxa"/>
            <w:tcBorders>
              <w:top w:val="nil"/>
              <w:left w:val="nil"/>
              <w:bottom w:val="nil"/>
              <w:right w:val="single" w:sz="4" w:space="0" w:color="auto"/>
            </w:tcBorders>
            <w:shd w:val="clear" w:color="auto" w:fill="auto"/>
            <w:noWrap/>
            <w:vAlign w:val="bottom"/>
            <w:hideMark/>
          </w:tcPr>
          <w:p w14:paraId="25432745" w14:textId="77777777" w:rsidR="004E52D5" w:rsidRPr="004E52D5" w:rsidRDefault="004E52D5" w:rsidP="004E52D5">
            <w:pPr>
              <w:spacing w:after="0" w:line="240" w:lineRule="auto"/>
              <w:jc w:val="right"/>
              <w:rPr>
                <w:rFonts w:ascii="Calibri" w:eastAsia="Times New Roman" w:hAnsi="Calibri" w:cs="Calibri"/>
                <w:color w:val="000000"/>
                <w:u w:val="single"/>
              </w:rPr>
            </w:pPr>
            <w:r w:rsidRPr="004E52D5">
              <w:rPr>
                <w:rFonts w:ascii="Calibri" w:eastAsia="Times New Roman" w:hAnsi="Calibri" w:cs="Calibri"/>
                <w:color w:val="000000"/>
                <w:u w:val="single"/>
              </w:rPr>
              <w:t>19438</w:t>
            </w:r>
          </w:p>
        </w:tc>
        <w:tc>
          <w:tcPr>
            <w:tcW w:w="776" w:type="dxa"/>
            <w:tcBorders>
              <w:top w:val="nil"/>
              <w:left w:val="nil"/>
              <w:bottom w:val="nil"/>
              <w:right w:val="single" w:sz="4" w:space="0" w:color="auto"/>
            </w:tcBorders>
            <w:shd w:val="clear" w:color="auto" w:fill="auto"/>
            <w:noWrap/>
            <w:vAlign w:val="bottom"/>
            <w:hideMark/>
          </w:tcPr>
          <w:p w14:paraId="1C4638D7" w14:textId="77777777" w:rsidR="004E52D5" w:rsidRPr="004E52D5" w:rsidRDefault="004E52D5" w:rsidP="004E52D5">
            <w:pPr>
              <w:spacing w:after="0" w:line="240" w:lineRule="auto"/>
              <w:rPr>
                <w:rFonts w:ascii="Calibri" w:eastAsia="Times New Roman" w:hAnsi="Calibri" w:cs="Calibri"/>
                <w:color w:val="000000"/>
              </w:rPr>
            </w:pPr>
            <w:r w:rsidRPr="004E52D5">
              <w:rPr>
                <w:rFonts w:ascii="Calibri" w:eastAsia="Times New Roman" w:hAnsi="Calibri" w:cs="Calibri"/>
                <w:color w:val="000000"/>
              </w:rPr>
              <w:t> </w:t>
            </w:r>
          </w:p>
        </w:tc>
        <w:tc>
          <w:tcPr>
            <w:tcW w:w="776" w:type="dxa"/>
            <w:tcBorders>
              <w:top w:val="nil"/>
              <w:left w:val="nil"/>
              <w:bottom w:val="nil"/>
              <w:right w:val="single" w:sz="4" w:space="0" w:color="auto"/>
            </w:tcBorders>
            <w:shd w:val="clear" w:color="auto" w:fill="auto"/>
            <w:noWrap/>
            <w:vAlign w:val="bottom"/>
            <w:hideMark/>
          </w:tcPr>
          <w:p w14:paraId="4CFF617A" w14:textId="77777777" w:rsidR="004E52D5" w:rsidRPr="004E52D5" w:rsidRDefault="004E52D5" w:rsidP="004E52D5">
            <w:pPr>
              <w:spacing w:after="0" w:line="240" w:lineRule="auto"/>
              <w:rPr>
                <w:rFonts w:ascii="Calibri" w:eastAsia="Times New Roman" w:hAnsi="Calibri" w:cs="Calibri"/>
                <w:color w:val="000000"/>
              </w:rPr>
            </w:pPr>
            <w:r w:rsidRPr="004E52D5">
              <w:rPr>
                <w:rFonts w:ascii="Calibri" w:eastAsia="Times New Roman" w:hAnsi="Calibri" w:cs="Calibri"/>
                <w:color w:val="000000"/>
              </w:rPr>
              <w:t> </w:t>
            </w:r>
          </w:p>
        </w:tc>
      </w:tr>
      <w:tr w:rsidR="004E52D5" w:rsidRPr="004E52D5" w14:paraId="33B09951" w14:textId="77777777" w:rsidTr="004E52D5">
        <w:trPr>
          <w:trHeight w:val="300"/>
          <w:jc w:val="center"/>
        </w:trPr>
        <w:tc>
          <w:tcPr>
            <w:tcW w:w="3912" w:type="dxa"/>
            <w:tcBorders>
              <w:top w:val="nil"/>
              <w:left w:val="single" w:sz="4" w:space="0" w:color="auto"/>
              <w:bottom w:val="nil"/>
              <w:right w:val="single" w:sz="4" w:space="0" w:color="auto"/>
            </w:tcBorders>
            <w:shd w:val="clear" w:color="auto" w:fill="auto"/>
            <w:noWrap/>
            <w:vAlign w:val="bottom"/>
            <w:hideMark/>
          </w:tcPr>
          <w:p w14:paraId="740FA83C" w14:textId="77777777" w:rsidR="004E52D5" w:rsidRPr="004E52D5" w:rsidRDefault="004E52D5" w:rsidP="004E52D5">
            <w:pPr>
              <w:spacing w:after="0" w:line="240" w:lineRule="auto"/>
              <w:rPr>
                <w:rFonts w:ascii="Calibri" w:eastAsia="Times New Roman" w:hAnsi="Calibri" w:cs="Calibri"/>
                <w:b/>
                <w:bCs/>
                <w:color w:val="000000"/>
              </w:rPr>
            </w:pPr>
            <w:r w:rsidRPr="004E52D5">
              <w:rPr>
                <w:rFonts w:ascii="Calibri" w:eastAsia="Times New Roman" w:hAnsi="Calibri" w:cs="Calibri"/>
                <w:b/>
                <w:bCs/>
                <w:color w:val="000000"/>
              </w:rPr>
              <w:t> </w:t>
            </w:r>
          </w:p>
        </w:tc>
        <w:tc>
          <w:tcPr>
            <w:tcW w:w="776" w:type="dxa"/>
            <w:tcBorders>
              <w:top w:val="nil"/>
              <w:left w:val="nil"/>
              <w:bottom w:val="nil"/>
              <w:right w:val="single" w:sz="4" w:space="0" w:color="auto"/>
            </w:tcBorders>
            <w:shd w:val="clear" w:color="auto" w:fill="auto"/>
            <w:noWrap/>
            <w:vAlign w:val="bottom"/>
            <w:hideMark/>
          </w:tcPr>
          <w:p w14:paraId="17B5F66B" w14:textId="77777777" w:rsidR="004E52D5" w:rsidRPr="004E52D5" w:rsidRDefault="004E52D5" w:rsidP="004E52D5">
            <w:pPr>
              <w:spacing w:after="0" w:line="240" w:lineRule="auto"/>
              <w:rPr>
                <w:rFonts w:ascii="Calibri" w:eastAsia="Times New Roman" w:hAnsi="Calibri" w:cs="Calibri"/>
                <w:color w:val="000000"/>
              </w:rPr>
            </w:pPr>
            <w:r w:rsidRPr="004E52D5">
              <w:rPr>
                <w:rFonts w:ascii="Calibri" w:eastAsia="Times New Roman" w:hAnsi="Calibri" w:cs="Calibri"/>
                <w:color w:val="000000"/>
              </w:rPr>
              <w:t> </w:t>
            </w:r>
          </w:p>
        </w:tc>
        <w:tc>
          <w:tcPr>
            <w:tcW w:w="776" w:type="dxa"/>
            <w:tcBorders>
              <w:top w:val="nil"/>
              <w:left w:val="nil"/>
              <w:bottom w:val="nil"/>
              <w:right w:val="single" w:sz="4" w:space="0" w:color="auto"/>
            </w:tcBorders>
            <w:shd w:val="clear" w:color="auto" w:fill="auto"/>
            <w:noWrap/>
            <w:vAlign w:val="bottom"/>
            <w:hideMark/>
          </w:tcPr>
          <w:p w14:paraId="3ABB1AA6" w14:textId="77777777" w:rsidR="004E52D5" w:rsidRPr="004E52D5" w:rsidRDefault="004E52D5" w:rsidP="004E52D5">
            <w:pPr>
              <w:spacing w:after="0" w:line="240" w:lineRule="auto"/>
              <w:jc w:val="right"/>
              <w:rPr>
                <w:rFonts w:ascii="Calibri" w:eastAsia="Times New Roman" w:hAnsi="Calibri" w:cs="Calibri"/>
                <w:color w:val="000000"/>
              </w:rPr>
            </w:pPr>
            <w:r w:rsidRPr="004E52D5">
              <w:rPr>
                <w:rFonts w:ascii="Calibri" w:eastAsia="Times New Roman" w:hAnsi="Calibri" w:cs="Calibri"/>
                <w:color w:val="000000"/>
              </w:rPr>
              <w:t>16,142</w:t>
            </w:r>
          </w:p>
        </w:tc>
        <w:tc>
          <w:tcPr>
            <w:tcW w:w="776" w:type="dxa"/>
            <w:tcBorders>
              <w:top w:val="nil"/>
              <w:left w:val="nil"/>
              <w:bottom w:val="nil"/>
              <w:right w:val="single" w:sz="4" w:space="0" w:color="auto"/>
            </w:tcBorders>
            <w:shd w:val="clear" w:color="auto" w:fill="auto"/>
            <w:noWrap/>
            <w:vAlign w:val="bottom"/>
            <w:hideMark/>
          </w:tcPr>
          <w:p w14:paraId="36FA197D" w14:textId="77777777" w:rsidR="004E52D5" w:rsidRPr="004E52D5" w:rsidRDefault="004E52D5" w:rsidP="004E52D5">
            <w:pPr>
              <w:spacing w:after="0" w:line="240" w:lineRule="auto"/>
              <w:rPr>
                <w:rFonts w:ascii="Calibri" w:eastAsia="Times New Roman" w:hAnsi="Calibri" w:cs="Calibri"/>
                <w:color w:val="000000"/>
              </w:rPr>
            </w:pPr>
            <w:r w:rsidRPr="004E52D5">
              <w:rPr>
                <w:rFonts w:ascii="Calibri" w:eastAsia="Times New Roman" w:hAnsi="Calibri" w:cs="Calibri"/>
                <w:color w:val="000000"/>
              </w:rPr>
              <w:t> </w:t>
            </w:r>
          </w:p>
        </w:tc>
      </w:tr>
      <w:tr w:rsidR="004E52D5" w:rsidRPr="004E52D5" w14:paraId="02298167" w14:textId="77777777" w:rsidTr="004E52D5">
        <w:trPr>
          <w:trHeight w:val="300"/>
          <w:jc w:val="center"/>
        </w:trPr>
        <w:tc>
          <w:tcPr>
            <w:tcW w:w="3912" w:type="dxa"/>
            <w:tcBorders>
              <w:top w:val="nil"/>
              <w:left w:val="single" w:sz="4" w:space="0" w:color="auto"/>
              <w:bottom w:val="nil"/>
              <w:right w:val="single" w:sz="4" w:space="0" w:color="auto"/>
            </w:tcBorders>
            <w:shd w:val="clear" w:color="auto" w:fill="auto"/>
            <w:noWrap/>
            <w:vAlign w:val="bottom"/>
            <w:hideMark/>
          </w:tcPr>
          <w:p w14:paraId="18F68827" w14:textId="77777777" w:rsidR="004E52D5" w:rsidRPr="004E52D5" w:rsidRDefault="004E52D5" w:rsidP="004E52D5">
            <w:pPr>
              <w:spacing w:after="0" w:line="240" w:lineRule="auto"/>
              <w:rPr>
                <w:rFonts w:ascii="Calibri" w:eastAsia="Times New Roman" w:hAnsi="Calibri" w:cs="Calibri"/>
                <w:color w:val="000000"/>
              </w:rPr>
            </w:pPr>
            <w:r w:rsidRPr="004E52D5">
              <w:rPr>
                <w:rFonts w:ascii="Calibri" w:eastAsia="Times New Roman" w:hAnsi="Calibri" w:cs="Calibri"/>
                <w:color w:val="000000"/>
              </w:rPr>
              <w:t>Shop fittings at cost</w:t>
            </w:r>
          </w:p>
        </w:tc>
        <w:tc>
          <w:tcPr>
            <w:tcW w:w="776" w:type="dxa"/>
            <w:tcBorders>
              <w:top w:val="nil"/>
              <w:left w:val="nil"/>
              <w:bottom w:val="nil"/>
              <w:right w:val="single" w:sz="4" w:space="0" w:color="auto"/>
            </w:tcBorders>
            <w:shd w:val="clear" w:color="auto" w:fill="auto"/>
            <w:noWrap/>
            <w:vAlign w:val="bottom"/>
            <w:hideMark/>
          </w:tcPr>
          <w:p w14:paraId="44D1FDD6" w14:textId="77777777" w:rsidR="004E52D5" w:rsidRPr="004E52D5" w:rsidRDefault="004E52D5" w:rsidP="004E52D5">
            <w:pPr>
              <w:spacing w:after="0" w:line="240" w:lineRule="auto"/>
              <w:jc w:val="right"/>
              <w:rPr>
                <w:rFonts w:ascii="Calibri" w:eastAsia="Times New Roman" w:hAnsi="Calibri" w:cs="Calibri"/>
                <w:color w:val="000000"/>
              </w:rPr>
            </w:pPr>
            <w:r w:rsidRPr="004E52D5">
              <w:rPr>
                <w:rFonts w:ascii="Calibri" w:eastAsia="Times New Roman" w:hAnsi="Calibri" w:cs="Calibri"/>
                <w:color w:val="000000"/>
              </w:rPr>
              <w:t>12,200</w:t>
            </w:r>
          </w:p>
        </w:tc>
        <w:tc>
          <w:tcPr>
            <w:tcW w:w="776" w:type="dxa"/>
            <w:tcBorders>
              <w:top w:val="nil"/>
              <w:left w:val="nil"/>
              <w:bottom w:val="nil"/>
              <w:right w:val="single" w:sz="4" w:space="0" w:color="auto"/>
            </w:tcBorders>
            <w:shd w:val="clear" w:color="auto" w:fill="auto"/>
            <w:noWrap/>
            <w:vAlign w:val="bottom"/>
            <w:hideMark/>
          </w:tcPr>
          <w:p w14:paraId="4703C106" w14:textId="77777777" w:rsidR="004E52D5" w:rsidRPr="004E52D5" w:rsidRDefault="004E52D5" w:rsidP="004E52D5">
            <w:pPr>
              <w:spacing w:after="0" w:line="240" w:lineRule="auto"/>
              <w:rPr>
                <w:rFonts w:ascii="Calibri" w:eastAsia="Times New Roman" w:hAnsi="Calibri" w:cs="Calibri"/>
                <w:color w:val="000000"/>
              </w:rPr>
            </w:pPr>
            <w:r w:rsidRPr="004E52D5">
              <w:rPr>
                <w:rFonts w:ascii="Calibri" w:eastAsia="Times New Roman" w:hAnsi="Calibri" w:cs="Calibri"/>
                <w:color w:val="000000"/>
              </w:rPr>
              <w:t> </w:t>
            </w:r>
          </w:p>
        </w:tc>
        <w:tc>
          <w:tcPr>
            <w:tcW w:w="776" w:type="dxa"/>
            <w:tcBorders>
              <w:top w:val="nil"/>
              <w:left w:val="nil"/>
              <w:bottom w:val="nil"/>
              <w:right w:val="single" w:sz="4" w:space="0" w:color="auto"/>
            </w:tcBorders>
            <w:shd w:val="clear" w:color="auto" w:fill="auto"/>
            <w:noWrap/>
            <w:vAlign w:val="bottom"/>
            <w:hideMark/>
          </w:tcPr>
          <w:p w14:paraId="7610EB8D" w14:textId="77777777" w:rsidR="004E52D5" w:rsidRPr="004E52D5" w:rsidRDefault="004E52D5" w:rsidP="004E52D5">
            <w:pPr>
              <w:spacing w:after="0" w:line="240" w:lineRule="auto"/>
              <w:rPr>
                <w:rFonts w:ascii="Calibri" w:eastAsia="Times New Roman" w:hAnsi="Calibri" w:cs="Calibri"/>
                <w:color w:val="000000"/>
              </w:rPr>
            </w:pPr>
            <w:r w:rsidRPr="004E52D5">
              <w:rPr>
                <w:rFonts w:ascii="Calibri" w:eastAsia="Times New Roman" w:hAnsi="Calibri" w:cs="Calibri"/>
                <w:color w:val="000000"/>
              </w:rPr>
              <w:t> </w:t>
            </w:r>
          </w:p>
        </w:tc>
      </w:tr>
      <w:tr w:rsidR="004E52D5" w:rsidRPr="004E52D5" w14:paraId="2D066705" w14:textId="77777777" w:rsidTr="004E52D5">
        <w:trPr>
          <w:trHeight w:val="300"/>
          <w:jc w:val="center"/>
        </w:trPr>
        <w:tc>
          <w:tcPr>
            <w:tcW w:w="3912" w:type="dxa"/>
            <w:tcBorders>
              <w:top w:val="nil"/>
              <w:left w:val="single" w:sz="4" w:space="0" w:color="auto"/>
              <w:bottom w:val="nil"/>
              <w:right w:val="single" w:sz="4" w:space="0" w:color="auto"/>
            </w:tcBorders>
            <w:shd w:val="clear" w:color="auto" w:fill="auto"/>
            <w:noWrap/>
            <w:vAlign w:val="bottom"/>
            <w:hideMark/>
          </w:tcPr>
          <w:p w14:paraId="0D560597" w14:textId="77777777" w:rsidR="004E52D5" w:rsidRPr="004E52D5" w:rsidRDefault="004E52D5" w:rsidP="004E52D5">
            <w:pPr>
              <w:spacing w:after="0" w:line="240" w:lineRule="auto"/>
              <w:rPr>
                <w:rFonts w:ascii="Calibri" w:eastAsia="Times New Roman" w:hAnsi="Calibri" w:cs="Calibri"/>
                <w:color w:val="000000"/>
              </w:rPr>
            </w:pPr>
            <w:r w:rsidRPr="004E52D5">
              <w:rPr>
                <w:rFonts w:ascii="Calibri" w:eastAsia="Times New Roman" w:hAnsi="Calibri" w:cs="Calibri"/>
                <w:color w:val="000000"/>
              </w:rPr>
              <w:t>less: Accumulated Depreciation</w:t>
            </w:r>
          </w:p>
        </w:tc>
        <w:tc>
          <w:tcPr>
            <w:tcW w:w="776" w:type="dxa"/>
            <w:tcBorders>
              <w:top w:val="nil"/>
              <w:left w:val="nil"/>
              <w:bottom w:val="nil"/>
              <w:right w:val="single" w:sz="4" w:space="0" w:color="auto"/>
            </w:tcBorders>
            <w:shd w:val="clear" w:color="auto" w:fill="auto"/>
            <w:noWrap/>
            <w:vAlign w:val="bottom"/>
            <w:hideMark/>
          </w:tcPr>
          <w:p w14:paraId="38213C0A" w14:textId="77777777" w:rsidR="004E52D5" w:rsidRPr="004E52D5" w:rsidRDefault="004E52D5" w:rsidP="004E52D5">
            <w:pPr>
              <w:spacing w:after="0" w:line="240" w:lineRule="auto"/>
              <w:jc w:val="right"/>
              <w:rPr>
                <w:rFonts w:ascii="Calibri" w:eastAsia="Times New Roman" w:hAnsi="Calibri" w:cs="Calibri"/>
                <w:color w:val="000000"/>
                <w:u w:val="single"/>
              </w:rPr>
            </w:pPr>
            <w:r w:rsidRPr="004E52D5">
              <w:rPr>
                <w:rFonts w:ascii="Calibri" w:eastAsia="Times New Roman" w:hAnsi="Calibri" w:cs="Calibri"/>
                <w:color w:val="000000"/>
                <w:u w:val="single"/>
              </w:rPr>
              <w:t>8540</w:t>
            </w:r>
          </w:p>
        </w:tc>
        <w:tc>
          <w:tcPr>
            <w:tcW w:w="776" w:type="dxa"/>
            <w:tcBorders>
              <w:top w:val="nil"/>
              <w:left w:val="nil"/>
              <w:bottom w:val="nil"/>
              <w:right w:val="single" w:sz="4" w:space="0" w:color="auto"/>
            </w:tcBorders>
            <w:shd w:val="clear" w:color="auto" w:fill="auto"/>
            <w:noWrap/>
            <w:vAlign w:val="bottom"/>
            <w:hideMark/>
          </w:tcPr>
          <w:p w14:paraId="6E090F5B" w14:textId="77777777" w:rsidR="004E52D5" w:rsidRPr="004E52D5" w:rsidRDefault="004E52D5" w:rsidP="004E52D5">
            <w:pPr>
              <w:spacing w:after="0" w:line="240" w:lineRule="auto"/>
              <w:rPr>
                <w:rFonts w:ascii="Calibri" w:eastAsia="Times New Roman" w:hAnsi="Calibri" w:cs="Calibri"/>
                <w:color w:val="000000"/>
                <w:u w:val="single"/>
              </w:rPr>
            </w:pPr>
            <w:r w:rsidRPr="004E52D5">
              <w:rPr>
                <w:rFonts w:ascii="Calibri" w:eastAsia="Times New Roman" w:hAnsi="Calibri" w:cs="Calibri"/>
                <w:color w:val="000000"/>
                <w:u w:val="single"/>
              </w:rPr>
              <w:t> </w:t>
            </w:r>
          </w:p>
        </w:tc>
        <w:tc>
          <w:tcPr>
            <w:tcW w:w="776" w:type="dxa"/>
            <w:tcBorders>
              <w:top w:val="nil"/>
              <w:left w:val="nil"/>
              <w:bottom w:val="nil"/>
              <w:right w:val="single" w:sz="4" w:space="0" w:color="auto"/>
            </w:tcBorders>
            <w:shd w:val="clear" w:color="auto" w:fill="auto"/>
            <w:noWrap/>
            <w:vAlign w:val="bottom"/>
            <w:hideMark/>
          </w:tcPr>
          <w:p w14:paraId="6C9F0EC4" w14:textId="77777777" w:rsidR="004E52D5" w:rsidRPr="004E52D5" w:rsidRDefault="004E52D5" w:rsidP="004E52D5">
            <w:pPr>
              <w:spacing w:after="0" w:line="240" w:lineRule="auto"/>
              <w:rPr>
                <w:rFonts w:ascii="Calibri" w:eastAsia="Times New Roman" w:hAnsi="Calibri" w:cs="Calibri"/>
                <w:color w:val="000000"/>
              </w:rPr>
            </w:pPr>
            <w:r w:rsidRPr="004E52D5">
              <w:rPr>
                <w:rFonts w:ascii="Calibri" w:eastAsia="Times New Roman" w:hAnsi="Calibri" w:cs="Calibri"/>
                <w:color w:val="000000"/>
              </w:rPr>
              <w:t> </w:t>
            </w:r>
          </w:p>
        </w:tc>
      </w:tr>
      <w:tr w:rsidR="004E52D5" w:rsidRPr="004E52D5" w14:paraId="392DAF9E" w14:textId="77777777" w:rsidTr="004E52D5">
        <w:trPr>
          <w:trHeight w:val="300"/>
          <w:jc w:val="center"/>
        </w:trPr>
        <w:tc>
          <w:tcPr>
            <w:tcW w:w="3912" w:type="dxa"/>
            <w:tcBorders>
              <w:top w:val="nil"/>
              <w:left w:val="single" w:sz="4" w:space="0" w:color="auto"/>
              <w:bottom w:val="nil"/>
              <w:right w:val="single" w:sz="4" w:space="0" w:color="auto"/>
            </w:tcBorders>
            <w:shd w:val="clear" w:color="auto" w:fill="auto"/>
            <w:noWrap/>
            <w:vAlign w:val="bottom"/>
            <w:hideMark/>
          </w:tcPr>
          <w:p w14:paraId="69AB015B" w14:textId="77777777" w:rsidR="004E52D5" w:rsidRPr="004E52D5" w:rsidRDefault="004E52D5" w:rsidP="004E52D5">
            <w:pPr>
              <w:spacing w:after="0" w:line="240" w:lineRule="auto"/>
              <w:jc w:val="right"/>
              <w:rPr>
                <w:rFonts w:ascii="Calibri" w:eastAsia="Times New Roman" w:hAnsi="Calibri" w:cs="Calibri"/>
                <w:b/>
                <w:bCs/>
                <w:color w:val="000000"/>
              </w:rPr>
            </w:pPr>
            <w:r w:rsidRPr="004E52D5">
              <w:rPr>
                <w:rFonts w:ascii="Calibri" w:eastAsia="Times New Roman" w:hAnsi="Calibri" w:cs="Calibri"/>
                <w:b/>
                <w:bCs/>
                <w:color w:val="000000"/>
              </w:rPr>
              <w:t> </w:t>
            </w:r>
          </w:p>
        </w:tc>
        <w:tc>
          <w:tcPr>
            <w:tcW w:w="776" w:type="dxa"/>
            <w:tcBorders>
              <w:top w:val="nil"/>
              <w:left w:val="nil"/>
              <w:bottom w:val="nil"/>
              <w:right w:val="single" w:sz="4" w:space="0" w:color="auto"/>
            </w:tcBorders>
            <w:shd w:val="clear" w:color="auto" w:fill="auto"/>
            <w:noWrap/>
            <w:vAlign w:val="bottom"/>
            <w:hideMark/>
          </w:tcPr>
          <w:p w14:paraId="605FF864" w14:textId="77777777" w:rsidR="004E52D5" w:rsidRPr="004E52D5" w:rsidRDefault="004E52D5" w:rsidP="004E52D5">
            <w:pPr>
              <w:spacing w:after="0" w:line="240" w:lineRule="auto"/>
              <w:rPr>
                <w:rFonts w:ascii="Calibri" w:eastAsia="Times New Roman" w:hAnsi="Calibri" w:cs="Calibri"/>
                <w:color w:val="000000"/>
              </w:rPr>
            </w:pPr>
            <w:r w:rsidRPr="004E52D5">
              <w:rPr>
                <w:rFonts w:ascii="Calibri" w:eastAsia="Times New Roman" w:hAnsi="Calibri" w:cs="Calibri"/>
                <w:color w:val="000000"/>
              </w:rPr>
              <w:t> </w:t>
            </w:r>
          </w:p>
        </w:tc>
        <w:tc>
          <w:tcPr>
            <w:tcW w:w="776" w:type="dxa"/>
            <w:tcBorders>
              <w:top w:val="nil"/>
              <w:left w:val="nil"/>
              <w:bottom w:val="nil"/>
              <w:right w:val="single" w:sz="4" w:space="0" w:color="auto"/>
            </w:tcBorders>
            <w:shd w:val="clear" w:color="auto" w:fill="auto"/>
            <w:noWrap/>
            <w:vAlign w:val="bottom"/>
            <w:hideMark/>
          </w:tcPr>
          <w:p w14:paraId="5CC90997" w14:textId="77777777" w:rsidR="004E52D5" w:rsidRPr="004E52D5" w:rsidRDefault="004E52D5" w:rsidP="004E52D5">
            <w:pPr>
              <w:spacing w:after="0" w:line="240" w:lineRule="auto"/>
              <w:jc w:val="right"/>
              <w:rPr>
                <w:rFonts w:ascii="Calibri" w:eastAsia="Times New Roman" w:hAnsi="Calibri" w:cs="Calibri"/>
                <w:color w:val="000000"/>
              </w:rPr>
            </w:pPr>
            <w:r w:rsidRPr="004E52D5">
              <w:rPr>
                <w:rFonts w:ascii="Calibri" w:eastAsia="Times New Roman" w:hAnsi="Calibri" w:cs="Calibri"/>
                <w:color w:val="000000"/>
              </w:rPr>
              <w:t>3,660</w:t>
            </w:r>
          </w:p>
        </w:tc>
        <w:tc>
          <w:tcPr>
            <w:tcW w:w="776" w:type="dxa"/>
            <w:tcBorders>
              <w:top w:val="nil"/>
              <w:left w:val="nil"/>
              <w:bottom w:val="nil"/>
              <w:right w:val="single" w:sz="4" w:space="0" w:color="auto"/>
            </w:tcBorders>
            <w:shd w:val="clear" w:color="auto" w:fill="auto"/>
            <w:noWrap/>
            <w:vAlign w:val="bottom"/>
            <w:hideMark/>
          </w:tcPr>
          <w:p w14:paraId="2781C9F6" w14:textId="77777777" w:rsidR="004E52D5" w:rsidRPr="004E52D5" w:rsidRDefault="004E52D5" w:rsidP="004E52D5">
            <w:pPr>
              <w:spacing w:after="0" w:line="240" w:lineRule="auto"/>
              <w:rPr>
                <w:rFonts w:ascii="Calibri" w:eastAsia="Times New Roman" w:hAnsi="Calibri" w:cs="Calibri"/>
                <w:color w:val="000000"/>
              </w:rPr>
            </w:pPr>
            <w:r w:rsidRPr="004E52D5">
              <w:rPr>
                <w:rFonts w:ascii="Calibri" w:eastAsia="Times New Roman" w:hAnsi="Calibri" w:cs="Calibri"/>
                <w:color w:val="000000"/>
              </w:rPr>
              <w:t> </w:t>
            </w:r>
          </w:p>
        </w:tc>
      </w:tr>
      <w:tr w:rsidR="004E52D5" w:rsidRPr="004E52D5" w14:paraId="40D435CA" w14:textId="77777777" w:rsidTr="004E52D5">
        <w:trPr>
          <w:trHeight w:val="300"/>
          <w:jc w:val="center"/>
        </w:trPr>
        <w:tc>
          <w:tcPr>
            <w:tcW w:w="3912" w:type="dxa"/>
            <w:tcBorders>
              <w:top w:val="nil"/>
              <w:left w:val="single" w:sz="4" w:space="0" w:color="auto"/>
              <w:bottom w:val="nil"/>
              <w:right w:val="single" w:sz="4" w:space="0" w:color="auto"/>
            </w:tcBorders>
            <w:shd w:val="clear" w:color="auto" w:fill="auto"/>
            <w:noWrap/>
            <w:vAlign w:val="bottom"/>
            <w:hideMark/>
          </w:tcPr>
          <w:p w14:paraId="28B724A7" w14:textId="77777777" w:rsidR="004E52D5" w:rsidRPr="004E52D5" w:rsidRDefault="004E52D5" w:rsidP="004E52D5">
            <w:pPr>
              <w:spacing w:after="0" w:line="240" w:lineRule="auto"/>
              <w:rPr>
                <w:rFonts w:ascii="Calibri" w:eastAsia="Times New Roman" w:hAnsi="Calibri" w:cs="Calibri"/>
                <w:color w:val="000000"/>
              </w:rPr>
            </w:pPr>
            <w:r w:rsidRPr="004E52D5">
              <w:rPr>
                <w:rFonts w:ascii="Calibri" w:eastAsia="Times New Roman" w:hAnsi="Calibri" w:cs="Calibri"/>
                <w:color w:val="000000"/>
              </w:rPr>
              <w:t>Stock</w:t>
            </w:r>
          </w:p>
        </w:tc>
        <w:tc>
          <w:tcPr>
            <w:tcW w:w="776" w:type="dxa"/>
            <w:tcBorders>
              <w:top w:val="nil"/>
              <w:left w:val="nil"/>
              <w:bottom w:val="nil"/>
              <w:right w:val="single" w:sz="4" w:space="0" w:color="auto"/>
            </w:tcBorders>
            <w:shd w:val="clear" w:color="auto" w:fill="auto"/>
            <w:noWrap/>
            <w:vAlign w:val="bottom"/>
            <w:hideMark/>
          </w:tcPr>
          <w:p w14:paraId="1505F5DC" w14:textId="77777777" w:rsidR="004E52D5" w:rsidRPr="004E52D5" w:rsidRDefault="004E52D5" w:rsidP="004E52D5">
            <w:pPr>
              <w:spacing w:after="0" w:line="240" w:lineRule="auto"/>
              <w:rPr>
                <w:rFonts w:ascii="Calibri" w:eastAsia="Times New Roman" w:hAnsi="Calibri" w:cs="Calibri"/>
                <w:color w:val="000000"/>
              </w:rPr>
            </w:pPr>
            <w:r w:rsidRPr="004E52D5">
              <w:rPr>
                <w:rFonts w:ascii="Calibri" w:eastAsia="Times New Roman" w:hAnsi="Calibri" w:cs="Calibri"/>
                <w:color w:val="000000"/>
              </w:rPr>
              <w:t> </w:t>
            </w:r>
          </w:p>
        </w:tc>
        <w:tc>
          <w:tcPr>
            <w:tcW w:w="776" w:type="dxa"/>
            <w:tcBorders>
              <w:top w:val="nil"/>
              <w:left w:val="nil"/>
              <w:bottom w:val="nil"/>
              <w:right w:val="single" w:sz="4" w:space="0" w:color="auto"/>
            </w:tcBorders>
            <w:shd w:val="clear" w:color="auto" w:fill="auto"/>
            <w:noWrap/>
            <w:vAlign w:val="bottom"/>
            <w:hideMark/>
          </w:tcPr>
          <w:p w14:paraId="20B5AE93" w14:textId="77777777" w:rsidR="004E52D5" w:rsidRPr="004E52D5" w:rsidRDefault="004E52D5" w:rsidP="004E52D5">
            <w:pPr>
              <w:spacing w:after="0" w:line="240" w:lineRule="auto"/>
              <w:jc w:val="right"/>
              <w:rPr>
                <w:rFonts w:ascii="Calibri" w:eastAsia="Times New Roman" w:hAnsi="Calibri" w:cs="Calibri"/>
                <w:color w:val="000000"/>
              </w:rPr>
            </w:pPr>
            <w:r w:rsidRPr="004E52D5">
              <w:rPr>
                <w:rFonts w:ascii="Calibri" w:eastAsia="Times New Roman" w:hAnsi="Calibri" w:cs="Calibri"/>
                <w:color w:val="000000"/>
              </w:rPr>
              <w:t>25,164</w:t>
            </w:r>
          </w:p>
        </w:tc>
        <w:tc>
          <w:tcPr>
            <w:tcW w:w="776" w:type="dxa"/>
            <w:tcBorders>
              <w:top w:val="nil"/>
              <w:left w:val="nil"/>
              <w:bottom w:val="nil"/>
              <w:right w:val="single" w:sz="4" w:space="0" w:color="auto"/>
            </w:tcBorders>
            <w:shd w:val="clear" w:color="auto" w:fill="auto"/>
            <w:noWrap/>
            <w:vAlign w:val="bottom"/>
            <w:hideMark/>
          </w:tcPr>
          <w:p w14:paraId="74F6F2F9" w14:textId="77777777" w:rsidR="004E52D5" w:rsidRPr="004E52D5" w:rsidRDefault="004E52D5" w:rsidP="004E52D5">
            <w:pPr>
              <w:spacing w:after="0" w:line="240" w:lineRule="auto"/>
              <w:rPr>
                <w:rFonts w:ascii="Calibri" w:eastAsia="Times New Roman" w:hAnsi="Calibri" w:cs="Calibri"/>
                <w:color w:val="000000"/>
              </w:rPr>
            </w:pPr>
            <w:r w:rsidRPr="004E52D5">
              <w:rPr>
                <w:rFonts w:ascii="Calibri" w:eastAsia="Times New Roman" w:hAnsi="Calibri" w:cs="Calibri"/>
                <w:color w:val="000000"/>
              </w:rPr>
              <w:t> </w:t>
            </w:r>
          </w:p>
        </w:tc>
      </w:tr>
      <w:tr w:rsidR="004E52D5" w:rsidRPr="004E52D5" w14:paraId="3015F127" w14:textId="77777777" w:rsidTr="004E52D5">
        <w:trPr>
          <w:trHeight w:val="300"/>
          <w:jc w:val="center"/>
        </w:trPr>
        <w:tc>
          <w:tcPr>
            <w:tcW w:w="3912" w:type="dxa"/>
            <w:tcBorders>
              <w:top w:val="nil"/>
              <w:left w:val="single" w:sz="4" w:space="0" w:color="auto"/>
              <w:bottom w:val="nil"/>
              <w:right w:val="single" w:sz="4" w:space="0" w:color="auto"/>
            </w:tcBorders>
            <w:shd w:val="clear" w:color="auto" w:fill="auto"/>
            <w:noWrap/>
            <w:vAlign w:val="bottom"/>
            <w:hideMark/>
          </w:tcPr>
          <w:p w14:paraId="28205FA0" w14:textId="77777777" w:rsidR="004E52D5" w:rsidRPr="004E52D5" w:rsidRDefault="004E52D5" w:rsidP="004E52D5">
            <w:pPr>
              <w:spacing w:after="0" w:line="240" w:lineRule="auto"/>
              <w:rPr>
                <w:rFonts w:ascii="Calibri" w:eastAsia="Times New Roman" w:hAnsi="Calibri" w:cs="Calibri"/>
                <w:color w:val="000000"/>
              </w:rPr>
            </w:pPr>
            <w:r w:rsidRPr="004E52D5">
              <w:rPr>
                <w:rFonts w:ascii="Calibri" w:eastAsia="Times New Roman" w:hAnsi="Calibri" w:cs="Calibri"/>
                <w:color w:val="000000"/>
              </w:rPr>
              <w:t>Trade Debtors</w:t>
            </w:r>
          </w:p>
        </w:tc>
        <w:tc>
          <w:tcPr>
            <w:tcW w:w="776" w:type="dxa"/>
            <w:tcBorders>
              <w:top w:val="nil"/>
              <w:left w:val="nil"/>
              <w:bottom w:val="nil"/>
              <w:right w:val="single" w:sz="4" w:space="0" w:color="auto"/>
            </w:tcBorders>
            <w:shd w:val="clear" w:color="auto" w:fill="auto"/>
            <w:noWrap/>
            <w:vAlign w:val="bottom"/>
            <w:hideMark/>
          </w:tcPr>
          <w:p w14:paraId="7D013D69" w14:textId="77777777" w:rsidR="004E52D5" w:rsidRPr="004E52D5" w:rsidRDefault="004E52D5" w:rsidP="004E52D5">
            <w:pPr>
              <w:spacing w:after="0" w:line="240" w:lineRule="auto"/>
              <w:jc w:val="right"/>
              <w:rPr>
                <w:rFonts w:ascii="Calibri" w:eastAsia="Times New Roman" w:hAnsi="Calibri" w:cs="Calibri"/>
                <w:color w:val="000000"/>
              </w:rPr>
            </w:pPr>
            <w:r w:rsidRPr="004E52D5">
              <w:rPr>
                <w:rFonts w:ascii="Calibri" w:eastAsia="Times New Roman" w:hAnsi="Calibri" w:cs="Calibri"/>
                <w:color w:val="000000"/>
              </w:rPr>
              <w:t>6,860</w:t>
            </w:r>
          </w:p>
        </w:tc>
        <w:tc>
          <w:tcPr>
            <w:tcW w:w="776" w:type="dxa"/>
            <w:tcBorders>
              <w:top w:val="nil"/>
              <w:left w:val="nil"/>
              <w:bottom w:val="nil"/>
              <w:right w:val="single" w:sz="4" w:space="0" w:color="auto"/>
            </w:tcBorders>
            <w:shd w:val="clear" w:color="auto" w:fill="auto"/>
            <w:noWrap/>
            <w:vAlign w:val="bottom"/>
            <w:hideMark/>
          </w:tcPr>
          <w:p w14:paraId="339DDF81" w14:textId="77777777" w:rsidR="004E52D5" w:rsidRPr="004E52D5" w:rsidRDefault="004E52D5" w:rsidP="004E52D5">
            <w:pPr>
              <w:spacing w:after="0" w:line="240" w:lineRule="auto"/>
              <w:rPr>
                <w:rFonts w:ascii="Calibri" w:eastAsia="Times New Roman" w:hAnsi="Calibri" w:cs="Calibri"/>
                <w:color w:val="000000"/>
              </w:rPr>
            </w:pPr>
            <w:r w:rsidRPr="004E52D5">
              <w:rPr>
                <w:rFonts w:ascii="Calibri" w:eastAsia="Times New Roman" w:hAnsi="Calibri" w:cs="Calibri"/>
                <w:color w:val="000000"/>
              </w:rPr>
              <w:t> </w:t>
            </w:r>
          </w:p>
        </w:tc>
        <w:tc>
          <w:tcPr>
            <w:tcW w:w="776" w:type="dxa"/>
            <w:tcBorders>
              <w:top w:val="nil"/>
              <w:left w:val="nil"/>
              <w:bottom w:val="nil"/>
              <w:right w:val="single" w:sz="4" w:space="0" w:color="auto"/>
            </w:tcBorders>
            <w:shd w:val="clear" w:color="auto" w:fill="auto"/>
            <w:noWrap/>
            <w:vAlign w:val="bottom"/>
            <w:hideMark/>
          </w:tcPr>
          <w:p w14:paraId="4A94232A" w14:textId="77777777" w:rsidR="004E52D5" w:rsidRPr="004E52D5" w:rsidRDefault="004E52D5" w:rsidP="004E52D5">
            <w:pPr>
              <w:spacing w:after="0" w:line="240" w:lineRule="auto"/>
              <w:rPr>
                <w:rFonts w:ascii="Calibri" w:eastAsia="Times New Roman" w:hAnsi="Calibri" w:cs="Calibri"/>
                <w:color w:val="000000"/>
              </w:rPr>
            </w:pPr>
            <w:r w:rsidRPr="004E52D5">
              <w:rPr>
                <w:rFonts w:ascii="Calibri" w:eastAsia="Times New Roman" w:hAnsi="Calibri" w:cs="Calibri"/>
                <w:color w:val="000000"/>
              </w:rPr>
              <w:t> </w:t>
            </w:r>
          </w:p>
        </w:tc>
      </w:tr>
      <w:tr w:rsidR="004E52D5" w:rsidRPr="004E52D5" w14:paraId="597B64BA" w14:textId="77777777" w:rsidTr="004E52D5">
        <w:trPr>
          <w:trHeight w:val="300"/>
          <w:jc w:val="center"/>
        </w:trPr>
        <w:tc>
          <w:tcPr>
            <w:tcW w:w="3912" w:type="dxa"/>
            <w:tcBorders>
              <w:top w:val="nil"/>
              <w:left w:val="single" w:sz="4" w:space="0" w:color="auto"/>
              <w:bottom w:val="nil"/>
              <w:right w:val="single" w:sz="4" w:space="0" w:color="auto"/>
            </w:tcBorders>
            <w:shd w:val="clear" w:color="auto" w:fill="auto"/>
            <w:noWrap/>
            <w:vAlign w:val="bottom"/>
            <w:hideMark/>
          </w:tcPr>
          <w:p w14:paraId="54D1386A" w14:textId="77777777" w:rsidR="004E52D5" w:rsidRPr="004E52D5" w:rsidRDefault="004E52D5" w:rsidP="004E52D5">
            <w:pPr>
              <w:spacing w:after="0" w:line="240" w:lineRule="auto"/>
              <w:rPr>
                <w:rFonts w:ascii="Calibri" w:eastAsia="Times New Roman" w:hAnsi="Calibri" w:cs="Calibri"/>
                <w:color w:val="000000"/>
              </w:rPr>
            </w:pPr>
            <w:r w:rsidRPr="004E52D5">
              <w:rPr>
                <w:rFonts w:ascii="Calibri" w:eastAsia="Times New Roman" w:hAnsi="Calibri" w:cs="Calibri"/>
                <w:color w:val="000000"/>
              </w:rPr>
              <w:t>Less: Bad debt Expense</w:t>
            </w:r>
          </w:p>
        </w:tc>
        <w:tc>
          <w:tcPr>
            <w:tcW w:w="776" w:type="dxa"/>
            <w:tcBorders>
              <w:top w:val="nil"/>
              <w:left w:val="nil"/>
              <w:bottom w:val="nil"/>
              <w:right w:val="single" w:sz="4" w:space="0" w:color="auto"/>
            </w:tcBorders>
            <w:shd w:val="clear" w:color="auto" w:fill="auto"/>
            <w:noWrap/>
            <w:vAlign w:val="bottom"/>
            <w:hideMark/>
          </w:tcPr>
          <w:p w14:paraId="796E0CC7" w14:textId="77777777" w:rsidR="004E52D5" w:rsidRPr="004E52D5" w:rsidRDefault="004E52D5" w:rsidP="004E52D5">
            <w:pPr>
              <w:spacing w:after="0" w:line="240" w:lineRule="auto"/>
              <w:jc w:val="right"/>
              <w:rPr>
                <w:rFonts w:ascii="Calibri" w:eastAsia="Times New Roman" w:hAnsi="Calibri" w:cs="Calibri"/>
                <w:color w:val="000000"/>
                <w:u w:val="single"/>
              </w:rPr>
            </w:pPr>
            <w:r w:rsidRPr="004E52D5">
              <w:rPr>
                <w:rFonts w:ascii="Calibri" w:eastAsia="Times New Roman" w:hAnsi="Calibri" w:cs="Calibri"/>
                <w:color w:val="000000"/>
                <w:u w:val="single"/>
              </w:rPr>
              <w:t>980</w:t>
            </w:r>
          </w:p>
        </w:tc>
        <w:tc>
          <w:tcPr>
            <w:tcW w:w="776" w:type="dxa"/>
            <w:tcBorders>
              <w:top w:val="nil"/>
              <w:left w:val="nil"/>
              <w:bottom w:val="nil"/>
              <w:right w:val="single" w:sz="4" w:space="0" w:color="auto"/>
            </w:tcBorders>
            <w:shd w:val="clear" w:color="auto" w:fill="auto"/>
            <w:noWrap/>
            <w:vAlign w:val="bottom"/>
            <w:hideMark/>
          </w:tcPr>
          <w:p w14:paraId="0DED1912" w14:textId="77777777" w:rsidR="004E52D5" w:rsidRPr="004E52D5" w:rsidRDefault="004E52D5" w:rsidP="004E52D5">
            <w:pPr>
              <w:spacing w:after="0" w:line="240" w:lineRule="auto"/>
              <w:rPr>
                <w:rFonts w:ascii="Calibri" w:eastAsia="Times New Roman" w:hAnsi="Calibri" w:cs="Calibri"/>
                <w:color w:val="000000"/>
              </w:rPr>
            </w:pPr>
            <w:r w:rsidRPr="004E52D5">
              <w:rPr>
                <w:rFonts w:ascii="Calibri" w:eastAsia="Times New Roman" w:hAnsi="Calibri" w:cs="Calibri"/>
                <w:color w:val="000000"/>
              </w:rPr>
              <w:t> </w:t>
            </w:r>
          </w:p>
        </w:tc>
        <w:tc>
          <w:tcPr>
            <w:tcW w:w="776" w:type="dxa"/>
            <w:tcBorders>
              <w:top w:val="nil"/>
              <w:left w:val="nil"/>
              <w:bottom w:val="nil"/>
              <w:right w:val="single" w:sz="4" w:space="0" w:color="auto"/>
            </w:tcBorders>
            <w:shd w:val="clear" w:color="auto" w:fill="auto"/>
            <w:noWrap/>
            <w:vAlign w:val="bottom"/>
            <w:hideMark/>
          </w:tcPr>
          <w:p w14:paraId="5BE774DF" w14:textId="77777777" w:rsidR="004E52D5" w:rsidRPr="004E52D5" w:rsidRDefault="004E52D5" w:rsidP="004E52D5">
            <w:pPr>
              <w:spacing w:after="0" w:line="240" w:lineRule="auto"/>
              <w:rPr>
                <w:rFonts w:ascii="Calibri" w:eastAsia="Times New Roman" w:hAnsi="Calibri" w:cs="Calibri"/>
                <w:color w:val="000000"/>
              </w:rPr>
            </w:pPr>
            <w:r w:rsidRPr="004E52D5">
              <w:rPr>
                <w:rFonts w:ascii="Calibri" w:eastAsia="Times New Roman" w:hAnsi="Calibri" w:cs="Calibri"/>
                <w:color w:val="000000"/>
              </w:rPr>
              <w:t> </w:t>
            </w:r>
          </w:p>
        </w:tc>
      </w:tr>
      <w:tr w:rsidR="004E52D5" w:rsidRPr="004E52D5" w14:paraId="425F72B3" w14:textId="77777777" w:rsidTr="004E52D5">
        <w:trPr>
          <w:trHeight w:val="300"/>
          <w:jc w:val="center"/>
        </w:trPr>
        <w:tc>
          <w:tcPr>
            <w:tcW w:w="3912" w:type="dxa"/>
            <w:tcBorders>
              <w:top w:val="nil"/>
              <w:left w:val="single" w:sz="4" w:space="0" w:color="auto"/>
              <w:bottom w:val="nil"/>
              <w:right w:val="single" w:sz="4" w:space="0" w:color="auto"/>
            </w:tcBorders>
            <w:shd w:val="clear" w:color="auto" w:fill="auto"/>
            <w:noWrap/>
            <w:vAlign w:val="bottom"/>
            <w:hideMark/>
          </w:tcPr>
          <w:p w14:paraId="6DD42BFA" w14:textId="77777777" w:rsidR="004E52D5" w:rsidRPr="004E52D5" w:rsidRDefault="004E52D5" w:rsidP="004E52D5">
            <w:pPr>
              <w:spacing w:after="0" w:line="240" w:lineRule="auto"/>
              <w:rPr>
                <w:rFonts w:ascii="Calibri" w:eastAsia="Times New Roman" w:hAnsi="Calibri" w:cs="Calibri"/>
                <w:color w:val="000000"/>
              </w:rPr>
            </w:pPr>
            <w:r w:rsidRPr="004E52D5">
              <w:rPr>
                <w:rFonts w:ascii="Calibri" w:eastAsia="Times New Roman" w:hAnsi="Calibri" w:cs="Calibri"/>
                <w:color w:val="000000"/>
              </w:rPr>
              <w:t> </w:t>
            </w:r>
          </w:p>
        </w:tc>
        <w:tc>
          <w:tcPr>
            <w:tcW w:w="776" w:type="dxa"/>
            <w:tcBorders>
              <w:top w:val="nil"/>
              <w:left w:val="nil"/>
              <w:bottom w:val="nil"/>
              <w:right w:val="single" w:sz="4" w:space="0" w:color="auto"/>
            </w:tcBorders>
            <w:shd w:val="clear" w:color="auto" w:fill="auto"/>
            <w:noWrap/>
            <w:vAlign w:val="bottom"/>
            <w:hideMark/>
          </w:tcPr>
          <w:p w14:paraId="7FA8120C" w14:textId="77777777" w:rsidR="004E52D5" w:rsidRPr="004E52D5" w:rsidRDefault="004E52D5" w:rsidP="004E52D5">
            <w:pPr>
              <w:spacing w:after="0" w:line="240" w:lineRule="auto"/>
              <w:rPr>
                <w:rFonts w:ascii="Calibri" w:eastAsia="Times New Roman" w:hAnsi="Calibri" w:cs="Calibri"/>
                <w:color w:val="000000"/>
              </w:rPr>
            </w:pPr>
            <w:r w:rsidRPr="004E52D5">
              <w:rPr>
                <w:rFonts w:ascii="Calibri" w:eastAsia="Times New Roman" w:hAnsi="Calibri" w:cs="Calibri"/>
                <w:color w:val="000000"/>
              </w:rPr>
              <w:t> </w:t>
            </w:r>
          </w:p>
        </w:tc>
        <w:tc>
          <w:tcPr>
            <w:tcW w:w="776" w:type="dxa"/>
            <w:tcBorders>
              <w:top w:val="nil"/>
              <w:left w:val="nil"/>
              <w:bottom w:val="nil"/>
              <w:right w:val="single" w:sz="4" w:space="0" w:color="auto"/>
            </w:tcBorders>
            <w:shd w:val="clear" w:color="auto" w:fill="auto"/>
            <w:noWrap/>
            <w:vAlign w:val="bottom"/>
            <w:hideMark/>
          </w:tcPr>
          <w:p w14:paraId="6DC95CDA" w14:textId="77777777" w:rsidR="004E52D5" w:rsidRPr="004E52D5" w:rsidRDefault="004E52D5" w:rsidP="004E52D5">
            <w:pPr>
              <w:spacing w:after="0" w:line="240" w:lineRule="auto"/>
              <w:jc w:val="right"/>
              <w:rPr>
                <w:rFonts w:ascii="Calibri" w:eastAsia="Times New Roman" w:hAnsi="Calibri" w:cs="Calibri"/>
                <w:color w:val="000000"/>
              </w:rPr>
            </w:pPr>
            <w:r w:rsidRPr="004E52D5">
              <w:rPr>
                <w:rFonts w:ascii="Calibri" w:eastAsia="Times New Roman" w:hAnsi="Calibri" w:cs="Calibri"/>
                <w:color w:val="000000"/>
              </w:rPr>
              <w:t>5,880</w:t>
            </w:r>
          </w:p>
        </w:tc>
        <w:tc>
          <w:tcPr>
            <w:tcW w:w="776" w:type="dxa"/>
            <w:tcBorders>
              <w:top w:val="nil"/>
              <w:left w:val="nil"/>
              <w:bottom w:val="nil"/>
              <w:right w:val="single" w:sz="4" w:space="0" w:color="auto"/>
            </w:tcBorders>
            <w:shd w:val="clear" w:color="auto" w:fill="auto"/>
            <w:noWrap/>
            <w:vAlign w:val="bottom"/>
            <w:hideMark/>
          </w:tcPr>
          <w:p w14:paraId="60FC1932" w14:textId="77777777" w:rsidR="004E52D5" w:rsidRPr="004E52D5" w:rsidRDefault="004E52D5" w:rsidP="004E52D5">
            <w:pPr>
              <w:spacing w:after="0" w:line="240" w:lineRule="auto"/>
              <w:rPr>
                <w:rFonts w:ascii="Calibri" w:eastAsia="Times New Roman" w:hAnsi="Calibri" w:cs="Calibri"/>
                <w:color w:val="000000"/>
              </w:rPr>
            </w:pPr>
            <w:r w:rsidRPr="004E52D5">
              <w:rPr>
                <w:rFonts w:ascii="Calibri" w:eastAsia="Times New Roman" w:hAnsi="Calibri" w:cs="Calibri"/>
                <w:color w:val="000000"/>
              </w:rPr>
              <w:t> </w:t>
            </w:r>
          </w:p>
        </w:tc>
      </w:tr>
      <w:tr w:rsidR="004E52D5" w:rsidRPr="004E52D5" w14:paraId="39CA77D2" w14:textId="77777777" w:rsidTr="004E52D5">
        <w:trPr>
          <w:trHeight w:val="300"/>
          <w:jc w:val="center"/>
        </w:trPr>
        <w:tc>
          <w:tcPr>
            <w:tcW w:w="3912" w:type="dxa"/>
            <w:tcBorders>
              <w:top w:val="nil"/>
              <w:left w:val="single" w:sz="4" w:space="0" w:color="auto"/>
              <w:bottom w:val="nil"/>
              <w:right w:val="single" w:sz="4" w:space="0" w:color="auto"/>
            </w:tcBorders>
            <w:shd w:val="clear" w:color="auto" w:fill="auto"/>
            <w:noWrap/>
            <w:vAlign w:val="bottom"/>
            <w:hideMark/>
          </w:tcPr>
          <w:p w14:paraId="62C00734" w14:textId="77777777" w:rsidR="004E52D5" w:rsidRPr="004E52D5" w:rsidRDefault="004E52D5" w:rsidP="004E52D5">
            <w:pPr>
              <w:spacing w:after="0" w:line="240" w:lineRule="auto"/>
              <w:rPr>
                <w:rFonts w:ascii="Calibri" w:eastAsia="Times New Roman" w:hAnsi="Calibri" w:cs="Calibri"/>
                <w:color w:val="000000"/>
              </w:rPr>
            </w:pPr>
            <w:r w:rsidRPr="004E52D5">
              <w:rPr>
                <w:rFonts w:ascii="Calibri" w:eastAsia="Times New Roman" w:hAnsi="Calibri" w:cs="Calibri"/>
                <w:color w:val="000000"/>
              </w:rPr>
              <w:t>Cash at bank</w:t>
            </w:r>
          </w:p>
        </w:tc>
        <w:tc>
          <w:tcPr>
            <w:tcW w:w="776" w:type="dxa"/>
            <w:tcBorders>
              <w:top w:val="nil"/>
              <w:left w:val="nil"/>
              <w:bottom w:val="nil"/>
              <w:right w:val="single" w:sz="4" w:space="0" w:color="auto"/>
            </w:tcBorders>
            <w:shd w:val="clear" w:color="auto" w:fill="auto"/>
            <w:noWrap/>
            <w:vAlign w:val="bottom"/>
            <w:hideMark/>
          </w:tcPr>
          <w:p w14:paraId="7BE14F59" w14:textId="77777777" w:rsidR="004E52D5" w:rsidRPr="004E52D5" w:rsidRDefault="004E52D5" w:rsidP="004E52D5">
            <w:pPr>
              <w:spacing w:after="0" w:line="240" w:lineRule="auto"/>
              <w:rPr>
                <w:rFonts w:ascii="Calibri" w:eastAsia="Times New Roman" w:hAnsi="Calibri" w:cs="Calibri"/>
                <w:color w:val="000000"/>
              </w:rPr>
            </w:pPr>
            <w:r w:rsidRPr="004E52D5">
              <w:rPr>
                <w:rFonts w:ascii="Calibri" w:eastAsia="Times New Roman" w:hAnsi="Calibri" w:cs="Calibri"/>
                <w:color w:val="000000"/>
              </w:rPr>
              <w:t> </w:t>
            </w:r>
          </w:p>
        </w:tc>
        <w:tc>
          <w:tcPr>
            <w:tcW w:w="776" w:type="dxa"/>
            <w:tcBorders>
              <w:top w:val="nil"/>
              <w:left w:val="nil"/>
              <w:bottom w:val="nil"/>
              <w:right w:val="single" w:sz="4" w:space="0" w:color="auto"/>
            </w:tcBorders>
            <w:shd w:val="clear" w:color="auto" w:fill="auto"/>
            <w:noWrap/>
            <w:vAlign w:val="bottom"/>
            <w:hideMark/>
          </w:tcPr>
          <w:p w14:paraId="0DADF409" w14:textId="77777777" w:rsidR="004E52D5" w:rsidRPr="004E52D5" w:rsidRDefault="004E52D5" w:rsidP="004E52D5">
            <w:pPr>
              <w:spacing w:after="0" w:line="240" w:lineRule="auto"/>
              <w:jc w:val="right"/>
              <w:rPr>
                <w:rFonts w:ascii="Calibri" w:eastAsia="Times New Roman" w:hAnsi="Calibri" w:cs="Calibri"/>
                <w:color w:val="000000"/>
                <w:u w:val="single"/>
              </w:rPr>
            </w:pPr>
            <w:r w:rsidRPr="004E52D5">
              <w:rPr>
                <w:rFonts w:ascii="Calibri" w:eastAsia="Times New Roman" w:hAnsi="Calibri" w:cs="Calibri"/>
                <w:color w:val="000000"/>
                <w:u w:val="single"/>
              </w:rPr>
              <w:t>82</w:t>
            </w:r>
          </w:p>
        </w:tc>
        <w:tc>
          <w:tcPr>
            <w:tcW w:w="776" w:type="dxa"/>
            <w:tcBorders>
              <w:top w:val="nil"/>
              <w:left w:val="nil"/>
              <w:bottom w:val="nil"/>
              <w:right w:val="single" w:sz="4" w:space="0" w:color="auto"/>
            </w:tcBorders>
            <w:shd w:val="clear" w:color="auto" w:fill="auto"/>
            <w:noWrap/>
            <w:vAlign w:val="bottom"/>
            <w:hideMark/>
          </w:tcPr>
          <w:p w14:paraId="6577A38E" w14:textId="77777777" w:rsidR="004E52D5" w:rsidRPr="004E52D5" w:rsidRDefault="004E52D5" w:rsidP="004E52D5">
            <w:pPr>
              <w:spacing w:after="0" w:line="240" w:lineRule="auto"/>
              <w:rPr>
                <w:rFonts w:ascii="Calibri" w:eastAsia="Times New Roman" w:hAnsi="Calibri" w:cs="Calibri"/>
                <w:color w:val="000000"/>
              </w:rPr>
            </w:pPr>
            <w:r w:rsidRPr="004E52D5">
              <w:rPr>
                <w:rFonts w:ascii="Calibri" w:eastAsia="Times New Roman" w:hAnsi="Calibri" w:cs="Calibri"/>
                <w:color w:val="000000"/>
              </w:rPr>
              <w:t> </w:t>
            </w:r>
          </w:p>
        </w:tc>
      </w:tr>
      <w:tr w:rsidR="004E52D5" w:rsidRPr="004E52D5" w14:paraId="3D155FDD" w14:textId="77777777" w:rsidTr="004E52D5">
        <w:trPr>
          <w:trHeight w:val="300"/>
          <w:jc w:val="center"/>
        </w:trPr>
        <w:tc>
          <w:tcPr>
            <w:tcW w:w="3912" w:type="dxa"/>
            <w:tcBorders>
              <w:top w:val="nil"/>
              <w:left w:val="single" w:sz="4" w:space="0" w:color="auto"/>
              <w:bottom w:val="nil"/>
              <w:right w:val="single" w:sz="4" w:space="0" w:color="auto"/>
            </w:tcBorders>
            <w:shd w:val="clear" w:color="auto" w:fill="auto"/>
            <w:noWrap/>
            <w:vAlign w:val="bottom"/>
            <w:hideMark/>
          </w:tcPr>
          <w:p w14:paraId="27638915" w14:textId="77777777" w:rsidR="004E52D5" w:rsidRPr="004E52D5" w:rsidRDefault="004E52D5" w:rsidP="004E52D5">
            <w:pPr>
              <w:spacing w:after="0" w:line="240" w:lineRule="auto"/>
              <w:jc w:val="right"/>
              <w:rPr>
                <w:rFonts w:ascii="Calibri" w:eastAsia="Times New Roman" w:hAnsi="Calibri" w:cs="Calibri"/>
                <w:b/>
                <w:bCs/>
                <w:color w:val="000000"/>
              </w:rPr>
            </w:pPr>
            <w:r w:rsidRPr="004E52D5">
              <w:rPr>
                <w:rFonts w:ascii="Calibri" w:eastAsia="Times New Roman" w:hAnsi="Calibri" w:cs="Calibri"/>
                <w:b/>
                <w:bCs/>
                <w:color w:val="000000"/>
              </w:rPr>
              <w:t>Total Assets</w:t>
            </w:r>
          </w:p>
        </w:tc>
        <w:tc>
          <w:tcPr>
            <w:tcW w:w="776" w:type="dxa"/>
            <w:tcBorders>
              <w:top w:val="nil"/>
              <w:left w:val="nil"/>
              <w:bottom w:val="nil"/>
              <w:right w:val="single" w:sz="4" w:space="0" w:color="auto"/>
            </w:tcBorders>
            <w:shd w:val="clear" w:color="auto" w:fill="auto"/>
            <w:noWrap/>
            <w:vAlign w:val="bottom"/>
            <w:hideMark/>
          </w:tcPr>
          <w:p w14:paraId="308EC3A5" w14:textId="77777777" w:rsidR="004E52D5" w:rsidRPr="004E52D5" w:rsidRDefault="004E52D5" w:rsidP="004E52D5">
            <w:pPr>
              <w:spacing w:after="0" w:line="240" w:lineRule="auto"/>
              <w:rPr>
                <w:rFonts w:ascii="Calibri" w:eastAsia="Times New Roman" w:hAnsi="Calibri" w:cs="Calibri"/>
                <w:color w:val="000000"/>
              </w:rPr>
            </w:pPr>
            <w:r w:rsidRPr="004E52D5">
              <w:rPr>
                <w:rFonts w:ascii="Calibri" w:eastAsia="Times New Roman" w:hAnsi="Calibri" w:cs="Calibri"/>
                <w:color w:val="000000"/>
              </w:rPr>
              <w:t> </w:t>
            </w:r>
          </w:p>
        </w:tc>
        <w:tc>
          <w:tcPr>
            <w:tcW w:w="776" w:type="dxa"/>
            <w:tcBorders>
              <w:top w:val="nil"/>
              <w:left w:val="nil"/>
              <w:bottom w:val="nil"/>
              <w:right w:val="single" w:sz="4" w:space="0" w:color="auto"/>
            </w:tcBorders>
            <w:shd w:val="clear" w:color="auto" w:fill="auto"/>
            <w:noWrap/>
            <w:vAlign w:val="bottom"/>
            <w:hideMark/>
          </w:tcPr>
          <w:p w14:paraId="6FF462B0" w14:textId="77777777" w:rsidR="004E52D5" w:rsidRPr="004E52D5" w:rsidRDefault="004E52D5" w:rsidP="004E52D5">
            <w:pPr>
              <w:spacing w:after="0" w:line="240" w:lineRule="auto"/>
              <w:rPr>
                <w:rFonts w:ascii="Calibri" w:eastAsia="Times New Roman" w:hAnsi="Calibri" w:cs="Calibri"/>
                <w:color w:val="000000"/>
              </w:rPr>
            </w:pPr>
            <w:r w:rsidRPr="004E52D5">
              <w:rPr>
                <w:rFonts w:ascii="Calibri" w:eastAsia="Times New Roman" w:hAnsi="Calibri" w:cs="Calibri"/>
                <w:color w:val="000000"/>
              </w:rPr>
              <w:t> </w:t>
            </w:r>
          </w:p>
        </w:tc>
        <w:tc>
          <w:tcPr>
            <w:tcW w:w="776" w:type="dxa"/>
            <w:tcBorders>
              <w:top w:val="nil"/>
              <w:left w:val="nil"/>
              <w:bottom w:val="nil"/>
              <w:right w:val="single" w:sz="4" w:space="0" w:color="auto"/>
            </w:tcBorders>
            <w:shd w:val="clear" w:color="auto" w:fill="auto"/>
            <w:noWrap/>
            <w:vAlign w:val="bottom"/>
            <w:hideMark/>
          </w:tcPr>
          <w:p w14:paraId="0D7ADA4C" w14:textId="77777777" w:rsidR="004E52D5" w:rsidRPr="004E52D5" w:rsidRDefault="004E52D5" w:rsidP="004E52D5">
            <w:pPr>
              <w:spacing w:after="0" w:line="240" w:lineRule="auto"/>
              <w:jc w:val="right"/>
              <w:rPr>
                <w:rFonts w:ascii="Calibri" w:eastAsia="Times New Roman" w:hAnsi="Calibri" w:cs="Calibri"/>
                <w:color w:val="000000"/>
                <w:u w:val="double"/>
              </w:rPr>
            </w:pPr>
            <w:r w:rsidRPr="004E52D5">
              <w:rPr>
                <w:rFonts w:ascii="Calibri" w:eastAsia="Times New Roman" w:hAnsi="Calibri" w:cs="Calibri"/>
                <w:color w:val="000000"/>
                <w:u w:val="double"/>
              </w:rPr>
              <w:t>50,928</w:t>
            </w:r>
          </w:p>
        </w:tc>
      </w:tr>
      <w:tr w:rsidR="004E52D5" w:rsidRPr="004E52D5" w14:paraId="366983B1" w14:textId="77777777" w:rsidTr="004E52D5">
        <w:trPr>
          <w:trHeight w:val="300"/>
          <w:jc w:val="center"/>
        </w:trPr>
        <w:tc>
          <w:tcPr>
            <w:tcW w:w="3912" w:type="dxa"/>
            <w:tcBorders>
              <w:top w:val="nil"/>
              <w:left w:val="single" w:sz="4" w:space="0" w:color="auto"/>
              <w:bottom w:val="nil"/>
              <w:right w:val="single" w:sz="4" w:space="0" w:color="auto"/>
            </w:tcBorders>
            <w:shd w:val="clear" w:color="auto" w:fill="auto"/>
            <w:noWrap/>
            <w:vAlign w:val="bottom"/>
            <w:hideMark/>
          </w:tcPr>
          <w:p w14:paraId="780B7B59" w14:textId="77777777" w:rsidR="004E52D5" w:rsidRPr="004E52D5" w:rsidRDefault="004E52D5" w:rsidP="004E52D5">
            <w:pPr>
              <w:spacing w:after="0" w:line="240" w:lineRule="auto"/>
              <w:rPr>
                <w:rFonts w:ascii="Calibri" w:eastAsia="Times New Roman" w:hAnsi="Calibri" w:cs="Calibri"/>
                <w:b/>
                <w:bCs/>
                <w:color w:val="000000"/>
              </w:rPr>
            </w:pPr>
            <w:r w:rsidRPr="004E52D5">
              <w:rPr>
                <w:rFonts w:ascii="Calibri" w:eastAsia="Times New Roman" w:hAnsi="Calibri" w:cs="Calibri"/>
                <w:b/>
                <w:bCs/>
                <w:color w:val="000000"/>
              </w:rPr>
              <w:t>Liabilities and Owner's Equity</w:t>
            </w:r>
          </w:p>
        </w:tc>
        <w:tc>
          <w:tcPr>
            <w:tcW w:w="776" w:type="dxa"/>
            <w:tcBorders>
              <w:top w:val="nil"/>
              <w:left w:val="nil"/>
              <w:bottom w:val="nil"/>
              <w:right w:val="single" w:sz="4" w:space="0" w:color="auto"/>
            </w:tcBorders>
            <w:shd w:val="clear" w:color="auto" w:fill="auto"/>
            <w:noWrap/>
            <w:vAlign w:val="bottom"/>
            <w:hideMark/>
          </w:tcPr>
          <w:p w14:paraId="6B87EBE8" w14:textId="77777777" w:rsidR="004E52D5" w:rsidRPr="004E52D5" w:rsidRDefault="004E52D5" w:rsidP="004E52D5">
            <w:pPr>
              <w:spacing w:after="0" w:line="240" w:lineRule="auto"/>
              <w:rPr>
                <w:rFonts w:ascii="Calibri" w:eastAsia="Times New Roman" w:hAnsi="Calibri" w:cs="Calibri"/>
                <w:color w:val="000000"/>
                <w:u w:val="single"/>
              </w:rPr>
            </w:pPr>
            <w:r w:rsidRPr="004E52D5">
              <w:rPr>
                <w:rFonts w:ascii="Calibri" w:eastAsia="Times New Roman" w:hAnsi="Calibri" w:cs="Calibri"/>
                <w:color w:val="000000"/>
                <w:u w:val="single"/>
              </w:rPr>
              <w:t> </w:t>
            </w:r>
          </w:p>
        </w:tc>
        <w:tc>
          <w:tcPr>
            <w:tcW w:w="776" w:type="dxa"/>
            <w:tcBorders>
              <w:top w:val="nil"/>
              <w:left w:val="nil"/>
              <w:bottom w:val="nil"/>
              <w:right w:val="single" w:sz="4" w:space="0" w:color="auto"/>
            </w:tcBorders>
            <w:shd w:val="clear" w:color="auto" w:fill="auto"/>
            <w:noWrap/>
            <w:vAlign w:val="bottom"/>
            <w:hideMark/>
          </w:tcPr>
          <w:p w14:paraId="587216BF" w14:textId="77777777" w:rsidR="004E52D5" w:rsidRPr="004E52D5" w:rsidRDefault="004E52D5" w:rsidP="004E52D5">
            <w:pPr>
              <w:spacing w:after="0" w:line="240" w:lineRule="auto"/>
              <w:rPr>
                <w:rFonts w:ascii="Calibri" w:eastAsia="Times New Roman" w:hAnsi="Calibri" w:cs="Calibri"/>
                <w:color w:val="000000"/>
              </w:rPr>
            </w:pPr>
            <w:r w:rsidRPr="004E52D5">
              <w:rPr>
                <w:rFonts w:ascii="Calibri" w:eastAsia="Times New Roman" w:hAnsi="Calibri" w:cs="Calibri"/>
                <w:color w:val="000000"/>
              </w:rPr>
              <w:t> </w:t>
            </w:r>
          </w:p>
        </w:tc>
        <w:tc>
          <w:tcPr>
            <w:tcW w:w="776" w:type="dxa"/>
            <w:tcBorders>
              <w:top w:val="nil"/>
              <w:left w:val="nil"/>
              <w:bottom w:val="nil"/>
              <w:right w:val="single" w:sz="4" w:space="0" w:color="auto"/>
            </w:tcBorders>
            <w:shd w:val="clear" w:color="auto" w:fill="auto"/>
            <w:noWrap/>
            <w:vAlign w:val="bottom"/>
            <w:hideMark/>
          </w:tcPr>
          <w:p w14:paraId="2BDF73C8" w14:textId="77777777" w:rsidR="004E52D5" w:rsidRPr="004E52D5" w:rsidRDefault="004E52D5" w:rsidP="004E52D5">
            <w:pPr>
              <w:spacing w:after="0" w:line="240" w:lineRule="auto"/>
              <w:rPr>
                <w:rFonts w:ascii="Calibri" w:eastAsia="Times New Roman" w:hAnsi="Calibri" w:cs="Calibri"/>
                <w:color w:val="000000"/>
              </w:rPr>
            </w:pPr>
            <w:r w:rsidRPr="004E52D5">
              <w:rPr>
                <w:rFonts w:ascii="Calibri" w:eastAsia="Times New Roman" w:hAnsi="Calibri" w:cs="Calibri"/>
                <w:color w:val="000000"/>
              </w:rPr>
              <w:t> </w:t>
            </w:r>
          </w:p>
        </w:tc>
      </w:tr>
      <w:tr w:rsidR="004E52D5" w:rsidRPr="004E52D5" w14:paraId="10EC45CF" w14:textId="77777777" w:rsidTr="004E52D5">
        <w:trPr>
          <w:trHeight w:val="300"/>
          <w:jc w:val="center"/>
        </w:trPr>
        <w:tc>
          <w:tcPr>
            <w:tcW w:w="3912" w:type="dxa"/>
            <w:tcBorders>
              <w:top w:val="nil"/>
              <w:left w:val="single" w:sz="4" w:space="0" w:color="auto"/>
              <w:bottom w:val="nil"/>
              <w:right w:val="single" w:sz="4" w:space="0" w:color="auto"/>
            </w:tcBorders>
            <w:shd w:val="clear" w:color="auto" w:fill="auto"/>
            <w:noWrap/>
            <w:vAlign w:val="bottom"/>
            <w:hideMark/>
          </w:tcPr>
          <w:p w14:paraId="08EDF472" w14:textId="77777777" w:rsidR="004E52D5" w:rsidRPr="004E52D5" w:rsidRDefault="004E52D5" w:rsidP="004E52D5">
            <w:pPr>
              <w:spacing w:after="0" w:line="240" w:lineRule="auto"/>
              <w:rPr>
                <w:rFonts w:ascii="Calibri" w:eastAsia="Times New Roman" w:hAnsi="Calibri" w:cs="Calibri"/>
                <w:color w:val="000000"/>
              </w:rPr>
            </w:pPr>
            <w:r w:rsidRPr="004E52D5">
              <w:rPr>
                <w:rFonts w:ascii="Calibri" w:eastAsia="Times New Roman" w:hAnsi="Calibri" w:cs="Calibri"/>
                <w:color w:val="000000"/>
              </w:rPr>
              <w:t>Owner's Capital</w:t>
            </w:r>
          </w:p>
        </w:tc>
        <w:tc>
          <w:tcPr>
            <w:tcW w:w="776" w:type="dxa"/>
            <w:tcBorders>
              <w:top w:val="nil"/>
              <w:left w:val="nil"/>
              <w:bottom w:val="nil"/>
              <w:right w:val="single" w:sz="4" w:space="0" w:color="auto"/>
            </w:tcBorders>
            <w:shd w:val="clear" w:color="auto" w:fill="auto"/>
            <w:noWrap/>
            <w:vAlign w:val="bottom"/>
            <w:hideMark/>
          </w:tcPr>
          <w:p w14:paraId="2BC77668" w14:textId="77777777" w:rsidR="004E52D5" w:rsidRPr="004E52D5" w:rsidRDefault="004E52D5" w:rsidP="004E52D5">
            <w:pPr>
              <w:spacing w:after="0" w:line="240" w:lineRule="auto"/>
              <w:rPr>
                <w:rFonts w:ascii="Calibri" w:eastAsia="Times New Roman" w:hAnsi="Calibri" w:cs="Calibri"/>
                <w:color w:val="000000"/>
              </w:rPr>
            </w:pPr>
            <w:r w:rsidRPr="004E52D5">
              <w:rPr>
                <w:rFonts w:ascii="Calibri" w:eastAsia="Times New Roman" w:hAnsi="Calibri" w:cs="Calibri"/>
                <w:color w:val="000000"/>
              </w:rPr>
              <w:t> </w:t>
            </w:r>
          </w:p>
        </w:tc>
        <w:tc>
          <w:tcPr>
            <w:tcW w:w="776" w:type="dxa"/>
            <w:tcBorders>
              <w:top w:val="nil"/>
              <w:left w:val="nil"/>
              <w:bottom w:val="nil"/>
              <w:right w:val="single" w:sz="4" w:space="0" w:color="auto"/>
            </w:tcBorders>
            <w:shd w:val="clear" w:color="auto" w:fill="auto"/>
            <w:noWrap/>
            <w:vAlign w:val="bottom"/>
            <w:hideMark/>
          </w:tcPr>
          <w:p w14:paraId="1E164814" w14:textId="77777777" w:rsidR="004E52D5" w:rsidRPr="004E52D5" w:rsidRDefault="004E52D5" w:rsidP="004E52D5">
            <w:pPr>
              <w:spacing w:after="0" w:line="240" w:lineRule="auto"/>
              <w:jc w:val="right"/>
              <w:rPr>
                <w:rFonts w:ascii="Calibri" w:eastAsia="Times New Roman" w:hAnsi="Calibri" w:cs="Calibri"/>
                <w:color w:val="000000"/>
              </w:rPr>
            </w:pPr>
            <w:r w:rsidRPr="004E52D5">
              <w:rPr>
                <w:rFonts w:ascii="Calibri" w:eastAsia="Times New Roman" w:hAnsi="Calibri" w:cs="Calibri"/>
                <w:color w:val="000000"/>
              </w:rPr>
              <w:t>4,993</w:t>
            </w:r>
          </w:p>
        </w:tc>
        <w:tc>
          <w:tcPr>
            <w:tcW w:w="776" w:type="dxa"/>
            <w:tcBorders>
              <w:top w:val="nil"/>
              <w:left w:val="nil"/>
              <w:bottom w:val="nil"/>
              <w:right w:val="single" w:sz="4" w:space="0" w:color="auto"/>
            </w:tcBorders>
            <w:shd w:val="clear" w:color="auto" w:fill="auto"/>
            <w:noWrap/>
            <w:vAlign w:val="bottom"/>
            <w:hideMark/>
          </w:tcPr>
          <w:p w14:paraId="57D7E801" w14:textId="77777777" w:rsidR="004E52D5" w:rsidRPr="004E52D5" w:rsidRDefault="004E52D5" w:rsidP="004E52D5">
            <w:pPr>
              <w:spacing w:after="0" w:line="240" w:lineRule="auto"/>
              <w:rPr>
                <w:rFonts w:ascii="Calibri" w:eastAsia="Times New Roman" w:hAnsi="Calibri" w:cs="Calibri"/>
                <w:color w:val="000000"/>
              </w:rPr>
            </w:pPr>
            <w:r w:rsidRPr="004E52D5">
              <w:rPr>
                <w:rFonts w:ascii="Calibri" w:eastAsia="Times New Roman" w:hAnsi="Calibri" w:cs="Calibri"/>
                <w:color w:val="000000"/>
              </w:rPr>
              <w:t> </w:t>
            </w:r>
          </w:p>
        </w:tc>
      </w:tr>
      <w:tr w:rsidR="004E52D5" w:rsidRPr="004E52D5" w14:paraId="47B0A024" w14:textId="77777777" w:rsidTr="004E52D5">
        <w:trPr>
          <w:trHeight w:val="300"/>
          <w:jc w:val="center"/>
        </w:trPr>
        <w:tc>
          <w:tcPr>
            <w:tcW w:w="3912" w:type="dxa"/>
            <w:tcBorders>
              <w:top w:val="nil"/>
              <w:left w:val="single" w:sz="4" w:space="0" w:color="auto"/>
              <w:bottom w:val="nil"/>
              <w:right w:val="single" w:sz="4" w:space="0" w:color="auto"/>
            </w:tcBorders>
            <w:shd w:val="clear" w:color="auto" w:fill="auto"/>
            <w:noWrap/>
            <w:vAlign w:val="bottom"/>
            <w:hideMark/>
          </w:tcPr>
          <w:p w14:paraId="533EC8B3" w14:textId="77777777" w:rsidR="004E52D5" w:rsidRPr="004E52D5" w:rsidRDefault="004E52D5" w:rsidP="004E52D5">
            <w:pPr>
              <w:spacing w:after="0" w:line="240" w:lineRule="auto"/>
              <w:rPr>
                <w:rFonts w:ascii="Calibri" w:eastAsia="Times New Roman" w:hAnsi="Calibri" w:cs="Calibri"/>
                <w:color w:val="000000"/>
              </w:rPr>
            </w:pPr>
            <w:r w:rsidRPr="004E52D5">
              <w:rPr>
                <w:rFonts w:ascii="Calibri" w:eastAsia="Times New Roman" w:hAnsi="Calibri" w:cs="Calibri"/>
                <w:color w:val="000000"/>
              </w:rPr>
              <w:t>Add: Net Profit</w:t>
            </w:r>
          </w:p>
        </w:tc>
        <w:tc>
          <w:tcPr>
            <w:tcW w:w="776" w:type="dxa"/>
            <w:tcBorders>
              <w:top w:val="nil"/>
              <w:left w:val="nil"/>
              <w:bottom w:val="nil"/>
              <w:right w:val="single" w:sz="4" w:space="0" w:color="auto"/>
            </w:tcBorders>
            <w:shd w:val="clear" w:color="auto" w:fill="auto"/>
            <w:noWrap/>
            <w:vAlign w:val="bottom"/>
            <w:hideMark/>
          </w:tcPr>
          <w:p w14:paraId="2AA66534" w14:textId="77777777" w:rsidR="004E52D5" w:rsidRPr="004E52D5" w:rsidRDefault="004E52D5" w:rsidP="004E52D5">
            <w:pPr>
              <w:spacing w:after="0" w:line="240" w:lineRule="auto"/>
              <w:rPr>
                <w:rFonts w:ascii="Calibri" w:eastAsia="Times New Roman" w:hAnsi="Calibri" w:cs="Calibri"/>
                <w:color w:val="000000"/>
              </w:rPr>
            </w:pPr>
            <w:r w:rsidRPr="004E52D5">
              <w:rPr>
                <w:rFonts w:ascii="Calibri" w:eastAsia="Times New Roman" w:hAnsi="Calibri" w:cs="Calibri"/>
                <w:color w:val="000000"/>
              </w:rPr>
              <w:t> </w:t>
            </w:r>
          </w:p>
        </w:tc>
        <w:tc>
          <w:tcPr>
            <w:tcW w:w="776" w:type="dxa"/>
            <w:tcBorders>
              <w:top w:val="nil"/>
              <w:left w:val="nil"/>
              <w:bottom w:val="nil"/>
              <w:right w:val="single" w:sz="4" w:space="0" w:color="auto"/>
            </w:tcBorders>
            <w:shd w:val="clear" w:color="auto" w:fill="auto"/>
            <w:noWrap/>
            <w:vAlign w:val="bottom"/>
            <w:hideMark/>
          </w:tcPr>
          <w:p w14:paraId="4C853E20" w14:textId="77777777" w:rsidR="004E52D5" w:rsidRPr="004E52D5" w:rsidRDefault="004E52D5" w:rsidP="004E52D5">
            <w:pPr>
              <w:spacing w:after="0" w:line="240" w:lineRule="auto"/>
              <w:jc w:val="right"/>
              <w:rPr>
                <w:rFonts w:ascii="Calibri" w:eastAsia="Times New Roman" w:hAnsi="Calibri" w:cs="Calibri"/>
                <w:color w:val="000000"/>
                <w:u w:val="single"/>
              </w:rPr>
            </w:pPr>
            <w:r w:rsidRPr="004E52D5">
              <w:rPr>
                <w:rFonts w:ascii="Calibri" w:eastAsia="Times New Roman" w:hAnsi="Calibri" w:cs="Calibri"/>
                <w:color w:val="000000"/>
                <w:u w:val="single"/>
              </w:rPr>
              <w:t>22,056</w:t>
            </w:r>
          </w:p>
        </w:tc>
        <w:tc>
          <w:tcPr>
            <w:tcW w:w="776" w:type="dxa"/>
            <w:tcBorders>
              <w:top w:val="nil"/>
              <w:left w:val="nil"/>
              <w:bottom w:val="nil"/>
              <w:right w:val="single" w:sz="4" w:space="0" w:color="auto"/>
            </w:tcBorders>
            <w:shd w:val="clear" w:color="auto" w:fill="auto"/>
            <w:noWrap/>
            <w:vAlign w:val="bottom"/>
            <w:hideMark/>
          </w:tcPr>
          <w:p w14:paraId="2EAD4158" w14:textId="77777777" w:rsidR="004E52D5" w:rsidRPr="004E52D5" w:rsidRDefault="004E52D5" w:rsidP="004E52D5">
            <w:pPr>
              <w:spacing w:after="0" w:line="240" w:lineRule="auto"/>
              <w:rPr>
                <w:rFonts w:ascii="Calibri" w:eastAsia="Times New Roman" w:hAnsi="Calibri" w:cs="Calibri"/>
                <w:color w:val="000000"/>
              </w:rPr>
            </w:pPr>
            <w:r w:rsidRPr="004E52D5">
              <w:rPr>
                <w:rFonts w:ascii="Calibri" w:eastAsia="Times New Roman" w:hAnsi="Calibri" w:cs="Calibri"/>
                <w:color w:val="000000"/>
              </w:rPr>
              <w:t> </w:t>
            </w:r>
          </w:p>
        </w:tc>
      </w:tr>
      <w:tr w:rsidR="004E52D5" w:rsidRPr="004E52D5" w14:paraId="3A8B23F8" w14:textId="77777777" w:rsidTr="004E52D5">
        <w:trPr>
          <w:trHeight w:val="300"/>
          <w:jc w:val="center"/>
        </w:trPr>
        <w:tc>
          <w:tcPr>
            <w:tcW w:w="3912" w:type="dxa"/>
            <w:tcBorders>
              <w:top w:val="nil"/>
              <w:left w:val="single" w:sz="4" w:space="0" w:color="auto"/>
              <w:bottom w:val="nil"/>
              <w:right w:val="single" w:sz="4" w:space="0" w:color="auto"/>
            </w:tcBorders>
            <w:shd w:val="clear" w:color="auto" w:fill="auto"/>
            <w:noWrap/>
            <w:vAlign w:val="bottom"/>
            <w:hideMark/>
          </w:tcPr>
          <w:p w14:paraId="5DFC5061" w14:textId="77777777" w:rsidR="004E52D5" w:rsidRPr="004E52D5" w:rsidRDefault="004E52D5" w:rsidP="004E52D5">
            <w:pPr>
              <w:spacing w:after="0" w:line="240" w:lineRule="auto"/>
              <w:rPr>
                <w:rFonts w:ascii="Calibri" w:eastAsia="Times New Roman" w:hAnsi="Calibri" w:cs="Calibri"/>
                <w:color w:val="000000"/>
              </w:rPr>
            </w:pPr>
            <w:r w:rsidRPr="004E52D5">
              <w:rPr>
                <w:rFonts w:ascii="Calibri" w:eastAsia="Times New Roman" w:hAnsi="Calibri" w:cs="Calibri"/>
                <w:color w:val="000000"/>
              </w:rPr>
              <w:t> </w:t>
            </w:r>
          </w:p>
        </w:tc>
        <w:tc>
          <w:tcPr>
            <w:tcW w:w="776" w:type="dxa"/>
            <w:tcBorders>
              <w:top w:val="nil"/>
              <w:left w:val="nil"/>
              <w:bottom w:val="nil"/>
              <w:right w:val="single" w:sz="4" w:space="0" w:color="auto"/>
            </w:tcBorders>
            <w:shd w:val="clear" w:color="auto" w:fill="auto"/>
            <w:noWrap/>
            <w:vAlign w:val="bottom"/>
            <w:hideMark/>
          </w:tcPr>
          <w:p w14:paraId="33A48822" w14:textId="77777777" w:rsidR="004E52D5" w:rsidRPr="004E52D5" w:rsidRDefault="004E52D5" w:rsidP="004E52D5">
            <w:pPr>
              <w:spacing w:after="0" w:line="240" w:lineRule="auto"/>
              <w:rPr>
                <w:rFonts w:ascii="Calibri" w:eastAsia="Times New Roman" w:hAnsi="Calibri" w:cs="Calibri"/>
                <w:color w:val="000000"/>
              </w:rPr>
            </w:pPr>
            <w:r w:rsidRPr="004E52D5">
              <w:rPr>
                <w:rFonts w:ascii="Calibri" w:eastAsia="Times New Roman" w:hAnsi="Calibri" w:cs="Calibri"/>
                <w:color w:val="000000"/>
              </w:rPr>
              <w:t> </w:t>
            </w:r>
          </w:p>
        </w:tc>
        <w:tc>
          <w:tcPr>
            <w:tcW w:w="776" w:type="dxa"/>
            <w:tcBorders>
              <w:top w:val="nil"/>
              <w:left w:val="nil"/>
              <w:bottom w:val="nil"/>
              <w:right w:val="single" w:sz="4" w:space="0" w:color="auto"/>
            </w:tcBorders>
            <w:shd w:val="clear" w:color="auto" w:fill="auto"/>
            <w:noWrap/>
            <w:vAlign w:val="bottom"/>
            <w:hideMark/>
          </w:tcPr>
          <w:p w14:paraId="4A075399" w14:textId="77777777" w:rsidR="004E52D5" w:rsidRPr="004E52D5" w:rsidRDefault="004E52D5" w:rsidP="004E52D5">
            <w:pPr>
              <w:spacing w:after="0" w:line="240" w:lineRule="auto"/>
              <w:jc w:val="right"/>
              <w:rPr>
                <w:rFonts w:ascii="Calibri" w:eastAsia="Times New Roman" w:hAnsi="Calibri" w:cs="Calibri"/>
                <w:color w:val="000000"/>
              </w:rPr>
            </w:pPr>
            <w:r w:rsidRPr="004E52D5">
              <w:rPr>
                <w:rFonts w:ascii="Calibri" w:eastAsia="Times New Roman" w:hAnsi="Calibri" w:cs="Calibri"/>
                <w:color w:val="000000"/>
              </w:rPr>
              <w:t>27,049</w:t>
            </w:r>
          </w:p>
        </w:tc>
        <w:tc>
          <w:tcPr>
            <w:tcW w:w="776" w:type="dxa"/>
            <w:tcBorders>
              <w:top w:val="nil"/>
              <w:left w:val="nil"/>
              <w:bottom w:val="nil"/>
              <w:right w:val="single" w:sz="4" w:space="0" w:color="auto"/>
            </w:tcBorders>
            <w:shd w:val="clear" w:color="auto" w:fill="auto"/>
            <w:noWrap/>
            <w:vAlign w:val="bottom"/>
            <w:hideMark/>
          </w:tcPr>
          <w:p w14:paraId="161EE6DB" w14:textId="77777777" w:rsidR="004E52D5" w:rsidRPr="004E52D5" w:rsidRDefault="004E52D5" w:rsidP="004E52D5">
            <w:pPr>
              <w:spacing w:after="0" w:line="240" w:lineRule="auto"/>
              <w:rPr>
                <w:rFonts w:ascii="Calibri" w:eastAsia="Times New Roman" w:hAnsi="Calibri" w:cs="Calibri"/>
                <w:color w:val="000000"/>
                <w:u w:val="single"/>
              </w:rPr>
            </w:pPr>
            <w:r w:rsidRPr="004E52D5">
              <w:rPr>
                <w:rFonts w:ascii="Calibri" w:eastAsia="Times New Roman" w:hAnsi="Calibri" w:cs="Calibri"/>
                <w:color w:val="000000"/>
                <w:u w:val="single"/>
              </w:rPr>
              <w:t> </w:t>
            </w:r>
          </w:p>
        </w:tc>
      </w:tr>
      <w:tr w:rsidR="004E52D5" w:rsidRPr="004E52D5" w14:paraId="557C4131" w14:textId="77777777" w:rsidTr="004E52D5">
        <w:trPr>
          <w:trHeight w:val="315"/>
          <w:jc w:val="center"/>
        </w:trPr>
        <w:tc>
          <w:tcPr>
            <w:tcW w:w="3912" w:type="dxa"/>
            <w:tcBorders>
              <w:top w:val="nil"/>
              <w:left w:val="single" w:sz="4" w:space="0" w:color="auto"/>
              <w:bottom w:val="nil"/>
              <w:right w:val="single" w:sz="4" w:space="0" w:color="auto"/>
            </w:tcBorders>
            <w:shd w:val="clear" w:color="auto" w:fill="auto"/>
            <w:noWrap/>
            <w:vAlign w:val="bottom"/>
            <w:hideMark/>
          </w:tcPr>
          <w:p w14:paraId="06EFB4B8" w14:textId="77777777" w:rsidR="004E52D5" w:rsidRPr="004E52D5" w:rsidRDefault="004E52D5" w:rsidP="004E52D5">
            <w:pPr>
              <w:spacing w:after="0" w:line="240" w:lineRule="auto"/>
              <w:rPr>
                <w:rFonts w:ascii="Calibri" w:eastAsia="Times New Roman" w:hAnsi="Calibri" w:cs="Calibri"/>
                <w:color w:val="000000"/>
              </w:rPr>
            </w:pPr>
            <w:r w:rsidRPr="004E52D5">
              <w:rPr>
                <w:rFonts w:ascii="Calibri" w:eastAsia="Times New Roman" w:hAnsi="Calibri" w:cs="Calibri"/>
                <w:color w:val="000000"/>
              </w:rPr>
              <w:t>Less: Drawings</w:t>
            </w:r>
          </w:p>
        </w:tc>
        <w:tc>
          <w:tcPr>
            <w:tcW w:w="776" w:type="dxa"/>
            <w:tcBorders>
              <w:top w:val="nil"/>
              <w:left w:val="nil"/>
              <w:bottom w:val="nil"/>
              <w:right w:val="single" w:sz="4" w:space="0" w:color="auto"/>
            </w:tcBorders>
            <w:shd w:val="clear" w:color="auto" w:fill="auto"/>
            <w:noWrap/>
            <w:vAlign w:val="bottom"/>
            <w:hideMark/>
          </w:tcPr>
          <w:p w14:paraId="34F49F3B" w14:textId="77777777" w:rsidR="004E52D5" w:rsidRPr="004E52D5" w:rsidRDefault="004E52D5" w:rsidP="004E52D5">
            <w:pPr>
              <w:spacing w:after="0" w:line="240" w:lineRule="auto"/>
              <w:rPr>
                <w:rFonts w:ascii="Calibri" w:eastAsia="Times New Roman" w:hAnsi="Calibri" w:cs="Calibri"/>
                <w:color w:val="000000"/>
              </w:rPr>
            </w:pPr>
            <w:r w:rsidRPr="004E52D5">
              <w:rPr>
                <w:rFonts w:ascii="Calibri" w:eastAsia="Times New Roman" w:hAnsi="Calibri" w:cs="Calibri"/>
                <w:color w:val="000000"/>
              </w:rPr>
              <w:t> </w:t>
            </w:r>
          </w:p>
        </w:tc>
        <w:tc>
          <w:tcPr>
            <w:tcW w:w="776" w:type="dxa"/>
            <w:tcBorders>
              <w:top w:val="nil"/>
              <w:left w:val="nil"/>
              <w:bottom w:val="nil"/>
              <w:right w:val="single" w:sz="4" w:space="0" w:color="auto"/>
            </w:tcBorders>
            <w:shd w:val="clear" w:color="auto" w:fill="auto"/>
            <w:noWrap/>
            <w:vAlign w:val="bottom"/>
            <w:hideMark/>
          </w:tcPr>
          <w:p w14:paraId="278D709A" w14:textId="77777777" w:rsidR="004E52D5" w:rsidRPr="004E52D5" w:rsidRDefault="004E52D5" w:rsidP="004E52D5">
            <w:pPr>
              <w:spacing w:after="0" w:line="240" w:lineRule="auto"/>
              <w:jc w:val="right"/>
              <w:rPr>
                <w:rFonts w:ascii="Calibri" w:eastAsia="Times New Roman" w:hAnsi="Calibri" w:cs="Calibri"/>
                <w:color w:val="000000"/>
                <w:u w:val="single"/>
              </w:rPr>
            </w:pPr>
            <w:r w:rsidRPr="004E52D5">
              <w:rPr>
                <w:rFonts w:ascii="Calibri" w:eastAsia="Times New Roman" w:hAnsi="Calibri" w:cs="Calibri"/>
                <w:color w:val="000000"/>
                <w:u w:val="single"/>
              </w:rPr>
              <w:t>18,270</w:t>
            </w:r>
          </w:p>
        </w:tc>
        <w:tc>
          <w:tcPr>
            <w:tcW w:w="776" w:type="dxa"/>
            <w:tcBorders>
              <w:top w:val="nil"/>
              <w:left w:val="nil"/>
              <w:bottom w:val="nil"/>
              <w:right w:val="single" w:sz="4" w:space="0" w:color="auto"/>
            </w:tcBorders>
            <w:shd w:val="clear" w:color="auto" w:fill="auto"/>
            <w:noWrap/>
            <w:vAlign w:val="bottom"/>
            <w:hideMark/>
          </w:tcPr>
          <w:p w14:paraId="7825996F" w14:textId="77777777" w:rsidR="004E52D5" w:rsidRPr="004E52D5" w:rsidRDefault="004E52D5" w:rsidP="004E52D5">
            <w:pPr>
              <w:spacing w:after="0" w:line="240" w:lineRule="auto"/>
              <w:rPr>
                <w:rFonts w:ascii="Calibri" w:eastAsia="Times New Roman" w:hAnsi="Calibri" w:cs="Calibri"/>
                <w:color w:val="000000"/>
              </w:rPr>
            </w:pPr>
            <w:r w:rsidRPr="004E52D5">
              <w:rPr>
                <w:rFonts w:ascii="Calibri" w:eastAsia="Times New Roman" w:hAnsi="Calibri" w:cs="Calibri"/>
                <w:color w:val="000000"/>
              </w:rPr>
              <w:t> </w:t>
            </w:r>
          </w:p>
        </w:tc>
      </w:tr>
      <w:tr w:rsidR="004E52D5" w:rsidRPr="004E52D5" w14:paraId="3A6C37EB" w14:textId="77777777" w:rsidTr="004E52D5">
        <w:trPr>
          <w:trHeight w:val="300"/>
          <w:jc w:val="center"/>
        </w:trPr>
        <w:tc>
          <w:tcPr>
            <w:tcW w:w="3912" w:type="dxa"/>
            <w:tcBorders>
              <w:top w:val="nil"/>
              <w:left w:val="single" w:sz="4" w:space="0" w:color="auto"/>
              <w:bottom w:val="nil"/>
              <w:right w:val="single" w:sz="4" w:space="0" w:color="auto"/>
            </w:tcBorders>
            <w:shd w:val="clear" w:color="auto" w:fill="auto"/>
            <w:noWrap/>
            <w:vAlign w:val="bottom"/>
            <w:hideMark/>
          </w:tcPr>
          <w:p w14:paraId="1ADDD709" w14:textId="77777777" w:rsidR="004E52D5" w:rsidRPr="004E52D5" w:rsidRDefault="004E52D5" w:rsidP="004E52D5">
            <w:pPr>
              <w:spacing w:after="0" w:line="240" w:lineRule="auto"/>
              <w:rPr>
                <w:rFonts w:ascii="Calibri" w:eastAsia="Times New Roman" w:hAnsi="Calibri" w:cs="Calibri"/>
                <w:color w:val="000000"/>
              </w:rPr>
            </w:pPr>
            <w:r w:rsidRPr="004E52D5">
              <w:rPr>
                <w:rFonts w:ascii="Calibri" w:eastAsia="Times New Roman" w:hAnsi="Calibri" w:cs="Calibri"/>
                <w:color w:val="000000"/>
              </w:rPr>
              <w:t> </w:t>
            </w:r>
          </w:p>
        </w:tc>
        <w:tc>
          <w:tcPr>
            <w:tcW w:w="776" w:type="dxa"/>
            <w:tcBorders>
              <w:top w:val="nil"/>
              <w:left w:val="nil"/>
              <w:bottom w:val="nil"/>
              <w:right w:val="single" w:sz="4" w:space="0" w:color="auto"/>
            </w:tcBorders>
            <w:shd w:val="clear" w:color="auto" w:fill="auto"/>
            <w:noWrap/>
            <w:vAlign w:val="bottom"/>
            <w:hideMark/>
          </w:tcPr>
          <w:p w14:paraId="4B8F2CC4" w14:textId="77777777" w:rsidR="004E52D5" w:rsidRPr="004E52D5" w:rsidRDefault="004E52D5" w:rsidP="004E52D5">
            <w:pPr>
              <w:spacing w:after="0" w:line="240" w:lineRule="auto"/>
              <w:rPr>
                <w:rFonts w:ascii="Calibri" w:eastAsia="Times New Roman" w:hAnsi="Calibri" w:cs="Calibri"/>
                <w:color w:val="000000"/>
              </w:rPr>
            </w:pPr>
            <w:r w:rsidRPr="004E52D5">
              <w:rPr>
                <w:rFonts w:ascii="Calibri" w:eastAsia="Times New Roman" w:hAnsi="Calibri" w:cs="Calibri"/>
                <w:color w:val="000000"/>
              </w:rPr>
              <w:t> </w:t>
            </w:r>
          </w:p>
        </w:tc>
        <w:tc>
          <w:tcPr>
            <w:tcW w:w="776" w:type="dxa"/>
            <w:tcBorders>
              <w:top w:val="nil"/>
              <w:left w:val="nil"/>
              <w:bottom w:val="nil"/>
              <w:right w:val="single" w:sz="4" w:space="0" w:color="auto"/>
            </w:tcBorders>
            <w:shd w:val="clear" w:color="auto" w:fill="auto"/>
            <w:noWrap/>
            <w:vAlign w:val="bottom"/>
            <w:hideMark/>
          </w:tcPr>
          <w:p w14:paraId="4EB53365" w14:textId="77777777" w:rsidR="004E52D5" w:rsidRPr="004E52D5" w:rsidRDefault="004E52D5" w:rsidP="004E52D5">
            <w:pPr>
              <w:spacing w:after="0" w:line="240" w:lineRule="auto"/>
              <w:rPr>
                <w:rFonts w:ascii="Calibri" w:eastAsia="Times New Roman" w:hAnsi="Calibri" w:cs="Calibri"/>
                <w:color w:val="000000"/>
              </w:rPr>
            </w:pPr>
            <w:r w:rsidRPr="004E52D5">
              <w:rPr>
                <w:rFonts w:ascii="Calibri" w:eastAsia="Times New Roman" w:hAnsi="Calibri" w:cs="Calibri"/>
                <w:color w:val="000000"/>
              </w:rPr>
              <w:t> </w:t>
            </w:r>
          </w:p>
        </w:tc>
        <w:tc>
          <w:tcPr>
            <w:tcW w:w="776" w:type="dxa"/>
            <w:tcBorders>
              <w:top w:val="nil"/>
              <w:left w:val="nil"/>
              <w:bottom w:val="nil"/>
              <w:right w:val="single" w:sz="4" w:space="0" w:color="auto"/>
            </w:tcBorders>
            <w:shd w:val="clear" w:color="auto" w:fill="auto"/>
            <w:noWrap/>
            <w:vAlign w:val="bottom"/>
            <w:hideMark/>
          </w:tcPr>
          <w:p w14:paraId="18817B84" w14:textId="77777777" w:rsidR="004E52D5" w:rsidRPr="004E52D5" w:rsidRDefault="004E52D5" w:rsidP="004E52D5">
            <w:pPr>
              <w:spacing w:after="0" w:line="240" w:lineRule="auto"/>
              <w:jc w:val="right"/>
              <w:rPr>
                <w:rFonts w:ascii="Calibri" w:eastAsia="Times New Roman" w:hAnsi="Calibri" w:cs="Calibri"/>
                <w:color w:val="000000"/>
              </w:rPr>
            </w:pPr>
            <w:r w:rsidRPr="004E52D5">
              <w:rPr>
                <w:rFonts w:ascii="Calibri" w:eastAsia="Times New Roman" w:hAnsi="Calibri" w:cs="Calibri"/>
                <w:color w:val="000000"/>
              </w:rPr>
              <w:t>8,779</w:t>
            </w:r>
          </w:p>
        </w:tc>
      </w:tr>
      <w:tr w:rsidR="004E52D5" w:rsidRPr="004E52D5" w14:paraId="0F531014" w14:textId="77777777" w:rsidTr="004E52D5">
        <w:trPr>
          <w:trHeight w:val="300"/>
          <w:jc w:val="center"/>
        </w:trPr>
        <w:tc>
          <w:tcPr>
            <w:tcW w:w="3912" w:type="dxa"/>
            <w:tcBorders>
              <w:top w:val="nil"/>
              <w:left w:val="single" w:sz="4" w:space="0" w:color="auto"/>
              <w:bottom w:val="nil"/>
              <w:right w:val="single" w:sz="4" w:space="0" w:color="auto"/>
            </w:tcBorders>
            <w:shd w:val="clear" w:color="auto" w:fill="auto"/>
            <w:noWrap/>
            <w:vAlign w:val="bottom"/>
            <w:hideMark/>
          </w:tcPr>
          <w:p w14:paraId="64A9F85A" w14:textId="77777777" w:rsidR="004E52D5" w:rsidRPr="004E52D5" w:rsidRDefault="004E52D5" w:rsidP="004E52D5">
            <w:pPr>
              <w:spacing w:after="0" w:line="240" w:lineRule="auto"/>
              <w:rPr>
                <w:rFonts w:ascii="Calibri" w:eastAsia="Times New Roman" w:hAnsi="Calibri" w:cs="Calibri"/>
                <w:color w:val="000000"/>
              </w:rPr>
            </w:pPr>
            <w:r w:rsidRPr="004E52D5">
              <w:rPr>
                <w:rFonts w:ascii="Calibri" w:eastAsia="Times New Roman" w:hAnsi="Calibri" w:cs="Calibri"/>
                <w:color w:val="000000"/>
              </w:rPr>
              <w:t>Trade creditors/payables</w:t>
            </w:r>
          </w:p>
        </w:tc>
        <w:tc>
          <w:tcPr>
            <w:tcW w:w="776" w:type="dxa"/>
            <w:tcBorders>
              <w:top w:val="nil"/>
              <w:left w:val="nil"/>
              <w:bottom w:val="nil"/>
              <w:right w:val="single" w:sz="4" w:space="0" w:color="auto"/>
            </w:tcBorders>
            <w:shd w:val="clear" w:color="auto" w:fill="auto"/>
            <w:noWrap/>
            <w:vAlign w:val="bottom"/>
            <w:hideMark/>
          </w:tcPr>
          <w:p w14:paraId="67A9878F" w14:textId="77777777" w:rsidR="004E52D5" w:rsidRPr="004E52D5" w:rsidRDefault="004E52D5" w:rsidP="004E52D5">
            <w:pPr>
              <w:spacing w:after="0" w:line="240" w:lineRule="auto"/>
              <w:rPr>
                <w:rFonts w:ascii="Calibri" w:eastAsia="Times New Roman" w:hAnsi="Calibri" w:cs="Calibri"/>
                <w:color w:val="000000"/>
              </w:rPr>
            </w:pPr>
            <w:r w:rsidRPr="004E52D5">
              <w:rPr>
                <w:rFonts w:ascii="Calibri" w:eastAsia="Times New Roman" w:hAnsi="Calibri" w:cs="Calibri"/>
                <w:color w:val="000000"/>
              </w:rPr>
              <w:t> </w:t>
            </w:r>
          </w:p>
        </w:tc>
        <w:tc>
          <w:tcPr>
            <w:tcW w:w="776" w:type="dxa"/>
            <w:tcBorders>
              <w:top w:val="nil"/>
              <w:left w:val="nil"/>
              <w:bottom w:val="nil"/>
              <w:right w:val="single" w:sz="4" w:space="0" w:color="auto"/>
            </w:tcBorders>
            <w:shd w:val="clear" w:color="auto" w:fill="auto"/>
            <w:noWrap/>
            <w:vAlign w:val="bottom"/>
            <w:hideMark/>
          </w:tcPr>
          <w:p w14:paraId="6DC2643E" w14:textId="77777777" w:rsidR="004E52D5" w:rsidRPr="004E52D5" w:rsidRDefault="004E52D5" w:rsidP="004E52D5">
            <w:pPr>
              <w:spacing w:after="0" w:line="240" w:lineRule="auto"/>
              <w:jc w:val="right"/>
              <w:rPr>
                <w:rFonts w:ascii="Calibri" w:eastAsia="Times New Roman" w:hAnsi="Calibri" w:cs="Calibri"/>
                <w:color w:val="000000"/>
              </w:rPr>
            </w:pPr>
            <w:r w:rsidRPr="004E52D5">
              <w:rPr>
                <w:rFonts w:ascii="Calibri" w:eastAsia="Times New Roman" w:hAnsi="Calibri" w:cs="Calibri"/>
                <w:color w:val="000000"/>
              </w:rPr>
              <w:t>34,420</w:t>
            </w:r>
          </w:p>
        </w:tc>
        <w:tc>
          <w:tcPr>
            <w:tcW w:w="776" w:type="dxa"/>
            <w:tcBorders>
              <w:top w:val="nil"/>
              <w:left w:val="nil"/>
              <w:bottom w:val="nil"/>
              <w:right w:val="single" w:sz="4" w:space="0" w:color="auto"/>
            </w:tcBorders>
            <w:shd w:val="clear" w:color="auto" w:fill="auto"/>
            <w:noWrap/>
            <w:vAlign w:val="bottom"/>
            <w:hideMark/>
          </w:tcPr>
          <w:p w14:paraId="558CA2EC" w14:textId="77777777" w:rsidR="004E52D5" w:rsidRPr="004E52D5" w:rsidRDefault="004E52D5" w:rsidP="004E52D5">
            <w:pPr>
              <w:spacing w:after="0" w:line="240" w:lineRule="auto"/>
              <w:rPr>
                <w:rFonts w:ascii="Calibri" w:eastAsia="Times New Roman" w:hAnsi="Calibri" w:cs="Calibri"/>
                <w:color w:val="000000"/>
              </w:rPr>
            </w:pPr>
            <w:r w:rsidRPr="004E52D5">
              <w:rPr>
                <w:rFonts w:ascii="Calibri" w:eastAsia="Times New Roman" w:hAnsi="Calibri" w:cs="Calibri"/>
                <w:color w:val="000000"/>
              </w:rPr>
              <w:t> </w:t>
            </w:r>
          </w:p>
        </w:tc>
      </w:tr>
      <w:tr w:rsidR="004E52D5" w:rsidRPr="004E52D5" w14:paraId="2CD1301E" w14:textId="77777777" w:rsidTr="004E52D5">
        <w:trPr>
          <w:trHeight w:val="300"/>
          <w:jc w:val="center"/>
        </w:trPr>
        <w:tc>
          <w:tcPr>
            <w:tcW w:w="3912" w:type="dxa"/>
            <w:tcBorders>
              <w:top w:val="nil"/>
              <w:left w:val="single" w:sz="4" w:space="0" w:color="auto"/>
              <w:bottom w:val="nil"/>
              <w:right w:val="single" w:sz="4" w:space="0" w:color="auto"/>
            </w:tcBorders>
            <w:shd w:val="clear" w:color="auto" w:fill="auto"/>
            <w:noWrap/>
            <w:vAlign w:val="bottom"/>
            <w:hideMark/>
          </w:tcPr>
          <w:p w14:paraId="009C88AA" w14:textId="77777777" w:rsidR="004E52D5" w:rsidRPr="004E52D5" w:rsidRDefault="004E52D5" w:rsidP="004E52D5">
            <w:pPr>
              <w:spacing w:after="0" w:line="240" w:lineRule="auto"/>
              <w:rPr>
                <w:rFonts w:ascii="Calibri" w:eastAsia="Times New Roman" w:hAnsi="Calibri" w:cs="Calibri"/>
                <w:color w:val="000000"/>
              </w:rPr>
            </w:pPr>
            <w:r w:rsidRPr="004E52D5">
              <w:rPr>
                <w:rFonts w:ascii="Calibri" w:eastAsia="Times New Roman" w:hAnsi="Calibri" w:cs="Calibri"/>
                <w:color w:val="000000"/>
              </w:rPr>
              <w:t>Creditor for VAT</w:t>
            </w:r>
          </w:p>
        </w:tc>
        <w:tc>
          <w:tcPr>
            <w:tcW w:w="776" w:type="dxa"/>
            <w:tcBorders>
              <w:top w:val="nil"/>
              <w:left w:val="nil"/>
              <w:bottom w:val="nil"/>
              <w:right w:val="single" w:sz="4" w:space="0" w:color="auto"/>
            </w:tcBorders>
            <w:shd w:val="clear" w:color="auto" w:fill="auto"/>
            <w:noWrap/>
            <w:vAlign w:val="bottom"/>
            <w:hideMark/>
          </w:tcPr>
          <w:p w14:paraId="10339A7B" w14:textId="77777777" w:rsidR="004E52D5" w:rsidRPr="004E52D5" w:rsidRDefault="004E52D5" w:rsidP="004E52D5">
            <w:pPr>
              <w:spacing w:after="0" w:line="240" w:lineRule="auto"/>
              <w:rPr>
                <w:rFonts w:ascii="Calibri" w:eastAsia="Times New Roman" w:hAnsi="Calibri" w:cs="Calibri"/>
                <w:color w:val="000000"/>
              </w:rPr>
            </w:pPr>
            <w:r w:rsidRPr="004E52D5">
              <w:rPr>
                <w:rFonts w:ascii="Calibri" w:eastAsia="Times New Roman" w:hAnsi="Calibri" w:cs="Calibri"/>
                <w:color w:val="000000"/>
              </w:rPr>
              <w:t> </w:t>
            </w:r>
          </w:p>
        </w:tc>
        <w:tc>
          <w:tcPr>
            <w:tcW w:w="776" w:type="dxa"/>
            <w:tcBorders>
              <w:top w:val="nil"/>
              <w:left w:val="nil"/>
              <w:bottom w:val="nil"/>
              <w:right w:val="single" w:sz="4" w:space="0" w:color="auto"/>
            </w:tcBorders>
            <w:shd w:val="clear" w:color="auto" w:fill="auto"/>
            <w:noWrap/>
            <w:vAlign w:val="bottom"/>
            <w:hideMark/>
          </w:tcPr>
          <w:p w14:paraId="26BA276B" w14:textId="77777777" w:rsidR="004E52D5" w:rsidRPr="004E52D5" w:rsidRDefault="004E52D5" w:rsidP="004E52D5">
            <w:pPr>
              <w:spacing w:after="0" w:line="240" w:lineRule="auto"/>
              <w:jc w:val="right"/>
              <w:rPr>
                <w:rFonts w:ascii="Calibri" w:eastAsia="Times New Roman" w:hAnsi="Calibri" w:cs="Calibri"/>
                <w:color w:val="000000"/>
                <w:u w:val="single"/>
              </w:rPr>
            </w:pPr>
            <w:r w:rsidRPr="004E52D5">
              <w:rPr>
                <w:rFonts w:ascii="Calibri" w:eastAsia="Times New Roman" w:hAnsi="Calibri" w:cs="Calibri"/>
                <w:color w:val="000000"/>
                <w:u w:val="single"/>
              </w:rPr>
              <w:t>7,729</w:t>
            </w:r>
          </w:p>
        </w:tc>
        <w:tc>
          <w:tcPr>
            <w:tcW w:w="776" w:type="dxa"/>
            <w:tcBorders>
              <w:top w:val="nil"/>
              <w:left w:val="nil"/>
              <w:bottom w:val="nil"/>
              <w:right w:val="single" w:sz="4" w:space="0" w:color="auto"/>
            </w:tcBorders>
            <w:shd w:val="clear" w:color="auto" w:fill="auto"/>
            <w:noWrap/>
            <w:vAlign w:val="bottom"/>
            <w:hideMark/>
          </w:tcPr>
          <w:p w14:paraId="4E8704D5" w14:textId="77777777" w:rsidR="004E52D5" w:rsidRPr="004E52D5" w:rsidRDefault="004E52D5" w:rsidP="004E52D5">
            <w:pPr>
              <w:spacing w:after="0" w:line="240" w:lineRule="auto"/>
              <w:rPr>
                <w:rFonts w:ascii="Calibri" w:eastAsia="Times New Roman" w:hAnsi="Calibri" w:cs="Calibri"/>
                <w:color w:val="000000"/>
              </w:rPr>
            </w:pPr>
            <w:r w:rsidRPr="004E52D5">
              <w:rPr>
                <w:rFonts w:ascii="Calibri" w:eastAsia="Times New Roman" w:hAnsi="Calibri" w:cs="Calibri"/>
                <w:color w:val="000000"/>
              </w:rPr>
              <w:t> </w:t>
            </w:r>
          </w:p>
        </w:tc>
      </w:tr>
      <w:tr w:rsidR="004E52D5" w:rsidRPr="004E52D5" w14:paraId="2B932ADF" w14:textId="77777777" w:rsidTr="004E52D5">
        <w:trPr>
          <w:trHeight w:val="300"/>
          <w:jc w:val="center"/>
        </w:trPr>
        <w:tc>
          <w:tcPr>
            <w:tcW w:w="3912" w:type="dxa"/>
            <w:tcBorders>
              <w:top w:val="nil"/>
              <w:left w:val="single" w:sz="4" w:space="0" w:color="auto"/>
              <w:bottom w:val="nil"/>
              <w:right w:val="single" w:sz="4" w:space="0" w:color="auto"/>
            </w:tcBorders>
            <w:shd w:val="clear" w:color="auto" w:fill="auto"/>
            <w:noWrap/>
            <w:vAlign w:val="bottom"/>
            <w:hideMark/>
          </w:tcPr>
          <w:p w14:paraId="702FAAB0" w14:textId="77777777" w:rsidR="004E52D5" w:rsidRPr="004E52D5" w:rsidRDefault="004E52D5" w:rsidP="004E52D5">
            <w:pPr>
              <w:spacing w:after="0" w:line="240" w:lineRule="auto"/>
              <w:jc w:val="right"/>
              <w:rPr>
                <w:rFonts w:ascii="Calibri" w:eastAsia="Times New Roman" w:hAnsi="Calibri" w:cs="Calibri"/>
                <w:b/>
                <w:bCs/>
                <w:color w:val="000000"/>
              </w:rPr>
            </w:pPr>
            <w:r w:rsidRPr="004E52D5">
              <w:rPr>
                <w:rFonts w:ascii="Calibri" w:eastAsia="Times New Roman" w:hAnsi="Calibri" w:cs="Calibri"/>
                <w:b/>
                <w:bCs/>
                <w:color w:val="000000"/>
              </w:rPr>
              <w:t> </w:t>
            </w:r>
          </w:p>
        </w:tc>
        <w:tc>
          <w:tcPr>
            <w:tcW w:w="776" w:type="dxa"/>
            <w:tcBorders>
              <w:top w:val="nil"/>
              <w:left w:val="nil"/>
              <w:bottom w:val="nil"/>
              <w:right w:val="single" w:sz="4" w:space="0" w:color="auto"/>
            </w:tcBorders>
            <w:shd w:val="clear" w:color="auto" w:fill="auto"/>
            <w:noWrap/>
            <w:vAlign w:val="bottom"/>
            <w:hideMark/>
          </w:tcPr>
          <w:p w14:paraId="6FB42030" w14:textId="77777777" w:rsidR="004E52D5" w:rsidRPr="004E52D5" w:rsidRDefault="004E52D5" w:rsidP="004E52D5">
            <w:pPr>
              <w:spacing w:after="0" w:line="240" w:lineRule="auto"/>
              <w:rPr>
                <w:rFonts w:ascii="Calibri" w:eastAsia="Times New Roman" w:hAnsi="Calibri" w:cs="Calibri"/>
                <w:color w:val="000000"/>
              </w:rPr>
            </w:pPr>
            <w:r w:rsidRPr="004E52D5">
              <w:rPr>
                <w:rFonts w:ascii="Calibri" w:eastAsia="Times New Roman" w:hAnsi="Calibri" w:cs="Calibri"/>
                <w:color w:val="000000"/>
              </w:rPr>
              <w:t> </w:t>
            </w:r>
          </w:p>
        </w:tc>
        <w:tc>
          <w:tcPr>
            <w:tcW w:w="776" w:type="dxa"/>
            <w:tcBorders>
              <w:top w:val="nil"/>
              <w:left w:val="nil"/>
              <w:bottom w:val="nil"/>
              <w:right w:val="single" w:sz="4" w:space="0" w:color="auto"/>
            </w:tcBorders>
            <w:shd w:val="clear" w:color="auto" w:fill="auto"/>
            <w:noWrap/>
            <w:vAlign w:val="bottom"/>
            <w:hideMark/>
          </w:tcPr>
          <w:p w14:paraId="6C43D42F" w14:textId="77777777" w:rsidR="004E52D5" w:rsidRPr="004E52D5" w:rsidRDefault="004E52D5" w:rsidP="004E52D5">
            <w:pPr>
              <w:spacing w:after="0" w:line="240" w:lineRule="auto"/>
              <w:rPr>
                <w:rFonts w:ascii="Calibri" w:eastAsia="Times New Roman" w:hAnsi="Calibri" w:cs="Calibri"/>
                <w:color w:val="000000"/>
              </w:rPr>
            </w:pPr>
            <w:r w:rsidRPr="004E52D5">
              <w:rPr>
                <w:rFonts w:ascii="Calibri" w:eastAsia="Times New Roman" w:hAnsi="Calibri" w:cs="Calibri"/>
                <w:color w:val="000000"/>
              </w:rPr>
              <w:t> </w:t>
            </w:r>
          </w:p>
        </w:tc>
        <w:tc>
          <w:tcPr>
            <w:tcW w:w="776" w:type="dxa"/>
            <w:tcBorders>
              <w:top w:val="nil"/>
              <w:left w:val="nil"/>
              <w:bottom w:val="nil"/>
              <w:right w:val="single" w:sz="4" w:space="0" w:color="auto"/>
            </w:tcBorders>
            <w:shd w:val="clear" w:color="auto" w:fill="auto"/>
            <w:noWrap/>
            <w:vAlign w:val="bottom"/>
            <w:hideMark/>
          </w:tcPr>
          <w:p w14:paraId="01300DEF" w14:textId="77777777" w:rsidR="004E52D5" w:rsidRPr="004E52D5" w:rsidRDefault="004E52D5" w:rsidP="004E52D5">
            <w:pPr>
              <w:spacing w:after="0" w:line="240" w:lineRule="auto"/>
              <w:jc w:val="right"/>
              <w:rPr>
                <w:rFonts w:ascii="Calibri" w:eastAsia="Times New Roman" w:hAnsi="Calibri" w:cs="Calibri"/>
                <w:color w:val="000000"/>
              </w:rPr>
            </w:pPr>
            <w:r w:rsidRPr="004E52D5">
              <w:rPr>
                <w:rFonts w:ascii="Calibri" w:eastAsia="Times New Roman" w:hAnsi="Calibri" w:cs="Calibri"/>
                <w:color w:val="000000"/>
              </w:rPr>
              <w:t>42,149</w:t>
            </w:r>
          </w:p>
        </w:tc>
      </w:tr>
      <w:tr w:rsidR="004E52D5" w:rsidRPr="004E52D5" w14:paraId="6C27425F" w14:textId="77777777" w:rsidTr="004E52D5">
        <w:trPr>
          <w:trHeight w:val="300"/>
          <w:jc w:val="center"/>
        </w:trPr>
        <w:tc>
          <w:tcPr>
            <w:tcW w:w="3912" w:type="dxa"/>
            <w:tcBorders>
              <w:top w:val="nil"/>
              <w:left w:val="single" w:sz="4" w:space="0" w:color="auto"/>
              <w:bottom w:val="single" w:sz="4" w:space="0" w:color="auto"/>
              <w:right w:val="single" w:sz="4" w:space="0" w:color="auto"/>
            </w:tcBorders>
            <w:shd w:val="clear" w:color="auto" w:fill="auto"/>
            <w:noWrap/>
            <w:vAlign w:val="bottom"/>
            <w:hideMark/>
          </w:tcPr>
          <w:p w14:paraId="47E06476" w14:textId="77777777" w:rsidR="004E52D5" w:rsidRPr="004E52D5" w:rsidRDefault="004E52D5" w:rsidP="004E52D5">
            <w:pPr>
              <w:spacing w:after="0" w:line="240" w:lineRule="auto"/>
              <w:jc w:val="right"/>
              <w:rPr>
                <w:rFonts w:ascii="Calibri" w:eastAsia="Times New Roman" w:hAnsi="Calibri" w:cs="Calibri"/>
                <w:b/>
                <w:bCs/>
                <w:color w:val="000000"/>
              </w:rPr>
            </w:pPr>
            <w:r w:rsidRPr="004E52D5">
              <w:rPr>
                <w:rFonts w:ascii="Calibri" w:eastAsia="Times New Roman" w:hAnsi="Calibri" w:cs="Calibri"/>
                <w:b/>
                <w:bCs/>
                <w:color w:val="000000"/>
              </w:rPr>
              <w:t>Total Liabilities and Owner's Equity</w:t>
            </w:r>
          </w:p>
        </w:tc>
        <w:tc>
          <w:tcPr>
            <w:tcW w:w="776" w:type="dxa"/>
            <w:tcBorders>
              <w:top w:val="nil"/>
              <w:left w:val="nil"/>
              <w:bottom w:val="single" w:sz="4" w:space="0" w:color="auto"/>
              <w:right w:val="single" w:sz="4" w:space="0" w:color="auto"/>
            </w:tcBorders>
            <w:shd w:val="clear" w:color="auto" w:fill="auto"/>
            <w:noWrap/>
            <w:vAlign w:val="bottom"/>
            <w:hideMark/>
          </w:tcPr>
          <w:p w14:paraId="067AD1BC" w14:textId="77777777" w:rsidR="004E52D5" w:rsidRPr="004E52D5" w:rsidRDefault="004E52D5" w:rsidP="004E52D5">
            <w:pPr>
              <w:spacing w:after="0" w:line="240" w:lineRule="auto"/>
              <w:rPr>
                <w:rFonts w:ascii="Calibri" w:eastAsia="Times New Roman" w:hAnsi="Calibri" w:cs="Calibri"/>
                <w:color w:val="000000"/>
              </w:rPr>
            </w:pPr>
            <w:r w:rsidRPr="004E52D5">
              <w:rPr>
                <w:rFonts w:ascii="Calibri" w:eastAsia="Times New Roman" w:hAnsi="Calibri" w:cs="Calibri"/>
                <w:color w:val="000000"/>
              </w:rPr>
              <w:t> </w:t>
            </w:r>
          </w:p>
        </w:tc>
        <w:tc>
          <w:tcPr>
            <w:tcW w:w="776" w:type="dxa"/>
            <w:tcBorders>
              <w:top w:val="nil"/>
              <w:left w:val="nil"/>
              <w:bottom w:val="single" w:sz="4" w:space="0" w:color="auto"/>
              <w:right w:val="single" w:sz="4" w:space="0" w:color="auto"/>
            </w:tcBorders>
            <w:shd w:val="clear" w:color="auto" w:fill="auto"/>
            <w:noWrap/>
            <w:vAlign w:val="bottom"/>
            <w:hideMark/>
          </w:tcPr>
          <w:p w14:paraId="30CCC069" w14:textId="77777777" w:rsidR="004E52D5" w:rsidRPr="004E52D5" w:rsidRDefault="004E52D5" w:rsidP="004E52D5">
            <w:pPr>
              <w:spacing w:after="0" w:line="240" w:lineRule="auto"/>
              <w:rPr>
                <w:rFonts w:ascii="Calibri" w:eastAsia="Times New Roman" w:hAnsi="Calibri" w:cs="Calibri"/>
                <w:color w:val="000000"/>
              </w:rPr>
            </w:pPr>
            <w:r w:rsidRPr="004E52D5">
              <w:rPr>
                <w:rFonts w:ascii="Calibri" w:eastAsia="Times New Roman" w:hAnsi="Calibri" w:cs="Calibri"/>
                <w:color w:val="000000"/>
              </w:rPr>
              <w:t> </w:t>
            </w:r>
          </w:p>
        </w:tc>
        <w:tc>
          <w:tcPr>
            <w:tcW w:w="776" w:type="dxa"/>
            <w:tcBorders>
              <w:top w:val="nil"/>
              <w:left w:val="nil"/>
              <w:bottom w:val="single" w:sz="4" w:space="0" w:color="auto"/>
              <w:right w:val="single" w:sz="4" w:space="0" w:color="auto"/>
            </w:tcBorders>
            <w:shd w:val="clear" w:color="auto" w:fill="auto"/>
            <w:noWrap/>
            <w:vAlign w:val="bottom"/>
            <w:hideMark/>
          </w:tcPr>
          <w:p w14:paraId="39FE4EF1" w14:textId="77777777" w:rsidR="004E52D5" w:rsidRPr="004E52D5" w:rsidRDefault="004E52D5" w:rsidP="004E52D5">
            <w:pPr>
              <w:spacing w:after="0" w:line="240" w:lineRule="auto"/>
              <w:jc w:val="right"/>
              <w:rPr>
                <w:rFonts w:ascii="Calibri" w:eastAsia="Times New Roman" w:hAnsi="Calibri" w:cs="Calibri"/>
                <w:color w:val="000000"/>
                <w:u w:val="double"/>
              </w:rPr>
            </w:pPr>
            <w:r w:rsidRPr="004E52D5">
              <w:rPr>
                <w:rFonts w:ascii="Calibri" w:eastAsia="Times New Roman" w:hAnsi="Calibri" w:cs="Calibri"/>
                <w:color w:val="000000"/>
                <w:u w:val="double"/>
              </w:rPr>
              <w:t>50,928</w:t>
            </w:r>
          </w:p>
        </w:tc>
      </w:tr>
    </w:tbl>
    <w:p w14:paraId="2462EC0E" w14:textId="77777777" w:rsidR="007A5E5F" w:rsidRDefault="007A5E5F">
      <w:pPr>
        <w:rPr>
          <w:rFonts w:ascii="Times New Roman" w:eastAsiaTheme="majorEastAsia" w:hAnsi="Times New Roman" w:cstheme="majorBidi"/>
          <w:b/>
          <w:color w:val="2F5496" w:themeColor="accent1" w:themeShade="BF"/>
          <w:sz w:val="32"/>
          <w:szCs w:val="32"/>
        </w:rPr>
      </w:pPr>
      <w:r>
        <w:br w:type="page"/>
      </w:r>
    </w:p>
    <w:p w14:paraId="7D452485" w14:textId="3D7AA042" w:rsidR="005374C4" w:rsidRDefault="00C92AEE" w:rsidP="00067BED">
      <w:pPr>
        <w:pStyle w:val="Heading1"/>
        <w:jc w:val="center"/>
      </w:pPr>
      <w:bookmarkStart w:id="3" w:name="_Toc108284457"/>
      <w:r>
        <w:t>Discussion of Accounting Principles</w:t>
      </w:r>
      <w:bookmarkEnd w:id="3"/>
    </w:p>
    <w:p w14:paraId="3EA359BC" w14:textId="77777777" w:rsidR="008E7629" w:rsidRPr="008E7629" w:rsidRDefault="008E7629" w:rsidP="008E7629"/>
    <w:p w14:paraId="757FD4E2" w14:textId="5DAED8BC" w:rsidR="001F63CF" w:rsidRPr="001F63CF" w:rsidRDefault="009A7DA8" w:rsidP="002A697D">
      <w:pPr>
        <w:pStyle w:val="Heading2"/>
      </w:pPr>
      <w:bookmarkStart w:id="4" w:name="_Toc108284458"/>
      <w:r>
        <w:t xml:space="preserve">The </w:t>
      </w:r>
      <w:r w:rsidR="00CF5866">
        <w:t>Monetary Unit</w:t>
      </w:r>
      <w:r>
        <w:t xml:space="preserve"> Assumption</w:t>
      </w:r>
      <w:bookmarkEnd w:id="4"/>
    </w:p>
    <w:p w14:paraId="36C97354" w14:textId="77777777" w:rsidR="00311C21" w:rsidRDefault="00B25E0B" w:rsidP="00894E51">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Explanation</w:t>
      </w:r>
    </w:p>
    <w:p w14:paraId="305C7D3C" w14:textId="6CD6FD51" w:rsidR="00894E51" w:rsidRPr="00894E51" w:rsidRDefault="00894E51" w:rsidP="00894E51">
      <w:pPr>
        <w:spacing w:line="360" w:lineRule="auto"/>
        <w:jc w:val="both"/>
        <w:rPr>
          <w:rFonts w:ascii="Times New Roman" w:hAnsi="Times New Roman" w:cs="Times New Roman"/>
          <w:sz w:val="24"/>
          <w:szCs w:val="24"/>
        </w:rPr>
      </w:pPr>
      <w:r>
        <w:rPr>
          <w:rFonts w:ascii="Times New Roman" w:hAnsi="Times New Roman" w:cs="Times New Roman"/>
          <w:sz w:val="24"/>
          <w:szCs w:val="24"/>
        </w:rPr>
        <w:t>T</w:t>
      </w:r>
      <w:r w:rsidRPr="00894E51">
        <w:rPr>
          <w:rFonts w:ascii="Times New Roman" w:hAnsi="Times New Roman" w:cs="Times New Roman"/>
          <w:sz w:val="24"/>
          <w:szCs w:val="24"/>
        </w:rPr>
        <w:t>he belief that all financial or monetary dealings are connected to and carried out in the context of business. Money is involved in all economic and financial activities. A strong foundation for comparing firms is provided by financial data and accounting indicators. Accounting is the study of financial transactions.</w:t>
      </w:r>
    </w:p>
    <w:p w14:paraId="1B2FFC37" w14:textId="77777777" w:rsidR="00517BA4" w:rsidRDefault="00894E51" w:rsidP="00894E51">
      <w:pPr>
        <w:spacing w:line="360" w:lineRule="auto"/>
        <w:jc w:val="both"/>
        <w:rPr>
          <w:rFonts w:ascii="Times New Roman" w:hAnsi="Times New Roman" w:cs="Times New Roman"/>
          <w:sz w:val="24"/>
          <w:szCs w:val="24"/>
        </w:rPr>
      </w:pPr>
      <w:r w:rsidRPr="00894E51">
        <w:rPr>
          <w:rFonts w:ascii="Times New Roman" w:hAnsi="Times New Roman" w:cs="Times New Roman"/>
          <w:sz w:val="24"/>
          <w:szCs w:val="24"/>
        </w:rPr>
        <w:t>GAAP presupposes that the dollar is an accurate and practical unit for all enterprises. accessible as well. On global exchange markets, every currency changes hands at a different rate. It's simple to change US dollars and British pounds into euros, pesos, or yen.</w:t>
      </w:r>
    </w:p>
    <w:p w14:paraId="6A586186" w14:textId="77777777" w:rsidR="00517BA4" w:rsidRDefault="00517BA4" w:rsidP="00E2559D">
      <w:pPr>
        <w:spacing w:line="360" w:lineRule="auto"/>
        <w:jc w:val="both"/>
        <w:rPr>
          <w:rFonts w:ascii="Times New Roman" w:hAnsi="Times New Roman" w:cs="Times New Roman"/>
          <w:sz w:val="24"/>
          <w:szCs w:val="24"/>
        </w:rPr>
      </w:pPr>
      <w:r w:rsidRPr="00517BA4">
        <w:rPr>
          <w:rFonts w:ascii="Times New Roman" w:hAnsi="Times New Roman" w:cs="Times New Roman"/>
          <w:sz w:val="24"/>
          <w:szCs w:val="24"/>
        </w:rPr>
        <w:t>FASB does not acknowledge the impact of inflation on financial reporting. This primarily results from low US inflation. If the US economy alters and inflation rates go close to those of South Africa and Brazil, which experienced hyperinflation, the FASB may alter SFAC No. 5.</w:t>
      </w:r>
    </w:p>
    <w:p w14:paraId="127A35D5" w14:textId="77777777" w:rsidR="006B4248" w:rsidRDefault="006B4248" w:rsidP="00405836">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Objective</w:t>
      </w:r>
    </w:p>
    <w:p w14:paraId="2D28DF80" w14:textId="66F6507A" w:rsidR="0084349F" w:rsidRPr="006B4248" w:rsidRDefault="0084349F" w:rsidP="00405836">
      <w:pPr>
        <w:spacing w:line="360" w:lineRule="auto"/>
        <w:jc w:val="both"/>
        <w:rPr>
          <w:rFonts w:ascii="Times New Roman" w:hAnsi="Times New Roman" w:cs="Times New Roman"/>
          <w:b/>
          <w:bCs/>
          <w:sz w:val="24"/>
          <w:szCs w:val="24"/>
        </w:rPr>
      </w:pPr>
      <w:r w:rsidRPr="0084349F">
        <w:rPr>
          <w:rFonts w:ascii="Times New Roman" w:hAnsi="Times New Roman" w:cs="Times New Roman"/>
          <w:sz w:val="24"/>
          <w:szCs w:val="24"/>
        </w:rPr>
        <w:t>The assumption's goal is to make it possible for the accounting process to measure economic occurrences numerically.</w:t>
      </w:r>
    </w:p>
    <w:p w14:paraId="2F5EF95C" w14:textId="25C118A9" w:rsidR="00405836" w:rsidRDefault="00311C21" w:rsidP="00405836">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Importance</w:t>
      </w:r>
    </w:p>
    <w:p w14:paraId="35B8DC65" w14:textId="1EA0E72E" w:rsidR="006B482B" w:rsidRPr="006B482B" w:rsidRDefault="006B482B" w:rsidP="006B482B">
      <w:pPr>
        <w:pStyle w:val="ListParagraph"/>
        <w:numPr>
          <w:ilvl w:val="0"/>
          <w:numId w:val="5"/>
        </w:numPr>
        <w:spacing w:line="360" w:lineRule="auto"/>
        <w:jc w:val="both"/>
        <w:rPr>
          <w:rFonts w:ascii="Times New Roman" w:hAnsi="Times New Roman" w:cs="Times New Roman"/>
          <w:sz w:val="24"/>
          <w:szCs w:val="24"/>
        </w:rPr>
      </w:pPr>
      <w:r w:rsidRPr="006B482B">
        <w:rPr>
          <w:rFonts w:ascii="Times New Roman" w:hAnsi="Times New Roman" w:cs="Times New Roman"/>
          <w:sz w:val="24"/>
          <w:szCs w:val="24"/>
        </w:rPr>
        <w:t>A monetary unit must be used to record each transaction that takes place within a corporation. The major justification for this is that, over time, the monetary unit makes a considerable contribution to upholding stability.</w:t>
      </w:r>
    </w:p>
    <w:p w14:paraId="2A5DA71B" w14:textId="0BB9420F" w:rsidR="006B482B" w:rsidRDefault="006B482B" w:rsidP="006B482B">
      <w:pPr>
        <w:pStyle w:val="ListParagraph"/>
        <w:numPr>
          <w:ilvl w:val="0"/>
          <w:numId w:val="5"/>
        </w:numPr>
        <w:spacing w:line="360" w:lineRule="auto"/>
        <w:jc w:val="both"/>
        <w:rPr>
          <w:rFonts w:ascii="Times New Roman" w:hAnsi="Times New Roman" w:cs="Times New Roman"/>
          <w:sz w:val="24"/>
          <w:szCs w:val="24"/>
        </w:rPr>
      </w:pPr>
      <w:r w:rsidRPr="006B482B">
        <w:rPr>
          <w:rFonts w:ascii="Times New Roman" w:hAnsi="Times New Roman" w:cs="Times New Roman"/>
          <w:sz w:val="24"/>
          <w:szCs w:val="24"/>
        </w:rPr>
        <w:t>One of the recognized currency systems, like US dollars, must be used to record every transaction that takes place within a company. The reason for this is that the monetary system ultimately promotes stability. The only transactions and activities that should be recorded in an organization's accounts are those that can be measured in monetary terms. An event or transaction shouldn't be recorded in the company's books of accounts if it cannot be measured in monetary terms.</w:t>
      </w:r>
    </w:p>
    <w:p w14:paraId="57D03962" w14:textId="77777777" w:rsidR="00052155" w:rsidRDefault="00052155" w:rsidP="006B482B">
      <w:pPr>
        <w:spacing w:line="360" w:lineRule="auto"/>
        <w:jc w:val="both"/>
        <w:rPr>
          <w:rFonts w:ascii="Times New Roman" w:hAnsi="Times New Roman" w:cs="Times New Roman"/>
          <w:b/>
          <w:bCs/>
          <w:sz w:val="24"/>
          <w:szCs w:val="24"/>
        </w:rPr>
      </w:pPr>
    </w:p>
    <w:p w14:paraId="19FE23CB" w14:textId="2EC85E23" w:rsidR="00F675EE" w:rsidRDefault="00311C21" w:rsidP="006B482B">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Criticisms</w:t>
      </w:r>
      <w:r w:rsidR="00F675EE" w:rsidRPr="00F675EE">
        <w:rPr>
          <w:rFonts w:ascii="Times New Roman" w:hAnsi="Times New Roman" w:cs="Times New Roman"/>
          <w:b/>
          <w:bCs/>
          <w:sz w:val="24"/>
          <w:szCs w:val="24"/>
        </w:rPr>
        <w:t xml:space="preserve"> </w:t>
      </w:r>
    </w:p>
    <w:p w14:paraId="6631F69B" w14:textId="77777777" w:rsidR="00EF1D02" w:rsidRPr="00EF1D02" w:rsidRDefault="00EF1D02" w:rsidP="00EF1D02">
      <w:pPr>
        <w:spacing w:line="360" w:lineRule="auto"/>
        <w:jc w:val="both"/>
        <w:rPr>
          <w:rFonts w:ascii="Times New Roman" w:hAnsi="Times New Roman" w:cs="Times New Roman"/>
          <w:sz w:val="24"/>
          <w:szCs w:val="24"/>
        </w:rPr>
      </w:pPr>
      <w:r w:rsidRPr="00EF1D02">
        <w:rPr>
          <w:rFonts w:ascii="Times New Roman" w:hAnsi="Times New Roman" w:cs="Times New Roman"/>
          <w:sz w:val="24"/>
          <w:szCs w:val="24"/>
        </w:rPr>
        <w:t>Although the monetary unit assumption tends to make accounting easier to understand, there may be times when it causes problems. The monetary unit assumption can cause a few issues when a company manages its books of accounts, such as the following:</w:t>
      </w:r>
    </w:p>
    <w:p w14:paraId="4DC07DFF" w14:textId="242358DD" w:rsidR="001E448B" w:rsidRPr="001E448B" w:rsidRDefault="001E448B" w:rsidP="001E448B">
      <w:pPr>
        <w:pStyle w:val="ListParagraph"/>
        <w:numPr>
          <w:ilvl w:val="0"/>
          <w:numId w:val="5"/>
        </w:numPr>
        <w:spacing w:line="360" w:lineRule="auto"/>
        <w:jc w:val="both"/>
        <w:rPr>
          <w:rFonts w:ascii="Times New Roman" w:hAnsi="Times New Roman" w:cs="Times New Roman"/>
          <w:sz w:val="24"/>
          <w:szCs w:val="24"/>
        </w:rPr>
      </w:pPr>
      <w:r w:rsidRPr="001E448B">
        <w:rPr>
          <w:rFonts w:ascii="Times New Roman" w:hAnsi="Times New Roman" w:cs="Times New Roman"/>
          <w:sz w:val="24"/>
          <w:szCs w:val="24"/>
        </w:rPr>
        <w:t>One of the issues with the monetary unit assumption is that when recording, it has the disadvantage of ignoring the effects of inflation. As was seen in the prior example, even in 2019, official records still display the original purchase price of a parcel of land as $50,000, which was paid in 1992. Although there has been a noticeable change in the dollar's ability to buy goods and services since 1992, this is not taken into account in the monetary unit assumption. </w:t>
      </w:r>
    </w:p>
    <w:p w14:paraId="7E1BD9C8" w14:textId="4588B9F3" w:rsidR="0045432C" w:rsidRDefault="001E448B" w:rsidP="001E448B">
      <w:pPr>
        <w:pStyle w:val="ListParagraph"/>
        <w:numPr>
          <w:ilvl w:val="0"/>
          <w:numId w:val="5"/>
        </w:numPr>
        <w:spacing w:line="360" w:lineRule="auto"/>
        <w:jc w:val="both"/>
        <w:rPr>
          <w:rFonts w:ascii="Times New Roman" w:hAnsi="Times New Roman" w:cs="Times New Roman"/>
          <w:sz w:val="24"/>
          <w:szCs w:val="24"/>
        </w:rPr>
      </w:pPr>
      <w:r w:rsidRPr="001E448B">
        <w:rPr>
          <w:rFonts w:ascii="Times New Roman" w:hAnsi="Times New Roman" w:cs="Times New Roman"/>
          <w:sz w:val="24"/>
          <w:szCs w:val="24"/>
        </w:rPr>
        <w:t>This assumption may also mislead or fool individuals who are looking at financial records from the outside. Another problem with it is this. For instance, XYZ Limited is the owner of $350,000 worth of land. Given that $50,000 of the declared amount is dated from 1992, it's possible that it's not $350,000 right now.</w:t>
      </w:r>
    </w:p>
    <w:p w14:paraId="290632A5" w14:textId="77777777" w:rsidR="00622FCA" w:rsidRDefault="00622FCA" w:rsidP="0045432C">
      <w:pPr>
        <w:rPr>
          <w:rFonts w:ascii="Times New Roman" w:hAnsi="Times New Roman" w:cs="Times New Roman"/>
          <w:sz w:val="24"/>
          <w:szCs w:val="24"/>
        </w:rPr>
      </w:pPr>
    </w:p>
    <w:p w14:paraId="585CF8BE" w14:textId="77777777" w:rsidR="00622FCA" w:rsidRDefault="00622FCA" w:rsidP="0045432C">
      <w:pPr>
        <w:rPr>
          <w:rFonts w:ascii="Times New Roman" w:hAnsi="Times New Roman" w:cs="Times New Roman"/>
          <w:sz w:val="24"/>
          <w:szCs w:val="24"/>
        </w:rPr>
      </w:pPr>
    </w:p>
    <w:p w14:paraId="158579C6" w14:textId="77777777" w:rsidR="00622FCA" w:rsidRPr="00440EF2" w:rsidRDefault="00622FCA" w:rsidP="00622FCA">
      <w:pPr>
        <w:pStyle w:val="Heading2"/>
      </w:pPr>
      <w:bookmarkStart w:id="5" w:name="_Toc108284459"/>
      <w:r>
        <w:t>The Principle of Consistency</w:t>
      </w:r>
      <w:bookmarkEnd w:id="5"/>
    </w:p>
    <w:p w14:paraId="3C9D6BA2" w14:textId="77777777" w:rsidR="00622FCA" w:rsidRDefault="00622FCA" w:rsidP="00622FCA">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Explanation</w:t>
      </w:r>
    </w:p>
    <w:p w14:paraId="7E37035C" w14:textId="77777777" w:rsidR="00622FCA" w:rsidRPr="006D4EFA" w:rsidRDefault="00622FCA" w:rsidP="00622FCA">
      <w:pPr>
        <w:spacing w:line="360" w:lineRule="auto"/>
        <w:jc w:val="both"/>
        <w:rPr>
          <w:rFonts w:ascii="Times New Roman" w:hAnsi="Times New Roman" w:cs="Times New Roman"/>
          <w:sz w:val="24"/>
          <w:szCs w:val="24"/>
        </w:rPr>
      </w:pPr>
      <w:r w:rsidRPr="006D4EFA">
        <w:rPr>
          <w:rFonts w:ascii="Times New Roman" w:hAnsi="Times New Roman" w:cs="Times New Roman"/>
          <w:sz w:val="24"/>
          <w:szCs w:val="24"/>
        </w:rPr>
        <w:t>The consistency in accounting principle states that unless there is a good reason to diverge, an organization should follow the same procedure and strategy for related occurrences.</w:t>
      </w:r>
    </w:p>
    <w:p w14:paraId="1F88D4A3" w14:textId="77777777" w:rsidR="00622FCA" w:rsidRDefault="00622FCA" w:rsidP="00622FCA">
      <w:pPr>
        <w:spacing w:line="360" w:lineRule="auto"/>
        <w:jc w:val="both"/>
        <w:rPr>
          <w:rFonts w:ascii="Times New Roman" w:hAnsi="Times New Roman" w:cs="Times New Roman"/>
          <w:sz w:val="24"/>
          <w:szCs w:val="24"/>
        </w:rPr>
      </w:pPr>
      <w:r w:rsidRPr="006D4EFA">
        <w:rPr>
          <w:rFonts w:ascii="Times New Roman" w:hAnsi="Times New Roman" w:cs="Times New Roman"/>
          <w:sz w:val="24"/>
          <w:szCs w:val="24"/>
        </w:rPr>
        <w:t>A range of accounting ideas must frequently be used by an accountant to manage challenges (e.g., depreciation on fixed assets, valuation of stock, etc.). This idea underlines the need for accountants to follow a single process. Consistency in strategy is crucial because changes might have an impact on a company's profitability. Future modifications are still conceivable, though. Any reasonable change that enhances accounting is permissible, but it must be disclosed.</w:t>
      </w:r>
    </w:p>
    <w:p w14:paraId="5F524090" w14:textId="77777777" w:rsidR="00622FCA" w:rsidRDefault="00622FCA" w:rsidP="00622FCA">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Objective</w:t>
      </w:r>
    </w:p>
    <w:p w14:paraId="7183BBDC" w14:textId="77777777" w:rsidR="00622FCA" w:rsidRDefault="00622FCA" w:rsidP="00622FCA">
      <w:pPr>
        <w:spacing w:line="360" w:lineRule="auto"/>
        <w:jc w:val="both"/>
        <w:rPr>
          <w:rFonts w:ascii="Times New Roman" w:hAnsi="Times New Roman" w:cs="Times New Roman"/>
          <w:sz w:val="24"/>
          <w:szCs w:val="24"/>
        </w:rPr>
      </w:pPr>
      <w:r w:rsidRPr="00C727FB">
        <w:rPr>
          <w:rFonts w:ascii="Times New Roman" w:hAnsi="Times New Roman" w:cs="Times New Roman"/>
          <w:sz w:val="24"/>
          <w:szCs w:val="24"/>
        </w:rPr>
        <w:t>The main objective of putting this idea into practice is to ensure that a person's performance may be assessed and assessed on the same criteria from year to year. For instance, the financial statements for the two years won't be comparable if a company depreciates its motor vehicles using the straight-line approach in 2015 but converts to the falling balance method in 2016. This is due to how exact the straight-line approach is.</w:t>
      </w:r>
    </w:p>
    <w:p w14:paraId="65CAE82C" w14:textId="77777777" w:rsidR="00622FCA" w:rsidRDefault="00622FCA" w:rsidP="00622FCA">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Importance</w:t>
      </w:r>
    </w:p>
    <w:p w14:paraId="3439C690" w14:textId="11F0F6A9" w:rsidR="00622FCA" w:rsidRDefault="00622FCA" w:rsidP="00622FCA">
      <w:pPr>
        <w:spacing w:line="360" w:lineRule="auto"/>
        <w:jc w:val="both"/>
        <w:rPr>
          <w:rFonts w:ascii="Times New Roman" w:hAnsi="Times New Roman" w:cs="Times New Roman"/>
          <w:sz w:val="24"/>
          <w:szCs w:val="24"/>
        </w:rPr>
      </w:pPr>
      <w:r w:rsidRPr="003D5501">
        <w:rPr>
          <w:rFonts w:ascii="Times New Roman" w:hAnsi="Times New Roman" w:cs="Times New Roman"/>
          <w:sz w:val="24"/>
          <w:szCs w:val="24"/>
        </w:rPr>
        <w:t>When reporting financial statements, auditors are concerned about whether their clients follow the consistency principle. Financial statements allow creditors and investors to evaluate performance over time</w:t>
      </w:r>
      <w:r w:rsidR="00CB5887">
        <w:rPr>
          <w:rFonts w:ascii="Times New Roman" w:hAnsi="Times New Roman" w:cs="Times New Roman"/>
          <w:sz w:val="24"/>
          <w:szCs w:val="24"/>
        </w:rPr>
        <w:t xml:space="preserve"> (</w:t>
      </w:r>
      <w:proofErr w:type="spellStart"/>
      <w:r w:rsidR="00CB5887" w:rsidRPr="00CB5887">
        <w:rPr>
          <w:rFonts w:ascii="Times New Roman" w:hAnsi="Times New Roman" w:cs="Times New Roman"/>
          <w:sz w:val="24"/>
          <w:szCs w:val="24"/>
        </w:rPr>
        <w:t>Kawugana</w:t>
      </w:r>
      <w:proofErr w:type="spellEnd"/>
      <w:r w:rsidR="007B311D">
        <w:rPr>
          <w:rFonts w:ascii="Times New Roman" w:hAnsi="Times New Roman" w:cs="Times New Roman"/>
          <w:sz w:val="24"/>
          <w:szCs w:val="24"/>
        </w:rPr>
        <w:t xml:space="preserve"> </w:t>
      </w:r>
      <w:r w:rsidR="00CB5887" w:rsidRPr="00CB5887">
        <w:rPr>
          <w:rFonts w:ascii="Times New Roman" w:hAnsi="Times New Roman" w:cs="Times New Roman"/>
          <w:sz w:val="24"/>
          <w:szCs w:val="24"/>
        </w:rPr>
        <w:t xml:space="preserve">and </w:t>
      </w:r>
      <w:proofErr w:type="spellStart"/>
      <w:r w:rsidR="00CB5887" w:rsidRPr="00CB5887">
        <w:rPr>
          <w:rFonts w:ascii="Times New Roman" w:hAnsi="Times New Roman" w:cs="Times New Roman"/>
          <w:sz w:val="24"/>
          <w:szCs w:val="24"/>
        </w:rPr>
        <w:t>Faruna</w:t>
      </w:r>
      <w:proofErr w:type="spellEnd"/>
      <w:r w:rsidR="00CB5887" w:rsidRPr="00CB5887">
        <w:rPr>
          <w:rFonts w:ascii="Times New Roman" w:hAnsi="Times New Roman" w:cs="Times New Roman"/>
          <w:sz w:val="24"/>
          <w:szCs w:val="24"/>
        </w:rPr>
        <w:t>, 2019)</w:t>
      </w:r>
      <w:r w:rsidRPr="003D5501">
        <w:rPr>
          <w:rFonts w:ascii="Times New Roman" w:hAnsi="Times New Roman" w:cs="Times New Roman"/>
          <w:sz w:val="24"/>
          <w:szCs w:val="24"/>
        </w:rPr>
        <w:t>. With the management of the client, many auditors discuss the consistency of the financial reports. An auditor may decline to render an opinion if a client's financial statements fail to uphold the consistency principle.</w:t>
      </w:r>
      <w:r>
        <w:rPr>
          <w:rFonts w:ascii="Times New Roman" w:hAnsi="Times New Roman" w:cs="Times New Roman"/>
          <w:sz w:val="24"/>
          <w:szCs w:val="24"/>
        </w:rPr>
        <w:t xml:space="preserve"> </w:t>
      </w:r>
      <w:r w:rsidRPr="00E26F2C">
        <w:rPr>
          <w:rFonts w:ascii="Times New Roman" w:hAnsi="Times New Roman" w:cs="Times New Roman"/>
          <w:sz w:val="24"/>
          <w:szCs w:val="24"/>
        </w:rPr>
        <w:t>Overstating sales and profits is avoided by management according to the consistency principle. Without a consistency standard, management might simply falsify annual financial reports to portray success as being higher than it actually is. Instead of using double-declining balance, it can use straight-line depreciation to increase earnings in the first few years.</w:t>
      </w:r>
      <w:r>
        <w:rPr>
          <w:rFonts w:ascii="Times New Roman" w:hAnsi="Times New Roman" w:cs="Times New Roman"/>
          <w:sz w:val="24"/>
          <w:szCs w:val="24"/>
        </w:rPr>
        <w:t xml:space="preserve"> </w:t>
      </w:r>
      <w:r w:rsidRPr="00E26F2C">
        <w:rPr>
          <w:rFonts w:ascii="Times New Roman" w:hAnsi="Times New Roman" w:cs="Times New Roman"/>
          <w:sz w:val="24"/>
          <w:szCs w:val="24"/>
        </w:rPr>
        <w:t>The consistency principle is not being followed when a company's activities remain constant but its earnings increase abruptly. Users of financial statements should be alarmed and look into this. A company's financial statements won't be trustworthy or comparable if it doesn't disclose and explain any violations of the consistency principle.</w:t>
      </w:r>
    </w:p>
    <w:p w14:paraId="27834F57" w14:textId="77777777" w:rsidR="00622FCA" w:rsidRPr="00DC2D49" w:rsidRDefault="00622FCA" w:rsidP="00622FCA">
      <w:pPr>
        <w:rPr>
          <w:rFonts w:ascii="Times New Roman" w:hAnsi="Times New Roman" w:cs="Times New Roman"/>
          <w:b/>
          <w:bCs/>
          <w:sz w:val="24"/>
          <w:szCs w:val="24"/>
        </w:rPr>
      </w:pPr>
      <w:r>
        <w:rPr>
          <w:rFonts w:ascii="Times New Roman" w:hAnsi="Times New Roman" w:cs="Times New Roman"/>
          <w:b/>
          <w:bCs/>
          <w:sz w:val="24"/>
          <w:szCs w:val="24"/>
        </w:rPr>
        <w:t>Advantages</w:t>
      </w:r>
    </w:p>
    <w:p w14:paraId="73878BF4" w14:textId="77777777" w:rsidR="00622FCA" w:rsidRDefault="00622FCA" w:rsidP="00622FCA">
      <w:pPr>
        <w:pStyle w:val="ListParagraph"/>
        <w:numPr>
          <w:ilvl w:val="0"/>
          <w:numId w:val="1"/>
        </w:numPr>
        <w:spacing w:line="360" w:lineRule="auto"/>
        <w:jc w:val="both"/>
        <w:rPr>
          <w:rFonts w:ascii="Times New Roman" w:hAnsi="Times New Roman" w:cs="Times New Roman"/>
          <w:sz w:val="24"/>
          <w:szCs w:val="24"/>
        </w:rPr>
      </w:pPr>
      <w:r w:rsidRPr="00EF24A6">
        <w:rPr>
          <w:rFonts w:ascii="Times New Roman" w:hAnsi="Times New Roman" w:cs="Times New Roman"/>
          <w:sz w:val="24"/>
          <w:szCs w:val="24"/>
        </w:rPr>
        <w:t>By implementing the same procedures and policies, accounting firm managers will become accustomed to the process. They will be able to carry out financial reporting duties on a regular basis after receiving initial instruction.</w:t>
      </w:r>
    </w:p>
    <w:p w14:paraId="3210F731" w14:textId="77777777" w:rsidR="00622FCA" w:rsidRDefault="00622FCA" w:rsidP="00622FCA">
      <w:pPr>
        <w:pStyle w:val="ListParagraph"/>
        <w:numPr>
          <w:ilvl w:val="0"/>
          <w:numId w:val="1"/>
        </w:numPr>
        <w:spacing w:line="360" w:lineRule="auto"/>
        <w:jc w:val="both"/>
        <w:rPr>
          <w:rFonts w:ascii="Times New Roman" w:hAnsi="Times New Roman" w:cs="Times New Roman"/>
          <w:sz w:val="24"/>
          <w:szCs w:val="24"/>
        </w:rPr>
      </w:pPr>
      <w:r w:rsidRPr="00335E64">
        <w:rPr>
          <w:rFonts w:ascii="Times New Roman" w:hAnsi="Times New Roman" w:cs="Times New Roman"/>
          <w:sz w:val="24"/>
          <w:szCs w:val="24"/>
        </w:rPr>
        <w:t>Staff inefficiency and training expenses would increase if accounting standards and procedures were frequently changed.</w:t>
      </w:r>
    </w:p>
    <w:p w14:paraId="4FE7EDD7" w14:textId="77777777" w:rsidR="00622FCA" w:rsidRDefault="00622FCA" w:rsidP="00622FCA">
      <w:pPr>
        <w:pStyle w:val="ListParagraph"/>
        <w:numPr>
          <w:ilvl w:val="0"/>
          <w:numId w:val="1"/>
        </w:numPr>
        <w:spacing w:line="360" w:lineRule="auto"/>
        <w:jc w:val="both"/>
        <w:rPr>
          <w:rFonts w:ascii="Times New Roman" w:hAnsi="Times New Roman" w:cs="Times New Roman"/>
          <w:sz w:val="24"/>
          <w:szCs w:val="24"/>
        </w:rPr>
      </w:pPr>
      <w:r w:rsidRPr="000511DB">
        <w:rPr>
          <w:rFonts w:ascii="Times New Roman" w:hAnsi="Times New Roman" w:cs="Times New Roman"/>
          <w:sz w:val="24"/>
          <w:szCs w:val="24"/>
        </w:rPr>
        <w:t>The consistency principle will be applied consistently to a company's financial accounts. A company's financial and operational success over time could be compared by creditors, investors, managers, and other stakeholders.</w:t>
      </w:r>
    </w:p>
    <w:p w14:paraId="0F9C1F2F" w14:textId="77777777" w:rsidR="00622FCA" w:rsidRPr="005B2FAD" w:rsidRDefault="00622FCA" w:rsidP="00622FCA">
      <w:pPr>
        <w:pStyle w:val="ListParagraph"/>
        <w:numPr>
          <w:ilvl w:val="0"/>
          <w:numId w:val="1"/>
        </w:numPr>
        <w:spacing w:line="360" w:lineRule="auto"/>
        <w:jc w:val="both"/>
        <w:rPr>
          <w:rFonts w:ascii="Times New Roman" w:hAnsi="Times New Roman" w:cs="Times New Roman"/>
          <w:sz w:val="24"/>
          <w:szCs w:val="24"/>
        </w:rPr>
      </w:pPr>
      <w:r w:rsidRPr="00565BB1">
        <w:rPr>
          <w:rFonts w:ascii="Times New Roman" w:hAnsi="Times New Roman" w:cs="Times New Roman"/>
          <w:sz w:val="24"/>
          <w:szCs w:val="24"/>
        </w:rPr>
        <w:t>If a company's financial statements violate the consistency principle and lack proper disclosures or a convincing reason, the majority of auditors won't pass judgment on them.</w:t>
      </w:r>
    </w:p>
    <w:p w14:paraId="2F4D5A2A" w14:textId="510BA8B0" w:rsidR="001E448B" w:rsidRPr="00956D54" w:rsidRDefault="00622FCA" w:rsidP="0045432C">
      <w:pPr>
        <w:pStyle w:val="ListParagraph"/>
        <w:numPr>
          <w:ilvl w:val="0"/>
          <w:numId w:val="1"/>
        </w:numPr>
        <w:spacing w:line="360" w:lineRule="auto"/>
        <w:jc w:val="both"/>
        <w:rPr>
          <w:rFonts w:ascii="Times New Roman" w:hAnsi="Times New Roman" w:cs="Times New Roman"/>
          <w:sz w:val="24"/>
          <w:szCs w:val="24"/>
        </w:rPr>
      </w:pPr>
      <w:r w:rsidRPr="00CA5D6F">
        <w:rPr>
          <w:rFonts w:ascii="Times New Roman" w:hAnsi="Times New Roman" w:cs="Times New Roman"/>
          <w:sz w:val="24"/>
          <w:szCs w:val="24"/>
        </w:rPr>
        <w:t>The consistency principle ensures that staff members consistently utilize the same accounting procedures, preventing the need for retraining. Process familiarity improves employee productivity</w:t>
      </w:r>
      <w:r w:rsidR="0097679B">
        <w:rPr>
          <w:rFonts w:ascii="Times New Roman" w:hAnsi="Times New Roman" w:cs="Times New Roman"/>
          <w:sz w:val="24"/>
          <w:szCs w:val="24"/>
        </w:rPr>
        <w:t xml:space="preserve"> (</w:t>
      </w:r>
      <w:r w:rsidR="0097679B" w:rsidRPr="0069755D">
        <w:rPr>
          <w:rFonts w:ascii="Times New Roman" w:hAnsi="Times New Roman" w:cs="Times New Roman"/>
          <w:sz w:val="24"/>
          <w:szCs w:val="24"/>
        </w:rPr>
        <w:t>Ameen, Ahmed</w:t>
      </w:r>
      <w:r w:rsidR="0097679B">
        <w:rPr>
          <w:rFonts w:ascii="Times New Roman" w:hAnsi="Times New Roman" w:cs="Times New Roman"/>
          <w:sz w:val="24"/>
          <w:szCs w:val="24"/>
        </w:rPr>
        <w:t xml:space="preserve"> </w:t>
      </w:r>
      <w:r w:rsidR="0097679B" w:rsidRPr="0069755D">
        <w:rPr>
          <w:rFonts w:ascii="Times New Roman" w:hAnsi="Times New Roman" w:cs="Times New Roman"/>
          <w:sz w:val="24"/>
          <w:szCs w:val="24"/>
        </w:rPr>
        <w:t xml:space="preserve">and </w:t>
      </w:r>
      <w:proofErr w:type="spellStart"/>
      <w:r w:rsidR="0097679B" w:rsidRPr="0069755D">
        <w:rPr>
          <w:rFonts w:ascii="Times New Roman" w:hAnsi="Times New Roman" w:cs="Times New Roman"/>
          <w:sz w:val="24"/>
          <w:szCs w:val="24"/>
        </w:rPr>
        <w:t>Abd</w:t>
      </w:r>
      <w:proofErr w:type="spellEnd"/>
      <w:r w:rsidR="0097679B" w:rsidRPr="0069755D">
        <w:rPr>
          <w:rFonts w:ascii="Times New Roman" w:hAnsi="Times New Roman" w:cs="Times New Roman"/>
          <w:sz w:val="24"/>
          <w:szCs w:val="24"/>
        </w:rPr>
        <w:t xml:space="preserve"> Hafez, 2018</w:t>
      </w:r>
      <w:r w:rsidR="0097679B">
        <w:rPr>
          <w:rFonts w:ascii="Times New Roman" w:hAnsi="Times New Roman" w:cs="Times New Roman"/>
          <w:sz w:val="24"/>
          <w:szCs w:val="24"/>
        </w:rPr>
        <w:t>)</w:t>
      </w:r>
      <w:r w:rsidRPr="00CA5D6F">
        <w:rPr>
          <w:rFonts w:ascii="Times New Roman" w:hAnsi="Times New Roman" w:cs="Times New Roman"/>
          <w:sz w:val="24"/>
          <w:szCs w:val="24"/>
        </w:rPr>
        <w:t>.</w:t>
      </w:r>
      <w:r w:rsidR="0045432C" w:rsidRPr="00956D54">
        <w:rPr>
          <w:rFonts w:ascii="Times New Roman" w:hAnsi="Times New Roman" w:cs="Times New Roman"/>
          <w:sz w:val="24"/>
          <w:szCs w:val="24"/>
        </w:rPr>
        <w:br w:type="page"/>
      </w:r>
    </w:p>
    <w:p w14:paraId="72465EBE" w14:textId="05056C10" w:rsidR="00B154A4" w:rsidRDefault="005B2D58" w:rsidP="00B154A4">
      <w:pPr>
        <w:pStyle w:val="Heading2"/>
      </w:pPr>
      <w:bookmarkStart w:id="6" w:name="_Toc108284460"/>
      <w:r>
        <w:t xml:space="preserve">The </w:t>
      </w:r>
      <w:r w:rsidR="009A7DA8">
        <w:t>Going Concern</w:t>
      </w:r>
      <w:r>
        <w:t xml:space="preserve"> Concept</w:t>
      </w:r>
      <w:bookmarkEnd w:id="6"/>
    </w:p>
    <w:p w14:paraId="6386FD1A" w14:textId="2DA9D8CB" w:rsidR="0059646C" w:rsidRPr="0059646C" w:rsidRDefault="0059646C" w:rsidP="0059646C">
      <w:pPr>
        <w:spacing w:line="360" w:lineRule="auto"/>
        <w:jc w:val="both"/>
        <w:rPr>
          <w:rFonts w:ascii="Times New Roman" w:hAnsi="Times New Roman" w:cs="Times New Roman"/>
          <w:sz w:val="24"/>
          <w:szCs w:val="24"/>
        </w:rPr>
      </w:pPr>
      <w:r w:rsidRPr="0059646C">
        <w:rPr>
          <w:rFonts w:ascii="Times New Roman" w:hAnsi="Times New Roman" w:cs="Times New Roman"/>
          <w:sz w:val="24"/>
          <w:szCs w:val="24"/>
        </w:rPr>
        <w:t>The going concern concept states that businesses should be seen as if they will last forever or long enough to accomplish their objectives</w:t>
      </w:r>
      <w:r w:rsidR="00084A97">
        <w:rPr>
          <w:rFonts w:ascii="Times New Roman" w:hAnsi="Times New Roman" w:cs="Times New Roman"/>
          <w:sz w:val="24"/>
          <w:szCs w:val="24"/>
        </w:rPr>
        <w:t xml:space="preserve"> (</w:t>
      </w:r>
      <w:r w:rsidR="00084A97" w:rsidRPr="00084A97">
        <w:rPr>
          <w:rFonts w:ascii="Times New Roman" w:hAnsi="Times New Roman" w:cs="Times New Roman"/>
          <w:sz w:val="24"/>
          <w:szCs w:val="24"/>
        </w:rPr>
        <w:t>Sterling, 2021</w:t>
      </w:r>
      <w:r w:rsidR="00084A97">
        <w:rPr>
          <w:rFonts w:ascii="Times New Roman" w:hAnsi="Times New Roman" w:cs="Times New Roman"/>
          <w:sz w:val="24"/>
          <w:szCs w:val="24"/>
        </w:rPr>
        <w:t>)</w:t>
      </w:r>
      <w:r w:rsidRPr="0059646C">
        <w:rPr>
          <w:rFonts w:ascii="Times New Roman" w:hAnsi="Times New Roman" w:cs="Times New Roman"/>
          <w:sz w:val="24"/>
          <w:szCs w:val="24"/>
        </w:rPr>
        <w:t>. Going concern assumes that businesses will last a long time and won't close or be sold soon. Going-concern businesses are expected to endure. Going concerns aren't businesses that will soon close.</w:t>
      </w:r>
    </w:p>
    <w:p w14:paraId="4CA8AB5B" w14:textId="77777777" w:rsidR="0059646C" w:rsidRPr="0059646C" w:rsidRDefault="0059646C" w:rsidP="0059646C">
      <w:pPr>
        <w:spacing w:line="360" w:lineRule="auto"/>
        <w:jc w:val="both"/>
        <w:rPr>
          <w:rFonts w:ascii="Times New Roman" w:hAnsi="Times New Roman" w:cs="Times New Roman"/>
          <w:sz w:val="24"/>
          <w:szCs w:val="24"/>
        </w:rPr>
      </w:pPr>
      <w:r w:rsidRPr="0059646C">
        <w:rPr>
          <w:rFonts w:ascii="Times New Roman" w:hAnsi="Times New Roman" w:cs="Times New Roman"/>
          <w:sz w:val="24"/>
          <w:szCs w:val="24"/>
        </w:rPr>
        <w:t>GAAP emphasizes the notion of a going concern. Without the going concern assumption, businesses could not prepay or accrue expenses. If we don't assume that businesses would operate, why would we prepay or accumulate? It's possible that the business won't be there for very long.</w:t>
      </w:r>
    </w:p>
    <w:p w14:paraId="7DC2A4E3" w14:textId="77777777" w:rsidR="0059646C" w:rsidRPr="0059646C" w:rsidRDefault="0059646C" w:rsidP="0059646C">
      <w:pPr>
        <w:spacing w:line="360" w:lineRule="auto"/>
        <w:jc w:val="both"/>
        <w:rPr>
          <w:rFonts w:ascii="Times New Roman" w:hAnsi="Times New Roman" w:cs="Times New Roman"/>
          <w:sz w:val="24"/>
          <w:szCs w:val="24"/>
        </w:rPr>
      </w:pPr>
      <w:r w:rsidRPr="0059646C">
        <w:rPr>
          <w:rFonts w:ascii="Times New Roman" w:hAnsi="Times New Roman" w:cs="Times New Roman"/>
          <w:sz w:val="24"/>
          <w:szCs w:val="24"/>
        </w:rPr>
        <w:t>Assets are a going concern's contribution to GAAP. In order to depreciate and amortize assets, businesses must continue to run. Assets are provided at historical costs as a result of the going concern assumption. A liquidation strategy is more appropriate if we disregard the going concern and assume the company could go out of business in a year. The definition of assets would change from current and long-term to current only.</w:t>
      </w:r>
    </w:p>
    <w:p w14:paraId="27234F2B" w14:textId="77777777" w:rsidR="0059646C" w:rsidRDefault="0059646C" w:rsidP="0059646C">
      <w:pPr>
        <w:spacing w:line="360" w:lineRule="auto"/>
        <w:jc w:val="both"/>
        <w:rPr>
          <w:rFonts w:ascii="Times New Roman" w:hAnsi="Times New Roman" w:cs="Times New Roman"/>
          <w:sz w:val="24"/>
          <w:szCs w:val="24"/>
        </w:rPr>
      </w:pPr>
      <w:r w:rsidRPr="0059646C">
        <w:rPr>
          <w:rFonts w:ascii="Times New Roman" w:hAnsi="Times New Roman" w:cs="Times New Roman"/>
          <w:sz w:val="24"/>
          <w:szCs w:val="24"/>
        </w:rPr>
        <w:t>Some businesses fail and shut down. The financial statements should make this clear if the company's finances indicate that the going concern assumption cannot be upheld (the company may file for bankruptcy).</w:t>
      </w:r>
    </w:p>
    <w:p w14:paraId="3D6AF8F4" w14:textId="6398CDF0" w:rsidR="00123A42" w:rsidRPr="00A209C1" w:rsidRDefault="00311C21" w:rsidP="0059646C">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Advantages</w:t>
      </w:r>
    </w:p>
    <w:p w14:paraId="655F12F7" w14:textId="77777777" w:rsidR="00273DF7" w:rsidRPr="00273DF7" w:rsidRDefault="00273DF7" w:rsidP="00273DF7">
      <w:pPr>
        <w:spacing w:line="360" w:lineRule="auto"/>
        <w:jc w:val="both"/>
        <w:rPr>
          <w:rFonts w:ascii="Times New Roman" w:hAnsi="Times New Roman" w:cs="Times New Roman"/>
          <w:sz w:val="24"/>
          <w:szCs w:val="24"/>
        </w:rPr>
      </w:pPr>
      <w:r w:rsidRPr="00273DF7">
        <w:rPr>
          <w:rFonts w:ascii="Times New Roman" w:hAnsi="Times New Roman" w:cs="Times New Roman"/>
          <w:sz w:val="24"/>
          <w:szCs w:val="24"/>
        </w:rPr>
        <w:t>Going concern has several advantages, but a few of the more important ones are as follows:</w:t>
      </w:r>
    </w:p>
    <w:p w14:paraId="57ABE143" w14:textId="190AE98E" w:rsidR="00837E17" w:rsidRDefault="00837E17" w:rsidP="00837E17">
      <w:pPr>
        <w:pStyle w:val="ListParagraph"/>
        <w:numPr>
          <w:ilvl w:val="0"/>
          <w:numId w:val="7"/>
        </w:numPr>
        <w:spacing w:line="360" w:lineRule="auto"/>
        <w:jc w:val="both"/>
        <w:rPr>
          <w:rFonts w:ascii="Times New Roman" w:hAnsi="Times New Roman" w:cs="Times New Roman"/>
          <w:sz w:val="24"/>
          <w:szCs w:val="24"/>
        </w:rPr>
      </w:pPr>
      <w:r w:rsidRPr="00837E17">
        <w:rPr>
          <w:rFonts w:ascii="Times New Roman" w:hAnsi="Times New Roman" w:cs="Times New Roman"/>
          <w:sz w:val="24"/>
          <w:szCs w:val="24"/>
        </w:rPr>
        <w:t>During the early years, businesses invest a sizable amount in fixed assets as part of their expenditure for immediate demands. However, the benefits of the assets are spread out throughout the course of the year (generally over a year). The running concern acknowledges the recording of such expense during the asset's lifetime. </w:t>
      </w:r>
    </w:p>
    <w:p w14:paraId="52AE9F89" w14:textId="38E31964" w:rsidR="005B1FCA" w:rsidRPr="005B1FCA" w:rsidRDefault="005B1FCA" w:rsidP="005B1FCA">
      <w:pPr>
        <w:pStyle w:val="ListParagraph"/>
        <w:numPr>
          <w:ilvl w:val="0"/>
          <w:numId w:val="7"/>
        </w:numPr>
        <w:spacing w:line="360" w:lineRule="auto"/>
        <w:jc w:val="both"/>
        <w:rPr>
          <w:rFonts w:ascii="Times New Roman" w:hAnsi="Times New Roman" w:cs="Times New Roman"/>
          <w:sz w:val="24"/>
          <w:szCs w:val="24"/>
        </w:rPr>
      </w:pPr>
      <w:r w:rsidRPr="00837E17">
        <w:rPr>
          <w:rFonts w:ascii="Times New Roman" w:hAnsi="Times New Roman" w:cs="Times New Roman"/>
          <w:sz w:val="24"/>
          <w:szCs w:val="24"/>
        </w:rPr>
        <w:t>The concept permits the split of assets and liabilities into short-term, long-term (often lasting more than a year), and 12-month periods. It encourages confidence in a business' potential to endure into the future.</w:t>
      </w:r>
    </w:p>
    <w:p w14:paraId="77EDB58E" w14:textId="4F33997C" w:rsidR="00837E17" w:rsidRPr="00837E17" w:rsidRDefault="00837E17" w:rsidP="00837E17">
      <w:pPr>
        <w:pStyle w:val="ListParagraph"/>
        <w:numPr>
          <w:ilvl w:val="0"/>
          <w:numId w:val="7"/>
        </w:numPr>
        <w:spacing w:line="360" w:lineRule="auto"/>
        <w:jc w:val="both"/>
        <w:rPr>
          <w:rFonts w:ascii="Times New Roman" w:hAnsi="Times New Roman" w:cs="Times New Roman"/>
          <w:sz w:val="24"/>
          <w:szCs w:val="24"/>
        </w:rPr>
      </w:pPr>
      <w:r w:rsidRPr="00837E17">
        <w:rPr>
          <w:rFonts w:ascii="Times New Roman" w:hAnsi="Times New Roman" w:cs="Times New Roman"/>
          <w:sz w:val="24"/>
          <w:szCs w:val="24"/>
        </w:rPr>
        <w:t>The concept of "going concern" serves as the basis for recor</w:t>
      </w:r>
      <w:r w:rsidR="00945868">
        <w:rPr>
          <w:rFonts w:ascii="Times New Roman" w:hAnsi="Times New Roman" w:cs="Times New Roman"/>
          <w:sz w:val="24"/>
          <w:szCs w:val="24"/>
        </w:rPr>
        <w:t xml:space="preserve">ding income or profits over the </w:t>
      </w:r>
      <w:r w:rsidRPr="00837E17">
        <w:rPr>
          <w:rFonts w:ascii="Times New Roman" w:hAnsi="Times New Roman" w:cs="Times New Roman"/>
          <w:sz w:val="24"/>
          <w:szCs w:val="24"/>
        </w:rPr>
        <w:t>applicable period of time. </w:t>
      </w:r>
    </w:p>
    <w:p w14:paraId="14742392" w14:textId="77777777" w:rsidR="00794D0D" w:rsidRDefault="00794D0D" w:rsidP="00837E17">
      <w:pPr>
        <w:spacing w:line="360" w:lineRule="auto"/>
        <w:jc w:val="both"/>
        <w:rPr>
          <w:rFonts w:ascii="Times New Roman" w:hAnsi="Times New Roman" w:cs="Times New Roman"/>
          <w:b/>
          <w:bCs/>
          <w:sz w:val="24"/>
          <w:szCs w:val="24"/>
        </w:rPr>
      </w:pPr>
    </w:p>
    <w:p w14:paraId="491F9BAB" w14:textId="13B4A6EA" w:rsidR="0018281E" w:rsidRPr="0018281E" w:rsidRDefault="00311C21" w:rsidP="00837E17">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Disadvantages</w:t>
      </w:r>
    </w:p>
    <w:p w14:paraId="330A0271" w14:textId="5638B958" w:rsidR="0018281E" w:rsidRPr="0018281E" w:rsidRDefault="00BB55DA" w:rsidP="0018281E">
      <w:pPr>
        <w:spacing w:line="360" w:lineRule="auto"/>
        <w:jc w:val="both"/>
        <w:rPr>
          <w:rFonts w:ascii="Times New Roman" w:hAnsi="Times New Roman" w:cs="Times New Roman"/>
          <w:sz w:val="24"/>
          <w:szCs w:val="24"/>
        </w:rPr>
      </w:pPr>
      <w:r>
        <w:rPr>
          <w:rFonts w:ascii="Times New Roman" w:hAnsi="Times New Roman" w:cs="Times New Roman"/>
          <w:sz w:val="24"/>
          <w:szCs w:val="24"/>
        </w:rPr>
        <w:t>There are some limitations of this concept:</w:t>
      </w:r>
    </w:p>
    <w:p w14:paraId="33254CAD" w14:textId="5F779907" w:rsidR="00B375D9" w:rsidRPr="00B375D9" w:rsidRDefault="00B375D9" w:rsidP="00B375D9">
      <w:pPr>
        <w:pStyle w:val="ListParagraph"/>
        <w:numPr>
          <w:ilvl w:val="0"/>
          <w:numId w:val="7"/>
        </w:numPr>
        <w:spacing w:line="360" w:lineRule="auto"/>
        <w:jc w:val="both"/>
        <w:rPr>
          <w:rFonts w:ascii="Times New Roman" w:hAnsi="Times New Roman" w:cs="Times New Roman"/>
          <w:sz w:val="24"/>
          <w:szCs w:val="24"/>
        </w:rPr>
      </w:pPr>
      <w:r w:rsidRPr="00B375D9">
        <w:rPr>
          <w:rFonts w:ascii="Times New Roman" w:hAnsi="Times New Roman" w:cs="Times New Roman"/>
          <w:sz w:val="24"/>
          <w:szCs w:val="24"/>
        </w:rPr>
        <w:t>Cost rather than market value is used to construct financial reporting. The financial records would be revised if an organization had to liquidate its assets. New values and cost-based ones can diverge significantly.</w:t>
      </w:r>
    </w:p>
    <w:p w14:paraId="7042304D" w14:textId="7B196563" w:rsidR="00B375D9" w:rsidRDefault="00B375D9" w:rsidP="00B375D9">
      <w:pPr>
        <w:pStyle w:val="ListParagraph"/>
        <w:numPr>
          <w:ilvl w:val="0"/>
          <w:numId w:val="7"/>
        </w:numPr>
        <w:spacing w:line="360" w:lineRule="auto"/>
        <w:jc w:val="both"/>
        <w:rPr>
          <w:rFonts w:ascii="Times New Roman" w:hAnsi="Times New Roman" w:cs="Times New Roman"/>
          <w:sz w:val="24"/>
          <w:szCs w:val="24"/>
        </w:rPr>
      </w:pPr>
      <w:r w:rsidRPr="00B375D9">
        <w:rPr>
          <w:rFonts w:ascii="Times New Roman" w:hAnsi="Times New Roman" w:cs="Times New Roman"/>
          <w:sz w:val="24"/>
          <w:szCs w:val="24"/>
        </w:rPr>
        <w:t>The business may experience difficulties with going concern due to evolving laws. It would hasten the recording of financial transactions.</w:t>
      </w:r>
    </w:p>
    <w:p w14:paraId="185372F1" w14:textId="06494312" w:rsidR="000A183A" w:rsidRDefault="004C335F" w:rsidP="004C335F">
      <w:pPr>
        <w:pStyle w:val="ListParagraph"/>
        <w:numPr>
          <w:ilvl w:val="0"/>
          <w:numId w:val="7"/>
        </w:numPr>
        <w:spacing w:line="360" w:lineRule="auto"/>
        <w:jc w:val="both"/>
        <w:rPr>
          <w:rFonts w:ascii="Times New Roman" w:hAnsi="Times New Roman" w:cs="Times New Roman"/>
          <w:sz w:val="24"/>
          <w:szCs w:val="24"/>
        </w:rPr>
      </w:pPr>
      <w:r w:rsidRPr="00B375D9">
        <w:rPr>
          <w:rFonts w:ascii="Times New Roman" w:hAnsi="Times New Roman" w:cs="Times New Roman"/>
          <w:sz w:val="24"/>
          <w:szCs w:val="24"/>
        </w:rPr>
        <w:t>Going-concern financial statements are created if the company is closing. This might give erroneous information to stakeholders, misleading them.</w:t>
      </w:r>
    </w:p>
    <w:p w14:paraId="49ACD3E1" w14:textId="21C4B6F5" w:rsidR="004C335F" w:rsidRDefault="004C335F" w:rsidP="000A183A">
      <w:pPr>
        <w:rPr>
          <w:rFonts w:ascii="Times New Roman" w:hAnsi="Times New Roman" w:cs="Times New Roman"/>
          <w:sz w:val="24"/>
          <w:szCs w:val="24"/>
        </w:rPr>
      </w:pPr>
    </w:p>
    <w:p w14:paraId="6A2AA5E3" w14:textId="77777777" w:rsidR="00993A62" w:rsidRPr="002A697D" w:rsidRDefault="00993A62" w:rsidP="00993A62">
      <w:pPr>
        <w:pStyle w:val="Heading2"/>
      </w:pPr>
      <w:bookmarkStart w:id="7" w:name="_Toc108284461"/>
      <w:r>
        <w:t>The Materiality Concept</w:t>
      </w:r>
      <w:bookmarkEnd w:id="7"/>
    </w:p>
    <w:p w14:paraId="012AD8F9" w14:textId="77777777" w:rsidR="00993A62" w:rsidRDefault="00993A62" w:rsidP="00993A62">
      <w:pPr>
        <w:spacing w:line="360" w:lineRule="auto"/>
        <w:jc w:val="both"/>
        <w:rPr>
          <w:rFonts w:ascii="Times New Roman" w:hAnsi="Times New Roman" w:cs="Times New Roman"/>
          <w:b/>
          <w:bCs/>
          <w:sz w:val="24"/>
          <w:szCs w:val="24"/>
        </w:rPr>
      </w:pPr>
      <w:r w:rsidRPr="00492615">
        <w:rPr>
          <w:rFonts w:ascii="Times New Roman" w:hAnsi="Times New Roman" w:cs="Times New Roman"/>
          <w:b/>
          <w:bCs/>
          <w:sz w:val="24"/>
          <w:szCs w:val="24"/>
        </w:rPr>
        <w:t>Explanation</w:t>
      </w:r>
    </w:p>
    <w:p w14:paraId="63D28453" w14:textId="13920A42" w:rsidR="00993A62" w:rsidRPr="00195F0C" w:rsidRDefault="00993A62" w:rsidP="00993A62">
      <w:pPr>
        <w:spacing w:line="360" w:lineRule="auto"/>
        <w:jc w:val="both"/>
        <w:rPr>
          <w:rFonts w:ascii="Times New Roman" w:hAnsi="Times New Roman" w:cs="Times New Roman"/>
          <w:sz w:val="24"/>
          <w:szCs w:val="24"/>
        </w:rPr>
      </w:pPr>
      <w:r w:rsidRPr="00195F0C">
        <w:rPr>
          <w:rFonts w:ascii="Times New Roman" w:hAnsi="Times New Roman" w:cs="Times New Roman"/>
          <w:sz w:val="24"/>
          <w:szCs w:val="24"/>
        </w:rPr>
        <w:t>According to the materiality hypothesis, financial information is significant if it causes a reasonable person to modify their opinion</w:t>
      </w:r>
      <w:r w:rsidR="0059450C">
        <w:rPr>
          <w:rFonts w:ascii="Times New Roman" w:hAnsi="Times New Roman" w:cs="Times New Roman"/>
          <w:sz w:val="24"/>
          <w:szCs w:val="24"/>
        </w:rPr>
        <w:t xml:space="preserve"> (</w:t>
      </w:r>
      <w:proofErr w:type="spellStart"/>
      <w:r w:rsidR="0059450C">
        <w:rPr>
          <w:rFonts w:ascii="Times New Roman" w:hAnsi="Times New Roman" w:cs="Times New Roman"/>
          <w:sz w:val="24"/>
          <w:szCs w:val="24"/>
        </w:rPr>
        <w:t>Kumor</w:t>
      </w:r>
      <w:proofErr w:type="spellEnd"/>
      <w:r w:rsidR="0059450C">
        <w:rPr>
          <w:rFonts w:ascii="Times New Roman" w:hAnsi="Times New Roman" w:cs="Times New Roman"/>
          <w:sz w:val="24"/>
          <w:szCs w:val="24"/>
        </w:rPr>
        <w:t xml:space="preserve"> </w:t>
      </w:r>
      <w:r w:rsidR="0059450C" w:rsidRPr="0059450C">
        <w:rPr>
          <w:rFonts w:ascii="Times New Roman" w:hAnsi="Times New Roman" w:cs="Times New Roman"/>
          <w:sz w:val="24"/>
          <w:szCs w:val="24"/>
        </w:rPr>
        <w:t xml:space="preserve">and </w:t>
      </w:r>
      <w:proofErr w:type="spellStart"/>
      <w:r w:rsidR="0059450C" w:rsidRPr="0059450C">
        <w:rPr>
          <w:rFonts w:ascii="Times New Roman" w:hAnsi="Times New Roman" w:cs="Times New Roman"/>
          <w:sz w:val="24"/>
          <w:szCs w:val="24"/>
        </w:rPr>
        <w:t>Mackowiak</w:t>
      </w:r>
      <w:proofErr w:type="spellEnd"/>
      <w:r w:rsidR="0059450C" w:rsidRPr="0059450C">
        <w:rPr>
          <w:rFonts w:ascii="Times New Roman" w:hAnsi="Times New Roman" w:cs="Times New Roman"/>
          <w:sz w:val="24"/>
          <w:szCs w:val="24"/>
        </w:rPr>
        <w:t>, 2018</w:t>
      </w:r>
      <w:r w:rsidR="0059450C">
        <w:rPr>
          <w:rFonts w:ascii="Times New Roman" w:hAnsi="Times New Roman" w:cs="Times New Roman"/>
          <w:sz w:val="24"/>
          <w:szCs w:val="24"/>
        </w:rPr>
        <w:t>)</w:t>
      </w:r>
      <w:r w:rsidRPr="00195F0C">
        <w:rPr>
          <w:rFonts w:ascii="Times New Roman" w:hAnsi="Times New Roman" w:cs="Times New Roman"/>
          <w:sz w:val="24"/>
          <w:szCs w:val="24"/>
        </w:rPr>
        <w:t>. The financial statements should cover every key piece of financial information that might have an impact on a user's choice.</w:t>
      </w:r>
    </w:p>
    <w:p w14:paraId="07344232" w14:textId="5DEA913D" w:rsidR="00993A62" w:rsidRPr="008B43CB" w:rsidRDefault="00993A62" w:rsidP="00993A62">
      <w:pPr>
        <w:spacing w:line="360" w:lineRule="auto"/>
        <w:jc w:val="both"/>
        <w:rPr>
          <w:rFonts w:ascii="Times New Roman" w:hAnsi="Times New Roman" w:cs="Times New Roman"/>
          <w:sz w:val="24"/>
          <w:szCs w:val="24"/>
        </w:rPr>
      </w:pPr>
      <w:r w:rsidRPr="00195F0C">
        <w:rPr>
          <w:rFonts w:ascii="Times New Roman" w:hAnsi="Times New Roman" w:cs="Times New Roman"/>
          <w:sz w:val="24"/>
          <w:szCs w:val="24"/>
        </w:rPr>
        <w:t>What is material is determined by size and importance. It was impossible for financial data from one corporation to have any significance for another. This is evident when comparing small and large businesses. Due to its size and revenue, a large firm may not have many expenses. Does data from financial statements have any significance? Materiality makes an effort to react. If not, it shouldn't be disclosed in the financial statements of the company. Both qualitative and quantitative elements are often used to define the importance of financial information. Professionals have the knowledge and the judgment to determine what is material.</w:t>
      </w:r>
    </w:p>
    <w:p w14:paraId="7ADC287D" w14:textId="77777777" w:rsidR="00993A62" w:rsidRDefault="00993A62" w:rsidP="00993A62">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Objective</w:t>
      </w:r>
    </w:p>
    <w:p w14:paraId="6B0A49AE" w14:textId="77777777" w:rsidR="00993A62" w:rsidRDefault="00993A62" w:rsidP="00993A62">
      <w:pPr>
        <w:spacing w:line="360" w:lineRule="auto"/>
        <w:jc w:val="both"/>
        <w:rPr>
          <w:rFonts w:ascii="Times New Roman" w:hAnsi="Times New Roman" w:cs="Times New Roman"/>
          <w:sz w:val="24"/>
          <w:szCs w:val="24"/>
        </w:rPr>
      </w:pPr>
      <w:r w:rsidRPr="00DF1405">
        <w:rPr>
          <w:rFonts w:ascii="Times New Roman" w:hAnsi="Times New Roman" w:cs="Times New Roman"/>
          <w:sz w:val="24"/>
          <w:szCs w:val="24"/>
        </w:rPr>
        <w:t>The materiality concept's background might be used to support the auditors' conclusions. The auditors must publish a report outlining a true and accurate representation of the company's financial statements. As a result, it will be simple for an auditor to reach a just judgment utilizing pertinent data.</w:t>
      </w:r>
    </w:p>
    <w:p w14:paraId="2EF58A82" w14:textId="77777777" w:rsidR="00794D0D" w:rsidRDefault="00794D0D" w:rsidP="00993A62">
      <w:pPr>
        <w:spacing w:line="360" w:lineRule="auto"/>
        <w:jc w:val="both"/>
        <w:rPr>
          <w:rFonts w:ascii="Times New Roman" w:hAnsi="Times New Roman" w:cs="Times New Roman"/>
          <w:b/>
          <w:bCs/>
          <w:sz w:val="24"/>
          <w:szCs w:val="24"/>
        </w:rPr>
      </w:pPr>
    </w:p>
    <w:p w14:paraId="04B9853C" w14:textId="14AF950B" w:rsidR="00993A62" w:rsidRDefault="00993A62" w:rsidP="00993A62">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Importance</w:t>
      </w:r>
    </w:p>
    <w:p w14:paraId="5C390D5C" w14:textId="77777777" w:rsidR="00993A62" w:rsidRDefault="00993A62" w:rsidP="00993A62">
      <w:pPr>
        <w:spacing w:line="360" w:lineRule="auto"/>
        <w:jc w:val="both"/>
        <w:rPr>
          <w:rFonts w:ascii="Times New Roman" w:hAnsi="Times New Roman" w:cs="Times New Roman"/>
          <w:sz w:val="24"/>
          <w:szCs w:val="24"/>
        </w:rPr>
      </w:pPr>
      <w:r w:rsidRPr="00992B6D">
        <w:rPr>
          <w:rFonts w:ascii="Times New Roman" w:hAnsi="Times New Roman" w:cs="Times New Roman"/>
          <w:sz w:val="24"/>
          <w:szCs w:val="24"/>
        </w:rPr>
        <w:t>A corporation may view information as irrelevant if a transaction's financial worth is sufficiently low or if its nature is enough unimportant to the company's core operations. If it is less time-consuming or less expensive to do so, a firm may choose to utilize a different way of accounting for the transaction than that suggested by accounting principles in this situation. The cutoff point could change over time, and the materiality standard for one company might not match that of another.</w:t>
      </w:r>
    </w:p>
    <w:p w14:paraId="13C275F7" w14:textId="77777777" w:rsidR="00993A62" w:rsidRDefault="00993A62" w:rsidP="00993A62">
      <w:pPr>
        <w:spacing w:line="360" w:lineRule="auto"/>
        <w:jc w:val="both"/>
        <w:rPr>
          <w:rFonts w:ascii="Times New Roman" w:hAnsi="Times New Roman" w:cs="Times New Roman"/>
          <w:b/>
          <w:bCs/>
          <w:sz w:val="24"/>
          <w:szCs w:val="24"/>
        </w:rPr>
      </w:pPr>
      <w:r w:rsidRPr="00042D65">
        <w:rPr>
          <w:rFonts w:ascii="Times New Roman" w:hAnsi="Times New Roman" w:cs="Times New Roman"/>
          <w:b/>
          <w:bCs/>
          <w:sz w:val="24"/>
          <w:szCs w:val="24"/>
        </w:rPr>
        <w:t>Adva</w:t>
      </w:r>
      <w:r>
        <w:rPr>
          <w:rFonts w:ascii="Times New Roman" w:hAnsi="Times New Roman" w:cs="Times New Roman"/>
          <w:b/>
          <w:bCs/>
          <w:sz w:val="24"/>
          <w:szCs w:val="24"/>
        </w:rPr>
        <w:t>ntages</w:t>
      </w:r>
    </w:p>
    <w:p w14:paraId="26343BA8" w14:textId="77777777" w:rsidR="00993A62" w:rsidRPr="0025038F" w:rsidRDefault="00993A62" w:rsidP="00993A62">
      <w:pPr>
        <w:pStyle w:val="ListParagraph"/>
        <w:numPr>
          <w:ilvl w:val="0"/>
          <w:numId w:val="2"/>
        </w:numPr>
        <w:spacing w:line="360" w:lineRule="auto"/>
        <w:jc w:val="both"/>
        <w:rPr>
          <w:rFonts w:ascii="Times New Roman" w:hAnsi="Times New Roman" w:cs="Times New Roman"/>
          <w:sz w:val="24"/>
          <w:szCs w:val="24"/>
        </w:rPr>
      </w:pPr>
      <w:r w:rsidRPr="0025038F">
        <w:rPr>
          <w:rFonts w:ascii="Times New Roman" w:hAnsi="Times New Roman" w:cs="Times New Roman"/>
          <w:sz w:val="24"/>
          <w:szCs w:val="24"/>
        </w:rPr>
        <w:t>The idea of materiality aids users in understanding significant commercial transactions. Due to the fact that the shareholders' and investors' money is involved in the company, they have a right to information regarding important issues so they may continue to feel confident that their money is secure.</w:t>
      </w:r>
    </w:p>
    <w:p w14:paraId="3CE154FA" w14:textId="77777777" w:rsidR="00993A62" w:rsidRDefault="00993A62" w:rsidP="00993A62">
      <w:pPr>
        <w:pStyle w:val="ListParagraph"/>
        <w:numPr>
          <w:ilvl w:val="0"/>
          <w:numId w:val="2"/>
        </w:numPr>
        <w:spacing w:line="360" w:lineRule="auto"/>
        <w:jc w:val="both"/>
        <w:rPr>
          <w:rFonts w:ascii="Times New Roman" w:hAnsi="Times New Roman" w:cs="Times New Roman"/>
          <w:sz w:val="24"/>
          <w:szCs w:val="24"/>
        </w:rPr>
      </w:pPr>
      <w:r w:rsidRPr="0025038F">
        <w:rPr>
          <w:rFonts w:ascii="Times New Roman" w:hAnsi="Times New Roman" w:cs="Times New Roman"/>
          <w:sz w:val="24"/>
          <w:szCs w:val="24"/>
        </w:rPr>
        <w:t>Since full disclosure rules only apply to important transactions, it is not required to keep track of every action.</w:t>
      </w:r>
    </w:p>
    <w:p w14:paraId="2B85D676" w14:textId="77777777" w:rsidR="00993A62" w:rsidRDefault="00993A62" w:rsidP="00993A62">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Disadvantages</w:t>
      </w:r>
    </w:p>
    <w:p w14:paraId="488125F6" w14:textId="77777777" w:rsidR="00993A62" w:rsidRPr="005154F9" w:rsidRDefault="00993A62" w:rsidP="00993A62">
      <w:pPr>
        <w:pStyle w:val="ListParagraph"/>
        <w:numPr>
          <w:ilvl w:val="0"/>
          <w:numId w:val="2"/>
        </w:numPr>
        <w:spacing w:line="360" w:lineRule="auto"/>
        <w:jc w:val="both"/>
        <w:rPr>
          <w:rFonts w:ascii="Times New Roman" w:hAnsi="Times New Roman" w:cs="Times New Roman"/>
          <w:sz w:val="24"/>
          <w:szCs w:val="24"/>
        </w:rPr>
      </w:pPr>
      <w:r w:rsidRPr="005154F9">
        <w:rPr>
          <w:rFonts w:ascii="Times New Roman" w:hAnsi="Times New Roman" w:cs="Times New Roman"/>
          <w:sz w:val="24"/>
          <w:szCs w:val="24"/>
        </w:rPr>
        <w:t>Judgment errors can happen. Making judgments can be challenging since an object might be relevant to one person but unimportant to another.</w:t>
      </w:r>
    </w:p>
    <w:p w14:paraId="1D9A37F2" w14:textId="77777777" w:rsidR="00993A62" w:rsidRDefault="00993A62" w:rsidP="00993A62">
      <w:pPr>
        <w:pStyle w:val="ListParagraph"/>
        <w:numPr>
          <w:ilvl w:val="0"/>
          <w:numId w:val="2"/>
        </w:numPr>
        <w:spacing w:line="360" w:lineRule="auto"/>
        <w:jc w:val="both"/>
        <w:rPr>
          <w:rFonts w:ascii="Times New Roman" w:hAnsi="Times New Roman" w:cs="Times New Roman"/>
          <w:sz w:val="24"/>
          <w:szCs w:val="24"/>
        </w:rPr>
      </w:pPr>
      <w:r w:rsidRPr="005154F9">
        <w:rPr>
          <w:rFonts w:ascii="Times New Roman" w:hAnsi="Times New Roman" w:cs="Times New Roman"/>
          <w:sz w:val="24"/>
          <w:szCs w:val="24"/>
        </w:rPr>
        <w:t>Reporting significant transactions could be time- and labor-intensive.</w:t>
      </w:r>
    </w:p>
    <w:p w14:paraId="4060EFC5" w14:textId="77777777" w:rsidR="00993A62" w:rsidRDefault="00993A62" w:rsidP="00993A62">
      <w:pPr>
        <w:pStyle w:val="ListParagraph"/>
        <w:numPr>
          <w:ilvl w:val="0"/>
          <w:numId w:val="2"/>
        </w:numPr>
        <w:spacing w:line="360" w:lineRule="auto"/>
        <w:jc w:val="both"/>
        <w:rPr>
          <w:rFonts w:ascii="Times New Roman" w:hAnsi="Times New Roman" w:cs="Times New Roman"/>
          <w:sz w:val="24"/>
          <w:szCs w:val="24"/>
        </w:rPr>
      </w:pPr>
      <w:r w:rsidRPr="005154F9">
        <w:rPr>
          <w:rFonts w:ascii="Times New Roman" w:hAnsi="Times New Roman" w:cs="Times New Roman"/>
          <w:sz w:val="24"/>
          <w:szCs w:val="24"/>
        </w:rPr>
        <w:t>It can be necessary—and expensive for small businesses—to hire a specialist to ascertain whether a transaction is material or inconsequential.</w:t>
      </w:r>
    </w:p>
    <w:p w14:paraId="16E03CF4" w14:textId="3B5EC82C" w:rsidR="00993A62" w:rsidRPr="000A183A" w:rsidRDefault="00993A62" w:rsidP="000A183A">
      <w:pPr>
        <w:rPr>
          <w:rFonts w:ascii="Times New Roman" w:hAnsi="Times New Roman" w:cs="Times New Roman"/>
          <w:sz w:val="24"/>
          <w:szCs w:val="24"/>
        </w:rPr>
      </w:pPr>
      <w:r>
        <w:rPr>
          <w:rFonts w:ascii="Times New Roman" w:hAnsi="Times New Roman" w:cs="Times New Roman"/>
          <w:sz w:val="24"/>
          <w:szCs w:val="24"/>
        </w:rPr>
        <w:br w:type="page"/>
      </w:r>
    </w:p>
    <w:p w14:paraId="58B7D089" w14:textId="5DAD9168" w:rsidR="00315397" w:rsidRPr="00315397" w:rsidRDefault="00F67A85" w:rsidP="008610C4">
      <w:pPr>
        <w:pStyle w:val="Heading1"/>
      </w:pPr>
      <w:bookmarkStart w:id="8" w:name="_Toc108284462"/>
      <w:r>
        <w:t>Conclusion</w:t>
      </w:r>
      <w:bookmarkEnd w:id="8"/>
    </w:p>
    <w:p w14:paraId="57B29598" w14:textId="50B6768D" w:rsidR="00E57641" w:rsidRDefault="00315397" w:rsidP="00315397">
      <w:pPr>
        <w:spacing w:line="360" w:lineRule="auto"/>
        <w:jc w:val="both"/>
        <w:rPr>
          <w:rFonts w:ascii="Times New Roman" w:hAnsi="Times New Roman" w:cs="Times New Roman"/>
          <w:sz w:val="24"/>
          <w:szCs w:val="24"/>
        </w:rPr>
      </w:pPr>
      <w:r w:rsidRPr="00315397">
        <w:rPr>
          <w:rFonts w:ascii="Times New Roman" w:hAnsi="Times New Roman" w:cs="Times New Roman"/>
          <w:sz w:val="24"/>
          <w:szCs w:val="24"/>
        </w:rPr>
        <w:t>When creating financial accounts for any corporate entity, the four accounting concepts that were just discussed are extremely important. In this world, every procedure must adhere to certain norms and rules. The accounting procedure is the same. Without principles, different companies would record and process their transactions in various ways, which would seriously impair the comparability of financial information and the capacity to make sound financial decisions. Both the entities and the investors would experience severe challenges as a result.</w:t>
      </w:r>
      <w:r w:rsidR="00E57641">
        <w:rPr>
          <w:rFonts w:ascii="Times New Roman" w:hAnsi="Times New Roman" w:cs="Times New Roman"/>
          <w:sz w:val="24"/>
          <w:szCs w:val="24"/>
        </w:rPr>
        <w:br w:type="page"/>
      </w:r>
    </w:p>
    <w:p w14:paraId="34561C14" w14:textId="029BD94A" w:rsidR="00E21670" w:rsidRDefault="00E57641" w:rsidP="00E57641">
      <w:pPr>
        <w:pStyle w:val="Heading1"/>
        <w:jc w:val="center"/>
      </w:pPr>
      <w:bookmarkStart w:id="9" w:name="_Toc108284463"/>
      <w:r>
        <w:t>References</w:t>
      </w:r>
      <w:bookmarkEnd w:id="9"/>
    </w:p>
    <w:p w14:paraId="55224749" w14:textId="77777777" w:rsidR="00AF0D9B" w:rsidRPr="0069755D" w:rsidRDefault="00AF0D9B" w:rsidP="0069755D">
      <w:pPr>
        <w:spacing w:line="360" w:lineRule="auto"/>
        <w:jc w:val="both"/>
        <w:rPr>
          <w:rFonts w:ascii="Times New Roman" w:hAnsi="Times New Roman" w:cs="Times New Roman"/>
          <w:sz w:val="24"/>
          <w:szCs w:val="24"/>
        </w:rPr>
      </w:pPr>
      <w:r w:rsidRPr="0069755D">
        <w:rPr>
          <w:rFonts w:ascii="Times New Roman" w:hAnsi="Times New Roman" w:cs="Times New Roman"/>
          <w:sz w:val="24"/>
          <w:szCs w:val="24"/>
        </w:rPr>
        <w:t xml:space="preserve">2022. [online] Available at: &lt;https://www.vedantu.com/commerce/going-concern-concept&gt; [Accessed 7 July 2022]. </w:t>
      </w:r>
    </w:p>
    <w:p w14:paraId="1F159775" w14:textId="77777777" w:rsidR="00AF0D9B" w:rsidRPr="0069755D" w:rsidRDefault="00AF0D9B" w:rsidP="0069755D">
      <w:pPr>
        <w:spacing w:line="360" w:lineRule="auto"/>
        <w:jc w:val="both"/>
        <w:rPr>
          <w:rFonts w:ascii="Times New Roman" w:hAnsi="Times New Roman" w:cs="Times New Roman"/>
          <w:sz w:val="24"/>
          <w:szCs w:val="24"/>
        </w:rPr>
      </w:pPr>
      <w:r w:rsidRPr="0069755D">
        <w:rPr>
          <w:rFonts w:ascii="Times New Roman" w:hAnsi="Times New Roman" w:cs="Times New Roman"/>
          <w:sz w:val="24"/>
          <w:szCs w:val="24"/>
        </w:rPr>
        <w:t>Collective, C., 2022. Consistency Principle | Importance, Advantages, Examples. [online] Carboncollective.co. Available at: &lt;https://www.carboncollective.co/sustainable-investing/consistency-principle&gt; [Accessed 7 July 2022].</w:t>
      </w:r>
    </w:p>
    <w:p w14:paraId="1A60387A" w14:textId="77777777" w:rsidR="00AF0D9B" w:rsidRPr="0069755D" w:rsidRDefault="00AF0D9B" w:rsidP="0069755D">
      <w:pPr>
        <w:spacing w:line="360" w:lineRule="auto"/>
        <w:jc w:val="both"/>
        <w:rPr>
          <w:rFonts w:ascii="Times New Roman" w:hAnsi="Times New Roman" w:cs="Times New Roman"/>
          <w:sz w:val="24"/>
          <w:szCs w:val="24"/>
        </w:rPr>
      </w:pPr>
      <w:r w:rsidRPr="0069755D">
        <w:rPr>
          <w:rFonts w:ascii="Times New Roman" w:hAnsi="Times New Roman" w:cs="Times New Roman"/>
          <w:sz w:val="24"/>
          <w:szCs w:val="24"/>
        </w:rPr>
        <w:t>Collective, C., 2022. Monetary Unit Assumption | Examples, Implications, Problems. [online] Carboncollective.co. Available at: &lt;https://www.carboncollective.co/sustainable-investing/monetary-unit-assumption&gt; [Accessed 7 July 2022].</w:t>
      </w:r>
    </w:p>
    <w:p w14:paraId="7863530B" w14:textId="77777777" w:rsidR="00AF0D9B" w:rsidRPr="0069755D" w:rsidRDefault="00AF0D9B" w:rsidP="0069755D">
      <w:pPr>
        <w:spacing w:line="360" w:lineRule="auto"/>
        <w:jc w:val="both"/>
        <w:rPr>
          <w:rFonts w:ascii="Times New Roman" w:hAnsi="Times New Roman" w:cs="Times New Roman"/>
          <w:sz w:val="24"/>
          <w:szCs w:val="24"/>
        </w:rPr>
      </w:pPr>
      <w:r w:rsidRPr="0069755D">
        <w:rPr>
          <w:rFonts w:ascii="Times New Roman" w:hAnsi="Times New Roman" w:cs="Times New Roman"/>
          <w:sz w:val="24"/>
          <w:szCs w:val="24"/>
        </w:rPr>
        <w:t>Finance Strategists. 2022. Consistency Principle of Accounting | Definition, Explanation &amp; Examples. [online] Available at: &lt;https://learn.financestrategists.com/explanation/accounting-concepts-and-principles/consistency-principle/&gt; [Accessed 7 July 2022].</w:t>
      </w:r>
    </w:p>
    <w:p w14:paraId="1575CC14" w14:textId="77777777" w:rsidR="00AF0D9B" w:rsidRPr="0069755D" w:rsidRDefault="00AF0D9B" w:rsidP="0069755D">
      <w:pPr>
        <w:spacing w:line="360" w:lineRule="auto"/>
        <w:jc w:val="both"/>
        <w:rPr>
          <w:rFonts w:ascii="Times New Roman" w:hAnsi="Times New Roman" w:cs="Times New Roman"/>
          <w:sz w:val="24"/>
          <w:szCs w:val="24"/>
        </w:rPr>
      </w:pPr>
      <w:proofErr w:type="spellStart"/>
      <w:r w:rsidRPr="0069755D">
        <w:rPr>
          <w:rFonts w:ascii="Times New Roman" w:hAnsi="Times New Roman" w:cs="Times New Roman"/>
          <w:sz w:val="24"/>
          <w:szCs w:val="24"/>
        </w:rPr>
        <w:t>Gordeeva</w:t>
      </w:r>
      <w:proofErr w:type="spellEnd"/>
      <w:r w:rsidRPr="0069755D">
        <w:rPr>
          <w:rFonts w:ascii="Times New Roman" w:hAnsi="Times New Roman" w:cs="Times New Roman"/>
          <w:sz w:val="24"/>
          <w:szCs w:val="24"/>
        </w:rPr>
        <w:t>, M., 2011. MATERIALITY IN ACCOUNTING. Economics &amp; Management, 16.</w:t>
      </w:r>
    </w:p>
    <w:p w14:paraId="6322D123" w14:textId="77777777" w:rsidR="00AF0D9B" w:rsidRPr="0069755D" w:rsidRDefault="00AF0D9B" w:rsidP="0069755D">
      <w:pPr>
        <w:spacing w:line="360" w:lineRule="auto"/>
        <w:jc w:val="both"/>
        <w:rPr>
          <w:rFonts w:ascii="Times New Roman" w:hAnsi="Times New Roman" w:cs="Times New Roman"/>
          <w:sz w:val="24"/>
          <w:szCs w:val="24"/>
        </w:rPr>
      </w:pPr>
      <w:r w:rsidRPr="0069755D">
        <w:rPr>
          <w:rFonts w:ascii="Times New Roman" w:hAnsi="Times New Roman" w:cs="Times New Roman"/>
          <w:sz w:val="24"/>
          <w:szCs w:val="24"/>
        </w:rPr>
        <w:t>Meyers, T.L., 2019. Accounting Assumptions and the Farm Business.</w:t>
      </w:r>
    </w:p>
    <w:p w14:paraId="49BE1C8E" w14:textId="77777777" w:rsidR="00AF0D9B" w:rsidRPr="0069755D" w:rsidRDefault="00AF0D9B" w:rsidP="0069755D">
      <w:pPr>
        <w:spacing w:line="360" w:lineRule="auto"/>
        <w:jc w:val="both"/>
        <w:rPr>
          <w:rFonts w:ascii="Times New Roman" w:hAnsi="Times New Roman" w:cs="Times New Roman"/>
          <w:sz w:val="24"/>
          <w:szCs w:val="24"/>
        </w:rPr>
      </w:pPr>
      <w:proofErr w:type="spellStart"/>
      <w:r w:rsidRPr="0069755D">
        <w:rPr>
          <w:rFonts w:ascii="Times New Roman" w:hAnsi="Times New Roman" w:cs="Times New Roman"/>
          <w:sz w:val="24"/>
          <w:szCs w:val="24"/>
        </w:rPr>
        <w:t>Weygandt</w:t>
      </w:r>
      <w:proofErr w:type="spellEnd"/>
      <w:r w:rsidRPr="0069755D">
        <w:rPr>
          <w:rFonts w:ascii="Times New Roman" w:hAnsi="Times New Roman" w:cs="Times New Roman"/>
          <w:sz w:val="24"/>
          <w:szCs w:val="24"/>
        </w:rPr>
        <w:t xml:space="preserve">, J.J., </w:t>
      </w:r>
      <w:proofErr w:type="spellStart"/>
      <w:r w:rsidRPr="0069755D">
        <w:rPr>
          <w:rFonts w:ascii="Times New Roman" w:hAnsi="Times New Roman" w:cs="Times New Roman"/>
          <w:sz w:val="24"/>
          <w:szCs w:val="24"/>
        </w:rPr>
        <w:t>Kieso</w:t>
      </w:r>
      <w:proofErr w:type="spellEnd"/>
      <w:r w:rsidRPr="0069755D">
        <w:rPr>
          <w:rFonts w:ascii="Times New Roman" w:hAnsi="Times New Roman" w:cs="Times New Roman"/>
          <w:sz w:val="24"/>
          <w:szCs w:val="24"/>
        </w:rPr>
        <w:t>, D.E., Kimmel, P.D., Trenholm, B., Warren, V. and Novak, L., 2019. Accounting Principles, Volume 2. John Wiley &amp; Sons.</w:t>
      </w:r>
    </w:p>
    <w:p w14:paraId="2F83BBCD" w14:textId="22333367" w:rsidR="00AF0D9B" w:rsidRPr="0069755D" w:rsidRDefault="00AF0D9B" w:rsidP="0069755D">
      <w:pPr>
        <w:spacing w:line="360" w:lineRule="auto"/>
        <w:jc w:val="both"/>
        <w:rPr>
          <w:rFonts w:ascii="Times New Roman" w:hAnsi="Times New Roman" w:cs="Times New Roman"/>
          <w:sz w:val="24"/>
          <w:szCs w:val="24"/>
        </w:rPr>
      </w:pPr>
      <w:proofErr w:type="spellStart"/>
      <w:r w:rsidRPr="0069755D">
        <w:rPr>
          <w:rFonts w:ascii="Times New Roman" w:hAnsi="Times New Roman" w:cs="Times New Roman"/>
          <w:sz w:val="24"/>
          <w:szCs w:val="24"/>
        </w:rPr>
        <w:t>Wüstemann</w:t>
      </w:r>
      <w:proofErr w:type="spellEnd"/>
      <w:r w:rsidRPr="0069755D">
        <w:rPr>
          <w:rFonts w:ascii="Times New Roman" w:hAnsi="Times New Roman" w:cs="Times New Roman"/>
          <w:sz w:val="24"/>
          <w:szCs w:val="24"/>
        </w:rPr>
        <w:t xml:space="preserve">, J. and </w:t>
      </w:r>
      <w:proofErr w:type="spellStart"/>
      <w:r w:rsidRPr="0069755D">
        <w:rPr>
          <w:rFonts w:ascii="Times New Roman" w:hAnsi="Times New Roman" w:cs="Times New Roman"/>
          <w:sz w:val="24"/>
          <w:szCs w:val="24"/>
        </w:rPr>
        <w:t>Wüstemann</w:t>
      </w:r>
      <w:proofErr w:type="spellEnd"/>
      <w:r w:rsidRPr="0069755D">
        <w:rPr>
          <w:rFonts w:ascii="Times New Roman" w:hAnsi="Times New Roman" w:cs="Times New Roman"/>
          <w:sz w:val="24"/>
          <w:szCs w:val="24"/>
        </w:rPr>
        <w:t>, S., 2010. Why consistency of accounting standards matters: A contribution to the rules‐versus‐principles debate in financial reporting. Abacus, 46(1), pp.1-27.</w:t>
      </w:r>
    </w:p>
    <w:p w14:paraId="2147C7CB" w14:textId="6F103A0F" w:rsidR="005E51F2" w:rsidRPr="0069755D" w:rsidRDefault="00CB5887" w:rsidP="0069755D">
      <w:pPr>
        <w:spacing w:line="360" w:lineRule="auto"/>
        <w:jc w:val="both"/>
        <w:rPr>
          <w:rFonts w:ascii="Times New Roman" w:hAnsi="Times New Roman" w:cs="Times New Roman"/>
          <w:sz w:val="24"/>
          <w:szCs w:val="24"/>
        </w:rPr>
      </w:pPr>
      <w:proofErr w:type="spellStart"/>
      <w:r w:rsidRPr="0069755D">
        <w:rPr>
          <w:rFonts w:ascii="Times New Roman" w:hAnsi="Times New Roman" w:cs="Times New Roman"/>
          <w:sz w:val="24"/>
          <w:szCs w:val="24"/>
        </w:rPr>
        <w:t>Kawugana</w:t>
      </w:r>
      <w:proofErr w:type="spellEnd"/>
      <w:r w:rsidRPr="0069755D">
        <w:rPr>
          <w:rFonts w:ascii="Times New Roman" w:hAnsi="Times New Roman" w:cs="Times New Roman"/>
          <w:sz w:val="24"/>
          <w:szCs w:val="24"/>
        </w:rPr>
        <w:t xml:space="preserve">, A. and </w:t>
      </w:r>
      <w:proofErr w:type="spellStart"/>
      <w:r w:rsidRPr="0069755D">
        <w:rPr>
          <w:rFonts w:ascii="Times New Roman" w:hAnsi="Times New Roman" w:cs="Times New Roman"/>
          <w:sz w:val="24"/>
          <w:szCs w:val="24"/>
        </w:rPr>
        <w:t>Faruna</w:t>
      </w:r>
      <w:proofErr w:type="spellEnd"/>
      <w:r w:rsidRPr="0069755D">
        <w:rPr>
          <w:rFonts w:ascii="Times New Roman" w:hAnsi="Times New Roman" w:cs="Times New Roman"/>
          <w:sz w:val="24"/>
          <w:szCs w:val="24"/>
        </w:rPr>
        <w:t>, F.S., 2019. Role of Financial Statement in Investment Decision Making.</w:t>
      </w:r>
    </w:p>
    <w:p w14:paraId="5C904E34" w14:textId="2FEC3BB9" w:rsidR="0069755D" w:rsidRDefault="0069755D" w:rsidP="0069755D">
      <w:pPr>
        <w:spacing w:line="360" w:lineRule="auto"/>
        <w:jc w:val="both"/>
        <w:rPr>
          <w:rFonts w:ascii="Times New Roman" w:hAnsi="Times New Roman" w:cs="Times New Roman"/>
          <w:sz w:val="24"/>
          <w:szCs w:val="24"/>
        </w:rPr>
      </w:pPr>
      <w:r w:rsidRPr="0069755D">
        <w:rPr>
          <w:rFonts w:ascii="Times New Roman" w:hAnsi="Times New Roman" w:cs="Times New Roman"/>
          <w:sz w:val="24"/>
          <w:szCs w:val="24"/>
        </w:rPr>
        <w:t xml:space="preserve">Ameen, A.M., Ahmed, M.F. and </w:t>
      </w:r>
      <w:proofErr w:type="spellStart"/>
      <w:r w:rsidRPr="0069755D">
        <w:rPr>
          <w:rFonts w:ascii="Times New Roman" w:hAnsi="Times New Roman" w:cs="Times New Roman"/>
          <w:sz w:val="24"/>
          <w:szCs w:val="24"/>
        </w:rPr>
        <w:t>Abd</w:t>
      </w:r>
      <w:proofErr w:type="spellEnd"/>
      <w:r w:rsidRPr="0069755D">
        <w:rPr>
          <w:rFonts w:ascii="Times New Roman" w:hAnsi="Times New Roman" w:cs="Times New Roman"/>
          <w:sz w:val="24"/>
          <w:szCs w:val="24"/>
        </w:rPr>
        <w:t xml:space="preserve"> Hafez, M.A., 2018. The impact of management accounting and how it can be implemented into the organizational culture. Dutch Journal of Finance and Management, 2(1), p.02.</w:t>
      </w:r>
    </w:p>
    <w:p w14:paraId="14BBE2CE" w14:textId="08921C7A" w:rsidR="00084A97" w:rsidRDefault="00084A97" w:rsidP="0069755D">
      <w:pPr>
        <w:spacing w:line="360" w:lineRule="auto"/>
        <w:jc w:val="both"/>
        <w:rPr>
          <w:rFonts w:ascii="Times New Roman" w:hAnsi="Times New Roman" w:cs="Times New Roman"/>
          <w:sz w:val="24"/>
          <w:szCs w:val="24"/>
        </w:rPr>
      </w:pPr>
      <w:r w:rsidRPr="00084A97">
        <w:rPr>
          <w:rFonts w:ascii="Times New Roman" w:hAnsi="Times New Roman" w:cs="Times New Roman"/>
          <w:sz w:val="24"/>
          <w:szCs w:val="24"/>
        </w:rPr>
        <w:t>Sterling, R.R., 2021. The Going Concern: An Examination. In The Quest for a Science of Accounting (pp. 353-374). Routledge.</w:t>
      </w:r>
    </w:p>
    <w:p w14:paraId="685B2A57" w14:textId="1EC75011" w:rsidR="0059450C" w:rsidRPr="0069755D" w:rsidRDefault="0059450C" w:rsidP="0069755D">
      <w:pPr>
        <w:spacing w:line="360" w:lineRule="auto"/>
        <w:jc w:val="both"/>
        <w:rPr>
          <w:rFonts w:ascii="Times New Roman" w:hAnsi="Times New Roman" w:cs="Times New Roman"/>
          <w:sz w:val="24"/>
          <w:szCs w:val="24"/>
        </w:rPr>
      </w:pPr>
      <w:proofErr w:type="spellStart"/>
      <w:r w:rsidRPr="0059450C">
        <w:rPr>
          <w:rFonts w:ascii="Times New Roman" w:hAnsi="Times New Roman" w:cs="Times New Roman"/>
          <w:sz w:val="24"/>
          <w:szCs w:val="24"/>
        </w:rPr>
        <w:t>Kumor</w:t>
      </w:r>
      <w:proofErr w:type="spellEnd"/>
      <w:r w:rsidRPr="0059450C">
        <w:rPr>
          <w:rFonts w:ascii="Times New Roman" w:hAnsi="Times New Roman" w:cs="Times New Roman"/>
          <w:sz w:val="24"/>
          <w:szCs w:val="24"/>
        </w:rPr>
        <w:t xml:space="preserve">, I. and </w:t>
      </w:r>
      <w:proofErr w:type="spellStart"/>
      <w:r w:rsidRPr="0059450C">
        <w:rPr>
          <w:rFonts w:ascii="Times New Roman" w:hAnsi="Times New Roman" w:cs="Times New Roman"/>
          <w:sz w:val="24"/>
          <w:szCs w:val="24"/>
        </w:rPr>
        <w:t>Mackowiak</w:t>
      </w:r>
      <w:proofErr w:type="spellEnd"/>
      <w:r w:rsidRPr="0059450C">
        <w:rPr>
          <w:rFonts w:ascii="Times New Roman" w:hAnsi="Times New Roman" w:cs="Times New Roman"/>
          <w:sz w:val="24"/>
          <w:szCs w:val="24"/>
        </w:rPr>
        <w:t>, E., 2018, June. Materiality in accounting and auditing. In Economic and Social Development (Book of Proceedings), 32nd International Scientific Conference on Economic and Social (p. 218).</w:t>
      </w:r>
    </w:p>
    <w:sectPr w:rsidR="0059450C" w:rsidRPr="0069755D">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ABDADAA" w14:textId="77777777" w:rsidR="00A944DC" w:rsidRDefault="00A944DC" w:rsidP="000A0705">
      <w:pPr>
        <w:spacing w:after="0" w:line="240" w:lineRule="auto"/>
      </w:pPr>
      <w:r>
        <w:separator/>
      </w:r>
    </w:p>
  </w:endnote>
  <w:endnote w:type="continuationSeparator" w:id="0">
    <w:p w14:paraId="619AABAD" w14:textId="77777777" w:rsidR="00A944DC" w:rsidRDefault="00A944DC" w:rsidP="000A070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altName w:val="Arial"/>
    <w:panose1 w:val="02020603050405020304"/>
    <w:charset w:val="00"/>
    <w:family w:val="roman"/>
    <w:pitch w:val="variable"/>
    <w:sig w:usb0="00000000"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62915863"/>
      <w:docPartObj>
        <w:docPartGallery w:val="Page Numbers (Bottom of Page)"/>
        <w:docPartUnique/>
      </w:docPartObj>
    </w:sdtPr>
    <w:sdtEndPr>
      <w:rPr>
        <w:noProof/>
      </w:rPr>
    </w:sdtEndPr>
    <w:sdtContent>
      <w:p w14:paraId="056C3280" w14:textId="1A3F4DCC" w:rsidR="000A0705" w:rsidRDefault="000A0705">
        <w:pPr>
          <w:pStyle w:val="Footer"/>
          <w:jc w:val="right"/>
        </w:pPr>
        <w:r>
          <w:fldChar w:fldCharType="begin"/>
        </w:r>
        <w:r>
          <w:instrText xml:space="preserve"> PAGE   \* MERGEFORMAT </w:instrText>
        </w:r>
        <w:r>
          <w:fldChar w:fldCharType="separate"/>
        </w:r>
        <w:r w:rsidR="0059450C">
          <w:rPr>
            <w:noProof/>
          </w:rPr>
          <w:t>15</w:t>
        </w:r>
        <w:r>
          <w:rPr>
            <w:noProof/>
          </w:rPr>
          <w:fldChar w:fldCharType="end"/>
        </w:r>
      </w:p>
    </w:sdtContent>
  </w:sdt>
  <w:p w14:paraId="399BDD32" w14:textId="77777777" w:rsidR="000A0705" w:rsidRDefault="000A070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B0FC38A" w14:textId="77777777" w:rsidR="00A944DC" w:rsidRDefault="00A944DC" w:rsidP="000A0705">
      <w:pPr>
        <w:spacing w:after="0" w:line="240" w:lineRule="auto"/>
      </w:pPr>
      <w:r>
        <w:separator/>
      </w:r>
    </w:p>
  </w:footnote>
  <w:footnote w:type="continuationSeparator" w:id="0">
    <w:p w14:paraId="21D23069" w14:textId="77777777" w:rsidR="00A944DC" w:rsidRDefault="00A944DC" w:rsidP="000A070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515F97"/>
    <w:multiLevelType w:val="hybridMultilevel"/>
    <w:tmpl w:val="1B3C539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C4C3912"/>
    <w:multiLevelType w:val="hybridMultilevel"/>
    <w:tmpl w:val="774C3A2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F0A7A15"/>
    <w:multiLevelType w:val="hybridMultilevel"/>
    <w:tmpl w:val="A37E9B5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356B79D9"/>
    <w:multiLevelType w:val="hybridMultilevel"/>
    <w:tmpl w:val="92CC2FA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43C04F61"/>
    <w:multiLevelType w:val="hybridMultilevel"/>
    <w:tmpl w:val="0EE0276E"/>
    <w:lvl w:ilvl="0" w:tplc="C02CEE64">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4DB012E9"/>
    <w:multiLevelType w:val="hybridMultilevel"/>
    <w:tmpl w:val="B1E4084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525D7113"/>
    <w:multiLevelType w:val="hybridMultilevel"/>
    <w:tmpl w:val="4A94851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543533CB"/>
    <w:multiLevelType w:val="hybridMultilevel"/>
    <w:tmpl w:val="4BC63A12"/>
    <w:lvl w:ilvl="0" w:tplc="0409000F">
      <w:start w:val="1"/>
      <w:numFmt w:val="decimal"/>
      <w:lvlText w:val="%1."/>
      <w:lvlJc w:val="left"/>
      <w:pPr>
        <w:ind w:left="1080" w:hanging="360"/>
      </w:p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8" w15:restartNumberingAfterBreak="0">
    <w:nsid w:val="7D6975E8"/>
    <w:multiLevelType w:val="hybridMultilevel"/>
    <w:tmpl w:val="07ACD52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32063903">
    <w:abstractNumId w:val="0"/>
  </w:num>
  <w:num w:numId="2" w16cid:durableId="931015890">
    <w:abstractNumId w:val="6"/>
  </w:num>
  <w:num w:numId="3" w16cid:durableId="2019036207">
    <w:abstractNumId w:val="8"/>
  </w:num>
  <w:num w:numId="4" w16cid:durableId="391925561">
    <w:abstractNumId w:val="1"/>
  </w:num>
  <w:num w:numId="5" w16cid:durableId="822312817">
    <w:abstractNumId w:val="2"/>
  </w:num>
  <w:num w:numId="6" w16cid:durableId="1899784783">
    <w:abstractNumId w:val="5"/>
  </w:num>
  <w:num w:numId="7" w16cid:durableId="629408822">
    <w:abstractNumId w:val="3"/>
  </w:num>
  <w:num w:numId="8" w16cid:durableId="848787128">
    <w:abstractNumId w:val="4"/>
  </w:num>
  <w:num w:numId="9" w16cid:durableId="495540682">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75"/>
  <w:proofState w:spelling="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B485A"/>
    <w:rsid w:val="00042D65"/>
    <w:rsid w:val="000511DB"/>
    <w:rsid w:val="00052155"/>
    <w:rsid w:val="00062438"/>
    <w:rsid w:val="00067BED"/>
    <w:rsid w:val="00084A97"/>
    <w:rsid w:val="000A0705"/>
    <w:rsid w:val="000A183A"/>
    <w:rsid w:val="000D4733"/>
    <w:rsid w:val="001075F4"/>
    <w:rsid w:val="00110B39"/>
    <w:rsid w:val="0011302A"/>
    <w:rsid w:val="00123A42"/>
    <w:rsid w:val="00137F02"/>
    <w:rsid w:val="0018281E"/>
    <w:rsid w:val="00195F0C"/>
    <w:rsid w:val="001C4521"/>
    <w:rsid w:val="001E19D6"/>
    <w:rsid w:val="001E448B"/>
    <w:rsid w:val="001F63CF"/>
    <w:rsid w:val="002022D5"/>
    <w:rsid w:val="0025038F"/>
    <w:rsid w:val="00251E0A"/>
    <w:rsid w:val="00273DF7"/>
    <w:rsid w:val="002944BF"/>
    <w:rsid w:val="002A697D"/>
    <w:rsid w:val="002B0482"/>
    <w:rsid w:val="002F6D07"/>
    <w:rsid w:val="003027DF"/>
    <w:rsid w:val="00311C21"/>
    <w:rsid w:val="00315397"/>
    <w:rsid w:val="0031670E"/>
    <w:rsid w:val="00335E64"/>
    <w:rsid w:val="003437ED"/>
    <w:rsid w:val="00353F7E"/>
    <w:rsid w:val="00367C27"/>
    <w:rsid w:val="00377A3E"/>
    <w:rsid w:val="003B1CA5"/>
    <w:rsid w:val="003D1FBF"/>
    <w:rsid w:val="003D23D7"/>
    <w:rsid w:val="003D5501"/>
    <w:rsid w:val="003E5E5E"/>
    <w:rsid w:val="004019C0"/>
    <w:rsid w:val="00405836"/>
    <w:rsid w:val="00412945"/>
    <w:rsid w:val="00421FDC"/>
    <w:rsid w:val="00422D07"/>
    <w:rsid w:val="00427DBE"/>
    <w:rsid w:val="00430997"/>
    <w:rsid w:val="00440EF2"/>
    <w:rsid w:val="0045432C"/>
    <w:rsid w:val="0046100B"/>
    <w:rsid w:val="004668D5"/>
    <w:rsid w:val="00481818"/>
    <w:rsid w:val="00492615"/>
    <w:rsid w:val="004A2C7C"/>
    <w:rsid w:val="004C335F"/>
    <w:rsid w:val="004E52D5"/>
    <w:rsid w:val="004F0AD8"/>
    <w:rsid w:val="005113A2"/>
    <w:rsid w:val="005154F9"/>
    <w:rsid w:val="00517BA4"/>
    <w:rsid w:val="00536DDC"/>
    <w:rsid w:val="0053718A"/>
    <w:rsid w:val="00565BB1"/>
    <w:rsid w:val="005808FA"/>
    <w:rsid w:val="0059450C"/>
    <w:rsid w:val="00594FEE"/>
    <w:rsid w:val="0059646C"/>
    <w:rsid w:val="005971A7"/>
    <w:rsid w:val="005B1FCA"/>
    <w:rsid w:val="005B23C5"/>
    <w:rsid w:val="005B2D58"/>
    <w:rsid w:val="005B2FAD"/>
    <w:rsid w:val="005B485A"/>
    <w:rsid w:val="005E0B95"/>
    <w:rsid w:val="005E51F2"/>
    <w:rsid w:val="005F2B06"/>
    <w:rsid w:val="00621A6B"/>
    <w:rsid w:val="00622FCA"/>
    <w:rsid w:val="00627E8A"/>
    <w:rsid w:val="0064610A"/>
    <w:rsid w:val="006535CA"/>
    <w:rsid w:val="00674A79"/>
    <w:rsid w:val="00677EC9"/>
    <w:rsid w:val="006824B5"/>
    <w:rsid w:val="00686000"/>
    <w:rsid w:val="0069755D"/>
    <w:rsid w:val="006B1A51"/>
    <w:rsid w:val="006B4248"/>
    <w:rsid w:val="006B482B"/>
    <w:rsid w:val="006D4EFA"/>
    <w:rsid w:val="006E0875"/>
    <w:rsid w:val="006F426A"/>
    <w:rsid w:val="00712EBC"/>
    <w:rsid w:val="0072722F"/>
    <w:rsid w:val="00745FA5"/>
    <w:rsid w:val="00782FB8"/>
    <w:rsid w:val="00794D0D"/>
    <w:rsid w:val="007A5E5F"/>
    <w:rsid w:val="007B311D"/>
    <w:rsid w:val="007C4C81"/>
    <w:rsid w:val="007F7F1E"/>
    <w:rsid w:val="00801793"/>
    <w:rsid w:val="0080517A"/>
    <w:rsid w:val="00816563"/>
    <w:rsid w:val="0083364A"/>
    <w:rsid w:val="00834579"/>
    <w:rsid w:val="00836196"/>
    <w:rsid w:val="00837E17"/>
    <w:rsid w:val="0084349F"/>
    <w:rsid w:val="008610C4"/>
    <w:rsid w:val="00886F5A"/>
    <w:rsid w:val="00894E51"/>
    <w:rsid w:val="008A5A65"/>
    <w:rsid w:val="008B2E9A"/>
    <w:rsid w:val="008B3C5B"/>
    <w:rsid w:val="008B43CB"/>
    <w:rsid w:val="008B5065"/>
    <w:rsid w:val="008E7629"/>
    <w:rsid w:val="008F4D40"/>
    <w:rsid w:val="00910C31"/>
    <w:rsid w:val="0092263D"/>
    <w:rsid w:val="009410DB"/>
    <w:rsid w:val="00945868"/>
    <w:rsid w:val="00946BFE"/>
    <w:rsid w:val="00947A45"/>
    <w:rsid w:val="00952BD4"/>
    <w:rsid w:val="00956D54"/>
    <w:rsid w:val="0097679B"/>
    <w:rsid w:val="00992B6D"/>
    <w:rsid w:val="00993A62"/>
    <w:rsid w:val="009A7DA8"/>
    <w:rsid w:val="009C3B1E"/>
    <w:rsid w:val="009C6801"/>
    <w:rsid w:val="00A00633"/>
    <w:rsid w:val="00A0543F"/>
    <w:rsid w:val="00A15C7D"/>
    <w:rsid w:val="00A209C1"/>
    <w:rsid w:val="00A31011"/>
    <w:rsid w:val="00A41442"/>
    <w:rsid w:val="00A44B25"/>
    <w:rsid w:val="00A60856"/>
    <w:rsid w:val="00A659A0"/>
    <w:rsid w:val="00A74A82"/>
    <w:rsid w:val="00A762AB"/>
    <w:rsid w:val="00A82334"/>
    <w:rsid w:val="00A92B2F"/>
    <w:rsid w:val="00A944DC"/>
    <w:rsid w:val="00AA4560"/>
    <w:rsid w:val="00AB2B29"/>
    <w:rsid w:val="00AB4EA6"/>
    <w:rsid w:val="00AE1BF5"/>
    <w:rsid w:val="00AF0D9B"/>
    <w:rsid w:val="00AF6E83"/>
    <w:rsid w:val="00B0300E"/>
    <w:rsid w:val="00B04073"/>
    <w:rsid w:val="00B154A4"/>
    <w:rsid w:val="00B259CF"/>
    <w:rsid w:val="00B25E0B"/>
    <w:rsid w:val="00B30958"/>
    <w:rsid w:val="00B375D9"/>
    <w:rsid w:val="00B65852"/>
    <w:rsid w:val="00B8141C"/>
    <w:rsid w:val="00BB26FE"/>
    <w:rsid w:val="00BB55DA"/>
    <w:rsid w:val="00BE5E55"/>
    <w:rsid w:val="00C24799"/>
    <w:rsid w:val="00C317F0"/>
    <w:rsid w:val="00C50F1F"/>
    <w:rsid w:val="00C727FB"/>
    <w:rsid w:val="00C92AEE"/>
    <w:rsid w:val="00CA5D6F"/>
    <w:rsid w:val="00CA755D"/>
    <w:rsid w:val="00CB5887"/>
    <w:rsid w:val="00CC3079"/>
    <w:rsid w:val="00CD78D7"/>
    <w:rsid w:val="00CF5866"/>
    <w:rsid w:val="00D10289"/>
    <w:rsid w:val="00D222A3"/>
    <w:rsid w:val="00D42105"/>
    <w:rsid w:val="00D7494C"/>
    <w:rsid w:val="00D77BFA"/>
    <w:rsid w:val="00DC2D49"/>
    <w:rsid w:val="00DF1405"/>
    <w:rsid w:val="00E21670"/>
    <w:rsid w:val="00E2559D"/>
    <w:rsid w:val="00E26F2C"/>
    <w:rsid w:val="00E53E25"/>
    <w:rsid w:val="00E57641"/>
    <w:rsid w:val="00E73A53"/>
    <w:rsid w:val="00EA70E0"/>
    <w:rsid w:val="00EB282E"/>
    <w:rsid w:val="00EB6AE6"/>
    <w:rsid w:val="00EF1D02"/>
    <w:rsid w:val="00EF24A6"/>
    <w:rsid w:val="00F34F2F"/>
    <w:rsid w:val="00F4347E"/>
    <w:rsid w:val="00F66029"/>
    <w:rsid w:val="00F675EE"/>
    <w:rsid w:val="00F67A85"/>
    <w:rsid w:val="00F77C72"/>
    <w:rsid w:val="00F91DA4"/>
    <w:rsid w:val="00F96B30"/>
    <w:rsid w:val="00FD650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3D877A"/>
  <w15:chartTrackingRefBased/>
  <w15:docId w15:val="{74D3EA07-C6B1-46BA-B594-FEAD413C63C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67BED"/>
    <w:pPr>
      <w:keepNext/>
      <w:keepLines/>
      <w:spacing w:before="240" w:after="0"/>
      <w:outlineLvl w:val="0"/>
    </w:pPr>
    <w:rPr>
      <w:rFonts w:ascii="Times New Roman" w:eastAsiaTheme="majorEastAsia" w:hAnsi="Times New Roman"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110B39"/>
    <w:pPr>
      <w:keepNext/>
      <w:keepLines/>
      <w:spacing w:before="40" w:after="0"/>
      <w:outlineLvl w:val="1"/>
    </w:pPr>
    <w:rPr>
      <w:rFonts w:ascii="Times New Roman" w:eastAsiaTheme="majorEastAsia" w:hAnsi="Times New Roman" w:cstheme="majorBidi"/>
      <w:b/>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3D23D7"/>
    <w:pPr>
      <w:spacing w:after="0" w:line="240" w:lineRule="auto"/>
      <w:contextualSpacing/>
      <w:jc w:val="center"/>
    </w:pPr>
    <w:rPr>
      <w:rFonts w:ascii="Times New Roman" w:eastAsiaTheme="majorEastAsia" w:hAnsi="Times New Roman" w:cstheme="majorBidi"/>
      <w:b/>
      <w:spacing w:val="-10"/>
      <w:kern w:val="28"/>
      <w:sz w:val="56"/>
      <w:szCs w:val="56"/>
    </w:rPr>
  </w:style>
  <w:style w:type="character" w:customStyle="1" w:styleId="TitleChar">
    <w:name w:val="Title Char"/>
    <w:basedOn w:val="DefaultParagraphFont"/>
    <w:link w:val="Title"/>
    <w:uiPriority w:val="10"/>
    <w:rsid w:val="003D23D7"/>
    <w:rPr>
      <w:rFonts w:ascii="Times New Roman" w:eastAsiaTheme="majorEastAsia" w:hAnsi="Times New Roman" w:cstheme="majorBidi"/>
      <w:b/>
      <w:spacing w:val="-10"/>
      <w:kern w:val="28"/>
      <w:sz w:val="56"/>
      <w:szCs w:val="56"/>
    </w:rPr>
  </w:style>
  <w:style w:type="character" w:customStyle="1" w:styleId="Heading1Char">
    <w:name w:val="Heading 1 Char"/>
    <w:basedOn w:val="DefaultParagraphFont"/>
    <w:link w:val="Heading1"/>
    <w:uiPriority w:val="9"/>
    <w:rsid w:val="00067BED"/>
    <w:rPr>
      <w:rFonts w:ascii="Times New Roman" w:eastAsiaTheme="majorEastAsia" w:hAnsi="Times New Roman" w:cstheme="majorBidi"/>
      <w:b/>
      <w:color w:val="2F5496" w:themeColor="accent1" w:themeShade="BF"/>
      <w:sz w:val="32"/>
      <w:szCs w:val="32"/>
    </w:rPr>
  </w:style>
  <w:style w:type="character" w:customStyle="1" w:styleId="Heading2Char">
    <w:name w:val="Heading 2 Char"/>
    <w:basedOn w:val="DefaultParagraphFont"/>
    <w:link w:val="Heading2"/>
    <w:uiPriority w:val="9"/>
    <w:rsid w:val="00110B39"/>
    <w:rPr>
      <w:rFonts w:ascii="Times New Roman" w:eastAsiaTheme="majorEastAsia" w:hAnsi="Times New Roman" w:cstheme="majorBidi"/>
      <w:b/>
      <w:color w:val="2F5496" w:themeColor="accent1" w:themeShade="BF"/>
      <w:sz w:val="26"/>
      <w:szCs w:val="26"/>
    </w:rPr>
  </w:style>
  <w:style w:type="paragraph" w:styleId="ListParagraph">
    <w:name w:val="List Paragraph"/>
    <w:basedOn w:val="Normal"/>
    <w:uiPriority w:val="34"/>
    <w:qFormat/>
    <w:rsid w:val="001E19D6"/>
    <w:pPr>
      <w:ind w:left="720"/>
      <w:contextualSpacing/>
    </w:pPr>
  </w:style>
  <w:style w:type="paragraph" w:styleId="TOCHeading">
    <w:name w:val="TOC Heading"/>
    <w:basedOn w:val="Heading1"/>
    <w:next w:val="Normal"/>
    <w:uiPriority w:val="39"/>
    <w:unhideWhenUsed/>
    <w:qFormat/>
    <w:rsid w:val="008B5065"/>
    <w:pPr>
      <w:outlineLvl w:val="9"/>
    </w:pPr>
    <w:rPr>
      <w:rFonts w:asciiTheme="majorHAnsi" w:hAnsiTheme="majorHAnsi"/>
      <w:b w:val="0"/>
    </w:rPr>
  </w:style>
  <w:style w:type="paragraph" w:styleId="TOC1">
    <w:name w:val="toc 1"/>
    <w:basedOn w:val="Normal"/>
    <w:next w:val="Normal"/>
    <w:autoRedefine/>
    <w:uiPriority w:val="39"/>
    <w:unhideWhenUsed/>
    <w:rsid w:val="008B5065"/>
    <w:pPr>
      <w:spacing w:after="100"/>
    </w:pPr>
  </w:style>
  <w:style w:type="paragraph" w:styleId="TOC2">
    <w:name w:val="toc 2"/>
    <w:basedOn w:val="Normal"/>
    <w:next w:val="Normal"/>
    <w:autoRedefine/>
    <w:uiPriority w:val="39"/>
    <w:unhideWhenUsed/>
    <w:rsid w:val="008B5065"/>
    <w:pPr>
      <w:spacing w:after="100"/>
      <w:ind w:left="220"/>
    </w:pPr>
  </w:style>
  <w:style w:type="character" w:styleId="Hyperlink">
    <w:name w:val="Hyperlink"/>
    <w:basedOn w:val="DefaultParagraphFont"/>
    <w:uiPriority w:val="99"/>
    <w:unhideWhenUsed/>
    <w:rsid w:val="008B5065"/>
    <w:rPr>
      <w:color w:val="0563C1" w:themeColor="hyperlink"/>
      <w:u w:val="single"/>
    </w:rPr>
  </w:style>
  <w:style w:type="paragraph" w:styleId="Header">
    <w:name w:val="header"/>
    <w:basedOn w:val="Normal"/>
    <w:link w:val="HeaderChar"/>
    <w:uiPriority w:val="99"/>
    <w:unhideWhenUsed/>
    <w:rsid w:val="000A0705"/>
    <w:pPr>
      <w:tabs>
        <w:tab w:val="center" w:pos="4680"/>
        <w:tab w:val="right" w:pos="9360"/>
      </w:tabs>
      <w:spacing w:after="0" w:line="240" w:lineRule="auto"/>
    </w:pPr>
  </w:style>
  <w:style w:type="character" w:customStyle="1" w:styleId="HeaderChar">
    <w:name w:val="Header Char"/>
    <w:basedOn w:val="DefaultParagraphFont"/>
    <w:link w:val="Header"/>
    <w:uiPriority w:val="99"/>
    <w:rsid w:val="000A0705"/>
  </w:style>
  <w:style w:type="paragraph" w:styleId="Footer">
    <w:name w:val="footer"/>
    <w:basedOn w:val="Normal"/>
    <w:link w:val="FooterChar"/>
    <w:uiPriority w:val="99"/>
    <w:unhideWhenUsed/>
    <w:rsid w:val="000A0705"/>
    <w:pPr>
      <w:tabs>
        <w:tab w:val="center" w:pos="4680"/>
        <w:tab w:val="right" w:pos="9360"/>
      </w:tabs>
      <w:spacing w:after="0" w:line="240" w:lineRule="auto"/>
    </w:pPr>
  </w:style>
  <w:style w:type="character" w:customStyle="1" w:styleId="FooterChar">
    <w:name w:val="Footer Char"/>
    <w:basedOn w:val="DefaultParagraphFont"/>
    <w:link w:val="Footer"/>
    <w:uiPriority w:val="99"/>
    <w:rsid w:val="000A070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55682099">
      <w:bodyDiv w:val="1"/>
      <w:marLeft w:val="0"/>
      <w:marRight w:val="0"/>
      <w:marTop w:val="0"/>
      <w:marBottom w:val="0"/>
      <w:divBdr>
        <w:top w:val="none" w:sz="0" w:space="0" w:color="auto"/>
        <w:left w:val="none" w:sz="0" w:space="0" w:color="auto"/>
        <w:bottom w:val="none" w:sz="0" w:space="0" w:color="auto"/>
        <w:right w:val="none" w:sz="0" w:space="0" w:color="auto"/>
      </w:divBdr>
    </w:div>
    <w:div w:id="1338732351">
      <w:bodyDiv w:val="1"/>
      <w:marLeft w:val="0"/>
      <w:marRight w:val="0"/>
      <w:marTop w:val="0"/>
      <w:marBottom w:val="0"/>
      <w:divBdr>
        <w:top w:val="none" w:sz="0" w:space="0" w:color="auto"/>
        <w:left w:val="none" w:sz="0" w:space="0" w:color="auto"/>
        <w:bottom w:val="none" w:sz="0" w:space="0" w:color="auto"/>
        <w:right w:val="none" w:sz="0" w:space="0" w:color="auto"/>
      </w:divBdr>
    </w:div>
    <w:div w:id="1378042016">
      <w:bodyDiv w:val="1"/>
      <w:marLeft w:val="0"/>
      <w:marRight w:val="0"/>
      <w:marTop w:val="0"/>
      <w:marBottom w:val="0"/>
      <w:divBdr>
        <w:top w:val="none" w:sz="0" w:space="0" w:color="auto"/>
        <w:left w:val="none" w:sz="0" w:space="0" w:color="auto"/>
        <w:bottom w:val="none" w:sz="0" w:space="0" w:color="auto"/>
        <w:right w:val="none" w:sz="0" w:space="0" w:color="auto"/>
      </w:divBdr>
    </w:div>
    <w:div w:id="15854595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 /><Relationship Id="rId3" Type="http://schemas.openxmlformats.org/officeDocument/2006/relationships/styles" Target="styles.xml" /><Relationship Id="rId7" Type="http://schemas.openxmlformats.org/officeDocument/2006/relationships/endnotes" Target="endnotes.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5" Type="http://schemas.openxmlformats.org/officeDocument/2006/relationships/webSettings" Target="webSettings.xml" /><Relationship Id="rId10" Type="http://schemas.openxmlformats.org/officeDocument/2006/relationships/theme" Target="theme/theme1.xml" /><Relationship Id="rId4" Type="http://schemas.openxmlformats.org/officeDocument/2006/relationships/settings" Target="settings.xml" /><Relationship Id="rId9"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8CBCD3E-E4C4-42A6-AB7B-3986385DF713}">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2554</Words>
  <Characters>14562</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17082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Brother's Computer</dc:creator>
  <cp:keywords/>
  <dc:description/>
  <cp:lastModifiedBy>Gabriela Szkutnik</cp:lastModifiedBy>
  <cp:revision>2</cp:revision>
  <dcterms:created xsi:type="dcterms:W3CDTF">2022-07-09T20:13:00Z</dcterms:created>
  <dcterms:modified xsi:type="dcterms:W3CDTF">2022-07-09T20:13:00Z</dcterms:modified>
</cp:coreProperties>
</file>