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D700F2" w:rsidR="00D9103B" w:rsidP="58C504DB" w:rsidRDefault="00EB7970" w14:paraId="1DF46794" w14:textId="77777777">
      <w:pPr>
        <w:rPr>
          <w:rFonts w:asciiTheme="minorHAnsi" w:hAnsiTheme="minorHAnsi" w:eastAsiaTheme="minorEastAsia" w:cstheme="minorBidi"/>
          <w:b/>
          <w:bCs/>
          <w:color w:val="000000"/>
          <w:sz w:val="22"/>
          <w:szCs w:val="22"/>
          <w:u w:val="single"/>
        </w:rPr>
      </w:pPr>
      <w:r w:rsidRPr="58C504DB">
        <w:rPr>
          <w:rFonts w:asciiTheme="minorHAnsi" w:hAnsiTheme="minorHAnsi" w:eastAsiaTheme="minorEastAsia" w:cstheme="minorBidi"/>
          <w:b/>
          <w:bCs/>
          <w:sz w:val="22"/>
          <w:szCs w:val="22"/>
          <w:u w:val="single"/>
        </w:rPr>
        <w:t xml:space="preserve">Assignment 2: </w:t>
      </w:r>
      <w:r w:rsidRPr="58C504DB" w:rsidR="00D9103B">
        <w:rPr>
          <w:rFonts w:asciiTheme="minorHAnsi" w:hAnsiTheme="minorHAnsi" w:eastAsiaTheme="minorEastAsia" w:cstheme="minorBidi"/>
          <w:b/>
          <w:bCs/>
          <w:color w:val="000000" w:themeColor="text1"/>
          <w:sz w:val="22"/>
          <w:szCs w:val="22"/>
          <w:u w:val="single"/>
        </w:rPr>
        <w:t>It may be argued that the principle of statutory interpretation diminishes the status of legislation as the primary source of law in the UK. Discuss.</w:t>
      </w:r>
    </w:p>
    <w:p w:rsidR="58C504DB" w:rsidP="58C504DB" w:rsidRDefault="58C504DB" w14:paraId="54BD296D" w14:textId="0F7976B0">
      <w:pPr>
        <w:rPr>
          <w:rFonts w:asciiTheme="minorHAnsi" w:hAnsiTheme="minorHAnsi" w:eastAsiaTheme="minorEastAsia" w:cstheme="minorBidi"/>
          <w:sz w:val="22"/>
          <w:szCs w:val="22"/>
        </w:rPr>
      </w:pPr>
    </w:p>
    <w:p w:rsidRPr="00E842B1" w:rsidR="00F463F0" w:rsidP="58C504DB" w:rsidRDefault="00F463F0" w14:paraId="4C20BDB9" w14:textId="0F8C1122">
      <w:pPr>
        <w:rPr>
          <w:rFonts w:asciiTheme="minorHAnsi" w:hAnsiTheme="minorHAnsi" w:eastAsiaTheme="minorEastAsia" w:cstheme="minorBidi"/>
          <w:sz w:val="22"/>
          <w:szCs w:val="22"/>
        </w:rPr>
      </w:pPr>
      <w:r w:rsidRPr="00E842B1">
        <w:rPr>
          <w:rFonts w:asciiTheme="minorHAnsi" w:hAnsiTheme="minorHAnsi" w:eastAsiaTheme="minorEastAsia" w:cstheme="minorBidi"/>
          <w:sz w:val="22"/>
          <w:szCs w:val="22"/>
        </w:rPr>
        <w:t>In this assignment the topic of dis</w:t>
      </w:r>
      <w:r w:rsidRPr="00E842B1" w:rsidR="00FB75FB">
        <w:rPr>
          <w:rFonts w:asciiTheme="minorHAnsi" w:hAnsiTheme="minorHAnsi" w:eastAsiaTheme="minorEastAsia" w:cstheme="minorBidi"/>
          <w:sz w:val="22"/>
          <w:szCs w:val="22"/>
        </w:rPr>
        <w:t xml:space="preserve">cussion will be </w:t>
      </w:r>
      <w:r w:rsidRPr="00E842B1" w:rsidR="00F50137">
        <w:rPr>
          <w:rFonts w:asciiTheme="minorHAnsi" w:hAnsiTheme="minorHAnsi" w:eastAsiaTheme="minorEastAsia" w:cstheme="minorBidi"/>
          <w:sz w:val="22"/>
          <w:szCs w:val="22"/>
        </w:rPr>
        <w:t>statutory interpretation</w:t>
      </w:r>
      <w:r w:rsidRPr="00E842B1" w:rsidR="00993D27">
        <w:rPr>
          <w:rFonts w:asciiTheme="minorHAnsi" w:hAnsiTheme="minorHAnsi" w:eastAsiaTheme="minorEastAsia" w:cstheme="minorBidi"/>
          <w:sz w:val="22"/>
          <w:szCs w:val="22"/>
        </w:rPr>
        <w:t xml:space="preserve"> </w:t>
      </w:r>
      <w:r w:rsidRPr="00E842B1" w:rsidR="005708AF">
        <w:rPr>
          <w:rFonts w:asciiTheme="minorHAnsi" w:hAnsiTheme="minorHAnsi" w:eastAsiaTheme="minorEastAsia" w:cstheme="minorBidi"/>
          <w:sz w:val="22"/>
          <w:szCs w:val="22"/>
        </w:rPr>
        <w:t>and why it is ne</w:t>
      </w:r>
      <w:r w:rsidRPr="00E842B1" w:rsidR="00317AF8">
        <w:rPr>
          <w:rFonts w:asciiTheme="minorHAnsi" w:hAnsiTheme="minorHAnsi" w:eastAsiaTheme="minorEastAsia" w:cstheme="minorBidi"/>
          <w:sz w:val="22"/>
          <w:szCs w:val="22"/>
        </w:rPr>
        <w:t xml:space="preserve">cessary </w:t>
      </w:r>
      <w:bookmarkStart w:name="_Int_8TQA0tlH" w:id="0"/>
      <w:r w:rsidRPr="00E842B1" w:rsidR="004B14FA">
        <w:rPr>
          <w:rFonts w:asciiTheme="minorHAnsi" w:hAnsiTheme="minorHAnsi" w:eastAsiaTheme="minorEastAsia" w:cstheme="minorBidi"/>
          <w:sz w:val="22"/>
          <w:szCs w:val="22"/>
        </w:rPr>
        <w:t>in regard to</w:t>
      </w:r>
      <w:bookmarkEnd w:id="0"/>
      <w:r w:rsidRPr="00E842B1" w:rsidR="00993D27">
        <w:rPr>
          <w:rFonts w:asciiTheme="minorHAnsi" w:hAnsiTheme="minorHAnsi" w:eastAsiaTheme="minorEastAsia" w:cstheme="minorBidi"/>
          <w:sz w:val="22"/>
          <w:szCs w:val="22"/>
        </w:rPr>
        <w:t xml:space="preserve"> the</w:t>
      </w:r>
      <w:r w:rsidRPr="00E842B1" w:rsidR="004F4B0B">
        <w:rPr>
          <w:rFonts w:asciiTheme="minorHAnsi" w:hAnsiTheme="minorHAnsi" w:eastAsiaTheme="minorEastAsia" w:cstheme="minorBidi"/>
          <w:sz w:val="22"/>
          <w:szCs w:val="22"/>
        </w:rPr>
        <w:t xml:space="preserve"> legal system within the UK.</w:t>
      </w:r>
      <w:r w:rsidRPr="00E842B1" w:rsidR="008519AF">
        <w:rPr>
          <w:rFonts w:asciiTheme="minorHAnsi" w:hAnsiTheme="minorHAnsi" w:eastAsiaTheme="minorEastAsia" w:cstheme="minorBidi"/>
          <w:sz w:val="22"/>
          <w:szCs w:val="22"/>
        </w:rPr>
        <w:t xml:space="preserve"> </w:t>
      </w:r>
      <w:r w:rsidRPr="00E842B1" w:rsidR="004C6300">
        <w:rPr>
          <w:rFonts w:asciiTheme="minorHAnsi" w:hAnsiTheme="minorHAnsi" w:eastAsiaTheme="minorEastAsia" w:cstheme="minorBidi"/>
          <w:sz w:val="22"/>
          <w:szCs w:val="22"/>
        </w:rPr>
        <w:t xml:space="preserve">It will also cover </w:t>
      </w:r>
      <w:r w:rsidRPr="00E842B1" w:rsidR="00407327">
        <w:rPr>
          <w:rFonts w:asciiTheme="minorHAnsi" w:hAnsiTheme="minorHAnsi" w:eastAsiaTheme="minorEastAsia" w:cstheme="minorBidi"/>
          <w:sz w:val="22"/>
          <w:szCs w:val="22"/>
        </w:rPr>
        <w:t xml:space="preserve">if the intentions of </w:t>
      </w:r>
      <w:r w:rsidRPr="00E842B1" w:rsidR="008C7EDE">
        <w:rPr>
          <w:rFonts w:asciiTheme="minorHAnsi" w:hAnsiTheme="minorHAnsi" w:eastAsiaTheme="minorEastAsia" w:cstheme="minorBidi"/>
          <w:sz w:val="22"/>
          <w:szCs w:val="22"/>
        </w:rPr>
        <w:t xml:space="preserve">the lawmakers should become </w:t>
      </w:r>
      <w:r w:rsidRPr="00E842B1" w:rsidR="00FA1051">
        <w:rPr>
          <w:rFonts w:asciiTheme="minorHAnsi" w:hAnsiTheme="minorHAnsi" w:eastAsiaTheme="minorEastAsia" w:cstheme="minorBidi"/>
          <w:sz w:val="22"/>
          <w:szCs w:val="22"/>
        </w:rPr>
        <w:t xml:space="preserve">made </w:t>
      </w:r>
      <w:r w:rsidRPr="00E842B1" w:rsidR="004B14FA">
        <w:rPr>
          <w:rFonts w:asciiTheme="minorHAnsi" w:hAnsiTheme="minorHAnsi" w:eastAsiaTheme="minorEastAsia" w:cstheme="minorBidi"/>
          <w:sz w:val="22"/>
          <w:szCs w:val="22"/>
        </w:rPr>
        <w:t xml:space="preserve">clearer by being expressed </w:t>
      </w:r>
      <w:r w:rsidRPr="00E842B1" w:rsidR="00FA1051">
        <w:rPr>
          <w:rFonts w:asciiTheme="minorHAnsi" w:hAnsiTheme="minorHAnsi" w:eastAsiaTheme="minorEastAsia" w:cstheme="minorBidi"/>
          <w:sz w:val="22"/>
          <w:szCs w:val="22"/>
        </w:rPr>
        <w:t xml:space="preserve">through </w:t>
      </w:r>
      <w:r w:rsidRPr="00E842B1" w:rsidR="004B14FA">
        <w:rPr>
          <w:rFonts w:asciiTheme="minorHAnsi" w:hAnsiTheme="minorHAnsi" w:eastAsiaTheme="minorEastAsia" w:cstheme="minorBidi"/>
          <w:sz w:val="22"/>
          <w:szCs w:val="22"/>
        </w:rPr>
        <w:t xml:space="preserve">statute. </w:t>
      </w:r>
      <w:r w:rsidRPr="00E842B1" w:rsidR="0056638E">
        <w:rPr>
          <w:rFonts w:asciiTheme="minorHAnsi" w:hAnsiTheme="minorHAnsi" w:eastAsiaTheme="minorEastAsia" w:cstheme="minorBidi"/>
          <w:sz w:val="22"/>
          <w:szCs w:val="22"/>
        </w:rPr>
        <w:t xml:space="preserve">The UK </w:t>
      </w:r>
      <w:r w:rsidRPr="00E842B1" w:rsidR="00C271C3">
        <w:rPr>
          <w:rFonts w:asciiTheme="minorHAnsi" w:hAnsiTheme="minorHAnsi" w:eastAsiaTheme="minorEastAsia" w:cstheme="minorBidi"/>
          <w:sz w:val="22"/>
          <w:szCs w:val="22"/>
        </w:rPr>
        <w:t>P</w:t>
      </w:r>
      <w:r w:rsidRPr="00E842B1" w:rsidR="0056638E">
        <w:rPr>
          <w:rFonts w:asciiTheme="minorHAnsi" w:hAnsiTheme="minorHAnsi" w:eastAsiaTheme="minorEastAsia" w:cstheme="minorBidi"/>
          <w:sz w:val="22"/>
          <w:szCs w:val="22"/>
        </w:rPr>
        <w:t>arliament (</w:t>
      </w:r>
      <w:r w:rsidRPr="00E842B1" w:rsidR="00974CFE">
        <w:rPr>
          <w:rFonts w:asciiTheme="minorHAnsi" w:hAnsiTheme="minorHAnsi" w:eastAsiaTheme="minorEastAsia" w:cstheme="minorBidi"/>
          <w:sz w:val="22"/>
          <w:szCs w:val="22"/>
        </w:rPr>
        <w:t xml:space="preserve">2022) </w:t>
      </w:r>
      <w:r w:rsidRPr="00E842B1" w:rsidR="00C271C3">
        <w:rPr>
          <w:rFonts w:asciiTheme="minorHAnsi" w:hAnsiTheme="minorHAnsi" w:eastAsiaTheme="minorEastAsia" w:cstheme="minorBidi"/>
          <w:sz w:val="22"/>
          <w:szCs w:val="22"/>
        </w:rPr>
        <w:t>says that an act of Parliament</w:t>
      </w:r>
      <w:r w:rsidRPr="00E842B1" w:rsidR="004E070C">
        <w:rPr>
          <w:rFonts w:asciiTheme="minorHAnsi" w:hAnsiTheme="minorHAnsi" w:eastAsiaTheme="minorEastAsia" w:cstheme="minorBidi"/>
          <w:sz w:val="22"/>
          <w:szCs w:val="22"/>
        </w:rPr>
        <w:t xml:space="preserve">, also known as </w:t>
      </w:r>
      <w:r w:rsidRPr="00E842B1" w:rsidR="002D79BA">
        <w:rPr>
          <w:rFonts w:asciiTheme="minorHAnsi" w:hAnsiTheme="minorHAnsi" w:eastAsiaTheme="minorEastAsia" w:cstheme="minorBidi"/>
          <w:sz w:val="22"/>
          <w:szCs w:val="22"/>
        </w:rPr>
        <w:t>statute,</w:t>
      </w:r>
      <w:r w:rsidRPr="00E842B1" w:rsidR="004E070C">
        <w:rPr>
          <w:rFonts w:asciiTheme="minorHAnsi" w:hAnsiTheme="minorHAnsi" w:eastAsiaTheme="minorEastAsia" w:cstheme="minorBidi"/>
          <w:sz w:val="22"/>
          <w:szCs w:val="22"/>
        </w:rPr>
        <w:t xml:space="preserve"> </w:t>
      </w:r>
      <w:r w:rsidRPr="00E842B1" w:rsidR="002D79BA">
        <w:rPr>
          <w:rFonts w:asciiTheme="minorHAnsi" w:hAnsiTheme="minorHAnsi" w:eastAsiaTheme="minorEastAsia" w:cstheme="minorBidi"/>
          <w:sz w:val="22"/>
          <w:szCs w:val="22"/>
        </w:rPr>
        <w:t>refers to laws that have been made by Parliament.</w:t>
      </w:r>
      <w:r w:rsidRPr="00E842B1" w:rsidR="007E6B11">
        <w:rPr>
          <w:rFonts w:asciiTheme="minorHAnsi" w:hAnsiTheme="minorHAnsi" w:eastAsiaTheme="minorEastAsia" w:cstheme="minorBidi"/>
          <w:sz w:val="22"/>
          <w:szCs w:val="22"/>
        </w:rPr>
        <w:t xml:space="preserve"> The assignment </w:t>
      </w:r>
      <w:r w:rsidRPr="00E842B1" w:rsidR="00DA57D9">
        <w:rPr>
          <w:rFonts w:asciiTheme="minorHAnsi" w:hAnsiTheme="minorHAnsi" w:eastAsiaTheme="minorEastAsia" w:cstheme="minorBidi"/>
          <w:sz w:val="22"/>
          <w:szCs w:val="22"/>
        </w:rPr>
        <w:t>will also investigate how</w:t>
      </w:r>
      <w:r w:rsidRPr="00E842B1" w:rsidR="00601E2D">
        <w:rPr>
          <w:rFonts w:asciiTheme="minorHAnsi" w:hAnsiTheme="minorHAnsi" w:eastAsiaTheme="minorEastAsia" w:cstheme="minorBidi"/>
          <w:sz w:val="22"/>
          <w:szCs w:val="22"/>
        </w:rPr>
        <w:t xml:space="preserve"> </w:t>
      </w:r>
      <w:r w:rsidRPr="00E842B1" w:rsidR="00FA6DA0">
        <w:rPr>
          <w:rFonts w:asciiTheme="minorHAnsi" w:hAnsiTheme="minorHAnsi" w:eastAsiaTheme="minorEastAsia" w:cstheme="minorBidi"/>
          <w:sz w:val="22"/>
          <w:szCs w:val="22"/>
        </w:rPr>
        <w:t xml:space="preserve">statutory interpretation </w:t>
      </w:r>
      <w:r w:rsidRPr="00E842B1" w:rsidR="006F4E73">
        <w:rPr>
          <w:rFonts w:asciiTheme="minorHAnsi" w:hAnsiTheme="minorHAnsi" w:eastAsiaTheme="minorEastAsia" w:cstheme="minorBidi"/>
          <w:sz w:val="22"/>
          <w:szCs w:val="22"/>
        </w:rPr>
        <w:t>can cause issues when used</w:t>
      </w:r>
      <w:r w:rsidRPr="00E842B1" w:rsidR="00AB7691">
        <w:rPr>
          <w:rFonts w:asciiTheme="minorHAnsi" w:hAnsiTheme="minorHAnsi" w:eastAsiaTheme="minorEastAsia" w:cstheme="minorBidi"/>
          <w:sz w:val="22"/>
          <w:szCs w:val="22"/>
        </w:rPr>
        <w:t xml:space="preserve"> as well as any rules or principles that </w:t>
      </w:r>
      <w:r w:rsidRPr="00E842B1" w:rsidR="00FC43C7">
        <w:rPr>
          <w:rFonts w:asciiTheme="minorHAnsi" w:hAnsiTheme="minorHAnsi" w:eastAsiaTheme="minorEastAsia" w:cstheme="minorBidi"/>
          <w:sz w:val="22"/>
          <w:szCs w:val="22"/>
        </w:rPr>
        <w:t xml:space="preserve">may </w:t>
      </w:r>
      <w:r w:rsidRPr="00E842B1" w:rsidR="0068690A">
        <w:rPr>
          <w:rFonts w:asciiTheme="minorHAnsi" w:hAnsiTheme="minorHAnsi" w:eastAsiaTheme="minorEastAsia" w:cstheme="minorBidi"/>
          <w:sz w:val="22"/>
          <w:szCs w:val="22"/>
        </w:rPr>
        <w:t xml:space="preserve">need to be considered </w:t>
      </w:r>
      <w:r w:rsidRPr="00E842B1" w:rsidR="00CD676C">
        <w:rPr>
          <w:rFonts w:asciiTheme="minorHAnsi" w:hAnsiTheme="minorHAnsi" w:eastAsiaTheme="minorEastAsia" w:cstheme="minorBidi"/>
          <w:sz w:val="22"/>
          <w:szCs w:val="22"/>
        </w:rPr>
        <w:t xml:space="preserve">while using </w:t>
      </w:r>
      <w:r w:rsidRPr="00E842B1" w:rsidR="0068690A">
        <w:rPr>
          <w:rFonts w:asciiTheme="minorHAnsi" w:hAnsiTheme="minorHAnsi" w:eastAsiaTheme="minorEastAsia" w:cstheme="minorBidi"/>
          <w:sz w:val="22"/>
          <w:szCs w:val="22"/>
        </w:rPr>
        <w:t xml:space="preserve">statutory interpretation. </w:t>
      </w:r>
    </w:p>
    <w:p w:rsidRPr="00E842B1" w:rsidR="00CD676C" w:rsidP="58C504DB" w:rsidRDefault="00CD676C" w14:paraId="3F39F20E" w14:textId="50873659">
      <w:pPr>
        <w:rPr>
          <w:rFonts w:asciiTheme="minorHAnsi" w:hAnsiTheme="minorHAnsi" w:eastAsiaTheme="minorEastAsia" w:cstheme="minorBidi"/>
          <w:sz w:val="22"/>
          <w:szCs w:val="22"/>
        </w:rPr>
      </w:pPr>
    </w:p>
    <w:p w:rsidRPr="00E842B1" w:rsidR="6E62B03C" w:rsidP="58C504DB" w:rsidRDefault="6E62B03C" w14:paraId="08A00588" w14:textId="543F4379">
      <w:pPr>
        <w:rPr>
          <w:rFonts w:asciiTheme="minorHAnsi" w:hAnsiTheme="minorHAnsi" w:eastAsiaTheme="minorEastAsia" w:cstheme="minorBidi"/>
          <w:sz w:val="22"/>
          <w:szCs w:val="22"/>
        </w:rPr>
      </w:pPr>
      <w:r w:rsidRPr="00E842B1">
        <w:rPr>
          <w:rFonts w:asciiTheme="minorHAnsi" w:hAnsiTheme="minorHAnsi" w:eastAsiaTheme="minorEastAsia" w:cstheme="minorBidi"/>
          <w:sz w:val="22"/>
          <w:szCs w:val="22"/>
        </w:rPr>
        <w:t xml:space="preserve">To understand what statutory interpretation is would first make sense to understand that interpretation meaning. Kapur (2019) says that interpretation involves the act of discovering the true meaning of the language used in the statue. Kapur (2019) goes on the explain that various sources that are used have a limit of exploring just the written text to clarify what exactly has been indicated by the written text or statues. Figuring out how the text or statue needs to be interpreted is important when it comes to statutory interpretation. </w:t>
      </w:r>
      <w:r w:rsidRPr="00E842B1" w:rsidR="000C075C">
        <w:rPr>
          <w:rFonts w:asciiTheme="minorHAnsi" w:hAnsiTheme="minorHAnsi" w:eastAsiaTheme="minorEastAsia" w:cstheme="minorBidi"/>
          <w:sz w:val="22"/>
          <w:szCs w:val="22"/>
        </w:rPr>
        <w:t xml:space="preserve">Harris (1997, p 157) </w:t>
      </w:r>
      <w:r w:rsidRPr="00E842B1" w:rsidR="00DB36AC">
        <w:rPr>
          <w:rFonts w:asciiTheme="minorHAnsi" w:hAnsiTheme="minorHAnsi" w:eastAsiaTheme="minorEastAsia" w:cstheme="minorBidi"/>
          <w:sz w:val="22"/>
          <w:szCs w:val="22"/>
        </w:rPr>
        <w:t>says that t</w:t>
      </w:r>
      <w:r w:rsidRPr="00E842B1" w:rsidR="00191655">
        <w:rPr>
          <w:rFonts w:asciiTheme="minorHAnsi" w:hAnsiTheme="minorHAnsi" w:eastAsiaTheme="minorEastAsia" w:cstheme="minorBidi"/>
          <w:sz w:val="22"/>
          <w:szCs w:val="22"/>
        </w:rPr>
        <w:t xml:space="preserve">he </w:t>
      </w:r>
      <w:r w:rsidRPr="00E842B1" w:rsidR="00D56F81">
        <w:rPr>
          <w:rFonts w:asciiTheme="minorHAnsi" w:hAnsiTheme="minorHAnsi" w:eastAsiaTheme="minorEastAsia" w:cstheme="minorBidi"/>
          <w:sz w:val="22"/>
          <w:szCs w:val="22"/>
        </w:rPr>
        <w:t xml:space="preserve">first controversial </w:t>
      </w:r>
      <w:r w:rsidRPr="00E842B1" w:rsidR="00584DBF">
        <w:rPr>
          <w:rFonts w:asciiTheme="minorHAnsi" w:hAnsiTheme="minorHAnsi" w:eastAsiaTheme="minorEastAsia" w:cstheme="minorBidi"/>
          <w:sz w:val="22"/>
          <w:szCs w:val="22"/>
        </w:rPr>
        <w:t xml:space="preserve">issue is: how </w:t>
      </w:r>
      <w:r w:rsidRPr="00E842B1" w:rsidR="002A6A2B">
        <w:rPr>
          <w:rFonts w:asciiTheme="minorHAnsi" w:hAnsiTheme="minorHAnsi" w:eastAsiaTheme="minorEastAsia" w:cstheme="minorBidi"/>
          <w:sz w:val="22"/>
          <w:szCs w:val="22"/>
        </w:rPr>
        <w:t>do ca</w:t>
      </w:r>
      <w:r w:rsidRPr="00E842B1" w:rsidR="005119C9">
        <w:rPr>
          <w:rFonts w:asciiTheme="minorHAnsi" w:hAnsiTheme="minorHAnsi" w:eastAsiaTheme="minorEastAsia" w:cstheme="minorBidi"/>
          <w:sz w:val="22"/>
          <w:szCs w:val="22"/>
        </w:rPr>
        <w:t>nons of int</w:t>
      </w:r>
      <w:r w:rsidRPr="00E842B1" w:rsidR="005A4351">
        <w:rPr>
          <w:rFonts w:asciiTheme="minorHAnsi" w:hAnsiTheme="minorHAnsi" w:eastAsiaTheme="minorEastAsia" w:cstheme="minorBidi"/>
          <w:sz w:val="22"/>
          <w:szCs w:val="22"/>
        </w:rPr>
        <w:t>erpretation interrelate these matters of me</w:t>
      </w:r>
      <w:r w:rsidRPr="00E842B1" w:rsidR="00D65E89">
        <w:rPr>
          <w:rFonts w:asciiTheme="minorHAnsi" w:hAnsiTheme="minorHAnsi" w:eastAsiaTheme="minorEastAsia" w:cstheme="minorBidi"/>
          <w:sz w:val="22"/>
          <w:szCs w:val="22"/>
        </w:rPr>
        <w:t>aning</w:t>
      </w:r>
      <w:r w:rsidRPr="00E842B1" w:rsidR="009F719B">
        <w:rPr>
          <w:rFonts w:asciiTheme="minorHAnsi" w:hAnsiTheme="minorHAnsi" w:eastAsiaTheme="minorEastAsia" w:cstheme="minorBidi"/>
          <w:sz w:val="22"/>
          <w:szCs w:val="22"/>
        </w:rPr>
        <w:t xml:space="preserve">, </w:t>
      </w:r>
      <w:r w:rsidRPr="00E842B1" w:rsidR="00DB36AC">
        <w:rPr>
          <w:rFonts w:asciiTheme="minorHAnsi" w:hAnsiTheme="minorHAnsi" w:eastAsiaTheme="minorEastAsia" w:cstheme="minorBidi"/>
          <w:sz w:val="22"/>
          <w:szCs w:val="22"/>
        </w:rPr>
        <w:t>consequences,</w:t>
      </w:r>
      <w:r w:rsidRPr="00E842B1" w:rsidR="009F719B">
        <w:rPr>
          <w:rFonts w:asciiTheme="minorHAnsi" w:hAnsiTheme="minorHAnsi" w:eastAsiaTheme="minorEastAsia" w:cstheme="minorBidi"/>
          <w:sz w:val="22"/>
          <w:szCs w:val="22"/>
        </w:rPr>
        <w:t xml:space="preserve"> and</w:t>
      </w:r>
      <w:r w:rsidRPr="00E842B1" w:rsidR="007F5241">
        <w:rPr>
          <w:rFonts w:asciiTheme="minorHAnsi" w:hAnsiTheme="minorHAnsi" w:eastAsiaTheme="minorEastAsia" w:cstheme="minorBidi"/>
          <w:sz w:val="22"/>
          <w:szCs w:val="22"/>
        </w:rPr>
        <w:t xml:space="preserve"> purpose? Due to statute referring to laws made by parliament as stated by the definition within the introduction, trying to understand and interpret them can often be </w:t>
      </w:r>
      <w:r w:rsidRPr="00E842B1" w:rsidR="58C504DB">
        <w:rPr>
          <w:rFonts w:asciiTheme="minorHAnsi" w:hAnsiTheme="minorHAnsi" w:eastAsiaTheme="minorEastAsia" w:cstheme="minorBidi"/>
          <w:sz w:val="22"/>
          <w:szCs w:val="22"/>
        </w:rPr>
        <w:t>difficult. O’Sullivan (2010) said that despite the importance and the increased use statutory interpretation cases that are seen in court, that it does not seem that lawyers and judges are not as familiar with the techniques as they need to be. The idea that even lawyers and judges are unfamiliar and confused by the techniques used to interpret bring an issue about, but also brings the question if they cannot understand the statute</w:t>
      </w:r>
      <w:r w:rsidR="00E842B1">
        <w:rPr>
          <w:rFonts w:asciiTheme="minorHAnsi" w:hAnsiTheme="minorHAnsi" w:eastAsiaTheme="minorEastAsia" w:cstheme="minorBidi"/>
          <w:sz w:val="22"/>
          <w:szCs w:val="22"/>
        </w:rPr>
        <w:t>,</w:t>
      </w:r>
      <w:r w:rsidRPr="00E842B1" w:rsidR="58C504DB">
        <w:rPr>
          <w:rFonts w:asciiTheme="minorHAnsi" w:hAnsiTheme="minorHAnsi" w:eastAsiaTheme="minorEastAsia" w:cstheme="minorBidi"/>
          <w:sz w:val="22"/>
          <w:szCs w:val="22"/>
        </w:rPr>
        <w:t xml:space="preserve"> </w:t>
      </w:r>
      <w:r w:rsidR="00E842B1">
        <w:rPr>
          <w:rFonts w:asciiTheme="minorHAnsi" w:hAnsiTheme="minorHAnsi" w:eastAsiaTheme="minorEastAsia" w:cstheme="minorBidi"/>
          <w:sz w:val="22"/>
          <w:szCs w:val="22"/>
        </w:rPr>
        <w:t xml:space="preserve">then </w:t>
      </w:r>
      <w:r w:rsidRPr="00E842B1" w:rsidR="58C504DB">
        <w:rPr>
          <w:rFonts w:asciiTheme="minorHAnsi" w:hAnsiTheme="minorHAnsi" w:eastAsiaTheme="minorEastAsia" w:cstheme="minorBidi"/>
          <w:sz w:val="22"/>
          <w:szCs w:val="22"/>
        </w:rPr>
        <w:t xml:space="preserve">how </w:t>
      </w:r>
      <w:bookmarkStart w:name="_Int_5br0x40C" w:id="1"/>
      <w:r w:rsidRPr="00E842B1" w:rsidR="58C504DB">
        <w:rPr>
          <w:rFonts w:asciiTheme="minorHAnsi" w:hAnsiTheme="minorHAnsi" w:eastAsiaTheme="minorEastAsia" w:cstheme="minorBidi"/>
          <w:sz w:val="22"/>
          <w:szCs w:val="22"/>
        </w:rPr>
        <w:t>can the public</w:t>
      </w:r>
      <w:bookmarkEnd w:id="1"/>
      <w:r w:rsidRPr="00E842B1" w:rsidR="58C504DB">
        <w:rPr>
          <w:rFonts w:asciiTheme="minorHAnsi" w:hAnsiTheme="minorHAnsi" w:eastAsiaTheme="minorEastAsia" w:cstheme="minorBidi"/>
          <w:sz w:val="22"/>
          <w:szCs w:val="22"/>
        </w:rPr>
        <w:t xml:space="preserve">. </w:t>
      </w:r>
      <w:r w:rsidRPr="00E842B1">
        <w:rPr>
          <w:rFonts w:asciiTheme="minorHAnsi" w:hAnsiTheme="minorHAnsi" w:eastAsiaTheme="minorEastAsia" w:cstheme="minorBidi"/>
          <w:sz w:val="22"/>
          <w:szCs w:val="22"/>
        </w:rPr>
        <w:t xml:space="preserve">Cownie, Bradney and Burton (2013, p 103) traditional accounts of statutory interpretation presume the existence of a text that has a meaning independent of whoever is reading that text. The idea that the text already has a meaning </w:t>
      </w:r>
      <w:bookmarkStart w:name="_Int_T5wV6QNB" w:id="2"/>
      <w:r w:rsidRPr="00E842B1">
        <w:rPr>
          <w:rFonts w:asciiTheme="minorHAnsi" w:hAnsiTheme="minorHAnsi" w:eastAsiaTheme="minorEastAsia" w:cstheme="minorBidi"/>
          <w:sz w:val="22"/>
          <w:szCs w:val="22"/>
        </w:rPr>
        <w:t>in itself is</w:t>
      </w:r>
      <w:bookmarkEnd w:id="2"/>
      <w:r w:rsidRPr="00E842B1">
        <w:rPr>
          <w:rFonts w:asciiTheme="minorHAnsi" w:hAnsiTheme="minorHAnsi" w:eastAsiaTheme="minorEastAsia" w:cstheme="minorBidi"/>
          <w:sz w:val="22"/>
          <w:szCs w:val="22"/>
        </w:rPr>
        <w:t xml:space="preserve"> important as it needs to be understood when attempting to interpret any text or statute, using the given meaning means that using the statute becomes slightly easier.</w:t>
      </w:r>
    </w:p>
    <w:p w:rsidRPr="00E842B1" w:rsidR="58C504DB" w:rsidP="58C504DB" w:rsidRDefault="58C504DB" w14:paraId="06240858" w14:textId="256F7516">
      <w:pPr>
        <w:rPr>
          <w:rFonts w:asciiTheme="minorHAnsi" w:hAnsiTheme="minorHAnsi" w:eastAsiaTheme="minorEastAsia" w:cstheme="minorBidi"/>
          <w:sz w:val="22"/>
          <w:szCs w:val="22"/>
        </w:rPr>
      </w:pPr>
    </w:p>
    <w:p w:rsidRPr="00E842B1" w:rsidR="58C504DB" w:rsidP="58C504DB" w:rsidRDefault="58C504DB" w14:paraId="67F2B16C" w14:textId="2D3C643B">
      <w:pPr>
        <w:rPr>
          <w:rFonts w:asciiTheme="minorHAnsi" w:hAnsiTheme="minorHAnsi" w:eastAsiaTheme="minorEastAsia" w:cstheme="minorBidi"/>
          <w:sz w:val="22"/>
          <w:szCs w:val="22"/>
        </w:rPr>
      </w:pPr>
      <w:r w:rsidRPr="00E842B1">
        <w:rPr>
          <w:rFonts w:asciiTheme="minorHAnsi" w:hAnsiTheme="minorHAnsi" w:eastAsiaTheme="minorEastAsia" w:cstheme="minorBidi"/>
          <w:sz w:val="22"/>
          <w:szCs w:val="22"/>
        </w:rPr>
        <w:t xml:space="preserve">It can be difficult to understand how to judge if statutory interpretation is in fact needed, let alone understanding who needs to know the statutory interpretation. In an article published by the guardian, you can see acts of parliament being put into action by the public. Bennetto (2009) wrote about a husband and wife that used the Human Rights act to challenge a hospitals refusal to allow them to stay overnight with their 5-year-old daughter. The fact that the husband and wife understood the piece of legislation enough to challenge the hospital shows the importance of why the public should understand the legislation that involves them. Having statute and legislation open for the public to access it can help to tell us the type of legal steps that can protect our rights. The Law commission (2015) states that if an act is featured in the statue book and referred to in textbooks, people reasonably assume it means something. Having access to statutes and what they are helping to show the public what it is and what it means. </w:t>
      </w:r>
    </w:p>
    <w:p w:rsidRPr="00E842B1" w:rsidR="58C504DB" w:rsidP="58C504DB" w:rsidRDefault="58C504DB" w14:paraId="34139167" w14:textId="4733162E">
      <w:pPr>
        <w:rPr>
          <w:rFonts w:asciiTheme="minorHAnsi" w:hAnsiTheme="minorHAnsi" w:eastAsiaTheme="minorEastAsia" w:cstheme="minorBidi"/>
          <w:sz w:val="22"/>
          <w:szCs w:val="22"/>
        </w:rPr>
      </w:pPr>
    </w:p>
    <w:p w:rsidRPr="00E842B1" w:rsidR="58C504DB" w:rsidP="5A337218" w:rsidRDefault="58C504DB" w14:paraId="36EF2A6C" w14:textId="37EDCE97">
      <w:pPr>
        <w:rPr>
          <w:rFonts w:ascii="Calibri" w:hAnsi="Calibri" w:eastAsia="" w:cs="" w:asciiTheme="minorAscii" w:hAnsiTheme="minorAscii" w:eastAsiaTheme="minorEastAsia" w:cstheme="minorBidi"/>
          <w:sz w:val="22"/>
          <w:szCs w:val="22"/>
        </w:rPr>
      </w:pPr>
      <w:r w:rsidRPr="5A337218" w:rsidR="58C504DB">
        <w:rPr>
          <w:rFonts w:ascii="Calibri" w:hAnsi="Calibri" w:eastAsia="" w:cs="" w:asciiTheme="minorAscii" w:hAnsiTheme="minorAscii" w:eastAsiaTheme="minorEastAsia" w:cstheme="minorBidi"/>
          <w:sz w:val="22"/>
          <w:szCs w:val="22"/>
        </w:rPr>
        <w:t xml:space="preserve">When having a look into should law makers be clearer with the intentions via statute, GOV.UK (2013) </w:t>
      </w:r>
      <w:r w:rsidRPr="5A337218" w:rsidR="58C504DB">
        <w:rPr>
          <w:rFonts w:ascii="Calibri" w:hAnsi="Calibri" w:eastAsia="" w:cs="" w:asciiTheme="minorAscii" w:hAnsiTheme="minorAscii" w:eastAsiaTheme="minorEastAsia" w:cstheme="minorBidi"/>
          <w:sz w:val="22"/>
          <w:szCs w:val="22"/>
        </w:rPr>
        <w:t>stated</w:t>
      </w:r>
      <w:r w:rsidRPr="5A337218" w:rsidR="58C504DB">
        <w:rPr>
          <w:rFonts w:ascii="Calibri" w:hAnsi="Calibri" w:eastAsia="" w:cs="" w:asciiTheme="minorAscii" w:hAnsiTheme="minorAscii" w:eastAsiaTheme="minorEastAsia" w:cstheme="minorBidi"/>
          <w:sz w:val="22"/>
          <w:szCs w:val="22"/>
        </w:rPr>
        <w:t xml:space="preserve"> that it is not surprising the statutes and subordinate regulations are complex; continuing to say that there is a reason to assume that citizens may need help or guidance </w:t>
      </w:r>
      <w:bookmarkStart w:name="_Int_dQRk5QwW" w:id="3"/>
      <w:r w:rsidRPr="5A337218" w:rsidR="58C504DB">
        <w:rPr>
          <w:rFonts w:ascii="Calibri" w:hAnsi="Calibri" w:eastAsia="" w:cs="" w:asciiTheme="minorAscii" w:hAnsiTheme="minorAscii" w:eastAsiaTheme="minorEastAsia" w:cstheme="minorBidi"/>
          <w:sz w:val="22"/>
          <w:szCs w:val="22"/>
        </w:rPr>
        <w:t>in order to</w:t>
      </w:r>
      <w:bookmarkEnd w:id="3"/>
      <w:r w:rsidRPr="5A337218" w:rsidR="58C504DB">
        <w:rPr>
          <w:rFonts w:ascii="Calibri" w:hAnsi="Calibri" w:eastAsia="" w:cs="" w:asciiTheme="minorAscii" w:hAnsiTheme="minorAscii" w:eastAsiaTheme="minorEastAsia" w:cstheme="minorBidi"/>
          <w:sz w:val="22"/>
          <w:szCs w:val="22"/>
        </w:rPr>
        <w:t xml:space="preserve"> be able to understand the raw materials of law. If a legal organisation can </w:t>
      </w:r>
      <w:r w:rsidRPr="5A337218" w:rsidR="58C504DB">
        <w:rPr>
          <w:rFonts w:ascii="Calibri" w:hAnsi="Calibri" w:eastAsia="" w:cs="" w:asciiTheme="minorAscii" w:hAnsiTheme="minorAscii" w:eastAsiaTheme="minorEastAsia" w:cstheme="minorBidi"/>
          <w:sz w:val="22"/>
          <w:szCs w:val="22"/>
        </w:rPr>
        <w:t>identify</w:t>
      </w:r>
      <w:r w:rsidRPr="5A337218" w:rsidR="58C504DB">
        <w:rPr>
          <w:rFonts w:ascii="Calibri" w:hAnsi="Calibri" w:eastAsia="" w:cs="" w:asciiTheme="minorAscii" w:hAnsiTheme="minorAscii" w:eastAsiaTheme="minorEastAsia" w:cstheme="minorBidi"/>
          <w:sz w:val="22"/>
          <w:szCs w:val="22"/>
        </w:rPr>
        <w:t xml:space="preserve"> that there is an issue with the complexity of the law, then maybe there should be a way to help the citizens understand the law clearer. Although there are many legal roles in place that can help you understand the law and statute it is costly to use their services. What citizens need is help not with the raw material but with the distillation of the law that applies to certain people or situations (GOV.UK 2014). This was said during a talk given by Sir Richard Heaton this idea that the inaccessibility of the law can be spotted by someone with ties to the government shows that it is </w:t>
      </w:r>
      <w:r w:rsidRPr="5A337218" w:rsidR="58C504DB">
        <w:rPr>
          <w:rFonts w:ascii="Calibri" w:hAnsi="Calibri" w:eastAsia="" w:cs="" w:asciiTheme="minorAscii" w:hAnsiTheme="minorAscii" w:eastAsiaTheme="minorEastAsia" w:cstheme="minorBidi"/>
          <w:sz w:val="22"/>
          <w:szCs w:val="22"/>
        </w:rPr>
        <w:t>probably even more</w:t>
      </w:r>
      <w:r w:rsidRPr="5A337218" w:rsidR="58C504DB">
        <w:rPr>
          <w:rFonts w:ascii="Calibri" w:hAnsi="Calibri" w:eastAsia="" w:cs="" w:asciiTheme="minorAscii" w:hAnsiTheme="minorAscii" w:eastAsiaTheme="minorEastAsia" w:cstheme="minorBidi"/>
          <w:sz w:val="22"/>
          <w:szCs w:val="22"/>
        </w:rPr>
        <w:t xml:space="preserve"> confusing for those without any prior knowledge of the law or how our government works. </w:t>
      </w:r>
      <w:r w:rsidRPr="5A337218" w:rsidR="32D676C7">
        <w:rPr>
          <w:rFonts w:ascii="Calibri" w:hAnsi="Calibri" w:eastAsia="" w:cs="" w:asciiTheme="minorAscii" w:hAnsiTheme="minorAscii" w:eastAsiaTheme="minorEastAsia" w:cstheme="minorBidi"/>
          <w:sz w:val="22"/>
          <w:szCs w:val="22"/>
        </w:rPr>
        <w:t xml:space="preserve">With simplifying the law if can often seem as though it is changing the law which it </w:t>
      </w:r>
      <w:r w:rsidRPr="5A337218" w:rsidR="32D676C7">
        <w:rPr>
          <w:rFonts w:ascii="Calibri" w:hAnsi="Calibri" w:eastAsia="" w:cs="" w:asciiTheme="minorAscii" w:hAnsiTheme="minorAscii" w:eastAsiaTheme="minorEastAsia" w:cstheme="minorBidi"/>
          <w:sz w:val="22"/>
          <w:szCs w:val="22"/>
        </w:rPr>
        <w:t>is not</w:t>
      </w:r>
      <w:r w:rsidRPr="5A337218" w:rsidR="0A67E271">
        <w:rPr>
          <w:rFonts w:ascii="Calibri" w:hAnsi="Calibri" w:eastAsia="" w:cs="" w:asciiTheme="minorAscii" w:hAnsiTheme="minorAscii" w:eastAsiaTheme="minorEastAsia" w:cstheme="minorBidi"/>
          <w:sz w:val="22"/>
          <w:szCs w:val="22"/>
        </w:rPr>
        <w:t>, it would simply make</w:t>
      </w:r>
      <w:r w:rsidRPr="5A337218" w:rsidR="67BDAEE1">
        <w:rPr>
          <w:rFonts w:ascii="Calibri" w:hAnsi="Calibri" w:eastAsia="" w:cs="" w:asciiTheme="minorAscii" w:hAnsiTheme="minorAscii" w:eastAsiaTheme="minorEastAsia" w:cstheme="minorBidi"/>
          <w:sz w:val="22"/>
          <w:szCs w:val="22"/>
        </w:rPr>
        <w:t xml:space="preserve"> it easier for </w:t>
      </w:r>
      <w:r w:rsidRPr="5A337218" w:rsidR="2F3F7BEE">
        <w:rPr>
          <w:rFonts w:ascii="Calibri" w:hAnsi="Calibri" w:eastAsia="" w:cs="" w:asciiTheme="minorAscii" w:hAnsiTheme="minorAscii" w:eastAsiaTheme="minorEastAsia" w:cstheme="minorBidi"/>
          <w:sz w:val="22"/>
          <w:szCs w:val="22"/>
        </w:rPr>
        <w:t xml:space="preserve">the public to </w:t>
      </w:r>
      <w:r w:rsidRPr="5A337218" w:rsidR="3CEA660B">
        <w:rPr>
          <w:rFonts w:ascii="Calibri" w:hAnsi="Calibri" w:eastAsia="" w:cs="" w:asciiTheme="minorAscii" w:hAnsiTheme="minorAscii" w:eastAsiaTheme="minorEastAsia" w:cstheme="minorBidi"/>
          <w:sz w:val="22"/>
          <w:szCs w:val="22"/>
        </w:rPr>
        <w:t xml:space="preserve">understand what </w:t>
      </w:r>
      <w:r w:rsidRPr="5A337218" w:rsidR="48EE18A5">
        <w:rPr>
          <w:rFonts w:ascii="Calibri" w:hAnsi="Calibri" w:eastAsia="" w:cs="" w:asciiTheme="minorAscii" w:hAnsiTheme="minorAscii" w:eastAsiaTheme="minorEastAsia" w:cstheme="minorBidi"/>
          <w:sz w:val="22"/>
          <w:szCs w:val="22"/>
        </w:rPr>
        <w:t xml:space="preserve">the intentions </w:t>
      </w:r>
      <w:r w:rsidRPr="5A337218" w:rsidR="00E4625F">
        <w:rPr>
          <w:rFonts w:ascii="Calibri" w:hAnsi="Calibri" w:eastAsia="" w:cs="" w:asciiTheme="minorAscii" w:hAnsiTheme="minorAscii" w:eastAsiaTheme="minorEastAsia" w:cstheme="minorBidi"/>
          <w:sz w:val="22"/>
          <w:szCs w:val="22"/>
        </w:rPr>
        <w:t>or the lawmakers are.</w:t>
      </w:r>
    </w:p>
    <w:p w:rsidRPr="00E842B1" w:rsidR="58C504DB" w:rsidP="58C504DB" w:rsidRDefault="58C504DB" w14:paraId="01CF7F70" w14:textId="112331AC">
      <w:pPr>
        <w:rPr>
          <w:rFonts w:asciiTheme="minorHAnsi" w:hAnsiTheme="minorHAnsi" w:eastAsiaTheme="minorEastAsia" w:cstheme="minorBidi"/>
          <w:sz w:val="22"/>
          <w:szCs w:val="22"/>
        </w:rPr>
      </w:pPr>
    </w:p>
    <w:p w:rsidRPr="00E842B1" w:rsidR="58C504DB" w:rsidP="5A337218" w:rsidRDefault="58C504DB" w14:paraId="08839944" w14:textId="1A6BDE48">
      <w:pPr>
        <w:rPr>
          <w:rFonts w:ascii="Calibri" w:hAnsi="Calibri" w:eastAsia="" w:cs="" w:asciiTheme="minorAscii" w:hAnsiTheme="minorAscii" w:eastAsiaTheme="minorEastAsia" w:cstheme="minorBidi"/>
          <w:sz w:val="22"/>
          <w:szCs w:val="22"/>
        </w:rPr>
      </w:pPr>
      <w:r w:rsidRPr="5A337218" w:rsidR="58C504DB">
        <w:rPr>
          <w:rFonts w:ascii="Calibri" w:hAnsi="Calibri" w:eastAsia="" w:cs="" w:asciiTheme="minorAscii" w:hAnsiTheme="minorAscii" w:eastAsiaTheme="minorEastAsia" w:cstheme="minorBidi"/>
          <w:sz w:val="22"/>
          <w:szCs w:val="22"/>
        </w:rPr>
        <w:t xml:space="preserve">There are many issues that can be caused by statutory interpretation, O’Sullivan (2010) wrote that statutory interpretation has caused issue for a while to those who seek to apply the law. The common law has tried to find solutions to the issues surrounding by developing maxims, </w:t>
      </w:r>
      <w:r w:rsidRPr="5A337218" w:rsidR="58C504DB">
        <w:rPr>
          <w:rFonts w:ascii="Calibri" w:hAnsi="Calibri" w:eastAsia="" w:cs="" w:asciiTheme="minorAscii" w:hAnsiTheme="minorAscii" w:eastAsiaTheme="minorEastAsia" w:cstheme="minorBidi"/>
          <w:sz w:val="22"/>
          <w:szCs w:val="22"/>
        </w:rPr>
        <w:t>canons,</w:t>
      </w:r>
      <w:r w:rsidRPr="5A337218" w:rsidR="58C504DB">
        <w:rPr>
          <w:rFonts w:ascii="Calibri" w:hAnsi="Calibri" w:eastAsia="" w:cs="" w:asciiTheme="minorAscii" w:hAnsiTheme="minorAscii" w:eastAsiaTheme="minorEastAsia" w:cstheme="minorBidi"/>
          <w:sz w:val="22"/>
          <w:szCs w:val="22"/>
        </w:rPr>
        <w:t xml:space="preserve"> and presumptions of statutory constructions. Issues with interpreting are bound to happen as someone may interpret the statute differently then another person, there may be different views. Therefore, understanding with is meant by a statute is of high importance as it may be brought up repeatedly but needs to have a definitive way to </w:t>
      </w:r>
      <w:r w:rsidRPr="5A337218" w:rsidR="58C504DB">
        <w:rPr>
          <w:rFonts w:ascii="Calibri" w:hAnsi="Calibri" w:eastAsia="" w:cs="" w:asciiTheme="minorAscii" w:hAnsiTheme="minorAscii" w:eastAsiaTheme="minorEastAsia" w:cstheme="minorBidi"/>
          <w:sz w:val="22"/>
          <w:szCs w:val="22"/>
        </w:rPr>
        <w:t>identify</w:t>
      </w:r>
      <w:r w:rsidRPr="5A337218" w:rsidR="58C504DB">
        <w:rPr>
          <w:rFonts w:ascii="Calibri" w:hAnsi="Calibri" w:eastAsia="" w:cs="" w:asciiTheme="minorAscii" w:hAnsiTheme="minorAscii" w:eastAsiaTheme="minorEastAsia" w:cstheme="minorBidi"/>
          <w:sz w:val="22"/>
          <w:szCs w:val="22"/>
        </w:rPr>
        <w:t xml:space="preserve"> what it means. Hutton (2012) said the dilemmas to do with interpreting law are often revealed when looking at plain language, the use of definitions, tension between the need for consistency and requirement that the law evolves with social changes. The idea that the language used can cause an issue means that </w:t>
      </w:r>
      <w:r w:rsidRPr="5A337218" w:rsidR="58C504DB">
        <w:rPr>
          <w:rFonts w:ascii="Calibri" w:hAnsi="Calibri" w:eastAsia="" w:cs="" w:asciiTheme="minorAscii" w:hAnsiTheme="minorAscii" w:eastAsiaTheme="minorEastAsia" w:cstheme="minorBidi"/>
          <w:sz w:val="22"/>
          <w:szCs w:val="22"/>
        </w:rPr>
        <w:t>maybe that</w:t>
      </w:r>
      <w:r w:rsidRPr="5A337218" w:rsidR="58C504DB">
        <w:rPr>
          <w:rFonts w:ascii="Calibri" w:hAnsi="Calibri" w:eastAsia="" w:cs="" w:asciiTheme="minorAscii" w:hAnsiTheme="minorAscii" w:eastAsiaTheme="minorEastAsia" w:cstheme="minorBidi"/>
          <w:sz w:val="22"/>
          <w:szCs w:val="22"/>
        </w:rPr>
        <w:t xml:space="preserve"> is where the government should have a look to see if they can clear up the dilemmas and ensure that the statute or legislation makes sense to everyone and that their intentions are clearly mapped out.</w:t>
      </w:r>
    </w:p>
    <w:p w:rsidRPr="00E842B1" w:rsidR="58C504DB" w:rsidP="58C504DB" w:rsidRDefault="58C504DB" w14:paraId="463C164E" w14:textId="48296C0E">
      <w:pPr>
        <w:pStyle w:val="ListParagraph"/>
        <w:ind w:left="0"/>
        <w:rPr>
          <w:rFonts w:asciiTheme="minorHAnsi" w:hAnsiTheme="minorHAnsi" w:eastAsiaTheme="minorEastAsia" w:cstheme="minorBidi"/>
          <w:sz w:val="22"/>
          <w:szCs w:val="22"/>
        </w:rPr>
      </w:pPr>
    </w:p>
    <w:p w:rsidRPr="00E842B1" w:rsidR="58C504DB" w:rsidP="5A337218" w:rsidRDefault="58C504DB" w14:paraId="1E681244" w14:textId="225BC0A5">
      <w:pPr>
        <w:pStyle w:val="ListParagraph"/>
        <w:ind w:left="0"/>
        <w:rPr>
          <w:rFonts w:ascii="Calibri" w:hAnsi="Calibri" w:eastAsia="" w:cs="" w:asciiTheme="minorAscii" w:hAnsiTheme="minorAscii" w:eastAsiaTheme="minorEastAsia" w:cstheme="minorBidi"/>
          <w:sz w:val="22"/>
          <w:szCs w:val="22"/>
        </w:rPr>
      </w:pPr>
      <w:r w:rsidRPr="5A337218" w:rsidR="58C504DB">
        <w:rPr>
          <w:rFonts w:ascii="Calibri" w:hAnsi="Calibri" w:eastAsia="" w:cs="" w:asciiTheme="minorAscii" w:hAnsiTheme="minorAscii" w:eastAsiaTheme="minorEastAsia" w:cstheme="minorBidi"/>
          <w:sz w:val="22"/>
          <w:szCs w:val="22"/>
        </w:rPr>
        <w:t xml:space="preserve">Through research </w:t>
      </w:r>
      <w:bookmarkStart w:name="_Int_uer22DWi" w:id="4"/>
      <w:r w:rsidRPr="5A337218" w:rsidR="58C504DB">
        <w:rPr>
          <w:rFonts w:ascii="Calibri" w:hAnsi="Calibri" w:eastAsia="" w:cs="" w:asciiTheme="minorAscii" w:hAnsiTheme="minorAscii" w:eastAsiaTheme="minorEastAsia" w:cstheme="minorBidi"/>
          <w:sz w:val="22"/>
          <w:szCs w:val="22"/>
        </w:rPr>
        <w:t>it can be seen that there</w:t>
      </w:r>
      <w:bookmarkEnd w:id="4"/>
      <w:r w:rsidRPr="5A337218" w:rsidR="58C504DB">
        <w:rPr>
          <w:rFonts w:ascii="Calibri" w:hAnsi="Calibri" w:eastAsia="" w:cs="" w:asciiTheme="minorAscii" w:hAnsiTheme="minorAscii" w:eastAsiaTheme="minorEastAsia" w:cstheme="minorBidi"/>
          <w:sz w:val="22"/>
          <w:szCs w:val="22"/>
        </w:rPr>
        <w:t xml:space="preserve"> are two approaches and three rules that can be associated with statutory interpretation. Gillespie (2011) said it is suggested that since 2001 there have been two principle means of interpreting a statute: the purposive approach and the interpretative approach. </w:t>
      </w:r>
      <w:r w:rsidRPr="5A337218" w:rsidR="001B3A90">
        <w:rPr>
          <w:rFonts w:ascii="Calibri" w:hAnsi="Calibri" w:eastAsia="" w:cs="" w:asciiTheme="minorAscii" w:hAnsiTheme="minorAscii" w:eastAsiaTheme="minorEastAsia" w:cstheme="minorBidi"/>
          <w:sz w:val="22"/>
          <w:szCs w:val="22"/>
        </w:rPr>
        <w:t xml:space="preserve">Harris </w:t>
      </w:r>
      <w:r w:rsidRPr="5A337218" w:rsidR="005368F2">
        <w:rPr>
          <w:rFonts w:ascii="Calibri" w:hAnsi="Calibri" w:eastAsia="" w:cs="" w:asciiTheme="minorAscii" w:hAnsiTheme="minorAscii" w:eastAsiaTheme="minorEastAsia" w:cstheme="minorBidi"/>
          <w:sz w:val="22"/>
          <w:szCs w:val="22"/>
        </w:rPr>
        <w:t xml:space="preserve">(1997) </w:t>
      </w:r>
      <w:r w:rsidRPr="5A337218" w:rsidR="007C44CD">
        <w:rPr>
          <w:rFonts w:ascii="Calibri" w:hAnsi="Calibri" w:eastAsia="" w:cs="" w:asciiTheme="minorAscii" w:hAnsiTheme="minorAscii" w:eastAsiaTheme="minorEastAsia" w:cstheme="minorBidi"/>
          <w:sz w:val="22"/>
          <w:szCs w:val="22"/>
        </w:rPr>
        <w:t>stated</w:t>
      </w:r>
      <w:r w:rsidRPr="5A337218" w:rsidR="007C44CD">
        <w:rPr>
          <w:rFonts w:ascii="Calibri" w:hAnsi="Calibri" w:eastAsia="" w:cs="" w:asciiTheme="minorAscii" w:hAnsiTheme="minorAscii" w:eastAsiaTheme="minorEastAsia" w:cstheme="minorBidi"/>
          <w:sz w:val="22"/>
          <w:szCs w:val="22"/>
        </w:rPr>
        <w:t xml:space="preserve"> that the traditiona</w:t>
      </w:r>
      <w:r w:rsidRPr="5A337218" w:rsidR="006D420E">
        <w:rPr>
          <w:rFonts w:ascii="Calibri" w:hAnsi="Calibri" w:eastAsia="" w:cs="" w:asciiTheme="minorAscii" w:hAnsiTheme="minorAscii" w:eastAsiaTheme="minorEastAsia" w:cstheme="minorBidi"/>
          <w:sz w:val="22"/>
          <w:szCs w:val="22"/>
        </w:rPr>
        <w:t xml:space="preserve">l </w:t>
      </w:r>
      <w:r w:rsidRPr="5A337218" w:rsidR="00676834">
        <w:rPr>
          <w:rFonts w:ascii="Calibri" w:hAnsi="Calibri" w:eastAsia="" w:cs="" w:asciiTheme="minorAscii" w:hAnsiTheme="minorAscii" w:eastAsiaTheme="minorEastAsia" w:cstheme="minorBidi"/>
          <w:sz w:val="22"/>
          <w:szCs w:val="22"/>
        </w:rPr>
        <w:t xml:space="preserve">view of interpretation has been that there are </w:t>
      </w:r>
      <w:r w:rsidRPr="5A337218" w:rsidR="00F73BF8">
        <w:rPr>
          <w:rFonts w:ascii="Calibri" w:hAnsi="Calibri" w:eastAsia="" w:cs="" w:asciiTheme="minorAscii" w:hAnsiTheme="minorAscii" w:eastAsiaTheme="minorEastAsia" w:cstheme="minorBidi"/>
          <w:sz w:val="22"/>
          <w:szCs w:val="22"/>
        </w:rPr>
        <w:t>three rules: the literal rule</w:t>
      </w:r>
      <w:r w:rsidRPr="5A337218" w:rsidR="00D740EA">
        <w:rPr>
          <w:rFonts w:ascii="Calibri" w:hAnsi="Calibri" w:eastAsia="" w:cs="" w:asciiTheme="minorAscii" w:hAnsiTheme="minorAscii" w:eastAsiaTheme="minorEastAsia" w:cstheme="minorBidi"/>
          <w:sz w:val="22"/>
          <w:szCs w:val="22"/>
        </w:rPr>
        <w:t xml:space="preserve">, the golden </w:t>
      </w:r>
      <w:r w:rsidRPr="5A337218" w:rsidR="007B2884">
        <w:rPr>
          <w:rFonts w:ascii="Calibri" w:hAnsi="Calibri" w:eastAsia="" w:cs="" w:asciiTheme="minorAscii" w:hAnsiTheme="minorAscii" w:eastAsiaTheme="minorEastAsia" w:cstheme="minorBidi"/>
          <w:sz w:val="22"/>
          <w:szCs w:val="22"/>
        </w:rPr>
        <w:t>rule,</w:t>
      </w:r>
      <w:r w:rsidRPr="5A337218" w:rsidR="00D740EA">
        <w:rPr>
          <w:rFonts w:ascii="Calibri" w:hAnsi="Calibri" w:eastAsia="" w:cs="" w:asciiTheme="minorAscii" w:hAnsiTheme="minorAscii" w:eastAsiaTheme="minorEastAsia" w:cstheme="minorBidi"/>
          <w:sz w:val="22"/>
          <w:szCs w:val="22"/>
        </w:rPr>
        <w:t xml:space="preserve"> and </w:t>
      </w:r>
      <w:r w:rsidRPr="5A337218" w:rsidR="00C51693">
        <w:rPr>
          <w:rFonts w:ascii="Calibri" w:hAnsi="Calibri" w:eastAsia="" w:cs="" w:asciiTheme="minorAscii" w:hAnsiTheme="minorAscii" w:eastAsiaTheme="minorEastAsia" w:cstheme="minorBidi"/>
          <w:sz w:val="22"/>
          <w:szCs w:val="22"/>
        </w:rPr>
        <w:t>the mischief rule. The literal rule can be taken as is it refers to the literal meaning of the statue, Gillespie (2011) says that the essence of the literal rule is that the court can look at the words and apply them as they have been written with the idea parliament knows what the mean. Following this rule may be easy if the person interpreting the statute knows and understands the language used. The golden rule is used to investigate whether the way the statute is worded coneys parliaments true intentions (Lumpur 2022). Distinguishing if the statute has a meaning given by parliament is important as this it is the base of the act and helps show how it can be used</w:t>
      </w:r>
      <w:r w:rsidRPr="5A337218" w:rsidR="00C51693">
        <w:rPr>
          <w:rFonts w:ascii="Calibri" w:hAnsi="Calibri" w:eastAsia="" w:cs="" w:asciiTheme="minorAscii" w:hAnsiTheme="minorAscii" w:eastAsiaTheme="minorEastAsia" w:cstheme="minorBidi"/>
          <w:sz w:val="22"/>
          <w:szCs w:val="22"/>
        </w:rPr>
        <w:t xml:space="preserve">. </w:t>
      </w:r>
      <w:r w:rsidRPr="5A337218" w:rsidR="00C51693">
        <w:rPr>
          <w:rFonts w:ascii="Calibri" w:hAnsi="Calibri" w:eastAsia="" w:cs="" w:asciiTheme="minorAscii" w:hAnsiTheme="minorAscii" w:eastAsiaTheme="minorEastAsia" w:cstheme="minorBidi"/>
          <w:sz w:val="22"/>
          <w:szCs w:val="22"/>
        </w:rPr>
        <w:t xml:space="preserve">Lumpur (2022) writes about the mischief rule saying that it looks at the gaps or the mischief that the statute intends to cover and applies remedies to problems through ambiguous statutes. </w:t>
      </w:r>
      <w:r w:rsidRPr="5A337218" w:rsidR="6E62B03C">
        <w:rPr>
          <w:rFonts w:ascii="Calibri" w:hAnsi="Calibri" w:eastAsia="" w:cs="" w:asciiTheme="minorAscii" w:hAnsiTheme="minorAscii" w:eastAsiaTheme="minorEastAsia" w:cstheme="minorBidi"/>
          <w:sz w:val="22"/>
          <w:szCs w:val="22"/>
        </w:rPr>
        <w:t xml:space="preserve">Cownie, Bradney and Burton (2010, p 94) says that legal rules are applicable in an all or nothing matter whilst principles have weight. With legal principles there is no simple question as to whether the principle applies but a question of how important it is in a particular situation (Cownie, Bradney and Burton 2010, p 94). Having rules and principles to follow when interpreting is important as it sets out a boundry of what can be used and how it should be used. The law can be difficult to understand but having a set way to </w:t>
      </w:r>
      <w:r w:rsidRPr="5A337218" w:rsidR="6E62B03C">
        <w:rPr>
          <w:rFonts w:ascii="Calibri" w:hAnsi="Calibri" w:eastAsia="" w:cs="" w:asciiTheme="minorAscii" w:hAnsiTheme="minorAscii" w:eastAsiaTheme="minorEastAsia" w:cstheme="minorBidi"/>
          <w:sz w:val="22"/>
          <w:szCs w:val="22"/>
        </w:rPr>
        <w:t>attempt</w:t>
      </w:r>
      <w:r w:rsidRPr="5A337218" w:rsidR="6E62B03C">
        <w:rPr>
          <w:rFonts w:ascii="Calibri" w:hAnsi="Calibri" w:eastAsia="" w:cs="" w:asciiTheme="minorAscii" w:hAnsiTheme="minorAscii" w:eastAsiaTheme="minorEastAsia" w:cstheme="minorBidi"/>
          <w:sz w:val="22"/>
          <w:szCs w:val="22"/>
        </w:rPr>
        <w:t xml:space="preserve"> to understand it and make it more accessible to the situation in a way to helps others understand. </w:t>
      </w:r>
    </w:p>
    <w:p w:rsidRPr="00E842B1" w:rsidR="58C504DB" w:rsidP="58C504DB" w:rsidRDefault="58C504DB" w14:paraId="783BD0C9" w14:textId="00124EA9">
      <w:pPr>
        <w:rPr>
          <w:rFonts w:asciiTheme="minorHAnsi" w:hAnsiTheme="minorHAnsi" w:eastAsiaTheme="minorEastAsia" w:cstheme="minorBidi"/>
          <w:sz w:val="22"/>
          <w:szCs w:val="22"/>
        </w:rPr>
      </w:pPr>
    </w:p>
    <w:p w:rsidRPr="00E842B1" w:rsidR="58C504DB" w:rsidP="58C504DB" w:rsidRDefault="58C504DB" w14:paraId="13F367C8" w14:textId="1A4C4BA5">
      <w:pPr>
        <w:rPr>
          <w:rFonts w:asciiTheme="minorHAnsi" w:hAnsiTheme="minorHAnsi" w:eastAsiaTheme="minorEastAsia" w:cstheme="minorBidi"/>
          <w:color w:val="000000" w:themeColor="text1"/>
          <w:sz w:val="22"/>
          <w:szCs w:val="22"/>
        </w:rPr>
      </w:pPr>
      <w:r w:rsidRPr="00E842B1">
        <w:rPr>
          <w:rFonts w:asciiTheme="minorHAnsi" w:hAnsiTheme="minorHAnsi" w:eastAsiaTheme="minorEastAsia" w:cstheme="minorBidi"/>
          <w:color w:val="000000" w:themeColor="text1"/>
          <w:sz w:val="22"/>
          <w:szCs w:val="22"/>
        </w:rPr>
        <w:t>Through the research conducted upon statutory interpretation it is clear to see that it can help to make the law easier to understand while allowing for the intended definition to be seen. Baker (2021) said that the volume of legislation is increasing but the amount of common law is still large, and that the interpretation of statues is governed by the principles of common law. Legislation is the foundation of a lot of legal decisions in the UK, statutory interpretation while reintroducing the intention of legislation or an act does not rewrite the act but helps to simplify what the intentions are and how it can be used.</w:t>
      </w:r>
      <w:r w:rsidR="00E4625F">
        <w:rPr>
          <w:rFonts w:asciiTheme="minorHAnsi" w:hAnsiTheme="minorHAnsi" w:eastAsiaTheme="minorEastAsia" w:cstheme="minorBidi"/>
          <w:color w:val="000000" w:themeColor="text1"/>
          <w:sz w:val="22"/>
          <w:szCs w:val="22"/>
        </w:rPr>
        <w:t xml:space="preserve"> </w:t>
      </w:r>
      <w:r w:rsidR="006836A6">
        <w:rPr>
          <w:rFonts w:asciiTheme="minorHAnsi" w:hAnsiTheme="minorHAnsi" w:eastAsiaTheme="minorEastAsia" w:cstheme="minorBidi"/>
          <w:color w:val="000000" w:themeColor="text1"/>
          <w:sz w:val="22"/>
          <w:szCs w:val="22"/>
        </w:rPr>
        <w:t xml:space="preserve">Legislation is the main </w:t>
      </w:r>
      <w:r w:rsidR="00411C98">
        <w:rPr>
          <w:rFonts w:asciiTheme="minorHAnsi" w:hAnsiTheme="minorHAnsi" w:eastAsiaTheme="minorEastAsia" w:cstheme="minorBidi"/>
          <w:color w:val="000000" w:themeColor="text1"/>
          <w:sz w:val="22"/>
          <w:szCs w:val="22"/>
        </w:rPr>
        <w:t>chunk of the law</w:t>
      </w:r>
      <w:r w:rsidR="00DE3DCB">
        <w:rPr>
          <w:rFonts w:asciiTheme="minorHAnsi" w:hAnsiTheme="minorHAnsi" w:eastAsiaTheme="minorEastAsia" w:cstheme="minorBidi"/>
          <w:color w:val="000000" w:themeColor="text1"/>
          <w:sz w:val="22"/>
          <w:szCs w:val="22"/>
        </w:rPr>
        <w:t>,</w:t>
      </w:r>
      <w:r w:rsidR="005F5388">
        <w:rPr>
          <w:rFonts w:asciiTheme="minorHAnsi" w:hAnsiTheme="minorHAnsi" w:eastAsiaTheme="minorEastAsia" w:cstheme="minorBidi"/>
          <w:color w:val="000000" w:themeColor="text1"/>
          <w:sz w:val="22"/>
          <w:szCs w:val="22"/>
        </w:rPr>
        <w:t xml:space="preserve"> it is </w:t>
      </w:r>
      <w:r w:rsidR="00916B4F">
        <w:rPr>
          <w:rFonts w:asciiTheme="minorHAnsi" w:hAnsiTheme="minorHAnsi" w:eastAsiaTheme="minorEastAsia" w:cstheme="minorBidi"/>
          <w:color w:val="000000" w:themeColor="text1"/>
          <w:sz w:val="22"/>
          <w:szCs w:val="22"/>
        </w:rPr>
        <w:t xml:space="preserve">interpreted </w:t>
      </w:r>
      <w:r w:rsidR="00722D46">
        <w:rPr>
          <w:rFonts w:asciiTheme="minorHAnsi" w:hAnsiTheme="minorHAnsi" w:eastAsiaTheme="minorEastAsia" w:cstheme="minorBidi"/>
          <w:color w:val="000000" w:themeColor="text1"/>
          <w:sz w:val="22"/>
          <w:szCs w:val="22"/>
        </w:rPr>
        <w:t>in order to help</w:t>
      </w:r>
      <w:r w:rsidR="00E302F8">
        <w:rPr>
          <w:rFonts w:asciiTheme="minorHAnsi" w:hAnsiTheme="minorHAnsi" w:eastAsiaTheme="minorEastAsia" w:cstheme="minorBidi"/>
          <w:color w:val="000000" w:themeColor="text1"/>
          <w:sz w:val="22"/>
          <w:szCs w:val="22"/>
        </w:rPr>
        <w:t xml:space="preserve"> others understand the intention and </w:t>
      </w:r>
      <w:r w:rsidR="005C36B0">
        <w:rPr>
          <w:rFonts w:asciiTheme="minorHAnsi" w:hAnsiTheme="minorHAnsi" w:eastAsiaTheme="minorEastAsia" w:cstheme="minorBidi"/>
          <w:color w:val="000000" w:themeColor="text1"/>
          <w:sz w:val="22"/>
          <w:szCs w:val="22"/>
        </w:rPr>
        <w:t>way it should be used</w:t>
      </w:r>
      <w:r w:rsidR="00806024">
        <w:rPr>
          <w:rFonts w:asciiTheme="minorHAnsi" w:hAnsiTheme="minorHAnsi" w:eastAsiaTheme="minorEastAsia" w:cstheme="minorBidi"/>
          <w:color w:val="000000" w:themeColor="text1"/>
          <w:sz w:val="22"/>
          <w:szCs w:val="22"/>
        </w:rPr>
        <w:t xml:space="preserve"> in certain situations.</w:t>
      </w:r>
    </w:p>
    <w:p w:rsidRPr="00E842B1" w:rsidR="00FA4380" w:rsidP="58C504DB" w:rsidRDefault="00FA4380" w14:paraId="145F13A9" w14:textId="77777777">
      <w:pPr>
        <w:rPr>
          <w:rFonts w:asciiTheme="minorHAnsi" w:hAnsiTheme="minorHAnsi" w:eastAsiaTheme="minorEastAsia" w:cstheme="minorBidi"/>
          <w:sz w:val="22"/>
          <w:szCs w:val="22"/>
        </w:rPr>
      </w:pPr>
    </w:p>
    <w:p w:rsidRPr="00E842B1" w:rsidR="00D700F2" w:rsidP="58C504DB" w:rsidRDefault="00D700F2" w14:paraId="6217E7A9" w14:textId="5C406E35">
      <w:pPr>
        <w:rPr>
          <w:rFonts w:asciiTheme="minorHAnsi" w:hAnsiTheme="minorHAnsi" w:eastAsiaTheme="minorEastAsia" w:cstheme="minorBidi"/>
          <w:b/>
          <w:bCs/>
          <w:sz w:val="22"/>
          <w:szCs w:val="22"/>
          <w:u w:val="single"/>
        </w:rPr>
      </w:pPr>
      <w:r w:rsidRPr="00E842B1">
        <w:rPr>
          <w:rFonts w:asciiTheme="minorHAnsi" w:hAnsiTheme="minorHAnsi" w:eastAsiaTheme="minorEastAsia" w:cstheme="minorBidi"/>
          <w:b/>
          <w:bCs/>
          <w:sz w:val="22"/>
          <w:szCs w:val="22"/>
          <w:u w:val="single"/>
        </w:rPr>
        <w:t>Reference list:</w:t>
      </w:r>
    </w:p>
    <w:p w:rsidRPr="00E842B1" w:rsidR="00E842B1" w:rsidP="58C504DB" w:rsidRDefault="00E842B1" w14:paraId="1878A210" w14:textId="27E0EC0B">
      <w:pPr>
        <w:rPr>
          <w:rFonts w:asciiTheme="minorHAnsi" w:hAnsiTheme="minorHAnsi" w:eastAsiaTheme="minorEastAsia" w:cstheme="minorBidi"/>
          <w:sz w:val="22"/>
          <w:szCs w:val="22"/>
        </w:rPr>
      </w:pPr>
      <w:r w:rsidRPr="00E842B1">
        <w:rPr>
          <w:rFonts w:asciiTheme="minorHAnsi" w:hAnsiTheme="minorHAnsi" w:eastAsiaTheme="minorEastAsia" w:cstheme="minorBidi"/>
          <w:sz w:val="22"/>
          <w:szCs w:val="22"/>
        </w:rPr>
        <w:t xml:space="preserve">Baker, J (2021). “An Age of common law and an age of statute” </w:t>
      </w:r>
      <w:r w:rsidRPr="00E842B1">
        <w:rPr>
          <w:rFonts w:asciiTheme="minorHAnsi" w:hAnsiTheme="minorHAnsi" w:eastAsiaTheme="minorEastAsia" w:cstheme="minorBidi"/>
          <w:i/>
          <w:iCs/>
          <w:sz w:val="22"/>
          <w:szCs w:val="22"/>
        </w:rPr>
        <w:t xml:space="preserve">English law under two Elizabeths - the late </w:t>
      </w:r>
      <w:r w:rsidRPr="00E842B1" w:rsidR="005865A0">
        <w:rPr>
          <w:rFonts w:asciiTheme="minorHAnsi" w:hAnsiTheme="minorHAnsi" w:eastAsiaTheme="minorEastAsia" w:cstheme="minorBidi"/>
          <w:i/>
          <w:iCs/>
          <w:sz w:val="22"/>
          <w:szCs w:val="22"/>
        </w:rPr>
        <w:t>Tudo</w:t>
      </w:r>
      <w:r w:rsidR="005865A0">
        <w:rPr>
          <w:rFonts w:asciiTheme="minorHAnsi" w:hAnsiTheme="minorHAnsi" w:eastAsiaTheme="minorEastAsia" w:cstheme="minorBidi"/>
          <w:i/>
          <w:iCs/>
          <w:sz w:val="22"/>
          <w:szCs w:val="22"/>
        </w:rPr>
        <w:t>r</w:t>
      </w:r>
      <w:r w:rsidRPr="00E842B1">
        <w:rPr>
          <w:rFonts w:asciiTheme="minorHAnsi" w:hAnsiTheme="minorHAnsi" w:eastAsiaTheme="minorEastAsia" w:cstheme="minorBidi"/>
          <w:i/>
          <w:iCs/>
          <w:sz w:val="22"/>
          <w:szCs w:val="22"/>
        </w:rPr>
        <w:t xml:space="preserve"> legal world and the present, </w:t>
      </w:r>
      <w:r w:rsidRPr="00E842B1">
        <w:rPr>
          <w:rFonts w:asciiTheme="minorHAnsi" w:hAnsiTheme="minorHAnsi" w:eastAsiaTheme="minorEastAsia" w:cstheme="minorBidi"/>
          <w:sz w:val="22"/>
          <w:szCs w:val="22"/>
        </w:rPr>
        <w:t>pages 87 – 142.</w:t>
      </w:r>
      <w:r w:rsidRPr="00E842B1">
        <w:rPr>
          <w:rFonts w:asciiTheme="minorHAnsi" w:hAnsiTheme="minorHAnsi" w:eastAsiaTheme="minorEastAsia" w:cstheme="minorBidi"/>
          <w:i/>
          <w:iCs/>
          <w:sz w:val="22"/>
          <w:szCs w:val="22"/>
        </w:rPr>
        <w:t xml:space="preserve"> Available at: </w:t>
      </w:r>
      <w:hyperlink w:anchor="access-block" r:id="rId5">
        <w:r w:rsidRPr="00E842B1">
          <w:rPr>
            <w:rStyle w:val="Hyperlink"/>
            <w:rFonts w:asciiTheme="minorHAnsi" w:hAnsiTheme="minorHAnsi" w:eastAsiaTheme="minorEastAsia" w:cstheme="minorBidi"/>
            <w:sz w:val="22"/>
            <w:szCs w:val="22"/>
          </w:rPr>
          <w:t>An Age of Common Law and an Age of Statute? (Chapter 3) - English Law Under Two Elizabeths (cambridge.org)</w:t>
        </w:r>
      </w:hyperlink>
      <w:r w:rsidRPr="00E842B1">
        <w:rPr>
          <w:rFonts w:asciiTheme="minorHAnsi" w:hAnsiTheme="minorHAnsi" w:eastAsiaTheme="minorEastAsia" w:cstheme="minorBidi"/>
          <w:sz w:val="22"/>
          <w:szCs w:val="22"/>
        </w:rPr>
        <w:t xml:space="preserve"> (accessed 03/05/2022)</w:t>
      </w:r>
    </w:p>
    <w:p w:rsidRPr="00E842B1" w:rsidR="00E842B1" w:rsidP="58C504DB" w:rsidRDefault="00E842B1" w14:paraId="66EDFCA7" w14:textId="77777777">
      <w:pPr>
        <w:rPr>
          <w:rFonts w:asciiTheme="minorHAnsi" w:hAnsiTheme="minorHAnsi" w:eastAsiaTheme="minorEastAsia" w:cstheme="minorBidi"/>
          <w:sz w:val="22"/>
          <w:szCs w:val="22"/>
        </w:rPr>
      </w:pPr>
      <w:r w:rsidRPr="00E842B1">
        <w:rPr>
          <w:rFonts w:asciiTheme="minorHAnsi" w:hAnsiTheme="minorHAnsi" w:eastAsiaTheme="minorEastAsia" w:cstheme="minorBidi"/>
          <w:sz w:val="22"/>
          <w:szCs w:val="22"/>
        </w:rPr>
        <w:t>Bennetto, J (2009). “How the act has affected different public sectors” the Guardian, 2</w:t>
      </w:r>
      <w:r w:rsidRPr="00E842B1">
        <w:rPr>
          <w:rFonts w:asciiTheme="minorHAnsi" w:hAnsiTheme="minorHAnsi" w:eastAsiaTheme="minorEastAsia" w:cstheme="minorBidi"/>
          <w:sz w:val="22"/>
          <w:szCs w:val="22"/>
          <w:vertAlign w:val="superscript"/>
        </w:rPr>
        <w:t>nd</w:t>
      </w:r>
      <w:r w:rsidRPr="00E842B1">
        <w:rPr>
          <w:rFonts w:asciiTheme="minorHAnsi" w:hAnsiTheme="minorHAnsi" w:eastAsiaTheme="minorEastAsia" w:cstheme="minorBidi"/>
          <w:sz w:val="22"/>
          <w:szCs w:val="22"/>
        </w:rPr>
        <w:t xml:space="preserve"> July. Available at:</w:t>
      </w:r>
      <w:hyperlink r:id="rId6">
        <w:r w:rsidRPr="00E842B1">
          <w:rPr>
            <w:rStyle w:val="Hyperlink"/>
            <w:rFonts w:asciiTheme="minorHAnsi" w:hAnsiTheme="minorHAnsi" w:eastAsiaTheme="minorEastAsia" w:cstheme="minorBidi"/>
            <w:sz w:val="22"/>
            <w:szCs w:val="22"/>
          </w:rPr>
          <w:t>How the act has affected different public sectors | | The Guardian</w:t>
        </w:r>
      </w:hyperlink>
      <w:r w:rsidRPr="00E842B1">
        <w:rPr>
          <w:rFonts w:asciiTheme="minorHAnsi" w:hAnsiTheme="minorHAnsi" w:eastAsiaTheme="minorEastAsia" w:cstheme="minorBidi"/>
          <w:sz w:val="22"/>
          <w:szCs w:val="22"/>
        </w:rPr>
        <w:t xml:space="preserve"> (accessed 03/03/2022) </w:t>
      </w:r>
    </w:p>
    <w:p w:rsidRPr="00E842B1" w:rsidR="00E842B1" w:rsidP="58C504DB" w:rsidRDefault="00E842B1" w14:paraId="53027F63" w14:textId="77777777">
      <w:pPr>
        <w:rPr>
          <w:rFonts w:asciiTheme="minorHAnsi" w:hAnsiTheme="minorHAnsi" w:eastAsiaTheme="minorEastAsia" w:cstheme="minorBidi"/>
          <w:sz w:val="22"/>
          <w:szCs w:val="22"/>
        </w:rPr>
      </w:pPr>
      <w:r w:rsidRPr="00E842B1">
        <w:rPr>
          <w:rFonts w:asciiTheme="minorHAnsi" w:hAnsiTheme="minorHAnsi" w:eastAsiaTheme="minorEastAsia" w:cstheme="minorBidi"/>
          <w:sz w:val="22"/>
          <w:szCs w:val="22"/>
        </w:rPr>
        <w:t xml:space="preserve">Cownie, F. Bradney, A. Burton, M. (2010) </w:t>
      </w:r>
      <w:r w:rsidRPr="00E842B1">
        <w:rPr>
          <w:rFonts w:asciiTheme="minorHAnsi" w:hAnsiTheme="minorHAnsi" w:eastAsiaTheme="minorEastAsia" w:cstheme="minorBidi"/>
          <w:i/>
          <w:iCs/>
          <w:sz w:val="22"/>
          <w:szCs w:val="22"/>
        </w:rPr>
        <w:t>English legal system in context 5</w:t>
      </w:r>
      <w:r w:rsidRPr="00E842B1">
        <w:rPr>
          <w:rFonts w:asciiTheme="minorHAnsi" w:hAnsiTheme="minorHAnsi" w:eastAsiaTheme="minorEastAsia" w:cstheme="minorBidi"/>
          <w:sz w:val="22"/>
          <w:szCs w:val="22"/>
          <w:vertAlign w:val="superscript"/>
        </w:rPr>
        <w:t>th</w:t>
      </w:r>
      <w:r w:rsidRPr="00E842B1">
        <w:rPr>
          <w:rFonts w:asciiTheme="minorHAnsi" w:hAnsiTheme="minorHAnsi" w:eastAsiaTheme="minorEastAsia" w:cstheme="minorBidi"/>
          <w:sz w:val="22"/>
          <w:szCs w:val="22"/>
        </w:rPr>
        <w:t xml:space="preserve"> edition page 94. Oxford university press (Accessed 30/04/2022)</w:t>
      </w:r>
    </w:p>
    <w:p w:rsidRPr="00E842B1" w:rsidR="00E842B1" w:rsidP="58C504DB" w:rsidRDefault="00E842B1" w14:paraId="6CC3C3D2" w14:textId="2F972974">
      <w:pPr>
        <w:rPr>
          <w:rFonts w:asciiTheme="minorHAnsi" w:hAnsiTheme="minorHAnsi" w:eastAsiaTheme="minorEastAsia" w:cstheme="minorBidi"/>
          <w:sz w:val="22"/>
          <w:szCs w:val="22"/>
        </w:rPr>
      </w:pPr>
      <w:r w:rsidRPr="00E842B1">
        <w:rPr>
          <w:rFonts w:asciiTheme="minorHAnsi" w:hAnsiTheme="minorHAnsi" w:eastAsiaTheme="minorEastAsia" w:cstheme="minorBidi"/>
          <w:sz w:val="22"/>
          <w:szCs w:val="22"/>
        </w:rPr>
        <w:t xml:space="preserve">Cownie, F. Bradney, A. Burton, M. (2013) </w:t>
      </w:r>
      <w:r w:rsidRPr="00E842B1">
        <w:rPr>
          <w:rFonts w:asciiTheme="minorHAnsi" w:hAnsiTheme="minorHAnsi" w:eastAsiaTheme="minorEastAsia" w:cstheme="minorBidi"/>
          <w:i/>
          <w:iCs/>
          <w:sz w:val="22"/>
          <w:szCs w:val="22"/>
        </w:rPr>
        <w:t xml:space="preserve">English legal system in context </w:t>
      </w:r>
      <w:r w:rsidRPr="00E842B1">
        <w:rPr>
          <w:rFonts w:asciiTheme="minorHAnsi" w:hAnsiTheme="minorHAnsi" w:eastAsiaTheme="minorEastAsia" w:cstheme="minorBidi"/>
          <w:sz w:val="22"/>
          <w:szCs w:val="22"/>
        </w:rPr>
        <w:t>6</w:t>
      </w:r>
      <w:r w:rsidRPr="00E842B1">
        <w:rPr>
          <w:rFonts w:asciiTheme="minorHAnsi" w:hAnsiTheme="minorHAnsi" w:eastAsiaTheme="minorEastAsia" w:cstheme="minorBidi"/>
          <w:sz w:val="22"/>
          <w:szCs w:val="22"/>
          <w:vertAlign w:val="superscript"/>
        </w:rPr>
        <w:t>th</w:t>
      </w:r>
      <w:r w:rsidRPr="00E842B1">
        <w:rPr>
          <w:rFonts w:asciiTheme="minorHAnsi" w:hAnsiTheme="minorHAnsi" w:eastAsiaTheme="minorEastAsia" w:cstheme="minorBidi"/>
          <w:sz w:val="22"/>
          <w:szCs w:val="22"/>
        </w:rPr>
        <w:t xml:space="preserve"> edition page 103. Oxford university press (Accessed 05/04/2022)</w:t>
      </w:r>
    </w:p>
    <w:p w:rsidRPr="00E842B1" w:rsidR="00E842B1" w:rsidP="58C504DB" w:rsidRDefault="00E842B1" w14:paraId="0E0E653E" w14:textId="7F1B4922">
      <w:pPr>
        <w:rPr>
          <w:rFonts w:asciiTheme="minorHAnsi" w:hAnsiTheme="minorHAnsi" w:eastAsiaTheme="minorEastAsia" w:cstheme="minorBidi"/>
          <w:sz w:val="22"/>
          <w:szCs w:val="22"/>
        </w:rPr>
      </w:pPr>
      <w:r w:rsidRPr="00E842B1">
        <w:rPr>
          <w:rFonts w:asciiTheme="minorHAnsi" w:hAnsiTheme="minorHAnsi" w:eastAsiaTheme="minorEastAsia" w:cstheme="minorBidi"/>
          <w:sz w:val="22"/>
          <w:szCs w:val="22"/>
        </w:rPr>
        <w:t xml:space="preserve">Gillespie, C (2011). </w:t>
      </w:r>
      <w:r w:rsidRPr="00E842B1">
        <w:rPr>
          <w:rFonts w:asciiTheme="minorHAnsi" w:hAnsiTheme="minorHAnsi" w:eastAsiaTheme="minorEastAsia" w:cstheme="minorBidi"/>
          <w:i/>
          <w:iCs/>
          <w:sz w:val="22"/>
          <w:szCs w:val="22"/>
        </w:rPr>
        <w:t xml:space="preserve">The English Legal System </w:t>
      </w:r>
      <w:r w:rsidRPr="00E842B1">
        <w:rPr>
          <w:rFonts w:asciiTheme="minorHAnsi" w:hAnsiTheme="minorHAnsi" w:eastAsiaTheme="minorEastAsia" w:cstheme="minorBidi"/>
          <w:sz w:val="22"/>
          <w:szCs w:val="22"/>
        </w:rPr>
        <w:t>3</w:t>
      </w:r>
      <w:r w:rsidRPr="00E842B1">
        <w:rPr>
          <w:rFonts w:asciiTheme="minorHAnsi" w:hAnsiTheme="minorHAnsi" w:eastAsiaTheme="minorEastAsia" w:cstheme="minorBidi"/>
          <w:sz w:val="22"/>
          <w:szCs w:val="22"/>
          <w:vertAlign w:val="superscript"/>
        </w:rPr>
        <w:t>rd</w:t>
      </w:r>
      <w:r w:rsidRPr="00E842B1">
        <w:rPr>
          <w:rFonts w:asciiTheme="minorHAnsi" w:hAnsiTheme="minorHAnsi" w:eastAsiaTheme="minorEastAsia" w:cstheme="minorBidi"/>
          <w:sz w:val="22"/>
          <w:szCs w:val="22"/>
        </w:rPr>
        <w:t xml:space="preserve"> edition page 36. Oxford university press (Accessed 30/04/2022)</w:t>
      </w:r>
    </w:p>
    <w:p w:rsidRPr="00E842B1" w:rsidR="00E842B1" w:rsidP="58C504DB" w:rsidRDefault="00E842B1" w14:paraId="35830C84" w14:textId="0E0E88F5">
      <w:pPr>
        <w:rPr>
          <w:rFonts w:asciiTheme="minorHAnsi" w:hAnsiTheme="minorHAnsi" w:eastAsiaTheme="minorEastAsia" w:cstheme="minorBidi"/>
          <w:sz w:val="22"/>
          <w:szCs w:val="22"/>
        </w:rPr>
      </w:pPr>
      <w:r w:rsidRPr="00E842B1">
        <w:rPr>
          <w:rFonts w:asciiTheme="minorHAnsi" w:hAnsiTheme="minorHAnsi" w:eastAsiaTheme="minorEastAsia" w:cstheme="minorBidi"/>
          <w:sz w:val="22"/>
          <w:szCs w:val="22"/>
        </w:rPr>
        <w:t xml:space="preserve">GOV.UK (2013). </w:t>
      </w:r>
      <w:r w:rsidRPr="00E842B1">
        <w:rPr>
          <w:rFonts w:asciiTheme="minorHAnsi" w:hAnsiTheme="minorHAnsi" w:eastAsiaTheme="minorEastAsia" w:cstheme="minorBidi"/>
          <w:i/>
          <w:iCs/>
          <w:sz w:val="22"/>
          <w:szCs w:val="22"/>
        </w:rPr>
        <w:t xml:space="preserve">When laws become too complex. </w:t>
      </w:r>
      <w:r w:rsidRPr="00E842B1">
        <w:rPr>
          <w:rFonts w:asciiTheme="minorHAnsi" w:hAnsiTheme="minorHAnsi" w:eastAsiaTheme="minorEastAsia" w:cstheme="minorBidi"/>
          <w:sz w:val="22"/>
          <w:szCs w:val="22"/>
        </w:rPr>
        <w:t xml:space="preserve">Available at: </w:t>
      </w:r>
      <w:hyperlink r:id="rId7">
        <w:r w:rsidRPr="00E842B1">
          <w:rPr>
            <w:rStyle w:val="Hyperlink"/>
            <w:rFonts w:asciiTheme="minorHAnsi" w:hAnsiTheme="minorHAnsi" w:eastAsiaTheme="minorEastAsia" w:cstheme="minorBidi"/>
            <w:sz w:val="22"/>
            <w:szCs w:val="22"/>
          </w:rPr>
          <w:t>When laws become too complex - GOV.UK (www.gov.uk)</w:t>
        </w:r>
      </w:hyperlink>
      <w:r w:rsidRPr="00E842B1">
        <w:rPr>
          <w:rFonts w:asciiTheme="minorHAnsi" w:hAnsiTheme="minorHAnsi" w:eastAsiaTheme="minorEastAsia" w:cstheme="minorBidi"/>
          <w:sz w:val="22"/>
          <w:szCs w:val="22"/>
        </w:rPr>
        <w:t xml:space="preserve"> (Accessed 03/05/2022)</w:t>
      </w:r>
    </w:p>
    <w:p w:rsidRPr="00E842B1" w:rsidR="00E842B1" w:rsidP="5A337218" w:rsidRDefault="00E842B1" w14:paraId="4A5310C8" w14:textId="61ADFAF5">
      <w:pPr>
        <w:rPr>
          <w:rFonts w:ascii="Calibri" w:hAnsi="Calibri" w:eastAsia="" w:cs="" w:asciiTheme="minorAscii" w:hAnsiTheme="minorAscii" w:eastAsiaTheme="minorEastAsia" w:cstheme="minorBidi"/>
          <w:sz w:val="22"/>
          <w:szCs w:val="22"/>
        </w:rPr>
      </w:pPr>
      <w:r w:rsidRPr="5A337218" w:rsidR="2A879CE3">
        <w:rPr>
          <w:rFonts w:ascii="Calibri" w:hAnsi="Calibri" w:eastAsia="" w:cs="" w:asciiTheme="minorAscii" w:hAnsiTheme="minorAscii" w:eastAsiaTheme="minorEastAsia" w:cstheme="minorBidi"/>
          <w:sz w:val="22"/>
          <w:szCs w:val="22"/>
        </w:rPr>
        <w:t xml:space="preserve">GOV.UK (2014). </w:t>
      </w:r>
      <w:bookmarkStart w:name="_Int_HpKeJuxX" w:id="925669202"/>
      <w:r w:rsidRPr="5A337218" w:rsidR="2A879CE3">
        <w:rPr>
          <w:rFonts w:ascii="Calibri" w:hAnsi="Calibri" w:eastAsia="" w:cs="" w:asciiTheme="minorAscii" w:hAnsiTheme="minorAscii" w:eastAsiaTheme="minorEastAsia" w:cstheme="minorBidi"/>
          <w:i w:val="1"/>
          <w:iCs w:val="1"/>
          <w:sz w:val="22"/>
          <w:szCs w:val="22"/>
        </w:rPr>
        <w:t>Making the law easier for users: the role of statutes.</w:t>
      </w:r>
      <w:bookmarkEnd w:id="925669202"/>
      <w:r w:rsidRPr="5A337218" w:rsidR="2A879CE3">
        <w:rPr>
          <w:rFonts w:ascii="Calibri" w:hAnsi="Calibri" w:eastAsia="" w:cs="" w:asciiTheme="minorAscii" w:hAnsiTheme="minorAscii" w:eastAsiaTheme="minorEastAsia" w:cstheme="minorBidi"/>
          <w:i w:val="1"/>
          <w:iCs w:val="1"/>
          <w:sz w:val="22"/>
          <w:szCs w:val="22"/>
        </w:rPr>
        <w:t xml:space="preserve"> Available at: </w:t>
      </w:r>
      <w:hyperlink r:id="Raafe609b45c24b0b">
        <w:r w:rsidRPr="5A337218" w:rsidR="2A879CE3">
          <w:rPr>
            <w:rStyle w:val="Hyperlink"/>
            <w:rFonts w:ascii="Calibri" w:hAnsi="Calibri" w:eastAsia="" w:cs="" w:asciiTheme="minorAscii" w:hAnsiTheme="minorAscii" w:eastAsiaTheme="minorEastAsia" w:cstheme="minorBidi"/>
            <w:sz w:val="22"/>
            <w:szCs w:val="22"/>
          </w:rPr>
          <w:t>Making the law easier for users: the role of statutes - GOV.UK (www.gov.uk)</w:t>
        </w:r>
      </w:hyperlink>
      <w:r w:rsidRPr="5A337218" w:rsidR="2A879CE3">
        <w:rPr>
          <w:rFonts w:ascii="Calibri" w:hAnsi="Calibri" w:eastAsia="" w:cs="" w:asciiTheme="minorAscii" w:hAnsiTheme="minorAscii" w:eastAsiaTheme="minorEastAsia" w:cstheme="minorBidi"/>
          <w:sz w:val="22"/>
          <w:szCs w:val="22"/>
        </w:rPr>
        <w:t xml:space="preserve"> (Accessed 03/05/2022) </w:t>
      </w:r>
    </w:p>
    <w:p w:rsidRPr="00E842B1" w:rsidR="00E842B1" w:rsidP="58C504DB" w:rsidRDefault="00E842B1" w14:paraId="054FBDC8" w14:textId="77777777">
      <w:pPr>
        <w:rPr>
          <w:rFonts w:asciiTheme="minorHAnsi" w:hAnsiTheme="minorHAnsi" w:eastAsiaTheme="minorEastAsia" w:cstheme="minorBidi"/>
          <w:sz w:val="22"/>
          <w:szCs w:val="22"/>
        </w:rPr>
      </w:pPr>
      <w:r w:rsidRPr="00E842B1">
        <w:rPr>
          <w:rFonts w:asciiTheme="minorHAnsi" w:hAnsiTheme="minorHAnsi" w:eastAsiaTheme="minorEastAsia" w:cstheme="minorBidi"/>
          <w:sz w:val="22"/>
          <w:szCs w:val="22"/>
        </w:rPr>
        <w:t xml:space="preserve">Harris, J W (1997). </w:t>
      </w:r>
      <w:r w:rsidRPr="00E842B1">
        <w:rPr>
          <w:rFonts w:asciiTheme="minorHAnsi" w:hAnsiTheme="minorHAnsi" w:eastAsiaTheme="minorEastAsia" w:cstheme="minorBidi"/>
          <w:i/>
          <w:iCs/>
          <w:sz w:val="22"/>
          <w:szCs w:val="22"/>
        </w:rPr>
        <w:t xml:space="preserve">Legal Philosophies </w:t>
      </w:r>
      <w:r w:rsidRPr="00E842B1">
        <w:rPr>
          <w:rFonts w:asciiTheme="minorHAnsi" w:hAnsiTheme="minorHAnsi" w:eastAsiaTheme="minorEastAsia" w:cstheme="minorBidi"/>
          <w:sz w:val="22"/>
          <w:szCs w:val="22"/>
        </w:rPr>
        <w:t>2</w:t>
      </w:r>
      <w:r w:rsidRPr="00E842B1">
        <w:rPr>
          <w:rFonts w:asciiTheme="minorHAnsi" w:hAnsiTheme="minorHAnsi" w:eastAsiaTheme="minorEastAsia" w:cstheme="minorBidi"/>
          <w:sz w:val="22"/>
          <w:szCs w:val="22"/>
          <w:vertAlign w:val="superscript"/>
        </w:rPr>
        <w:t>nd</w:t>
      </w:r>
      <w:r w:rsidRPr="00E842B1">
        <w:rPr>
          <w:rFonts w:asciiTheme="minorHAnsi" w:hAnsiTheme="minorHAnsi" w:eastAsiaTheme="minorEastAsia" w:cstheme="minorBidi"/>
          <w:sz w:val="22"/>
          <w:szCs w:val="22"/>
        </w:rPr>
        <w:t xml:space="preserve"> edition page 157</w:t>
      </w:r>
      <w:r w:rsidRPr="00E842B1">
        <w:rPr>
          <w:rFonts w:asciiTheme="minorHAnsi" w:hAnsiTheme="minorHAnsi" w:eastAsiaTheme="minorEastAsia" w:cstheme="minorBidi"/>
          <w:i/>
          <w:iCs/>
          <w:sz w:val="22"/>
          <w:szCs w:val="22"/>
        </w:rPr>
        <w:t>.</w:t>
      </w:r>
      <w:r w:rsidRPr="00E842B1">
        <w:rPr>
          <w:rFonts w:asciiTheme="minorHAnsi" w:hAnsiTheme="minorHAnsi" w:eastAsiaTheme="minorEastAsia" w:cstheme="minorBidi"/>
          <w:sz w:val="22"/>
          <w:szCs w:val="22"/>
        </w:rPr>
        <w:t xml:space="preserve"> London, Edinburgh, Dublin: Butterworths. (Accessed 28/03/2022)</w:t>
      </w:r>
    </w:p>
    <w:p w:rsidRPr="00E842B1" w:rsidR="00E842B1" w:rsidP="58C504DB" w:rsidRDefault="00E842B1" w14:paraId="603F70C0" w14:textId="06BF80F1">
      <w:pPr>
        <w:rPr>
          <w:rFonts w:asciiTheme="minorHAnsi" w:hAnsiTheme="minorHAnsi" w:eastAsiaTheme="minorEastAsia" w:cstheme="minorBidi"/>
          <w:sz w:val="22"/>
          <w:szCs w:val="22"/>
        </w:rPr>
      </w:pPr>
      <w:r w:rsidRPr="00E842B1">
        <w:rPr>
          <w:rFonts w:asciiTheme="minorHAnsi" w:hAnsiTheme="minorHAnsi" w:eastAsiaTheme="minorEastAsia" w:cstheme="minorBidi"/>
          <w:sz w:val="22"/>
          <w:szCs w:val="22"/>
        </w:rPr>
        <w:t xml:space="preserve">Hutton, C (2012). “Language, Meaning and the law” </w:t>
      </w:r>
      <w:r w:rsidRPr="00E842B1">
        <w:rPr>
          <w:rFonts w:asciiTheme="minorHAnsi" w:hAnsiTheme="minorHAnsi" w:eastAsiaTheme="minorEastAsia" w:cstheme="minorBidi"/>
          <w:i/>
          <w:iCs/>
          <w:sz w:val="22"/>
          <w:szCs w:val="22"/>
        </w:rPr>
        <w:t xml:space="preserve">Issues in the legal interpretation. Available at: </w:t>
      </w:r>
      <w:hyperlink r:id="rId9">
        <w:r w:rsidRPr="00E842B1">
          <w:rPr>
            <w:rStyle w:val="Hyperlink"/>
            <w:rFonts w:asciiTheme="minorHAnsi" w:hAnsiTheme="minorHAnsi" w:eastAsiaTheme="minorEastAsia" w:cstheme="minorBidi"/>
            <w:sz w:val="22"/>
            <w:szCs w:val="22"/>
          </w:rPr>
          <w:t>Issues in Legal Interpretation - Edinburgh Scholarship (universitypressscholarship.com)</w:t>
        </w:r>
      </w:hyperlink>
      <w:r w:rsidRPr="00E842B1">
        <w:rPr>
          <w:rFonts w:asciiTheme="minorHAnsi" w:hAnsiTheme="minorHAnsi" w:eastAsiaTheme="minorEastAsia" w:cstheme="minorBidi"/>
          <w:sz w:val="22"/>
          <w:szCs w:val="22"/>
        </w:rPr>
        <w:t xml:space="preserve"> (Accessed 03/05/2022)</w:t>
      </w:r>
    </w:p>
    <w:p w:rsidRPr="00E842B1" w:rsidR="00E842B1" w:rsidP="58C504DB" w:rsidRDefault="00E842B1" w14:paraId="5F0D6AB1" w14:textId="77777777">
      <w:pPr>
        <w:rPr>
          <w:rFonts w:asciiTheme="minorHAnsi" w:hAnsiTheme="minorHAnsi" w:eastAsiaTheme="minorEastAsia" w:cstheme="minorBidi"/>
          <w:sz w:val="22"/>
          <w:szCs w:val="22"/>
        </w:rPr>
      </w:pPr>
      <w:r w:rsidRPr="00E842B1">
        <w:rPr>
          <w:rFonts w:asciiTheme="minorHAnsi" w:hAnsiTheme="minorHAnsi" w:eastAsiaTheme="minorEastAsia" w:cstheme="minorBidi"/>
          <w:sz w:val="22"/>
          <w:szCs w:val="22"/>
        </w:rPr>
        <w:t xml:space="preserve">Kapur, P (2019). </w:t>
      </w:r>
      <w:r w:rsidRPr="00E842B1">
        <w:rPr>
          <w:rFonts w:asciiTheme="minorHAnsi" w:hAnsiTheme="minorHAnsi" w:eastAsiaTheme="minorEastAsia" w:cstheme="minorBidi"/>
          <w:i/>
          <w:iCs/>
          <w:sz w:val="22"/>
          <w:szCs w:val="22"/>
        </w:rPr>
        <w:t xml:space="preserve">Interpretation of statutes and its rules. </w:t>
      </w:r>
      <w:r w:rsidRPr="00E842B1">
        <w:rPr>
          <w:rFonts w:asciiTheme="minorHAnsi" w:hAnsiTheme="minorHAnsi" w:eastAsiaTheme="minorEastAsia" w:cstheme="minorBidi"/>
          <w:sz w:val="22"/>
          <w:szCs w:val="22"/>
        </w:rPr>
        <w:t xml:space="preserve">[Blog] Available at: </w:t>
      </w:r>
      <w:hyperlink r:id="rId10">
        <w:r w:rsidRPr="00E842B1">
          <w:rPr>
            <w:rStyle w:val="Hyperlink"/>
            <w:rFonts w:asciiTheme="minorHAnsi" w:hAnsiTheme="minorHAnsi" w:eastAsiaTheme="minorEastAsia" w:cstheme="minorBidi"/>
            <w:sz w:val="22"/>
            <w:szCs w:val="22"/>
          </w:rPr>
          <w:t>Rules of Interpretation of Statutes: All you want to know (ipleaders.in)</w:t>
        </w:r>
      </w:hyperlink>
      <w:r w:rsidRPr="00E842B1">
        <w:rPr>
          <w:rFonts w:asciiTheme="minorHAnsi" w:hAnsiTheme="minorHAnsi" w:eastAsiaTheme="minorEastAsia" w:cstheme="minorBidi"/>
          <w:sz w:val="22"/>
          <w:szCs w:val="22"/>
        </w:rPr>
        <w:t xml:space="preserve"> (Accessed 02/01/2022)</w:t>
      </w:r>
    </w:p>
    <w:p w:rsidRPr="00E842B1" w:rsidR="00E842B1" w:rsidP="58C504DB" w:rsidRDefault="00E842B1" w14:paraId="20C2E73D" w14:textId="77777777">
      <w:pPr>
        <w:rPr>
          <w:rFonts w:asciiTheme="minorHAnsi" w:hAnsiTheme="minorHAnsi" w:eastAsiaTheme="minorEastAsia" w:cstheme="minorBidi"/>
          <w:sz w:val="22"/>
          <w:szCs w:val="22"/>
        </w:rPr>
      </w:pPr>
      <w:r w:rsidRPr="00E842B1">
        <w:rPr>
          <w:rFonts w:asciiTheme="minorHAnsi" w:hAnsiTheme="minorHAnsi" w:eastAsiaTheme="minorEastAsia" w:cstheme="minorBidi"/>
          <w:sz w:val="22"/>
          <w:szCs w:val="22"/>
        </w:rPr>
        <w:t xml:space="preserve">Lumpur, K (2022). “A matter of interpretation” New Straits Times. 12 January. Available at: </w:t>
      </w:r>
      <w:hyperlink r:id="rId11">
        <w:r w:rsidRPr="00E842B1">
          <w:rPr>
            <w:rStyle w:val="Hyperlink"/>
            <w:rFonts w:asciiTheme="minorHAnsi" w:hAnsiTheme="minorHAnsi" w:eastAsiaTheme="minorEastAsia" w:cstheme="minorBidi"/>
            <w:sz w:val="22"/>
            <w:szCs w:val="22"/>
          </w:rPr>
          <w:t>A matter of interpretation - ProQuest</w:t>
        </w:r>
      </w:hyperlink>
      <w:r w:rsidRPr="00E842B1">
        <w:rPr>
          <w:rFonts w:asciiTheme="minorHAnsi" w:hAnsiTheme="minorHAnsi" w:eastAsiaTheme="minorEastAsia" w:cstheme="minorBidi"/>
          <w:sz w:val="22"/>
          <w:szCs w:val="22"/>
        </w:rPr>
        <w:t xml:space="preserve"> (Accessed 03/05/2022)</w:t>
      </w:r>
    </w:p>
    <w:p w:rsidRPr="00E842B1" w:rsidR="00E842B1" w:rsidP="5A337218" w:rsidRDefault="00E842B1" w14:paraId="702DC7F4" w14:textId="3AD87E18">
      <w:pPr>
        <w:rPr>
          <w:rFonts w:ascii="Calibri" w:hAnsi="Calibri" w:eastAsia="" w:cs="" w:asciiTheme="minorAscii" w:hAnsiTheme="minorAscii" w:eastAsiaTheme="minorEastAsia" w:cstheme="minorBidi"/>
          <w:sz w:val="22"/>
          <w:szCs w:val="22"/>
        </w:rPr>
      </w:pPr>
      <w:r w:rsidRPr="5A337218" w:rsidR="2A879CE3">
        <w:rPr>
          <w:rFonts w:ascii="Calibri" w:hAnsi="Calibri" w:eastAsia="" w:cs="" w:asciiTheme="minorAscii" w:hAnsiTheme="minorAscii" w:eastAsiaTheme="minorEastAsia" w:cstheme="minorBidi"/>
          <w:sz w:val="22"/>
          <w:szCs w:val="22"/>
          <w:vertAlign w:val="superscript"/>
        </w:rPr>
        <w:t xml:space="preserve">O’Sullivan, C (2010). “The Irish Jurist” </w:t>
      </w:r>
      <w:r w:rsidRPr="5A337218" w:rsidR="2A879CE3">
        <w:rPr>
          <w:rFonts w:ascii="Calibri" w:hAnsi="Calibri" w:eastAsia="" w:cs="" w:asciiTheme="minorAscii" w:hAnsiTheme="minorAscii" w:eastAsiaTheme="minorEastAsia" w:cstheme="minorBidi"/>
          <w:i w:val="1"/>
          <w:iCs w:val="1"/>
          <w:sz w:val="22"/>
          <w:szCs w:val="22"/>
          <w:vertAlign w:val="superscript"/>
        </w:rPr>
        <w:t xml:space="preserve">The importance of correct statutory interpretation technique: the case of minister for justice, </w:t>
      </w:r>
      <w:r w:rsidRPr="5A337218" w:rsidR="2A879CE3">
        <w:rPr>
          <w:rFonts w:ascii="Calibri" w:hAnsi="Calibri" w:eastAsia="" w:cs="" w:asciiTheme="minorAscii" w:hAnsiTheme="minorAscii" w:eastAsiaTheme="minorEastAsia" w:cstheme="minorBidi"/>
          <w:i w:val="1"/>
          <w:iCs w:val="1"/>
          <w:sz w:val="22"/>
          <w:szCs w:val="22"/>
          <w:vertAlign w:val="superscript"/>
        </w:rPr>
        <w:t>equality,</w:t>
      </w:r>
      <w:r w:rsidRPr="5A337218" w:rsidR="2A879CE3">
        <w:rPr>
          <w:rFonts w:ascii="Calibri" w:hAnsi="Calibri" w:eastAsia="" w:cs="" w:asciiTheme="minorAscii" w:hAnsiTheme="minorAscii" w:eastAsiaTheme="minorEastAsia" w:cstheme="minorBidi"/>
          <w:i w:val="1"/>
          <w:iCs w:val="1"/>
          <w:sz w:val="22"/>
          <w:szCs w:val="22"/>
          <w:vertAlign w:val="superscript"/>
        </w:rPr>
        <w:t xml:space="preserve"> and law reform v Dolny. Vol 45, pages 146 – 164. Available at: </w:t>
      </w:r>
      <w:hyperlink r:id="R31ff07adefba4050">
        <w:r w:rsidRPr="5A337218" w:rsidR="2A879CE3">
          <w:rPr>
            <w:rStyle w:val="Hyperlink"/>
            <w:rFonts w:ascii="Calibri" w:hAnsi="Calibri" w:eastAsia="" w:cs="" w:asciiTheme="minorAscii" w:hAnsiTheme="minorAscii" w:eastAsiaTheme="minorEastAsia" w:cstheme="minorBidi"/>
            <w:sz w:val="22"/>
            <w:szCs w:val="22"/>
          </w:rPr>
          <w:t>THE IMPORTANCE OF CORRECT STATUTORY INTERPRETATION TECHNIQUE: THE CASE OF MINISTER FOR JUSTICE, EQUALITY AND LAW REFORM v DOLNY on JSTOR (uwtsd.ac.uk)</w:t>
        </w:r>
      </w:hyperlink>
      <w:r w:rsidRPr="5A337218" w:rsidR="2A879CE3">
        <w:rPr>
          <w:rFonts w:ascii="Calibri" w:hAnsi="Calibri" w:eastAsia="" w:cs="" w:asciiTheme="minorAscii" w:hAnsiTheme="minorAscii" w:eastAsiaTheme="minorEastAsia" w:cstheme="minorBidi"/>
          <w:sz w:val="22"/>
          <w:szCs w:val="22"/>
        </w:rPr>
        <w:t xml:space="preserve"> (Accessed 03/04/2022)</w:t>
      </w:r>
    </w:p>
    <w:p w:rsidR="00E14515" w:rsidP="5A337218" w:rsidRDefault="00E14515" w14:paraId="15CBCA00" w14:textId="37F47185">
      <w:pPr>
        <w:rPr>
          <w:rFonts w:ascii="Calibri" w:hAnsi="Calibri" w:eastAsia="" w:cs="" w:asciiTheme="minorAscii" w:hAnsiTheme="minorAscii" w:eastAsiaTheme="minorEastAsia" w:cstheme="minorBidi"/>
          <w:sz w:val="22"/>
          <w:szCs w:val="22"/>
        </w:rPr>
      </w:pPr>
      <w:r w:rsidRPr="5A337218" w:rsidR="2A879CE3">
        <w:rPr>
          <w:rFonts w:ascii="Calibri" w:hAnsi="Calibri" w:eastAsia="" w:cs="" w:asciiTheme="minorAscii" w:hAnsiTheme="minorAscii" w:eastAsiaTheme="minorEastAsia" w:cstheme="minorBidi"/>
          <w:sz w:val="22"/>
          <w:szCs w:val="22"/>
        </w:rPr>
        <w:t xml:space="preserve">The Law commission (2015). </w:t>
      </w:r>
      <w:r w:rsidRPr="5A337218" w:rsidR="2A879CE3">
        <w:rPr>
          <w:rFonts w:ascii="Calibri" w:hAnsi="Calibri" w:eastAsia="" w:cs="" w:asciiTheme="minorAscii" w:hAnsiTheme="minorAscii" w:eastAsiaTheme="minorEastAsia" w:cstheme="minorBidi"/>
          <w:i w:val="1"/>
          <w:iCs w:val="1"/>
          <w:sz w:val="22"/>
          <w:szCs w:val="22"/>
        </w:rPr>
        <w:t xml:space="preserve">Statue law repeals. </w:t>
      </w:r>
      <w:r w:rsidRPr="5A337218" w:rsidR="2A879CE3">
        <w:rPr>
          <w:rFonts w:ascii="Calibri" w:hAnsi="Calibri" w:eastAsia="" w:cs="" w:asciiTheme="minorAscii" w:hAnsiTheme="minorAscii" w:eastAsiaTheme="minorEastAsia" w:cstheme="minorBidi"/>
          <w:sz w:val="22"/>
          <w:szCs w:val="22"/>
        </w:rPr>
        <w:t xml:space="preserve">Available at: </w:t>
      </w:r>
      <w:hyperlink r:id="R8f92882f5f2e4671">
        <w:r w:rsidRPr="5A337218" w:rsidR="2A879CE3">
          <w:rPr>
            <w:rStyle w:val="Hyperlink"/>
            <w:rFonts w:ascii="Calibri" w:hAnsi="Calibri" w:eastAsia="" w:cs="" w:asciiTheme="minorAscii" w:hAnsiTheme="minorAscii" w:eastAsiaTheme="minorEastAsia" w:cstheme="minorBidi"/>
            <w:sz w:val="22"/>
            <w:szCs w:val="22"/>
          </w:rPr>
          <w:t>Statute law repeals | Law Commission</w:t>
        </w:r>
      </w:hyperlink>
      <w:r w:rsidRPr="5A337218" w:rsidR="2A879CE3">
        <w:rPr>
          <w:rFonts w:ascii="Calibri" w:hAnsi="Calibri" w:eastAsia="" w:cs="" w:asciiTheme="minorAscii" w:hAnsiTheme="minorAscii" w:eastAsiaTheme="minorEastAsia" w:cstheme="minorBidi"/>
          <w:sz w:val="22"/>
          <w:szCs w:val="22"/>
        </w:rPr>
        <w:t xml:space="preserve"> (Accessed 03/05/2022)</w:t>
      </w:r>
    </w:p>
    <w:p w:rsidR="00E842B1" w:rsidP="58C504DB" w:rsidRDefault="00E842B1" w14:paraId="2E99142B" w14:textId="67CF8D35">
      <w:pPr>
        <w:rPr>
          <w:rFonts w:asciiTheme="minorHAnsi" w:hAnsiTheme="minorHAnsi" w:eastAsiaTheme="minorEastAsia" w:cstheme="minorBidi"/>
          <w:sz w:val="22"/>
          <w:szCs w:val="22"/>
        </w:rPr>
      </w:pPr>
      <w:r w:rsidRPr="00E842B1">
        <w:rPr>
          <w:rFonts w:asciiTheme="minorHAnsi" w:hAnsiTheme="minorHAnsi" w:eastAsiaTheme="minorEastAsia" w:cstheme="minorBidi"/>
          <w:sz w:val="22"/>
          <w:szCs w:val="22"/>
        </w:rPr>
        <w:t xml:space="preserve">UK Parliament (2022). </w:t>
      </w:r>
      <w:r w:rsidRPr="00E842B1">
        <w:rPr>
          <w:rFonts w:asciiTheme="minorHAnsi" w:hAnsiTheme="minorHAnsi" w:eastAsiaTheme="minorEastAsia" w:cstheme="minorBidi"/>
          <w:i/>
          <w:iCs/>
          <w:sz w:val="22"/>
          <w:szCs w:val="22"/>
        </w:rPr>
        <w:t xml:space="preserve">Statute. </w:t>
      </w:r>
      <w:r w:rsidRPr="00E842B1">
        <w:rPr>
          <w:rFonts w:asciiTheme="minorHAnsi" w:hAnsiTheme="minorHAnsi" w:eastAsiaTheme="minorEastAsia" w:cstheme="minorBidi"/>
          <w:sz w:val="22"/>
          <w:szCs w:val="22"/>
        </w:rPr>
        <w:t xml:space="preserve">[Online] Available at: </w:t>
      </w:r>
      <w:hyperlink r:id="rId14">
        <w:r w:rsidRPr="00E842B1">
          <w:rPr>
            <w:rStyle w:val="Hyperlink"/>
            <w:rFonts w:asciiTheme="minorHAnsi" w:hAnsiTheme="minorHAnsi" w:eastAsiaTheme="minorEastAsia" w:cstheme="minorBidi"/>
            <w:sz w:val="22"/>
            <w:szCs w:val="22"/>
          </w:rPr>
          <w:t>Statute - UK Parliament</w:t>
        </w:r>
      </w:hyperlink>
      <w:r w:rsidRPr="00E842B1">
        <w:rPr>
          <w:rFonts w:asciiTheme="minorHAnsi" w:hAnsiTheme="minorHAnsi" w:eastAsiaTheme="minorEastAsia" w:cstheme="minorBidi"/>
          <w:sz w:val="22"/>
          <w:szCs w:val="22"/>
        </w:rPr>
        <w:t xml:space="preserve"> (Accessed 29/04/2022)</w:t>
      </w:r>
    </w:p>
    <w:sectPr w:rsidR="00E842B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GkEYFzmSZFc2bD" int2:id="vv4U7V49">
      <int2:state int2:type="AugLoop_Text_Critique" int2:value="Rejected"/>
    </int2:textHash>
    <int2:textHash int2:hashCode="N0EcGw/kFvEsaK" int2:id="8S2FY0ji">
      <int2:state int2:type="AugLoop_Text_Critique" int2:value="Rejected"/>
    </int2:textHash>
    <int2:textHash int2:hashCode="rDDXl7nGWNCGvD" int2:id="qV3ns36j">
      <int2:state int2:type="AugLoop_Text_Critique" int2:value="Rejected"/>
    </int2:textHash>
    <int2:textHash int2:hashCode="AM2jlV52m42JAI" int2:id="jKQUZnpt">
      <int2:state int2:type="AugLoop_Text_Critique" int2:value="Rejected"/>
    </int2:textHash>
    <int2:textHash int2:hashCode="e0dMsLOcF3PXGS" int2:id="IpZewEV5">
      <int2:state int2:type="AugLoop_Text_Critique" int2:value="Rejected"/>
    </int2:textHash>
    <int2:textHash int2:hashCode="tPvO+hWkAexA9l" int2:id="s6TF4W4I">
      <int2:state int2:type="AugLoop_Text_Critique" int2:value="Rejected"/>
    </int2:textHash>
    <int2:textHash int2:hashCode="e2IrGXWlleRu22" int2:id="TQanp1n7">
      <int2:state int2:type="AugLoop_Text_Critique" int2:value="Rejected"/>
    </int2:textHash>
    <int2:textHash int2:hashCode="xhxuBmT7q4cb51" int2:id="0v7XnTzD">
      <int2:state int2:type="AugLoop_Text_Critique" int2:value="Rejected"/>
    </int2:textHash>
    <int2:textHash int2:hashCode="0GYf/LRGEYcRtn" int2:id="bbwYmxl7">
      <int2:state int2:type="AugLoop_Text_Critique" int2:value="Rejected"/>
    </int2:textHash>
    <int2:textHash int2:hashCode="V9CnXcV+ZGgRNM" int2:id="zygLzWrf">
      <int2:state int2:type="AugLoop_Text_Critique" int2:value="Rejected"/>
    </int2:textHash>
    <int2:bookmark int2:bookmarkName="_Int_HpKeJuxX" int2:invalidationBookmarkName="" int2:hashCode="WsvT6YCthmBlEE" int2:id="CD3jGv2Z">
      <int2:extLst>
        <oel:ext uri="426473B9-03D8-482F-96C9-C2C85392BACA">
          <int2:similarityCritique int2:version="1" int2:context="Making the law easier for users: the role of statutes.">
            <int2:source int2:sourceType="Online" int2:sourceTitle="News &amp; Events - Statute Law Society" int2:sourceUrl="http://www.statutelawsociety.co.uk/news-events/" int2:sourceSnippet="Making the law easier for users: the role of statutes. Richard Heaton, First Parliamentary Counsel and Permanent Secreetary at the Cabinet Office. 10 June 2013. Legislation, Users and the Web: Legislation.gov.uk and the future of the statute book. John Sheridan, Head of Legislation Services at The National Archives. 13 May 2013">
              <int2:suggestions int2:citationType="Inline">
                <int2:suggestion int2:citationStyle="Mla" int2:isIdentical="1">
                  <int2:citationText>(“News &amp; Events - Statute Law Society”)</int2:citationText>
                </int2:suggestion>
                <int2:suggestion int2:citationStyle="Apa" int2:isIdentical="1">
                  <int2:citationText>(“News &amp; Events - Statute Law Society”)</int2:citationText>
                </int2:suggestion>
                <int2:suggestion int2:citationStyle="Chicago" int2:isIdentical="1">
                  <int2:citationText>(“News &amp; Events - Statute Law Society”)</int2:citationText>
                </int2:suggestion>
              </int2:suggestions>
              <int2:suggestions int2:citationType="Full">
                <int2:suggestion int2:citationStyle="Mla" int2:isIdentical="1">
                  <int2:citationText>&lt;i&gt;News &amp; Events - Statute Law Society&lt;/i&gt;, http://www.statutelawsociety.co.uk/news-events/.</int2:citationText>
                </int2:suggestion>
                <int2:suggestion int2:citationStyle="Apa" int2:isIdentical="1">
                  <int2:citationText>&lt;i&gt;News &amp; Events - Statute Law Society&lt;/i&gt;. (n.d.). Retrieved from http://www.statutelawsociety.co.uk/news-events/</int2:citationText>
                </int2:suggestion>
                <int2:suggestion int2:citationStyle="Chicago" int2:isIdentical="1">
                  <int2:citationText>“News &amp; Events - Statute Law Society” n.d., http://www.statutelawsociety.co.uk/news-events/.</int2:citationText>
                </int2:suggestion>
              </int2:suggestions>
            </int2:source>
            <int2:source int2:sourceType="Online" int2:sourceTitle="Plain Language Consumer Contract Act" int2:sourceUrl="https://groups.google.com/g/jiqipwfkb/c/ClZwVKDK1l8" int2:sourceSnippet="Making the law easier for users: the role of statutes. If you shot a container that does marvel have you unit number slot it, send it happen our attention or load a permanent magic marker and label it expose the mind goes bleak the form that deserves it. Revisiting the bank to information in how and understandable.">
              <int2:suggestions int2:citationType="Inline">
                <int2:suggestion int2:citationStyle="Mla" int2:isIdentical="1">
                  <int2:citationText>(“Plain Language Consumer Contract Act”)</int2:citationText>
                </int2:suggestion>
                <int2:suggestion int2:citationStyle="Apa" int2:isIdentical="1">
                  <int2:citationText>(“Plain Language Consumer Contract Act”)</int2:citationText>
                </int2:suggestion>
                <int2:suggestion int2:citationStyle="Chicago" int2:isIdentical="1">
                  <int2:citationText>(“Plain Language Consumer Contract Act”)</int2:citationText>
                </int2:suggestion>
              </int2:suggestions>
              <int2:suggestions int2:citationType="Full">
                <int2:suggestion int2:citationStyle="Mla" int2:isIdentical="1">
                  <int2:citationText>&lt;i&gt;Plain Language Consumer Contract Act&lt;/i&gt;, https://groups.google.com/g/jiqipwfkb/c/ClZwVKDK1l8.</int2:citationText>
                </int2:suggestion>
                <int2:suggestion int2:citationStyle="Apa" int2:isIdentical="1">
                  <int2:citationText>&lt;i&gt;Plain Language Consumer Contract Act&lt;/i&gt;. (n.d.). Retrieved from https://groups.google.com/g/jiqipwfkb/c/ClZwVKDK1l8</int2:citationText>
                </int2:suggestion>
                <int2:suggestion int2:citationStyle="Chicago" int2:isIdentical="1">
                  <int2:citationText>“Plain Language Consumer Contract Act” n.d., https://groups.google.com/g/jiqipwfkb/c/ClZwVKDK1l8.</int2:citationText>
                </int2:suggestion>
              </int2:suggestions>
            </int2:source>
            <int2:source int2:sourceType="Online" int2:sourceTitle="Making the law easier for users: the role of statutes - GOV.UK" int2:sourceUrl="https://www.gov.uk/government/speeches/making-the-law-easier-for-users-the-role-of-statutes--2" int2:sourceSnippet="Making the law easier for users: the role of statutes ... In the same way, HMRC are looking at how GOV.UK can help the reader step from the massive suite of tax guidance (80,000 pieces) to the ...">
              <int2:suggestions int2:citationType="Inline">
                <int2:suggestion int2:citationStyle="Mla" int2:isIdentical="0">
                  <int2:citationText>(“Making the law easier for users: the role of statutes - GOV.UK”)</int2:citationText>
                </int2:suggestion>
                <int2:suggestion int2:citationStyle="Apa" int2:isIdentical="0">
                  <int2:citationText>(“Making the law easier for users: the role of statutes - GOV.UK”)</int2:citationText>
                </int2:suggestion>
                <int2:suggestion int2:citationStyle="Chicago" int2:isIdentical="0">
                  <int2:citationText>(“Making the law easier for users: the role of statutes - GOV.UK”)</int2:citationText>
                </int2:suggestion>
              </int2:suggestions>
              <int2:suggestions int2:citationType="Full">
                <int2:suggestion int2:citationStyle="Mla" int2:isIdentical="0">
                  <int2:citationText>&lt;i&gt;Making the law easier for users: the role of statutes - GOV.UK&lt;/i&gt;, https://www.gov.uk/government/speeches/making-the-law-easier-for-users-the-role-of-statutes--2.</int2:citationText>
                </int2:suggestion>
                <int2:suggestion int2:citationStyle="Apa" int2:isIdentical="0">
                  <int2:citationText>&lt;i&gt;Making the law easier for users: the role of statutes - GOV.UK&lt;/i&gt;. (n.d.). Retrieved from https://www.gov.uk/government/speeches/making-the-law-easier-for-users-the-role-of-statutes--2</int2:citationText>
                </int2:suggestion>
                <int2:suggestion int2:citationStyle="Chicago" int2:isIdentical="0">
                  <int2:citationText>“Making the law easier for users: the role of statutes - GOV.UK” n.d., https://www.gov.uk/government/speeches/making-the-law-easier-for-users-the-role-of-statutes--2.</int2:citationText>
                </int2:suggestion>
              </int2:suggestions>
            </int2:source>
          </int2:similarityCritique>
        </oel:ext>
      </int2:extLst>
    </int2:bookmark>
    <int2:bookmark int2:bookmarkName="_Int_8TQA0tlH" int2:invalidationBookmarkName="" int2:hashCode="V9CnXcV+ZGgRNM" int2:id="GNxPYS6o">
      <int2:state int2:type="LegacyProofing" int2:value="Rejected"/>
    </int2:bookmark>
    <int2:bookmark int2:bookmarkName="_Int_T5wV6QNB" int2:invalidationBookmarkName="" int2:hashCode="rDDXl7nGWNCGvD" int2:id="LfWbHgXp">
      <int2:state int2:type="LegacyProofing" int2:value="Rejected"/>
    </int2:bookmark>
    <int2:bookmark int2:bookmarkName="_Int_5br0x40C" int2:invalidationBookmarkName="" int2:hashCode="8kwXSsKZ/HtxJc" int2:id="g3hZ7Xx1">
      <int2:state int2:type="LegacyProofing" int2:value="Rejected"/>
    </int2:bookmark>
    <int2:bookmark int2:bookmarkName="_Int_aXBUGNoP" int2:invalidationBookmarkName="" int2:hashCode="0GYf/LRGEYcRtn" int2:id="gdfTtxvv">
      <int2:state int2:type="LegacyProofing" int2:value="Rejected"/>
    </int2:bookmark>
    <int2:bookmark int2:bookmarkName="_Int_dQRk5QwW" int2:invalidationBookmarkName="" int2:hashCode="e0dMsLOcF3PXGS" int2:id="n9zgkSz8">
      <int2:state int2:type="LegacyProofing" int2:value="Rejected"/>
    </int2:bookmark>
    <int2:bookmark int2:bookmarkName="_Int_uer22DWi" int2:invalidationBookmarkName="" int2:hashCode="tPvO+hWkAexA9l" int2:id="zRMUVQmq">
      <int2:state int2:type="LegacyProofing" int2:value="Rejected"/>
    </int2:bookmark>
    <int2:entireDocument int2:id="IbN5UwPS">
      <int2:extLst>
        <oel:ext uri="E302BA01-7950-474C-9AD3-286E660C40A8">
          <int2:similaritySummary int2:version="1" int2:runId="1651617279791" int2:tilesCheckedInThisRun="23" int2:totalNumOfTiles="23" int2:similarityAnnotationCount="1" int2:numWords="1865" int2:numFlaggedWords="10"/>
        </oel:ext>
      </int2:extLst>
    </int2:entireDocument>
  </int2:observations>
  <int2:intelligenceSettings/>
  <int2:onDemandWorkflows>
    <int2:onDemandWorkflow int2:type="SimilarityCheck" int2:paragraphVersions="1DF46794-77777777 54BD296D-0F7976B0 4C20BDB9-0F8C1122 3F39F20E-50873659 08A00588-543F4379 06240858-256F7516 67F2B16C-2D3C643B 34139167-4733162E 36EF2A6C-37EDCE97 01CF7F70-112331AC 08839944-1A6BDE48 463C164E-48296C0E 1E681244-225BC0A5 783BD0C9-00124EA9 13F367C8-1A4C4BA5 145F13A9-77777777 6217E7A9-5C406E35 1878A210-27E0EC0B 66EDFCA7-77777777 53027F63-77777777 6CC3C3D2-2F972974 0E0E653E-7F1B4922 35830C84-0E0E88F5 4A5310C8-61ADFAF5 054FBDC8-77777777 603F70C0-06BF80F1 5F0D6AB1-77777777 20C2E73D-77777777 702DC7F4-3AD87E18 15CBCA00-37F47185 2E99142B-67CF8D35"/>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25279A"/>
    <w:multiLevelType w:val="hybridMultilevel"/>
    <w:tmpl w:val="12F6CCCC"/>
    <w:lvl w:ilvl="0" w:tplc="0809000F">
      <w:start w:val="1"/>
      <w:numFmt w:val="decimal"/>
      <w:lvlText w:val="%1."/>
      <w:lvlJc w:val="left"/>
      <w:pPr>
        <w:ind w:left="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 w15:restartNumberingAfterBreak="0">
    <w:nsid w:val="405B14AE"/>
    <w:multiLevelType w:val="hybridMultilevel"/>
    <w:tmpl w:val="0046D51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E3505B5"/>
    <w:multiLevelType w:val="hybridMultilevel"/>
    <w:tmpl w:val="F2F8AD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747C795F"/>
    <w:multiLevelType w:val="hybridMultilevel"/>
    <w:tmpl w:val="1E5645D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683437729">
    <w:abstractNumId w:val="2"/>
  </w:num>
  <w:num w:numId="2" w16cid:durableId="1615281114">
    <w:abstractNumId w:val="1"/>
  </w:num>
  <w:num w:numId="3" w16cid:durableId="1550801439">
    <w:abstractNumId w:val="0"/>
  </w:num>
  <w:num w:numId="4" w16cid:durableId="11351048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140"/>
    <w:rsid w:val="00016605"/>
    <w:rsid w:val="0007924D"/>
    <w:rsid w:val="0009062A"/>
    <w:rsid w:val="000B0471"/>
    <w:rsid w:val="000C075C"/>
    <w:rsid w:val="00142DC9"/>
    <w:rsid w:val="00191655"/>
    <w:rsid w:val="001B3A90"/>
    <w:rsid w:val="001E1979"/>
    <w:rsid w:val="00222FAB"/>
    <w:rsid w:val="00264908"/>
    <w:rsid w:val="002A6A2B"/>
    <w:rsid w:val="002D79BA"/>
    <w:rsid w:val="002E2BF4"/>
    <w:rsid w:val="00304331"/>
    <w:rsid w:val="00317AF8"/>
    <w:rsid w:val="003B4311"/>
    <w:rsid w:val="00407327"/>
    <w:rsid w:val="00411C98"/>
    <w:rsid w:val="004B14FA"/>
    <w:rsid w:val="004C6300"/>
    <w:rsid w:val="004E070C"/>
    <w:rsid w:val="004E2289"/>
    <w:rsid w:val="004F4B0B"/>
    <w:rsid w:val="004F7DE5"/>
    <w:rsid w:val="005119C9"/>
    <w:rsid w:val="005368F2"/>
    <w:rsid w:val="0056638E"/>
    <w:rsid w:val="005708AF"/>
    <w:rsid w:val="00584DBF"/>
    <w:rsid w:val="005865A0"/>
    <w:rsid w:val="005A4351"/>
    <w:rsid w:val="005C36B0"/>
    <w:rsid w:val="005E093A"/>
    <w:rsid w:val="005F5388"/>
    <w:rsid w:val="00601E2D"/>
    <w:rsid w:val="0066137C"/>
    <w:rsid w:val="00676834"/>
    <w:rsid w:val="006836A6"/>
    <w:rsid w:val="0068690A"/>
    <w:rsid w:val="006D420E"/>
    <w:rsid w:val="006F4E73"/>
    <w:rsid w:val="006F5F49"/>
    <w:rsid w:val="006F7803"/>
    <w:rsid w:val="00722D46"/>
    <w:rsid w:val="00732758"/>
    <w:rsid w:val="007B2884"/>
    <w:rsid w:val="007C44CD"/>
    <w:rsid w:val="007E2759"/>
    <w:rsid w:val="007E6B11"/>
    <w:rsid w:val="007F5241"/>
    <w:rsid w:val="00806024"/>
    <w:rsid w:val="008519AF"/>
    <w:rsid w:val="00877513"/>
    <w:rsid w:val="00887E84"/>
    <w:rsid w:val="008B2149"/>
    <w:rsid w:val="008C7EDE"/>
    <w:rsid w:val="00916B4F"/>
    <w:rsid w:val="00942B10"/>
    <w:rsid w:val="00943D39"/>
    <w:rsid w:val="009564FE"/>
    <w:rsid w:val="00974CFE"/>
    <w:rsid w:val="00993D27"/>
    <w:rsid w:val="009D1252"/>
    <w:rsid w:val="009F719B"/>
    <w:rsid w:val="00AB7691"/>
    <w:rsid w:val="00B31763"/>
    <w:rsid w:val="00B70631"/>
    <w:rsid w:val="00B7236D"/>
    <w:rsid w:val="00B724B6"/>
    <w:rsid w:val="00BA733E"/>
    <w:rsid w:val="00C271C3"/>
    <w:rsid w:val="00C51693"/>
    <w:rsid w:val="00C52455"/>
    <w:rsid w:val="00C70A1D"/>
    <w:rsid w:val="00C720D2"/>
    <w:rsid w:val="00C75140"/>
    <w:rsid w:val="00CD676C"/>
    <w:rsid w:val="00CE5674"/>
    <w:rsid w:val="00D459FD"/>
    <w:rsid w:val="00D56F81"/>
    <w:rsid w:val="00D65E89"/>
    <w:rsid w:val="00D700F2"/>
    <w:rsid w:val="00D740EA"/>
    <w:rsid w:val="00D9103B"/>
    <w:rsid w:val="00DA57D9"/>
    <w:rsid w:val="00DB36AC"/>
    <w:rsid w:val="00DE3DCB"/>
    <w:rsid w:val="00E14515"/>
    <w:rsid w:val="00E302F8"/>
    <w:rsid w:val="00E4625F"/>
    <w:rsid w:val="00E5244F"/>
    <w:rsid w:val="00E74E7E"/>
    <w:rsid w:val="00E842B1"/>
    <w:rsid w:val="00EB4347"/>
    <w:rsid w:val="00EB7970"/>
    <w:rsid w:val="00EC0099"/>
    <w:rsid w:val="00F463F0"/>
    <w:rsid w:val="00F50137"/>
    <w:rsid w:val="00F507BA"/>
    <w:rsid w:val="00F73BF8"/>
    <w:rsid w:val="00FA1051"/>
    <w:rsid w:val="00FA4380"/>
    <w:rsid w:val="00FA6DA0"/>
    <w:rsid w:val="00FB75FB"/>
    <w:rsid w:val="00FC43C7"/>
    <w:rsid w:val="00FF1684"/>
    <w:rsid w:val="00FF7671"/>
    <w:rsid w:val="01A82E86"/>
    <w:rsid w:val="02369762"/>
    <w:rsid w:val="03D267C3"/>
    <w:rsid w:val="0498BCFA"/>
    <w:rsid w:val="0671D528"/>
    <w:rsid w:val="0706043C"/>
    <w:rsid w:val="070A0885"/>
    <w:rsid w:val="078A1C32"/>
    <w:rsid w:val="07D322A1"/>
    <w:rsid w:val="0817700A"/>
    <w:rsid w:val="097764A0"/>
    <w:rsid w:val="099135DF"/>
    <w:rsid w:val="09A975EA"/>
    <w:rsid w:val="09F1A0FD"/>
    <w:rsid w:val="0A67E271"/>
    <w:rsid w:val="0AC951CE"/>
    <w:rsid w:val="0B2C1DEE"/>
    <w:rsid w:val="0BB718FE"/>
    <w:rsid w:val="0C65222F"/>
    <w:rsid w:val="0CC8D6A1"/>
    <w:rsid w:val="0CF2CEB3"/>
    <w:rsid w:val="0D068315"/>
    <w:rsid w:val="0D53BA23"/>
    <w:rsid w:val="0E19EC39"/>
    <w:rsid w:val="0E4AD5C3"/>
    <w:rsid w:val="0E72B1D2"/>
    <w:rsid w:val="0F354029"/>
    <w:rsid w:val="0F4EAF0B"/>
    <w:rsid w:val="0F957714"/>
    <w:rsid w:val="0FE6A624"/>
    <w:rsid w:val="1067DB27"/>
    <w:rsid w:val="10DB8B68"/>
    <w:rsid w:val="124FF468"/>
    <w:rsid w:val="12775BC9"/>
    <w:rsid w:val="12A37EFB"/>
    <w:rsid w:val="131B41CD"/>
    <w:rsid w:val="13297897"/>
    <w:rsid w:val="134005AB"/>
    <w:rsid w:val="1406D356"/>
    <w:rsid w:val="14132C2A"/>
    <w:rsid w:val="143B8DEB"/>
    <w:rsid w:val="148B4E34"/>
    <w:rsid w:val="14987D4C"/>
    <w:rsid w:val="14BA1747"/>
    <w:rsid w:val="150E3AFB"/>
    <w:rsid w:val="155DFB44"/>
    <w:rsid w:val="15AEFC8B"/>
    <w:rsid w:val="160C0475"/>
    <w:rsid w:val="166ED095"/>
    <w:rsid w:val="1698C8B8"/>
    <w:rsid w:val="16AA0B5C"/>
    <w:rsid w:val="16B6FBA8"/>
    <w:rsid w:val="17BE7C32"/>
    <w:rsid w:val="1901A24E"/>
    <w:rsid w:val="19C159B2"/>
    <w:rsid w:val="19D151BB"/>
    <w:rsid w:val="1A1CCCF9"/>
    <w:rsid w:val="1A8BD12A"/>
    <w:rsid w:val="1AEC53D6"/>
    <w:rsid w:val="1BB89D5A"/>
    <w:rsid w:val="1BC1EBA6"/>
    <w:rsid w:val="1C3FCF2C"/>
    <w:rsid w:val="1D66135D"/>
    <w:rsid w:val="1D70FAAF"/>
    <w:rsid w:val="1E51E8CA"/>
    <w:rsid w:val="1E86CEA9"/>
    <w:rsid w:val="1E9C8AF9"/>
    <w:rsid w:val="1EEA8738"/>
    <w:rsid w:val="1EF08D93"/>
    <w:rsid w:val="207B87C4"/>
    <w:rsid w:val="208C0E7D"/>
    <w:rsid w:val="20CC2E01"/>
    <w:rsid w:val="214C57C0"/>
    <w:rsid w:val="21F9AE4F"/>
    <w:rsid w:val="230C1737"/>
    <w:rsid w:val="23502D5B"/>
    <w:rsid w:val="23907BEA"/>
    <w:rsid w:val="23DF126C"/>
    <w:rsid w:val="243EAE18"/>
    <w:rsid w:val="2512DE8E"/>
    <w:rsid w:val="257C0C94"/>
    <w:rsid w:val="257EC388"/>
    <w:rsid w:val="25AAD5A7"/>
    <w:rsid w:val="25C1561C"/>
    <w:rsid w:val="26C246C4"/>
    <w:rsid w:val="271A93E9"/>
    <w:rsid w:val="28148892"/>
    <w:rsid w:val="2863ED0D"/>
    <w:rsid w:val="28A148B8"/>
    <w:rsid w:val="28FB5F56"/>
    <w:rsid w:val="295E4A7A"/>
    <w:rsid w:val="2A13A660"/>
    <w:rsid w:val="2A651E6D"/>
    <w:rsid w:val="2A879CE3"/>
    <w:rsid w:val="2B367BB9"/>
    <w:rsid w:val="2BEB4E18"/>
    <w:rsid w:val="2D6DF61C"/>
    <w:rsid w:val="2DF9B0DD"/>
    <w:rsid w:val="2E12903E"/>
    <w:rsid w:val="2EA09877"/>
    <w:rsid w:val="2F3F7BEE"/>
    <w:rsid w:val="2F4E6EF0"/>
    <w:rsid w:val="2FF402D3"/>
    <w:rsid w:val="30469D31"/>
    <w:rsid w:val="314A3100"/>
    <w:rsid w:val="31695C5F"/>
    <w:rsid w:val="3245F02E"/>
    <w:rsid w:val="32B4F45F"/>
    <w:rsid w:val="32B51DFB"/>
    <w:rsid w:val="32D676C7"/>
    <w:rsid w:val="3315770B"/>
    <w:rsid w:val="33E1C08F"/>
    <w:rsid w:val="3468F261"/>
    <w:rsid w:val="34E71350"/>
    <w:rsid w:val="354103BC"/>
    <w:rsid w:val="35A4CBFB"/>
    <w:rsid w:val="35C98FD9"/>
    <w:rsid w:val="367B0BFF"/>
    <w:rsid w:val="37098740"/>
    <w:rsid w:val="371AD425"/>
    <w:rsid w:val="375980D5"/>
    <w:rsid w:val="38B853C8"/>
    <w:rsid w:val="393C6384"/>
    <w:rsid w:val="398816BC"/>
    <w:rsid w:val="3998D198"/>
    <w:rsid w:val="39A53C7A"/>
    <w:rsid w:val="3A412802"/>
    <w:rsid w:val="3B34A1F9"/>
    <w:rsid w:val="3B3554C5"/>
    <w:rsid w:val="3B9EADFC"/>
    <w:rsid w:val="3C3CE7B4"/>
    <w:rsid w:val="3CBFCEFB"/>
    <w:rsid w:val="3CEA660B"/>
    <w:rsid w:val="3D3DBCC2"/>
    <w:rsid w:val="3DEA7951"/>
    <w:rsid w:val="3E281C90"/>
    <w:rsid w:val="3E33E82D"/>
    <w:rsid w:val="3ED98D23"/>
    <w:rsid w:val="3F70721F"/>
    <w:rsid w:val="3F748876"/>
    <w:rsid w:val="3F8649B2"/>
    <w:rsid w:val="3F899A7C"/>
    <w:rsid w:val="3FEB9D4E"/>
    <w:rsid w:val="405A33A3"/>
    <w:rsid w:val="40863F9E"/>
    <w:rsid w:val="40A76AB1"/>
    <w:rsid w:val="410C4280"/>
    <w:rsid w:val="41876DAF"/>
    <w:rsid w:val="43D6BFC1"/>
    <w:rsid w:val="44BF0E71"/>
    <w:rsid w:val="457ADBD4"/>
    <w:rsid w:val="4595278E"/>
    <w:rsid w:val="45D9B789"/>
    <w:rsid w:val="46CB76AB"/>
    <w:rsid w:val="471683FC"/>
    <w:rsid w:val="4717CF92"/>
    <w:rsid w:val="472DDB59"/>
    <w:rsid w:val="4778333A"/>
    <w:rsid w:val="477B8404"/>
    <w:rsid w:val="4783E9FE"/>
    <w:rsid w:val="485C5985"/>
    <w:rsid w:val="48C9ABBA"/>
    <w:rsid w:val="48EE18A5"/>
    <w:rsid w:val="491F41EB"/>
    <w:rsid w:val="4977BF83"/>
    <w:rsid w:val="49B795B4"/>
    <w:rsid w:val="4A657C1B"/>
    <w:rsid w:val="4A7576EF"/>
    <w:rsid w:val="4A98C67D"/>
    <w:rsid w:val="4ADE3DD7"/>
    <w:rsid w:val="4B138FE4"/>
    <w:rsid w:val="4B4C880E"/>
    <w:rsid w:val="4C2352EB"/>
    <w:rsid w:val="4C9F73CF"/>
    <w:rsid w:val="4CAF6045"/>
    <w:rsid w:val="4CCD0A1B"/>
    <w:rsid w:val="4CED58D7"/>
    <w:rsid w:val="4D1F8E4E"/>
    <w:rsid w:val="4E4B30A6"/>
    <w:rsid w:val="4E892938"/>
    <w:rsid w:val="4EBB5EAF"/>
    <w:rsid w:val="4F3988D3"/>
    <w:rsid w:val="4F7EB3F6"/>
    <w:rsid w:val="4F8E836F"/>
    <w:rsid w:val="4F8EFBE3"/>
    <w:rsid w:val="509C6368"/>
    <w:rsid w:val="50D57AD9"/>
    <w:rsid w:val="511A8457"/>
    <w:rsid w:val="512A53D0"/>
    <w:rsid w:val="51C2A799"/>
    <w:rsid w:val="51D045DF"/>
    <w:rsid w:val="52CA3A88"/>
    <w:rsid w:val="5353161C"/>
    <w:rsid w:val="54FA485B"/>
    <w:rsid w:val="553EA829"/>
    <w:rsid w:val="55EDF57A"/>
    <w:rsid w:val="566B9A34"/>
    <w:rsid w:val="572C71D3"/>
    <w:rsid w:val="5780E56B"/>
    <w:rsid w:val="58088DF2"/>
    <w:rsid w:val="587648EB"/>
    <w:rsid w:val="58C504DB"/>
    <w:rsid w:val="5925963C"/>
    <w:rsid w:val="593565B5"/>
    <w:rsid w:val="59BD86B0"/>
    <w:rsid w:val="59CDB97E"/>
    <w:rsid w:val="5A2052D0"/>
    <w:rsid w:val="5A337218"/>
    <w:rsid w:val="5A641295"/>
    <w:rsid w:val="5A6C360E"/>
    <w:rsid w:val="5AC1669D"/>
    <w:rsid w:val="5AD54C6D"/>
    <w:rsid w:val="5B1DE044"/>
    <w:rsid w:val="5BA2FAD4"/>
    <w:rsid w:val="5BE18F9A"/>
    <w:rsid w:val="5C1F0E55"/>
    <w:rsid w:val="5CA2BACD"/>
    <w:rsid w:val="5D0DCD87"/>
    <w:rsid w:val="5D25E248"/>
    <w:rsid w:val="5DC02A78"/>
    <w:rsid w:val="5E08D6D8"/>
    <w:rsid w:val="5ED13186"/>
    <w:rsid w:val="5ED96FFF"/>
    <w:rsid w:val="5F0EAC4E"/>
    <w:rsid w:val="5FC58BF1"/>
    <w:rsid w:val="60B500BD"/>
    <w:rsid w:val="60D35419"/>
    <w:rsid w:val="60D7BF67"/>
    <w:rsid w:val="62E4F5FB"/>
    <w:rsid w:val="636648AB"/>
    <w:rsid w:val="639523CC"/>
    <w:rsid w:val="64376EB2"/>
    <w:rsid w:val="64A2B7FE"/>
    <w:rsid w:val="64FDD9FB"/>
    <w:rsid w:val="6530F42D"/>
    <w:rsid w:val="65367317"/>
    <w:rsid w:val="65EA53EF"/>
    <w:rsid w:val="65F5EE0D"/>
    <w:rsid w:val="6669E7B2"/>
    <w:rsid w:val="6682E15B"/>
    <w:rsid w:val="6699AA5C"/>
    <w:rsid w:val="67371475"/>
    <w:rsid w:val="677C3278"/>
    <w:rsid w:val="6786D71C"/>
    <w:rsid w:val="67A7D72B"/>
    <w:rsid w:val="67BDAEE1"/>
    <w:rsid w:val="67C08781"/>
    <w:rsid w:val="6920C9DE"/>
    <w:rsid w:val="6943A78C"/>
    <w:rsid w:val="6A0E7CEA"/>
    <w:rsid w:val="6A9CF82B"/>
    <w:rsid w:val="6AA6B036"/>
    <w:rsid w:val="6B3BF194"/>
    <w:rsid w:val="6B56527E"/>
    <w:rsid w:val="6B6CF9DA"/>
    <w:rsid w:val="6C7B484E"/>
    <w:rsid w:val="6CACE191"/>
    <w:rsid w:val="6CB01FF6"/>
    <w:rsid w:val="6CF222DF"/>
    <w:rsid w:val="6D2250AB"/>
    <w:rsid w:val="6E00FFF2"/>
    <w:rsid w:val="6E62B03C"/>
    <w:rsid w:val="6E95E0C6"/>
    <w:rsid w:val="709B32A8"/>
    <w:rsid w:val="72440967"/>
    <w:rsid w:val="726EE26E"/>
    <w:rsid w:val="73BD4CB6"/>
    <w:rsid w:val="73EDEB13"/>
    <w:rsid w:val="743ADB9C"/>
    <w:rsid w:val="75F2E97A"/>
    <w:rsid w:val="7697839C"/>
    <w:rsid w:val="76A0F2AB"/>
    <w:rsid w:val="7837BF4B"/>
    <w:rsid w:val="783CC30C"/>
    <w:rsid w:val="78DAC9F3"/>
    <w:rsid w:val="78F44A01"/>
    <w:rsid w:val="7A6760F0"/>
    <w:rsid w:val="7A901A62"/>
    <w:rsid w:val="7AC65A9D"/>
    <w:rsid w:val="7B2130FD"/>
    <w:rsid w:val="7B7F7787"/>
    <w:rsid w:val="7B8B0B2A"/>
    <w:rsid w:val="7BDDB020"/>
    <w:rsid w:val="7C0C94CD"/>
    <w:rsid w:val="7C1AF7ED"/>
    <w:rsid w:val="7CD4BD62"/>
    <w:rsid w:val="7E1DE77B"/>
    <w:rsid w:val="7E708DC3"/>
    <w:rsid w:val="7F17AEC2"/>
    <w:rsid w:val="7F422984"/>
    <w:rsid w:val="7FAE1CB2"/>
    <w:rsid w:val="7FC70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39D5D"/>
  <w15:chartTrackingRefBased/>
  <w15:docId w15:val="{CCA6CEC3-FB3E-4603-813A-6B6978E85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9103B"/>
    <w:pPr>
      <w:spacing w:after="0" w:line="240" w:lineRule="auto"/>
    </w:pPr>
    <w:rPr>
      <w:rFonts w:ascii="Times New Roman" w:hAnsi="Times New Roman" w:eastAsia="Times New Roman" w:cs="Times New Roman"/>
      <w:sz w:val="20"/>
      <w:szCs w:val="2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D700F2"/>
    <w:pPr>
      <w:ind w:left="720"/>
      <w:contextualSpacing/>
    </w:pPr>
  </w:style>
  <w:style w:type="character" w:styleId="Hyperlink">
    <w:name w:val="Hyperlink"/>
    <w:basedOn w:val="DefaultParagraphFont"/>
    <w:uiPriority w:val="99"/>
    <w:semiHidden/>
    <w:unhideWhenUsed/>
    <w:rsid w:val="004F7D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hyperlink" Target="https://www.gov.uk/government/publications/when-laws-become-too-complex/when-laws-become-too-complex" TargetMode="External" Id="rId7" /><Relationship Type="http://schemas.microsoft.com/office/2020/10/relationships/intelligence" Target="intelligence2.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hyperlink" Target="https://www.theguardian.com/humanrightsandwrongs/affect-public-sector" TargetMode="External" Id="rId6" /><Relationship Type="http://schemas.openxmlformats.org/officeDocument/2006/relationships/hyperlink" Target="https://www.proquest.com/docview/2618734903/D634D5A8E2154279PQ/7?accountid=130472" TargetMode="External" Id="rId11" /><Relationship Type="http://schemas.openxmlformats.org/officeDocument/2006/relationships/hyperlink" Target="https://www.cambridge.org/core/books/abs/english-law-under-two-elizabeths/an-age-of-common-law-and-an-age-of-statute/14DC0B9210B5436DAB0270FAC5AFAD2A" TargetMode="External" Id="rId5" /><Relationship Type="http://schemas.openxmlformats.org/officeDocument/2006/relationships/fontTable" Target="fontTable.xml" Id="rId15" /><Relationship Type="http://schemas.openxmlformats.org/officeDocument/2006/relationships/hyperlink" Target="https://blog.ipleaders.in/rules-interpretation-statutes/" TargetMode="External" Id="rId10" /><Relationship Type="http://schemas.openxmlformats.org/officeDocument/2006/relationships/webSettings" Target="webSettings.xml" Id="rId4" /><Relationship Type="http://schemas.openxmlformats.org/officeDocument/2006/relationships/hyperlink" Target="https://edinburgh.universitypressscholarship.com/view/10.3366/edinburgh/9780748633500.001.0001/upso-9780748633500-chapter-5" TargetMode="External" Id="rId9" /><Relationship Type="http://schemas.openxmlformats.org/officeDocument/2006/relationships/hyperlink" Target="https://www.parliament.uk/site-information/glossary/statutes/" TargetMode="External" Id="rId14" /><Relationship Type="http://schemas.openxmlformats.org/officeDocument/2006/relationships/hyperlink" Target="https://www.gov.uk/government/speeches/making-the-law-easier-for-users-the-role-of-statutes--2" TargetMode="External" Id="Raafe609b45c24b0b" /><Relationship Type="http://schemas.openxmlformats.org/officeDocument/2006/relationships/hyperlink" Target="https://www-jstor-org.ezproxy.uwtsd.ac.uk/stable/44027115?seq=1" TargetMode="External" Id="R31ff07adefba4050" /><Relationship Type="http://schemas.openxmlformats.org/officeDocument/2006/relationships/hyperlink" Target="https://www.lawcom.gov.uk/our-work/statute-law-repeals/" TargetMode="External" Id="R8f92882f5f2e467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Tammy Morris-Puttock (2100519)</dc:creator>
  <keywords/>
  <dc:description/>
  <lastModifiedBy>Tammy Morris-Puttock (2100519)</lastModifiedBy>
  <revision>107</revision>
  <dcterms:created xsi:type="dcterms:W3CDTF">2022-03-14T17:06:00.0000000Z</dcterms:created>
  <dcterms:modified xsi:type="dcterms:W3CDTF">2022-05-03T22:35:09.4153303Z</dcterms:modified>
</coreProperties>
</file>