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33610" w14:textId="2655F309" w:rsidR="00E6122C" w:rsidRPr="006171C2" w:rsidRDefault="00E6122C" w:rsidP="00CF47B9">
      <w:pPr>
        <w:pStyle w:val="NoSpacing"/>
        <w:jc w:val="center"/>
        <w:rPr>
          <w:u w:val="single"/>
        </w:rPr>
      </w:pPr>
      <w:r w:rsidRPr="006171C2">
        <w:rPr>
          <w:u w:val="single"/>
        </w:rPr>
        <w:t xml:space="preserve">Boundaries </w:t>
      </w:r>
    </w:p>
    <w:p w14:paraId="4A596D12" w14:textId="63BA2C58" w:rsidR="00E6122C" w:rsidRDefault="00E6122C" w:rsidP="00CF47B9">
      <w:pPr>
        <w:pStyle w:val="NoSpacing"/>
        <w:jc w:val="center"/>
      </w:pPr>
    </w:p>
    <w:p w14:paraId="78441FE1" w14:textId="042BE4C4" w:rsidR="00E6122C" w:rsidRDefault="00E6122C" w:rsidP="00CF47B9">
      <w:pPr>
        <w:pStyle w:val="NoSpacing"/>
      </w:pPr>
      <w:r>
        <w:t xml:space="preserve">I shall be conducting this presentation based around the theme of boundaries with a </w:t>
      </w:r>
      <w:r w:rsidR="001B6AB5">
        <w:t>focus</w:t>
      </w:r>
      <w:r>
        <w:t xml:space="preserve"> on those presented in </w:t>
      </w:r>
      <w:proofErr w:type="spellStart"/>
      <w:r>
        <w:t>Margiad</w:t>
      </w:r>
      <w:proofErr w:type="spellEnd"/>
      <w:r>
        <w:t xml:space="preserve"> Evans’ </w:t>
      </w:r>
      <w:r w:rsidRPr="001B6AB5">
        <w:rPr>
          <w:i/>
          <w:iCs/>
        </w:rPr>
        <w:t>Country Dance</w:t>
      </w:r>
      <w:r>
        <w:t xml:space="preserve"> and </w:t>
      </w:r>
      <w:r w:rsidR="001B6AB5">
        <w:t xml:space="preserve">Christopher Meredith’s </w:t>
      </w:r>
      <w:r w:rsidR="001B6AB5" w:rsidRPr="001B6AB5">
        <w:rPr>
          <w:i/>
          <w:iCs/>
        </w:rPr>
        <w:t>Shifts</w:t>
      </w:r>
      <w:r>
        <w:t xml:space="preserve">. To begin let us </w:t>
      </w:r>
      <w:r w:rsidR="0006239A">
        <w:t>consider</w:t>
      </w:r>
      <w:r>
        <w:t xml:space="preserve"> the definition of boundaries. A boundary is “a real or imagined line that marks the edge or limit of something”</w:t>
      </w:r>
      <w:r w:rsidR="001B6AB5">
        <w:rPr>
          <w:rStyle w:val="FootnoteReference"/>
        </w:rPr>
        <w:footnoteReference w:id="1"/>
      </w:r>
      <w:r>
        <w:t xml:space="preserve"> or </w:t>
      </w:r>
      <w:r w:rsidR="0006239A">
        <w:t>an alternative meaning is</w:t>
      </w:r>
      <w:r>
        <w:t xml:space="preserve"> “the limit of a subject or principle”</w:t>
      </w:r>
      <w:r w:rsidR="001B6AB5">
        <w:rPr>
          <w:rStyle w:val="FootnoteReference"/>
        </w:rPr>
        <w:footnoteReference w:id="2"/>
      </w:r>
      <w:r>
        <w:t>.</w:t>
      </w:r>
      <w:r w:rsidR="00E62020">
        <w:t xml:space="preserve"> </w:t>
      </w:r>
      <w:r w:rsidR="0006239A">
        <w:t>The first definition is evident in almost all the Welsh literature we have studie</w:t>
      </w:r>
      <w:r w:rsidR="008975F1">
        <w:t>d</w:t>
      </w:r>
      <w:r w:rsidR="0006239A">
        <w:t xml:space="preserve"> this module with the</w:t>
      </w:r>
      <w:r w:rsidR="008975F1">
        <w:t xml:space="preserve"> impact</w:t>
      </w:r>
      <w:r w:rsidR="0006239A">
        <w:t xml:space="preserve"> of the border between Wales and England. </w:t>
      </w:r>
      <w:r w:rsidR="00593BBB">
        <w:t>I</w:t>
      </w:r>
      <w:r w:rsidR="0006239A">
        <w:t>t is interesting to look at the choice of nouns presented in this definitio</w:t>
      </w:r>
      <w:r w:rsidR="008975F1">
        <w:t>n</w:t>
      </w:r>
      <w:r w:rsidR="0006239A">
        <w:t xml:space="preserve">. ‘Edge’ suggests a physical boundary that </w:t>
      </w:r>
      <w:r w:rsidR="00283919">
        <w:t xml:space="preserve">blocks access to a desired </w:t>
      </w:r>
      <w:r w:rsidR="00593BBB">
        <w:t>location</w:t>
      </w:r>
      <w:r w:rsidR="00283919">
        <w:t xml:space="preserve">, such as a cliff edge or a wall, whereas ‘limit’ provides the connotation of a restriction that perhaps can be more easily challenged. </w:t>
      </w:r>
      <w:r w:rsidR="00D670F0">
        <w:t>I will examine these</w:t>
      </w:r>
      <w:r w:rsidR="00E62020">
        <w:t xml:space="preserve"> definitions </w:t>
      </w:r>
      <w:r w:rsidR="00D670F0">
        <w:t>in five different groups; r</w:t>
      </w:r>
      <w:r w:rsidR="00E62020">
        <w:t>ural and urba</w:t>
      </w:r>
      <w:r w:rsidR="00D670F0">
        <w:t>n,</w:t>
      </w:r>
      <w:r w:rsidR="00E62020">
        <w:t xml:space="preserve"> nationality</w:t>
      </w:r>
      <w:r w:rsidR="00D670F0">
        <w:t>,</w:t>
      </w:r>
      <w:r w:rsidR="00E62020">
        <w:t xml:space="preserve"> gender</w:t>
      </w:r>
      <w:r w:rsidR="00D670F0">
        <w:t>,</w:t>
      </w:r>
      <w:r w:rsidR="00E62020">
        <w:t xml:space="preserve"> </w:t>
      </w:r>
      <w:r w:rsidR="007C0697">
        <w:t>public and private</w:t>
      </w:r>
      <w:r w:rsidR="00D670F0">
        <w:t>,</w:t>
      </w:r>
      <w:r w:rsidR="00E62020">
        <w:t xml:space="preserve"> and childhood and adulthood. </w:t>
      </w:r>
    </w:p>
    <w:p w14:paraId="69E998E2" w14:textId="25D7F7E4" w:rsidR="00D670F0" w:rsidRDefault="00D670F0" w:rsidP="00CF47B9">
      <w:pPr>
        <w:pStyle w:val="NoSpacing"/>
      </w:pPr>
      <w:r>
        <w:tab/>
      </w:r>
      <w:r w:rsidR="008975F1">
        <w:t>The first point to consider is</w:t>
      </w:r>
      <w:r w:rsidR="004970D6">
        <w:t xml:space="preserve"> the significance of</w:t>
      </w:r>
      <w:r>
        <w:t xml:space="preserve"> the derelict house and </w:t>
      </w:r>
      <w:r w:rsidR="004970D6">
        <w:t>what is represents</w:t>
      </w:r>
      <w:r>
        <w:t xml:space="preserve"> in each of the </w:t>
      </w:r>
      <w:r w:rsidR="004970D6">
        <w:t>novels</w:t>
      </w:r>
      <w:r>
        <w:t xml:space="preserve">. </w:t>
      </w:r>
      <w:r w:rsidR="000F443E">
        <w:t xml:space="preserve">The derelict house may </w:t>
      </w:r>
      <w:proofErr w:type="gramStart"/>
      <w:r w:rsidR="000F443E">
        <w:t>be seen as</w:t>
      </w:r>
      <w:proofErr w:type="gramEnd"/>
      <w:r w:rsidR="000F443E">
        <w:t xml:space="preserve"> a symbol of Wales’ past, its forgotten history and oppression. However, the structure of a house has doors and windows which provides an entrance or a viewing point, allowing the possibility of viewing history from the inside and working outwards in order to preserve the details of life in Wales during this period. </w:t>
      </w:r>
      <w:r>
        <w:t xml:space="preserve">In the </w:t>
      </w:r>
      <w:r w:rsidR="00993C17">
        <w:t>I</w:t>
      </w:r>
      <w:r>
        <w:t xml:space="preserve">ntroduction to </w:t>
      </w:r>
      <w:r w:rsidRPr="00993C17">
        <w:rPr>
          <w:i/>
          <w:iCs/>
        </w:rPr>
        <w:t>Country Dance</w:t>
      </w:r>
      <w:r>
        <w:t xml:space="preserve">, </w:t>
      </w:r>
      <w:proofErr w:type="spellStart"/>
      <w:r>
        <w:t>Margiad</w:t>
      </w:r>
      <w:proofErr w:type="spellEnd"/>
      <w:r>
        <w:t xml:space="preserve"> Evans </w:t>
      </w:r>
      <w:r w:rsidR="00617A56">
        <w:t>describes the state of the house seventy years later</w:t>
      </w:r>
      <w:r w:rsidR="00637406">
        <w:t xml:space="preserve"> in which</w:t>
      </w:r>
      <w:r>
        <w:t xml:space="preserve"> “the shepherd’s cottage where Ann was born is falling to ruin on top of the hill</w:t>
      </w:r>
      <w:r w:rsidR="00FB12D0">
        <w:t>”</w:t>
      </w:r>
      <w:r w:rsidR="00FB12D0">
        <w:rPr>
          <w:rStyle w:val="FootnoteReference"/>
        </w:rPr>
        <w:footnoteReference w:id="3"/>
      </w:r>
      <w:r w:rsidR="00FB12D0">
        <w:t>.</w:t>
      </w:r>
      <w:r>
        <w:t xml:space="preserve"> </w:t>
      </w:r>
      <w:r w:rsidR="004970D6">
        <w:t xml:space="preserve">This highlights the fact that this structure that </w:t>
      </w:r>
      <w:r w:rsidR="0009761F">
        <w:t>holds</w:t>
      </w:r>
      <w:r w:rsidR="004970D6">
        <w:t xml:space="preserve"> Ann’s story has fallen away and </w:t>
      </w:r>
      <w:r w:rsidR="0009761F">
        <w:t xml:space="preserve">has </w:t>
      </w:r>
      <w:r w:rsidR="004970D6">
        <w:t xml:space="preserve">most likely </w:t>
      </w:r>
      <w:r w:rsidR="00593BBB">
        <w:t xml:space="preserve">been </w:t>
      </w:r>
      <w:r w:rsidR="004970D6">
        <w:t xml:space="preserve">forgotten about by the local community. </w:t>
      </w:r>
      <w:r w:rsidR="00AD6D3D">
        <w:t xml:space="preserve">Evans </w:t>
      </w:r>
      <w:r>
        <w:t>expresse</w:t>
      </w:r>
      <w:r w:rsidR="00AD6D3D">
        <w:t>s the “custom of referring to past events as though they were at the moment occurring still survives”</w:t>
      </w:r>
      <w:r w:rsidR="00FB12D0">
        <w:rPr>
          <w:rStyle w:val="FootnoteReference"/>
        </w:rPr>
        <w:footnoteReference w:id="4"/>
      </w:r>
      <w:r w:rsidR="00AD6D3D">
        <w:t xml:space="preserve"> </w:t>
      </w:r>
      <w:r w:rsidR="00617A56">
        <w:t>through Ann’s perception of writing in the present tense. This shows</w:t>
      </w:r>
      <w:r w:rsidR="00AD6D3D">
        <w:t xml:space="preserve"> the importance of preserved ruins to develop an understanding and appreciation for the past.</w:t>
      </w:r>
      <w:r w:rsidR="00AD6D3D" w:rsidRPr="00AD6D3D">
        <w:t xml:space="preserve"> </w:t>
      </w:r>
      <w:r w:rsidR="00617A56">
        <w:t xml:space="preserve">In the </w:t>
      </w:r>
      <w:r w:rsidR="00993C17">
        <w:t>F</w:t>
      </w:r>
      <w:r w:rsidR="00617A56">
        <w:t>orew</w:t>
      </w:r>
      <w:r w:rsidR="0009761F">
        <w:t>o</w:t>
      </w:r>
      <w:r w:rsidR="00617A56">
        <w:t xml:space="preserve">rd, </w:t>
      </w:r>
      <w:proofErr w:type="spellStart"/>
      <w:r w:rsidR="00617A56">
        <w:t>Catrin</w:t>
      </w:r>
      <w:proofErr w:type="spellEnd"/>
      <w:r w:rsidR="00617A56">
        <w:t xml:space="preserve"> Collier notes </w:t>
      </w:r>
      <w:r w:rsidR="00637406">
        <w:t xml:space="preserve">a set of diaries written by a farmer’s wife depicting the day-to-day life of rural Wales at the beginning of the twentieth century. Collier states that “the life recorded in those diaries, like those of the characters in the novella </w:t>
      </w:r>
      <w:r w:rsidR="00637406" w:rsidRPr="00993C17">
        <w:rPr>
          <w:i/>
          <w:iCs/>
        </w:rPr>
        <w:t>Country Dance</w:t>
      </w:r>
      <w:r w:rsidR="00637406">
        <w:t>, belongs to a society that has ceased to exist in memory, but traces linger on the written page”</w:t>
      </w:r>
      <w:r w:rsidR="00637406">
        <w:rPr>
          <w:rStyle w:val="FootnoteReference"/>
        </w:rPr>
        <w:footnoteReference w:id="5"/>
      </w:r>
      <w:r w:rsidR="00637406">
        <w:t xml:space="preserve">. </w:t>
      </w:r>
      <w:r w:rsidR="0083754B">
        <w:t>This window into history along with t</w:t>
      </w:r>
      <w:r w:rsidR="00AD6D3D">
        <w:t xml:space="preserve">he motif of the ruined house is explored </w:t>
      </w:r>
      <w:r w:rsidR="00986BC2">
        <w:t xml:space="preserve">in </w:t>
      </w:r>
      <w:r w:rsidR="00986BC2" w:rsidRPr="00993C17">
        <w:rPr>
          <w:i/>
          <w:iCs/>
        </w:rPr>
        <w:t>Shifts</w:t>
      </w:r>
      <w:r w:rsidR="00986BC2">
        <w:t xml:space="preserve"> by Keith discovering the </w:t>
      </w:r>
      <w:r w:rsidR="000A1EA2">
        <w:t>voting</w:t>
      </w:r>
      <w:r w:rsidR="00986BC2">
        <w:t xml:space="preserve"> </w:t>
      </w:r>
      <w:r w:rsidR="000A1EA2">
        <w:t>slip</w:t>
      </w:r>
      <w:r w:rsidR="00986BC2">
        <w:t xml:space="preserve">. The details of the handwriting </w:t>
      </w:r>
      <w:r w:rsidR="0009761F">
        <w:t>on the back of the card of which</w:t>
      </w:r>
      <w:r w:rsidR="00986BC2">
        <w:t xml:space="preserve"> Keith pays attention to indicates his connection to </w:t>
      </w:r>
      <w:r w:rsidR="00AC574E">
        <w:t xml:space="preserve">the history of the individual rather than a portrayed collective. </w:t>
      </w:r>
      <w:r w:rsidR="006A3064">
        <w:t xml:space="preserve">The ruined house of history where Keith finds extracts of a past life; the magazines, </w:t>
      </w:r>
      <w:r w:rsidR="00CC7493">
        <w:t xml:space="preserve">the books and of course the </w:t>
      </w:r>
      <w:r w:rsidR="000A1EA2">
        <w:t>voting</w:t>
      </w:r>
      <w:r w:rsidR="00CC7493">
        <w:t xml:space="preserve"> card, engages with the written legacy of the past and challenges inherited ideas of the time. With all historians there is </w:t>
      </w:r>
      <w:r w:rsidR="007C0697">
        <w:t>the restriction of perception, as an outsider looking in</w:t>
      </w:r>
      <w:r w:rsidR="0009761F">
        <w:t xml:space="preserve">, however, in </w:t>
      </w:r>
      <w:r w:rsidR="0009761F" w:rsidRPr="0009761F">
        <w:rPr>
          <w:i/>
          <w:iCs/>
        </w:rPr>
        <w:t>Shifts</w:t>
      </w:r>
      <w:r w:rsidR="007C0697">
        <w:t xml:space="preserve"> it is evident that Keith exploring the local history is the insider of the novel compared to Jack as the migrant returning to his own past. Emily Allen and Dino </w:t>
      </w:r>
      <w:proofErr w:type="spellStart"/>
      <w:r w:rsidR="007C0697">
        <w:t>Felluga</w:t>
      </w:r>
      <w:proofErr w:type="spellEnd"/>
      <w:r w:rsidR="007C0697">
        <w:t xml:space="preserve"> suggest that the “public sphere belonged to men: it was the sphere of business and money-making, of politics and empire building, of industry and struggle. The private sphere on the other hand, </w:t>
      </w:r>
      <w:proofErr w:type="gramStart"/>
      <w:r w:rsidR="007C0697">
        <w:t>was considered to be</w:t>
      </w:r>
      <w:proofErr w:type="gramEnd"/>
      <w:r w:rsidR="007C0697">
        <w:t xml:space="preserve"> a feminine preserve: it was the space of the home and the hearth, of sympathy and nurture, of simple piety and child rearing”</w:t>
      </w:r>
      <w:r w:rsidR="007C0697">
        <w:rPr>
          <w:rStyle w:val="FootnoteReference"/>
        </w:rPr>
        <w:footnoteReference w:id="6"/>
      </w:r>
      <w:r w:rsidR="007C0697">
        <w:t>. Considering the main characters of each novel it is clear that some fit in with this assertion whereas others challenge it</w:t>
      </w:r>
      <w:r w:rsidR="00C56CE0">
        <w:t>, although there is certainly room for cross overs</w:t>
      </w:r>
      <w:r w:rsidR="007C0697">
        <w:t xml:space="preserve">. </w:t>
      </w:r>
      <w:r w:rsidR="0076593D">
        <w:t xml:space="preserve">If we are to follow Allen and </w:t>
      </w:r>
      <w:proofErr w:type="spellStart"/>
      <w:r w:rsidR="0076593D">
        <w:t>Felluga’s</w:t>
      </w:r>
      <w:proofErr w:type="spellEnd"/>
      <w:r w:rsidR="0076593D">
        <w:t xml:space="preserve"> statement</w:t>
      </w:r>
      <w:r w:rsidR="007C0697">
        <w:t xml:space="preserve"> </w:t>
      </w:r>
      <w:r w:rsidR="00C56CE0">
        <w:t>Jack can be categorised into the public sphere</w:t>
      </w:r>
      <w:r w:rsidR="00F42305">
        <w:t xml:space="preserve"> as he does not have or yearn for a home and reasons his return as “desperation”</w:t>
      </w:r>
      <w:r w:rsidR="00F42305">
        <w:rPr>
          <w:rStyle w:val="FootnoteReference"/>
        </w:rPr>
        <w:footnoteReference w:id="7"/>
      </w:r>
      <w:r w:rsidR="00C56CE0">
        <w:t xml:space="preserve"> </w:t>
      </w:r>
      <w:r w:rsidR="00F42305">
        <w:t xml:space="preserve">and </w:t>
      </w:r>
      <w:r w:rsidR="009550EE">
        <w:t xml:space="preserve">he </w:t>
      </w:r>
      <w:r w:rsidR="00F42305">
        <w:t xml:space="preserve">cannot </w:t>
      </w:r>
      <w:r w:rsidR="009550EE">
        <w:t>un</w:t>
      </w:r>
      <w:r w:rsidR="00F42305">
        <w:t>derstand</w:t>
      </w:r>
      <w:r w:rsidR="009550EE">
        <w:t xml:space="preserve"> why people would want</w:t>
      </w:r>
      <w:r w:rsidR="00F42305">
        <w:t xml:space="preserve"> to stay. </w:t>
      </w:r>
      <w:r w:rsidR="00C56CE0">
        <w:t>Keith</w:t>
      </w:r>
      <w:r w:rsidR="00F42305">
        <w:t>’s position is blurred but</w:t>
      </w:r>
      <w:r w:rsidR="00C56CE0">
        <w:t xml:space="preserve"> may be</w:t>
      </w:r>
      <w:r w:rsidR="0076593D">
        <w:t xml:space="preserve"> more accurately</w:t>
      </w:r>
      <w:r w:rsidR="00C56CE0">
        <w:t xml:space="preserve"> represented by </w:t>
      </w:r>
      <w:r w:rsidR="00C56CE0">
        <w:lastRenderedPageBreak/>
        <w:t xml:space="preserve">the private sphere </w:t>
      </w:r>
      <w:r w:rsidR="00BB2D2D">
        <w:t>although he is almost trapped inside himself because he is so tied to history without being able to get a grasp of it which becomes mirrored by the “mostly flattened”</w:t>
      </w:r>
      <w:r w:rsidR="00BB2D2D">
        <w:rPr>
          <w:rStyle w:val="FootnoteReference"/>
        </w:rPr>
        <w:footnoteReference w:id="8"/>
      </w:r>
      <w:r w:rsidR="00BB2D2D">
        <w:t xml:space="preserve"> fence</w:t>
      </w:r>
      <w:r w:rsidR="00A8321F">
        <w:t xml:space="preserve"> in the cemetery</w:t>
      </w:r>
      <w:r w:rsidR="00C56CE0">
        <w:t xml:space="preserve">. Ann Goodman certainly challenges </w:t>
      </w:r>
      <w:r w:rsidR="0076593D">
        <w:t xml:space="preserve">both </w:t>
      </w:r>
      <w:r w:rsidR="00C56CE0">
        <w:t xml:space="preserve">the public and private spheres as she is presented as a dominant, assertive character who enjoys her work almost like a masculine character of the time, but also participates in the duties of a woman by cleaning the house, sewing and gardening. </w:t>
      </w:r>
    </w:p>
    <w:p w14:paraId="3E5EE3E6" w14:textId="668B2932" w:rsidR="00E20834" w:rsidRDefault="00917AA2" w:rsidP="00CF47B9">
      <w:pPr>
        <w:pStyle w:val="NoSpacing"/>
      </w:pPr>
      <w:r>
        <w:tab/>
      </w:r>
      <w:r w:rsidR="00E20834">
        <w:t xml:space="preserve">I’m going to begin the next section </w:t>
      </w:r>
      <w:r>
        <w:t xml:space="preserve">of my presentation </w:t>
      </w:r>
      <w:r w:rsidR="00E20834">
        <w:t>with one of the Estuary Poems by Catherine Fisher.</w:t>
      </w:r>
    </w:p>
    <w:p w14:paraId="112EFE3E" w14:textId="77777777" w:rsidR="00E20834" w:rsidRDefault="00E20834" w:rsidP="00CF47B9">
      <w:pPr>
        <w:pStyle w:val="NoSpacing"/>
      </w:pPr>
    </w:p>
    <w:p w14:paraId="1AADEEB3" w14:textId="28CACC43" w:rsidR="00E20834" w:rsidRDefault="00E20834" w:rsidP="00CF47B9">
      <w:pPr>
        <w:pStyle w:val="NoSpacing"/>
      </w:pPr>
      <w:r>
        <w:tab/>
        <w:t xml:space="preserve">Out in the dark fresh water becomes salt; </w:t>
      </w:r>
    </w:p>
    <w:p w14:paraId="070B0188" w14:textId="3015133A" w:rsidR="00E20834" w:rsidRDefault="00E20834" w:rsidP="00CF47B9">
      <w:pPr>
        <w:pStyle w:val="NoSpacing"/>
      </w:pPr>
      <w:r>
        <w:tab/>
        <w:t>two tides join.</w:t>
      </w:r>
    </w:p>
    <w:p w14:paraId="338F66AC" w14:textId="22E91B4F" w:rsidR="00E20834" w:rsidRDefault="00E20834" w:rsidP="00CF47B9">
      <w:pPr>
        <w:pStyle w:val="NoSpacing"/>
      </w:pPr>
      <w:r>
        <w:tab/>
        <w:t>I wonder</w:t>
      </w:r>
    </w:p>
    <w:p w14:paraId="63C979EB" w14:textId="18B35E44" w:rsidR="00E20834" w:rsidRDefault="00E20834" w:rsidP="00CF47B9">
      <w:pPr>
        <w:pStyle w:val="NoSpacing"/>
      </w:pPr>
      <w:r>
        <w:tab/>
        <w:t xml:space="preserve">how much time it took them to </w:t>
      </w:r>
      <w:proofErr w:type="gramStart"/>
      <w:r>
        <w:t>forget,</w:t>
      </w:r>
      <w:proofErr w:type="gramEnd"/>
    </w:p>
    <w:p w14:paraId="73ED9716" w14:textId="1FC32701" w:rsidR="00E20834" w:rsidRDefault="00E20834" w:rsidP="00CF47B9">
      <w:pPr>
        <w:pStyle w:val="NoSpacing"/>
      </w:pPr>
      <w:r>
        <w:tab/>
        <w:t>learning a new country, new weather,</w:t>
      </w:r>
    </w:p>
    <w:p w14:paraId="1CBC0FDB" w14:textId="7696E96C" w:rsidR="00E20834" w:rsidRDefault="00E20834" w:rsidP="00CF47B9">
      <w:pPr>
        <w:pStyle w:val="NoSpacing"/>
      </w:pPr>
      <w:r>
        <w:tab/>
        <w:t>resettling. How many generations</w:t>
      </w:r>
    </w:p>
    <w:p w14:paraId="1685CF45" w14:textId="1F8D806D" w:rsidR="00E20834" w:rsidRDefault="00E20834" w:rsidP="00CF47B9">
      <w:pPr>
        <w:pStyle w:val="NoSpacing"/>
      </w:pPr>
      <w:r>
        <w:tab/>
        <w:t>to lose the flavour, mingle with the main,</w:t>
      </w:r>
    </w:p>
    <w:p w14:paraId="12849D02" w14:textId="7DB5DCFC" w:rsidR="00E20834" w:rsidRDefault="00E20834" w:rsidP="00CF47B9">
      <w:pPr>
        <w:pStyle w:val="NoSpacing"/>
      </w:pPr>
      <w:r>
        <w:tab/>
        <w:t>become diluted imperceptibly,</w:t>
      </w:r>
    </w:p>
    <w:p w14:paraId="44EB9D64" w14:textId="4766E22F" w:rsidR="00E20834" w:rsidRDefault="00E20834" w:rsidP="00CF47B9">
      <w:pPr>
        <w:pStyle w:val="NoSpacing"/>
      </w:pPr>
      <w:r>
        <w:tab/>
        <w:t>word by unknown word; the children</w:t>
      </w:r>
    </w:p>
    <w:p w14:paraId="50FFFADE" w14:textId="2D4CA6FB" w:rsidR="00E20834" w:rsidRDefault="00E20834" w:rsidP="00CF47B9">
      <w:pPr>
        <w:pStyle w:val="NoSpacing"/>
      </w:pPr>
      <w:r>
        <w:tab/>
        <w:t>coming back with different accents, always</w:t>
      </w:r>
    </w:p>
    <w:p w14:paraId="70AEAB05" w14:textId="51563985" w:rsidR="00E20834" w:rsidRDefault="00E20834" w:rsidP="00CF47B9">
      <w:pPr>
        <w:pStyle w:val="NoSpacing"/>
      </w:pPr>
      <w:r>
        <w:tab/>
        <w:t>the children first.</w:t>
      </w:r>
    </w:p>
    <w:p w14:paraId="73E979DB" w14:textId="24C18E0A" w:rsidR="00E20834" w:rsidRDefault="00E20834" w:rsidP="00CF47B9">
      <w:pPr>
        <w:pStyle w:val="NoSpacing"/>
      </w:pPr>
      <w:r>
        <w:tab/>
        <w:t>Home known, home heard of,</w:t>
      </w:r>
    </w:p>
    <w:p w14:paraId="3072DB18" w14:textId="3D94EF04" w:rsidR="00E20834" w:rsidRDefault="00E20834" w:rsidP="00CF47B9">
      <w:pPr>
        <w:pStyle w:val="NoSpacing"/>
      </w:pPr>
      <w:r>
        <w:tab/>
        <w:t>home receding into legend, and all the while</w:t>
      </w:r>
    </w:p>
    <w:p w14:paraId="15A230A4" w14:textId="22FCD5B5" w:rsidR="00E20834" w:rsidRDefault="00E20834" w:rsidP="00CF47B9">
      <w:pPr>
        <w:pStyle w:val="NoSpacing"/>
      </w:pPr>
      <w:r>
        <w:tab/>
        <w:t>unnoticed, this is home, and no-one says it</w:t>
      </w:r>
    </w:p>
    <w:p w14:paraId="589F3F78" w14:textId="681E6E35" w:rsidR="00E20834" w:rsidRDefault="00E20834" w:rsidP="00CF47B9">
      <w:pPr>
        <w:pStyle w:val="NoSpacing"/>
      </w:pPr>
      <w:r>
        <w:tab/>
        <w:t>till the moment’s gone, the strange</w:t>
      </w:r>
    </w:p>
    <w:p w14:paraId="7276E0A3" w14:textId="51790EFB" w:rsidR="00E20834" w:rsidRDefault="00E20834" w:rsidP="00CF47B9">
      <w:pPr>
        <w:pStyle w:val="NoSpacing"/>
      </w:pPr>
      <w:r>
        <w:tab/>
        <w:t>collective, calm decision taken.</w:t>
      </w:r>
      <w:r>
        <w:rPr>
          <w:rStyle w:val="FootnoteReference"/>
        </w:rPr>
        <w:footnoteReference w:id="9"/>
      </w:r>
    </w:p>
    <w:p w14:paraId="0887A488" w14:textId="77777777" w:rsidR="00E20834" w:rsidRDefault="00E20834" w:rsidP="00CF47B9">
      <w:pPr>
        <w:pStyle w:val="NoSpacing"/>
      </w:pPr>
    </w:p>
    <w:p w14:paraId="122984C7" w14:textId="0B70F36F" w:rsidR="00E6122C" w:rsidRDefault="004602EF" w:rsidP="00CF47B9">
      <w:pPr>
        <w:pStyle w:val="NoSpacing"/>
      </w:pPr>
      <w:r>
        <w:t xml:space="preserve">It is interesting to consider this poem with the next part of my </w:t>
      </w:r>
      <w:r w:rsidR="00917AA2">
        <w:t xml:space="preserve">focus on the sense of place, community and borders. </w:t>
      </w:r>
      <w:r>
        <w:t xml:space="preserve">This poem resembles a jigsaw with each piece of society fitting together to form the entire picture. The pieces containing images of the children are reminiscent of trying to fit a piece into a wrong slot. In </w:t>
      </w:r>
      <w:r w:rsidRPr="0009761F">
        <w:rPr>
          <w:i/>
          <w:iCs/>
        </w:rPr>
        <w:t>Country Dance</w:t>
      </w:r>
      <w:r>
        <w:t xml:space="preserve"> the boundaries between childhood and adulthood are blurred. Jenny and Georgie are treated like children, they get into mischief and are told off and then move onto the next thing. Charlie however </w:t>
      </w:r>
      <w:r w:rsidR="00186B9E">
        <w:t>is named an “inept farm boy”</w:t>
      </w:r>
      <w:r w:rsidR="00186B9E">
        <w:rPr>
          <w:rStyle w:val="FootnoteReference"/>
        </w:rPr>
        <w:footnoteReference w:id="10"/>
      </w:r>
      <w:r w:rsidR="00186B9E">
        <w:t xml:space="preserve"> and is called stupid for misreading things and getting tasks wrong. This is perhaps down to the fact he is English as even when he saves Georgie from drowning Mary says “there’s something in having an English boy about the place, even if he is thick-headed”</w:t>
      </w:r>
      <w:r w:rsidR="00186B9E">
        <w:rPr>
          <w:rStyle w:val="FootnoteReference"/>
        </w:rPr>
        <w:footnoteReference w:id="11"/>
      </w:r>
      <w:r w:rsidR="00186B9E">
        <w:t xml:space="preserve"> which demonstrates the perceptions the Welsh have on the English and vice versa, even when it is </w:t>
      </w:r>
      <w:r w:rsidR="0009761F">
        <w:t xml:space="preserve">regarding </w:t>
      </w:r>
      <w:r w:rsidR="00186B9E">
        <w:t xml:space="preserve">a young adult. </w:t>
      </w:r>
      <w:r w:rsidR="007E7769">
        <w:t>Another example of a boundary between children and adults is when Jenny is discussing the sadness of Lazarus’ resurrection and determining happy and sad pictures with red and white rose petals. Ann disagrees with Jenny’s perception of the world and notes her as a “strange child”</w:t>
      </w:r>
      <w:r w:rsidR="00E90274">
        <w:rPr>
          <w:rStyle w:val="FootnoteReference"/>
        </w:rPr>
        <w:footnoteReference w:id="12"/>
      </w:r>
      <w:r w:rsidR="007E7769">
        <w:t xml:space="preserve"> which depicts the gap in </w:t>
      </w:r>
      <w:r w:rsidR="0009761F">
        <w:t xml:space="preserve">the </w:t>
      </w:r>
      <w:r w:rsidR="007E7769">
        <w:t>generations.</w:t>
      </w:r>
      <w:r w:rsidR="00186B9E">
        <w:t xml:space="preserve"> </w:t>
      </w:r>
      <w:r w:rsidR="0009761F">
        <w:t xml:space="preserve">This shows that children </w:t>
      </w:r>
      <w:r w:rsidR="00BA6761">
        <w:t>must</w:t>
      </w:r>
      <w:r w:rsidR="0009761F">
        <w:t xml:space="preserve"> grow up quickly and as seen in Fisher’s poem, the children are the ones who go off to learn about the world and return to have a family that is not always with their own nationality. The ‘two tides’ merging together symbolises two nationalities coming together as one. </w:t>
      </w:r>
      <w:r w:rsidR="00E90274">
        <w:t xml:space="preserve">Franco Moretti states that </w:t>
      </w:r>
      <w:bookmarkStart w:id="6" w:name="_Hlk30352363"/>
      <w:r w:rsidR="00E90274">
        <w:t>“geography is not a container but a condition</w:t>
      </w:r>
      <w:bookmarkEnd w:id="6"/>
      <w:r w:rsidR="00E90274">
        <w:t>”</w:t>
      </w:r>
      <w:r w:rsidR="00E90274">
        <w:rPr>
          <w:rStyle w:val="FootnoteReference"/>
        </w:rPr>
        <w:footnoteReference w:id="13"/>
      </w:r>
      <w:r w:rsidR="00E90274">
        <w:t xml:space="preserve"> thus showing that identity is related to place. This is seen in Ann Goodman</w:t>
      </w:r>
      <w:r w:rsidR="006202DB">
        <w:t>’s character</w:t>
      </w:r>
      <w:r w:rsidR="00E90274">
        <w:t xml:space="preserve"> because her condition affects who she becomes. </w:t>
      </w:r>
      <w:r w:rsidR="00C9539A">
        <w:t>Upon looking at the definitions of ‘shift’</w:t>
      </w:r>
      <w:r w:rsidR="006202DB">
        <w:t>,</w:t>
      </w:r>
      <w:r w:rsidR="00C9539A">
        <w:t xml:space="preserve"> one in particular stood </w:t>
      </w:r>
      <w:r w:rsidR="00C9539A">
        <w:lastRenderedPageBreak/>
        <w:t xml:space="preserve">out and that is </w:t>
      </w:r>
      <w:bookmarkStart w:id="8" w:name="_Hlk30351744"/>
      <w:r w:rsidR="00C9539A">
        <w:t>“to change for another or others</w:t>
      </w:r>
      <w:bookmarkEnd w:id="8"/>
      <w:r w:rsidR="00C9539A">
        <w:t>”</w:t>
      </w:r>
      <w:r w:rsidR="00C9539A">
        <w:rPr>
          <w:rStyle w:val="FootnoteReference"/>
        </w:rPr>
        <w:footnoteReference w:id="14"/>
      </w:r>
      <w:r w:rsidR="00C9539A">
        <w:t xml:space="preserve">. </w:t>
      </w:r>
      <w:r w:rsidR="00E90274">
        <w:t xml:space="preserve">By choosing to marry Gabriel, Ann </w:t>
      </w:r>
      <w:r w:rsidR="00D71D68">
        <w:t xml:space="preserve">identifies as English, but by choosing Evan she becomes Welsh. This is because women who married took on their husband’s nationality so over time </w:t>
      </w:r>
      <w:bookmarkStart w:id="10" w:name="_Hlk30351767"/>
      <w:r w:rsidR="00D71D68">
        <w:t>“females have lost their family names”</w:t>
      </w:r>
      <w:bookmarkEnd w:id="10"/>
      <w:r w:rsidR="00D71D68">
        <w:rPr>
          <w:rStyle w:val="FootnoteReference"/>
        </w:rPr>
        <w:footnoteReference w:id="15"/>
      </w:r>
      <w:r w:rsidR="00D71D68">
        <w:t xml:space="preserve">. Ann’s mother wishes Ann </w:t>
      </w:r>
      <w:bookmarkStart w:id="12" w:name="_Hlk30351788"/>
      <w:r w:rsidR="00D71D68">
        <w:t>“would not marry an Englishman</w:t>
      </w:r>
      <w:bookmarkEnd w:id="12"/>
      <w:r w:rsidR="00D71D68">
        <w:t>”</w:t>
      </w:r>
      <w:r w:rsidR="00D71D68">
        <w:rPr>
          <w:rStyle w:val="FootnoteReference"/>
        </w:rPr>
        <w:footnoteReference w:id="16"/>
      </w:r>
      <w:r w:rsidR="00D71D68">
        <w:t xml:space="preserve"> for this reason despite </w:t>
      </w:r>
      <w:r w:rsidR="00FB31E4">
        <w:t xml:space="preserve">herself being Welsh and </w:t>
      </w:r>
      <w:r w:rsidR="00D71D68">
        <w:t xml:space="preserve">having married an Englishman. </w:t>
      </w:r>
      <w:r w:rsidR="00FB31E4">
        <w:t xml:space="preserve">The novella displays Welsh and English mixed marriages everywhere with </w:t>
      </w:r>
      <w:proofErr w:type="spellStart"/>
      <w:r w:rsidR="00FB31E4">
        <w:t>Si</w:t>
      </w:r>
      <w:r w:rsidR="00FB31E4">
        <w:rPr>
          <w:rFonts w:ascii="Book Antiqua" w:hAnsi="Book Antiqua"/>
        </w:rPr>
        <w:t>â</w:t>
      </w:r>
      <w:r w:rsidR="00FB31E4">
        <w:t>n</w:t>
      </w:r>
      <w:proofErr w:type="spellEnd"/>
      <w:r w:rsidR="00FB31E4">
        <w:t xml:space="preserve"> Pritchard marrying Abel Daw and her Welsh father being furious that </w:t>
      </w:r>
      <w:proofErr w:type="spellStart"/>
      <w:r w:rsidR="00FB31E4">
        <w:t>Si</w:t>
      </w:r>
      <w:r w:rsidR="00FB31E4">
        <w:rPr>
          <w:rFonts w:ascii="Book Antiqua" w:hAnsi="Book Antiqua"/>
        </w:rPr>
        <w:t>â</w:t>
      </w:r>
      <w:r w:rsidR="00FB31E4">
        <w:t>n</w:t>
      </w:r>
      <w:proofErr w:type="spellEnd"/>
      <w:r w:rsidR="00FB31E4">
        <w:t xml:space="preserve"> did not </w:t>
      </w:r>
      <w:bookmarkStart w:id="13" w:name="_Hlk30351804"/>
      <w:r w:rsidR="00FB31E4">
        <w:t>“marry one of her own country”</w:t>
      </w:r>
      <w:bookmarkEnd w:id="13"/>
      <w:r w:rsidR="007D3DF6">
        <w:rPr>
          <w:rStyle w:val="FootnoteReference"/>
        </w:rPr>
        <w:footnoteReference w:id="17"/>
      </w:r>
      <w:r w:rsidR="00FB31E4">
        <w:t xml:space="preserve"> but her English mother glad to have her daughter go to England. </w:t>
      </w:r>
      <w:r w:rsidR="00D71D68">
        <w:t>As depicted in the title of the book, the novella itself is a county dance</w:t>
      </w:r>
      <w:r w:rsidR="00215823">
        <w:t xml:space="preserve"> with Ann </w:t>
      </w:r>
      <w:r w:rsidR="007D3DF6">
        <w:t xml:space="preserve">and various other characters </w:t>
      </w:r>
      <w:r w:rsidR="00215823">
        <w:t xml:space="preserve">moving across the border line to and from Wales. This </w:t>
      </w:r>
      <w:bookmarkStart w:id="14" w:name="_Hlk30351829"/>
      <w:r w:rsidR="00D71D68">
        <w:t>“complicate[s] any straightforward alignment of nationality with place of birth or habitation”</w:t>
      </w:r>
      <w:bookmarkEnd w:id="14"/>
      <w:r w:rsidR="00D71D68">
        <w:rPr>
          <w:rStyle w:val="FootnoteReference"/>
        </w:rPr>
        <w:footnoteReference w:id="18"/>
      </w:r>
      <w:r w:rsidR="00D71D68">
        <w:t xml:space="preserve">. </w:t>
      </w:r>
      <w:r w:rsidR="00B30228">
        <w:t xml:space="preserve">Gabriel </w:t>
      </w:r>
      <w:r w:rsidR="00215823">
        <w:t xml:space="preserve">is English but he works and resides in Wales whilst </w:t>
      </w:r>
      <w:r w:rsidR="00B30228">
        <w:t>Evan</w:t>
      </w:r>
      <w:r w:rsidR="00215823">
        <w:t xml:space="preserve"> is Welsh and works in England. Despite being in their opposite country, both men are </w:t>
      </w:r>
      <w:r w:rsidR="00B30228">
        <w:t xml:space="preserve">defined by their sense of self, showing that </w:t>
      </w:r>
      <w:bookmarkStart w:id="17" w:name="_Hlk30351847"/>
      <w:r w:rsidR="00B30228">
        <w:t>“man comes to embody the nation [whereas] women are not equal to the nation but symbolic of it</w:t>
      </w:r>
      <w:bookmarkEnd w:id="17"/>
      <w:r w:rsidR="00B30228">
        <w:t>”</w:t>
      </w:r>
      <w:r w:rsidR="00B30228">
        <w:rPr>
          <w:rStyle w:val="FootnoteReference"/>
        </w:rPr>
        <w:footnoteReference w:id="19"/>
      </w:r>
      <w:r w:rsidR="00215823">
        <w:t xml:space="preserve"> meanwhile Ann is left questioning her nationality</w:t>
      </w:r>
      <w:r w:rsidR="00B30228">
        <w:t>. This is seen in the section of the text where the men drink to Wales or England</w:t>
      </w:r>
      <w:r w:rsidR="00C9539A">
        <w:t>,</w:t>
      </w:r>
      <w:r w:rsidR="00B30228">
        <w:t xml:space="preserve"> but the women quietly whisper </w:t>
      </w:r>
      <w:bookmarkStart w:id="20" w:name="_Hlk30351867"/>
      <w:r w:rsidR="00B30228">
        <w:t>“I give to the border</w:t>
      </w:r>
      <w:bookmarkEnd w:id="20"/>
      <w:r w:rsidR="00B30228">
        <w:t>”</w:t>
      </w:r>
      <w:r w:rsidR="00B30228">
        <w:rPr>
          <w:rStyle w:val="FootnoteReference"/>
        </w:rPr>
        <w:footnoteReference w:id="20"/>
      </w:r>
      <w:r w:rsidR="00B30228">
        <w:t>.</w:t>
      </w:r>
      <w:r w:rsidR="00AE1CB9">
        <w:t xml:space="preserve"> </w:t>
      </w:r>
      <w:r w:rsidR="00B30228">
        <w:t xml:space="preserve">The border of course is the most obvious example of boundaries we are presented with, as they are </w:t>
      </w:r>
      <w:bookmarkStart w:id="21" w:name="_Hlk30351891"/>
      <w:r w:rsidR="00B30228">
        <w:t>“places where commonality ends abruptly</w:t>
      </w:r>
      <w:bookmarkEnd w:id="21"/>
      <w:r w:rsidR="00B30228">
        <w:t>”</w:t>
      </w:r>
      <w:r w:rsidR="00B30228">
        <w:rPr>
          <w:rStyle w:val="FootnoteReference"/>
        </w:rPr>
        <w:footnoteReference w:id="21"/>
      </w:r>
      <w:r w:rsidR="00B30228">
        <w:t xml:space="preserve">. </w:t>
      </w:r>
      <w:r w:rsidR="00E90274">
        <w:t>In an interview, Meredith</w:t>
      </w:r>
      <w:r w:rsidR="00B30228">
        <w:t xml:space="preserve"> enlightens us with the knowledge that the </w:t>
      </w:r>
      <w:r w:rsidR="006202DB">
        <w:t>W</w:t>
      </w:r>
      <w:r w:rsidR="00B30228">
        <w:t xml:space="preserve">elsh word for border: </w:t>
      </w:r>
      <w:proofErr w:type="spellStart"/>
      <w:r w:rsidR="00B30228">
        <w:t>ffin</w:t>
      </w:r>
      <w:proofErr w:type="spellEnd"/>
      <w:r w:rsidR="00B30228">
        <w:t xml:space="preserve">, is centred in the </w:t>
      </w:r>
      <w:r w:rsidR="006202DB">
        <w:t>W</w:t>
      </w:r>
      <w:r w:rsidR="00B30228">
        <w:t xml:space="preserve">elsh word for definition: </w:t>
      </w:r>
      <w:proofErr w:type="spellStart"/>
      <w:r w:rsidR="00B30228">
        <w:t>diffiniad</w:t>
      </w:r>
      <w:proofErr w:type="spellEnd"/>
      <w:r w:rsidR="00B30228">
        <w:t xml:space="preserve">, showing that </w:t>
      </w:r>
      <w:bookmarkStart w:id="23" w:name="_Hlk30351914"/>
      <w:r w:rsidR="00B30228">
        <w:t>“out on an edge somewhere is where meaning is constructed”</w:t>
      </w:r>
      <w:bookmarkEnd w:id="23"/>
      <w:r w:rsidR="00B30228">
        <w:rPr>
          <w:rStyle w:val="FootnoteReference"/>
        </w:rPr>
        <w:footnoteReference w:id="22"/>
      </w:r>
      <w:r w:rsidR="00B30228">
        <w:t>. This is where</w:t>
      </w:r>
      <w:r w:rsidR="00C9539A">
        <w:t xml:space="preserve"> Keith </w:t>
      </w:r>
      <w:r w:rsidR="00BB2D2D">
        <w:t xml:space="preserve">finds his sense of self as he explains to Jack that history is </w:t>
      </w:r>
      <w:bookmarkStart w:id="25" w:name="_Hlk30351932"/>
      <w:r w:rsidR="00BB2D2D">
        <w:t>“not something you can escape from</w:t>
      </w:r>
      <w:bookmarkEnd w:id="25"/>
      <w:r w:rsidR="00BB2D2D">
        <w:t>”</w:t>
      </w:r>
      <w:r w:rsidR="00BB2D2D">
        <w:rPr>
          <w:rStyle w:val="FootnoteReference"/>
        </w:rPr>
        <w:footnoteReference w:id="23"/>
      </w:r>
      <w:r w:rsidR="00BB2D2D">
        <w:t xml:space="preserve">. </w:t>
      </w:r>
      <w:r w:rsidR="00AE1CB9">
        <w:t xml:space="preserve">An interesting article by Bonnie </w:t>
      </w:r>
      <w:proofErr w:type="spellStart"/>
      <w:r w:rsidR="00AE1CB9">
        <w:t>Urciuoli</w:t>
      </w:r>
      <w:proofErr w:type="spellEnd"/>
      <w:r w:rsidR="009157CA">
        <w:t xml:space="preserve"> looks at the correlation between language and borders and suggests that </w:t>
      </w:r>
      <w:r w:rsidR="00D92574">
        <w:t xml:space="preserve">people identify as </w:t>
      </w:r>
      <w:bookmarkStart w:id="26" w:name="_Hlk30351955"/>
      <w:r w:rsidR="009157CA">
        <w:t>“</w:t>
      </w:r>
      <w:r w:rsidR="00D92574">
        <w:t>“having” a language, which is equate</w:t>
      </w:r>
      <w:r w:rsidR="006202DB">
        <w:t>d</w:t>
      </w:r>
      <w:r w:rsidR="00D92574">
        <w:t xml:space="preserve"> to “belonging” to a group</w:t>
      </w:r>
      <w:bookmarkEnd w:id="26"/>
      <w:r w:rsidR="009157CA">
        <w:t>”</w:t>
      </w:r>
      <w:r w:rsidR="009157CA">
        <w:rPr>
          <w:rStyle w:val="FootnoteReference"/>
        </w:rPr>
        <w:footnoteReference w:id="24"/>
      </w:r>
      <w:r w:rsidR="009157CA">
        <w:t>.</w:t>
      </w:r>
      <w:r w:rsidR="00D92574">
        <w:t xml:space="preserve"> This poses the question: are borders the result of language differences? Let’s </w:t>
      </w:r>
      <w:r w:rsidR="006202DB">
        <w:t>di</w:t>
      </w:r>
      <w:r w:rsidR="006B51B4">
        <w:t>s</w:t>
      </w:r>
      <w:r w:rsidR="006202DB">
        <w:t>cuss</w:t>
      </w:r>
      <w:r w:rsidR="00D92574">
        <w:t xml:space="preserve"> this in the final section of this presentation.</w:t>
      </w:r>
    </w:p>
    <w:p w14:paraId="1E408093" w14:textId="7C35C42A" w:rsidR="00D92574" w:rsidRDefault="00D92574" w:rsidP="00CF47B9">
      <w:pPr>
        <w:pStyle w:val="NoSpacing"/>
      </w:pPr>
      <w:r>
        <w:tab/>
        <w:t>Further to the exploration into language and nationality boundaries</w:t>
      </w:r>
      <w:r w:rsidR="003B7BAA">
        <w:t xml:space="preserve"> </w:t>
      </w:r>
      <w:proofErr w:type="spellStart"/>
      <w:r w:rsidR="003B7BAA">
        <w:t>Urciuoli</w:t>
      </w:r>
      <w:proofErr w:type="spellEnd"/>
      <w:r w:rsidR="003B7BAA">
        <w:t xml:space="preserve"> claims that </w:t>
      </w:r>
      <w:bookmarkStart w:id="27" w:name="_Hlk30351993"/>
      <w:r w:rsidR="003B7BAA">
        <w:t>“learning a foreign language can put the speaker in a culturally ambiguous situation: non-Welsh who learn welsh seem contradictory since Welsh speakers are Welsh and non-Welsh do not speak Welsh”</w:t>
      </w:r>
      <w:bookmarkEnd w:id="27"/>
      <w:r w:rsidR="003B7BAA">
        <w:rPr>
          <w:rStyle w:val="FootnoteReference"/>
        </w:rPr>
        <w:footnoteReference w:id="25"/>
      </w:r>
      <w:r w:rsidR="003B7BAA">
        <w:t>. Whilst this is an interesting point of view to consider it is difficult to agree with because it is place that relates to identity rather than language</w:t>
      </w:r>
      <w:r w:rsidR="006B51B4">
        <w:t xml:space="preserve"> determining nationality</w:t>
      </w:r>
      <w:r w:rsidR="003B7BAA">
        <w:t xml:space="preserve">. Kirsti </w:t>
      </w:r>
      <w:proofErr w:type="spellStart"/>
      <w:r w:rsidR="003B7BAA">
        <w:t>Bohata</w:t>
      </w:r>
      <w:proofErr w:type="spellEnd"/>
      <w:r w:rsidR="003B7BAA">
        <w:t xml:space="preserve"> illustrates this by explaining that </w:t>
      </w:r>
      <w:bookmarkStart w:id="28" w:name="_Hlk30352014"/>
      <w:r w:rsidR="003B7BAA">
        <w:t>“Keith’s inability to understand Welsh distracts nothing from his nationality. Although he cannot speak it, the language is still “his own”</w:t>
      </w:r>
      <w:bookmarkEnd w:id="28"/>
      <w:r w:rsidR="003B7BAA">
        <w:t>”</w:t>
      </w:r>
      <w:r w:rsidR="003B7BAA">
        <w:rPr>
          <w:rStyle w:val="FootnoteReference"/>
        </w:rPr>
        <w:footnoteReference w:id="26"/>
      </w:r>
      <w:r w:rsidR="003B7BAA">
        <w:t xml:space="preserve">. </w:t>
      </w:r>
      <w:r w:rsidR="005B753C">
        <w:t>Keith’s desire to learn the Welsh language reflects Meredith’s own journey in learning the language</w:t>
      </w:r>
      <w:r w:rsidR="006202DB">
        <w:t xml:space="preserve"> himself</w:t>
      </w:r>
      <w:r w:rsidR="005B753C">
        <w:t xml:space="preserve">. </w:t>
      </w:r>
      <w:r w:rsidR="00DF332C">
        <w:t xml:space="preserve">Meredith suggests that it is </w:t>
      </w:r>
      <w:bookmarkStart w:id="30" w:name="_Hlk30352029"/>
      <w:r w:rsidR="00DF332C">
        <w:t>“a common human experience to be in a small country with a language spoken by a relatively small number of people in the world</w:t>
      </w:r>
      <w:bookmarkEnd w:id="30"/>
      <w:r w:rsidR="00DF332C">
        <w:t>”</w:t>
      </w:r>
      <w:r w:rsidR="00DF332C">
        <w:rPr>
          <w:rStyle w:val="FootnoteReference"/>
        </w:rPr>
        <w:footnoteReference w:id="27"/>
      </w:r>
      <w:r w:rsidR="00DF332C">
        <w:t xml:space="preserve">. This microcosm of language barriers in </w:t>
      </w:r>
      <w:r w:rsidR="00DF332C" w:rsidRPr="00D637AB">
        <w:rPr>
          <w:i/>
          <w:iCs/>
        </w:rPr>
        <w:t>Shifts</w:t>
      </w:r>
      <w:r w:rsidR="00DF332C">
        <w:t xml:space="preserve"> is a wider issue in the macrocosm as represented in Wales and further afield universally. An example of this is shown </w:t>
      </w:r>
      <w:r w:rsidR="00DF332C">
        <w:lastRenderedPageBreak/>
        <w:t xml:space="preserve">in Keith not understanding the Welsh translation of </w:t>
      </w:r>
      <w:r w:rsidR="006202DB">
        <w:t>‘</w:t>
      </w:r>
      <w:r w:rsidR="00DF332C">
        <w:t>Old Mill</w:t>
      </w:r>
      <w:r w:rsidR="006202DB">
        <w:t>’</w:t>
      </w:r>
      <w:r w:rsidR="00DF332C">
        <w:t xml:space="preserve">. </w:t>
      </w:r>
      <w:proofErr w:type="spellStart"/>
      <w:r w:rsidR="00DF332C">
        <w:t>Bohata</w:t>
      </w:r>
      <w:proofErr w:type="spellEnd"/>
      <w:r w:rsidR="00DF332C">
        <w:t xml:space="preserve"> says that </w:t>
      </w:r>
      <w:bookmarkStart w:id="31" w:name="_Hlk30352664"/>
      <w:r w:rsidR="00DF332C">
        <w:t>“we as readers remain confined by Keith’s perspective and unless we are Welsh speakers (or know enough of the language to negotiate a dictionary) the irony of Keith’s ignorance will go unnoticed</w:t>
      </w:r>
      <w:bookmarkEnd w:id="31"/>
      <w:r w:rsidR="00DF332C">
        <w:t>”</w:t>
      </w:r>
      <w:r w:rsidR="00DF332C">
        <w:rPr>
          <w:rStyle w:val="FootnoteReference"/>
        </w:rPr>
        <w:footnoteReference w:id="28"/>
      </w:r>
      <w:r w:rsidR="00DF332C">
        <w:t xml:space="preserve">. Therefore, the reader should respond to the lack of translations Meredith provides by following in Keith’s example and consulting a dictionary or to go even further and look to Christopher Meredith and learn a new language. </w:t>
      </w:r>
    </w:p>
    <w:p w14:paraId="5C74FF90" w14:textId="2ED2B735" w:rsidR="00DF332C" w:rsidRDefault="00DF332C" w:rsidP="00CF47B9">
      <w:pPr>
        <w:pStyle w:val="NoSpacing"/>
      </w:pPr>
      <w:r>
        <w:tab/>
        <w:t>To conclude this presentation</w:t>
      </w:r>
      <w:r w:rsidR="00D637AB">
        <w:t>,</w:t>
      </w:r>
      <w:r>
        <w:t xml:space="preserve"> </w:t>
      </w:r>
      <w:proofErr w:type="gramStart"/>
      <w:r>
        <w:t xml:space="preserve">it is </w:t>
      </w:r>
      <w:r w:rsidR="00A8321F">
        <w:t>clear</w:t>
      </w:r>
      <w:r>
        <w:t xml:space="preserve"> that both</w:t>
      </w:r>
      <w:proofErr w:type="gramEnd"/>
      <w:r>
        <w:t xml:space="preserve"> </w:t>
      </w:r>
      <w:r w:rsidRPr="00D637AB">
        <w:rPr>
          <w:i/>
          <w:iCs/>
        </w:rPr>
        <w:t>Country Dance</w:t>
      </w:r>
      <w:r>
        <w:t xml:space="preserve"> and </w:t>
      </w:r>
      <w:r w:rsidRPr="00D637AB">
        <w:rPr>
          <w:i/>
          <w:iCs/>
        </w:rPr>
        <w:t>Shifts</w:t>
      </w:r>
      <w:r>
        <w:t xml:space="preserve"> provide </w:t>
      </w:r>
      <w:r w:rsidR="00D637AB">
        <w:t>evidence into the issues Welsh culture has with boundaries and the importance of recognising the past in order to move forward to deal with the restrictions and limitations that are presented.</w:t>
      </w:r>
    </w:p>
    <w:p w14:paraId="64CB4006" w14:textId="778AF9A4" w:rsidR="00CF47B9" w:rsidRDefault="00CF47B9" w:rsidP="00CF47B9">
      <w:pPr>
        <w:pStyle w:val="NoSpacing"/>
      </w:pPr>
    </w:p>
    <w:p w14:paraId="29980B7B" w14:textId="77777777" w:rsidR="00CF47B9" w:rsidRDefault="00CF47B9">
      <w:r>
        <w:br w:type="page"/>
      </w:r>
    </w:p>
    <w:p w14:paraId="48FD2DBF" w14:textId="77777777" w:rsidR="00CF47B9" w:rsidRPr="00CF47B9" w:rsidRDefault="00CF47B9" w:rsidP="00CF47B9">
      <w:pPr>
        <w:pStyle w:val="NoSpacing"/>
        <w:jc w:val="center"/>
        <w:rPr>
          <w:u w:val="single"/>
        </w:rPr>
      </w:pPr>
      <w:bookmarkStart w:id="32" w:name="_GoBack"/>
      <w:bookmarkEnd w:id="32"/>
      <w:r w:rsidRPr="00CF47B9">
        <w:rPr>
          <w:u w:val="single"/>
        </w:rPr>
        <w:lastRenderedPageBreak/>
        <w:t>Quotes</w:t>
      </w:r>
    </w:p>
    <w:p w14:paraId="33D0DDD7" w14:textId="77777777" w:rsidR="00CF47B9" w:rsidRPr="00CF47B9" w:rsidRDefault="00CF47B9" w:rsidP="00CF47B9">
      <w:pPr>
        <w:pStyle w:val="NoSpacing"/>
      </w:pPr>
    </w:p>
    <w:p w14:paraId="6EDB58B2" w14:textId="77777777" w:rsidR="00CF47B9" w:rsidRPr="00CF47B9" w:rsidRDefault="00CF47B9" w:rsidP="00CF47B9">
      <w:pPr>
        <w:pStyle w:val="NoSpacing"/>
      </w:pPr>
      <w:r w:rsidRPr="00CF47B9">
        <w:t>Country Dance</w:t>
      </w:r>
    </w:p>
    <w:p w14:paraId="6FE68B77" w14:textId="77777777" w:rsidR="00CF47B9" w:rsidRPr="00CF47B9" w:rsidRDefault="00CF47B9" w:rsidP="00CF47B9">
      <w:pPr>
        <w:pStyle w:val="NoSpacing"/>
        <w:numPr>
          <w:ilvl w:val="0"/>
          <w:numId w:val="1"/>
        </w:numPr>
      </w:pPr>
      <w:r w:rsidRPr="00CF47B9">
        <w:t>“the shepherd’s cottage where Ann was born is falling to ruin on top of the hill” – p. 4</w:t>
      </w:r>
    </w:p>
    <w:p w14:paraId="7A813629" w14:textId="77777777" w:rsidR="00CF47B9" w:rsidRPr="00CF47B9" w:rsidRDefault="00CF47B9" w:rsidP="00CF47B9">
      <w:pPr>
        <w:pStyle w:val="NoSpacing"/>
        <w:numPr>
          <w:ilvl w:val="0"/>
          <w:numId w:val="1"/>
        </w:numPr>
      </w:pPr>
      <w:r w:rsidRPr="00CF47B9">
        <w:t>“custom of referring to past events as though they were at the moment occurring still survives” – p. 5</w:t>
      </w:r>
    </w:p>
    <w:p w14:paraId="4A07AC51" w14:textId="77777777" w:rsidR="00CF47B9" w:rsidRPr="00CF47B9" w:rsidRDefault="00CF47B9" w:rsidP="00CF47B9">
      <w:pPr>
        <w:pStyle w:val="NoSpacing"/>
        <w:numPr>
          <w:ilvl w:val="0"/>
          <w:numId w:val="1"/>
        </w:numPr>
      </w:pPr>
      <w:r w:rsidRPr="00CF47B9">
        <w:t xml:space="preserve">“the life recorded in those diaries, like those of the characters in the novella </w:t>
      </w:r>
      <w:r w:rsidRPr="00CF47B9">
        <w:rPr>
          <w:i/>
          <w:iCs/>
        </w:rPr>
        <w:t>Country Dance</w:t>
      </w:r>
      <w:r w:rsidRPr="00CF47B9">
        <w:t>, belongs to a society that has ceased to exist in memory, but traces linger on the written page” – p. ix</w:t>
      </w:r>
    </w:p>
    <w:p w14:paraId="236A8F25" w14:textId="77777777" w:rsidR="00CF47B9" w:rsidRPr="00CF47B9" w:rsidRDefault="00CF47B9" w:rsidP="00CF47B9">
      <w:pPr>
        <w:pStyle w:val="NoSpacing"/>
        <w:numPr>
          <w:ilvl w:val="0"/>
          <w:numId w:val="1"/>
        </w:numPr>
      </w:pPr>
      <w:r w:rsidRPr="00CF47B9">
        <w:t xml:space="preserve">“inept farm boy” – p. xii </w:t>
      </w:r>
    </w:p>
    <w:p w14:paraId="4A02519D" w14:textId="77777777" w:rsidR="00CF47B9" w:rsidRPr="00CF47B9" w:rsidRDefault="00CF47B9" w:rsidP="00CF47B9">
      <w:pPr>
        <w:pStyle w:val="NoSpacing"/>
        <w:numPr>
          <w:ilvl w:val="0"/>
          <w:numId w:val="1"/>
        </w:numPr>
      </w:pPr>
      <w:r w:rsidRPr="00CF47B9">
        <w:t>“there’s something in having an English boy about the place, even if he is thick-headed” – p. 65</w:t>
      </w:r>
    </w:p>
    <w:p w14:paraId="5601BF56" w14:textId="77777777" w:rsidR="00CF47B9" w:rsidRPr="00CF47B9" w:rsidRDefault="00CF47B9" w:rsidP="00CF47B9">
      <w:pPr>
        <w:pStyle w:val="NoSpacing"/>
        <w:numPr>
          <w:ilvl w:val="0"/>
          <w:numId w:val="1"/>
        </w:numPr>
      </w:pPr>
      <w:r w:rsidRPr="00CF47B9">
        <w:t>“strange child” – p.48</w:t>
      </w:r>
    </w:p>
    <w:p w14:paraId="1C163523" w14:textId="77777777" w:rsidR="00CF47B9" w:rsidRPr="00CF47B9" w:rsidRDefault="00CF47B9" w:rsidP="00CF47B9">
      <w:pPr>
        <w:pStyle w:val="NoSpacing"/>
        <w:numPr>
          <w:ilvl w:val="0"/>
          <w:numId w:val="1"/>
        </w:numPr>
      </w:pPr>
      <w:r w:rsidRPr="00CF47B9">
        <w:t>“would not marry an Englishman” – p. 24</w:t>
      </w:r>
    </w:p>
    <w:p w14:paraId="1B0152F6" w14:textId="77777777" w:rsidR="00CF47B9" w:rsidRPr="00CF47B9" w:rsidRDefault="00CF47B9" w:rsidP="00CF47B9">
      <w:pPr>
        <w:pStyle w:val="NoSpacing"/>
        <w:numPr>
          <w:ilvl w:val="0"/>
          <w:numId w:val="1"/>
        </w:numPr>
      </w:pPr>
      <w:r w:rsidRPr="00CF47B9">
        <w:t>“marry one of her own country” – p. 59</w:t>
      </w:r>
    </w:p>
    <w:p w14:paraId="1CD879A4" w14:textId="77777777" w:rsidR="00CF47B9" w:rsidRPr="00CF47B9" w:rsidRDefault="00CF47B9" w:rsidP="00CF47B9">
      <w:pPr>
        <w:pStyle w:val="NoSpacing"/>
        <w:numPr>
          <w:ilvl w:val="0"/>
          <w:numId w:val="1"/>
        </w:numPr>
      </w:pPr>
      <w:r w:rsidRPr="00CF47B9">
        <w:t>“I give to the border” – p. 67</w:t>
      </w:r>
    </w:p>
    <w:p w14:paraId="37BF4CFD" w14:textId="77777777" w:rsidR="00CF47B9" w:rsidRPr="00CF47B9" w:rsidRDefault="00CF47B9" w:rsidP="00CF47B9">
      <w:pPr>
        <w:pStyle w:val="NoSpacing"/>
      </w:pPr>
    </w:p>
    <w:p w14:paraId="40F95988" w14:textId="77777777" w:rsidR="00CF47B9" w:rsidRPr="00CF47B9" w:rsidRDefault="00CF47B9" w:rsidP="00CF47B9">
      <w:pPr>
        <w:pStyle w:val="NoSpacing"/>
      </w:pPr>
      <w:r w:rsidRPr="00CF47B9">
        <w:t>Shifts</w:t>
      </w:r>
    </w:p>
    <w:p w14:paraId="38EC8528" w14:textId="77777777" w:rsidR="00CF47B9" w:rsidRPr="00CF47B9" w:rsidRDefault="00CF47B9" w:rsidP="00CF47B9">
      <w:pPr>
        <w:pStyle w:val="NoSpacing"/>
        <w:numPr>
          <w:ilvl w:val="0"/>
          <w:numId w:val="2"/>
        </w:numPr>
      </w:pPr>
      <w:r w:rsidRPr="00CF47B9">
        <w:t>“desperation” – p. 73</w:t>
      </w:r>
    </w:p>
    <w:p w14:paraId="64BD25B2" w14:textId="77777777" w:rsidR="00CF47B9" w:rsidRPr="00CF47B9" w:rsidRDefault="00CF47B9" w:rsidP="00CF47B9">
      <w:pPr>
        <w:pStyle w:val="NoSpacing"/>
        <w:numPr>
          <w:ilvl w:val="0"/>
          <w:numId w:val="2"/>
        </w:numPr>
      </w:pPr>
      <w:r w:rsidRPr="00CF47B9">
        <w:t xml:space="preserve">“mostly flattened” – p. 161 </w:t>
      </w:r>
    </w:p>
    <w:p w14:paraId="475C1985" w14:textId="77777777" w:rsidR="00CF47B9" w:rsidRPr="00CF47B9" w:rsidRDefault="00CF47B9" w:rsidP="00CF47B9">
      <w:pPr>
        <w:pStyle w:val="NoSpacing"/>
        <w:numPr>
          <w:ilvl w:val="0"/>
          <w:numId w:val="2"/>
        </w:numPr>
      </w:pPr>
      <w:r w:rsidRPr="00CF47B9">
        <w:t>“not something you can escape from” – p. 210</w:t>
      </w:r>
    </w:p>
    <w:p w14:paraId="334BE6D3" w14:textId="77777777" w:rsidR="00CF47B9" w:rsidRPr="00CF47B9" w:rsidRDefault="00CF47B9" w:rsidP="00CF47B9">
      <w:pPr>
        <w:pStyle w:val="NoSpacing"/>
      </w:pPr>
    </w:p>
    <w:p w14:paraId="01E2E886" w14:textId="77777777" w:rsidR="00CF47B9" w:rsidRPr="00CF47B9" w:rsidRDefault="00CF47B9" w:rsidP="00CF47B9">
      <w:pPr>
        <w:pStyle w:val="NoSpacing"/>
      </w:pPr>
      <w:r w:rsidRPr="00CF47B9">
        <w:t>Secondary material</w:t>
      </w:r>
    </w:p>
    <w:p w14:paraId="78FF152C" w14:textId="77777777" w:rsidR="00CF47B9" w:rsidRPr="00CF47B9" w:rsidRDefault="00CF47B9" w:rsidP="00CF47B9">
      <w:pPr>
        <w:pStyle w:val="NoSpacing"/>
        <w:numPr>
          <w:ilvl w:val="0"/>
          <w:numId w:val="2"/>
        </w:numPr>
      </w:pPr>
      <w:r w:rsidRPr="00CF47B9">
        <w:t xml:space="preserve">“public sphere belonged to men: it was the sphere of business and money-making, of politics and empire building, of industry and struggle. The private sphere on the other hand, </w:t>
      </w:r>
      <w:proofErr w:type="gramStart"/>
      <w:r w:rsidRPr="00CF47B9">
        <w:t>was considered to be</w:t>
      </w:r>
      <w:proofErr w:type="gramEnd"/>
      <w:r w:rsidRPr="00CF47B9">
        <w:t xml:space="preserve"> a feminine preserve: it was the space of the home and the hearth, of sympathy and nurture, of simple piety and child rearing” - Dino Franco </w:t>
      </w:r>
      <w:proofErr w:type="spellStart"/>
      <w:r w:rsidRPr="00CF47B9">
        <w:t>Felluga</w:t>
      </w:r>
      <w:proofErr w:type="spellEnd"/>
    </w:p>
    <w:p w14:paraId="6CDC378A" w14:textId="77777777" w:rsidR="00CF47B9" w:rsidRPr="00CF47B9" w:rsidRDefault="00CF47B9" w:rsidP="00CF47B9">
      <w:pPr>
        <w:pStyle w:val="NoSpacing"/>
        <w:numPr>
          <w:ilvl w:val="0"/>
          <w:numId w:val="2"/>
        </w:numPr>
      </w:pPr>
      <w:r w:rsidRPr="00CF47B9">
        <w:t xml:space="preserve">Out in the dark fresh water becomes salt; </w:t>
      </w:r>
    </w:p>
    <w:p w14:paraId="574B91F5" w14:textId="77777777" w:rsidR="00CF47B9" w:rsidRPr="00CF47B9" w:rsidRDefault="00CF47B9" w:rsidP="00CF47B9">
      <w:pPr>
        <w:pStyle w:val="NoSpacing"/>
      </w:pPr>
      <w:r w:rsidRPr="00CF47B9">
        <w:tab/>
        <w:t>two tides join.</w:t>
      </w:r>
    </w:p>
    <w:p w14:paraId="092B4258" w14:textId="77777777" w:rsidR="00CF47B9" w:rsidRPr="00CF47B9" w:rsidRDefault="00CF47B9" w:rsidP="00CF47B9">
      <w:pPr>
        <w:pStyle w:val="NoSpacing"/>
      </w:pPr>
      <w:r w:rsidRPr="00CF47B9">
        <w:tab/>
        <w:t>I wonder</w:t>
      </w:r>
    </w:p>
    <w:p w14:paraId="5B9CD161" w14:textId="77777777" w:rsidR="00CF47B9" w:rsidRPr="00CF47B9" w:rsidRDefault="00CF47B9" w:rsidP="00CF47B9">
      <w:pPr>
        <w:pStyle w:val="NoSpacing"/>
      </w:pPr>
      <w:r w:rsidRPr="00CF47B9">
        <w:tab/>
        <w:t xml:space="preserve">how much time it took them to </w:t>
      </w:r>
      <w:proofErr w:type="gramStart"/>
      <w:r w:rsidRPr="00CF47B9">
        <w:t>forget,</w:t>
      </w:r>
      <w:proofErr w:type="gramEnd"/>
    </w:p>
    <w:p w14:paraId="2A1964E9" w14:textId="77777777" w:rsidR="00CF47B9" w:rsidRPr="00CF47B9" w:rsidRDefault="00CF47B9" w:rsidP="00CF47B9">
      <w:pPr>
        <w:pStyle w:val="NoSpacing"/>
      </w:pPr>
      <w:r w:rsidRPr="00CF47B9">
        <w:tab/>
        <w:t>learning a new country, new weather,</w:t>
      </w:r>
    </w:p>
    <w:p w14:paraId="2B40FCFD" w14:textId="77777777" w:rsidR="00CF47B9" w:rsidRPr="00CF47B9" w:rsidRDefault="00CF47B9" w:rsidP="00CF47B9">
      <w:pPr>
        <w:pStyle w:val="NoSpacing"/>
      </w:pPr>
      <w:r w:rsidRPr="00CF47B9">
        <w:tab/>
        <w:t>resettling. How many generations</w:t>
      </w:r>
    </w:p>
    <w:p w14:paraId="77362E2E" w14:textId="77777777" w:rsidR="00CF47B9" w:rsidRPr="00CF47B9" w:rsidRDefault="00CF47B9" w:rsidP="00CF47B9">
      <w:pPr>
        <w:pStyle w:val="NoSpacing"/>
      </w:pPr>
      <w:r w:rsidRPr="00CF47B9">
        <w:tab/>
        <w:t>to lose the flavour, mingle with the main,</w:t>
      </w:r>
    </w:p>
    <w:p w14:paraId="7496845B" w14:textId="77777777" w:rsidR="00CF47B9" w:rsidRPr="00CF47B9" w:rsidRDefault="00CF47B9" w:rsidP="00CF47B9">
      <w:pPr>
        <w:pStyle w:val="NoSpacing"/>
      </w:pPr>
      <w:r w:rsidRPr="00CF47B9">
        <w:tab/>
        <w:t>become diluted imperceptibly,</w:t>
      </w:r>
    </w:p>
    <w:p w14:paraId="4D609BC2" w14:textId="77777777" w:rsidR="00CF47B9" w:rsidRPr="00CF47B9" w:rsidRDefault="00CF47B9" w:rsidP="00CF47B9">
      <w:pPr>
        <w:pStyle w:val="NoSpacing"/>
      </w:pPr>
      <w:r w:rsidRPr="00CF47B9">
        <w:tab/>
        <w:t>word by unknown word; the children</w:t>
      </w:r>
    </w:p>
    <w:p w14:paraId="0E442F55" w14:textId="77777777" w:rsidR="00CF47B9" w:rsidRPr="00CF47B9" w:rsidRDefault="00CF47B9" w:rsidP="00CF47B9">
      <w:pPr>
        <w:pStyle w:val="NoSpacing"/>
      </w:pPr>
      <w:r w:rsidRPr="00CF47B9">
        <w:tab/>
        <w:t>coming back with different accents, always</w:t>
      </w:r>
    </w:p>
    <w:p w14:paraId="68D878CA" w14:textId="77777777" w:rsidR="00CF47B9" w:rsidRPr="00CF47B9" w:rsidRDefault="00CF47B9" w:rsidP="00CF47B9">
      <w:pPr>
        <w:pStyle w:val="NoSpacing"/>
      </w:pPr>
      <w:r w:rsidRPr="00CF47B9">
        <w:tab/>
        <w:t>the children first.</w:t>
      </w:r>
    </w:p>
    <w:p w14:paraId="539EBDF7" w14:textId="77777777" w:rsidR="00CF47B9" w:rsidRPr="00CF47B9" w:rsidRDefault="00CF47B9" w:rsidP="00CF47B9">
      <w:pPr>
        <w:pStyle w:val="NoSpacing"/>
      </w:pPr>
      <w:r w:rsidRPr="00CF47B9">
        <w:tab/>
        <w:t>Home known, home heard of,</w:t>
      </w:r>
    </w:p>
    <w:p w14:paraId="0BEA8BBE" w14:textId="77777777" w:rsidR="00CF47B9" w:rsidRPr="00CF47B9" w:rsidRDefault="00CF47B9" w:rsidP="00CF47B9">
      <w:pPr>
        <w:pStyle w:val="NoSpacing"/>
      </w:pPr>
      <w:r w:rsidRPr="00CF47B9">
        <w:tab/>
        <w:t>home receding into legend, and all the while</w:t>
      </w:r>
    </w:p>
    <w:p w14:paraId="3FFFB7CA" w14:textId="77777777" w:rsidR="00CF47B9" w:rsidRPr="00CF47B9" w:rsidRDefault="00CF47B9" w:rsidP="00CF47B9">
      <w:pPr>
        <w:pStyle w:val="NoSpacing"/>
      </w:pPr>
      <w:r w:rsidRPr="00CF47B9">
        <w:tab/>
        <w:t>unnoticed, this is home, and no-one says it</w:t>
      </w:r>
    </w:p>
    <w:p w14:paraId="503A89F6" w14:textId="77777777" w:rsidR="00CF47B9" w:rsidRPr="00CF47B9" w:rsidRDefault="00CF47B9" w:rsidP="00CF47B9">
      <w:pPr>
        <w:pStyle w:val="NoSpacing"/>
      </w:pPr>
      <w:r w:rsidRPr="00CF47B9">
        <w:tab/>
        <w:t>till the moment’s gone, the strange</w:t>
      </w:r>
    </w:p>
    <w:p w14:paraId="70CB8A71" w14:textId="77777777" w:rsidR="00CF47B9" w:rsidRPr="00CF47B9" w:rsidRDefault="00CF47B9" w:rsidP="00CF47B9">
      <w:pPr>
        <w:pStyle w:val="NoSpacing"/>
      </w:pPr>
      <w:r w:rsidRPr="00CF47B9">
        <w:t xml:space="preserve">collective, calm decision taken.    </w:t>
      </w:r>
    </w:p>
    <w:p w14:paraId="4B8AF65A" w14:textId="77777777" w:rsidR="00CF47B9" w:rsidRPr="00CF47B9" w:rsidRDefault="00CF47B9" w:rsidP="00CF47B9">
      <w:pPr>
        <w:pStyle w:val="NoSpacing"/>
      </w:pPr>
      <w:r w:rsidRPr="00CF47B9">
        <w:t>-  Catherine Fisher, Estuary Poems, V</w:t>
      </w:r>
    </w:p>
    <w:p w14:paraId="2D19CAB7" w14:textId="77777777" w:rsidR="00CF47B9" w:rsidRPr="00CF47B9" w:rsidRDefault="00CF47B9" w:rsidP="00CF47B9">
      <w:pPr>
        <w:pStyle w:val="NoSpacing"/>
        <w:numPr>
          <w:ilvl w:val="0"/>
          <w:numId w:val="5"/>
        </w:numPr>
      </w:pPr>
      <w:r w:rsidRPr="00CF47B9">
        <w:t>“geography is not a container but a condition” - Franco Moretti</w:t>
      </w:r>
    </w:p>
    <w:p w14:paraId="51829729" w14:textId="77777777" w:rsidR="00CF47B9" w:rsidRPr="00CF47B9" w:rsidRDefault="00CF47B9" w:rsidP="00CF47B9">
      <w:pPr>
        <w:pStyle w:val="NoSpacing"/>
        <w:numPr>
          <w:ilvl w:val="0"/>
          <w:numId w:val="4"/>
        </w:numPr>
      </w:pPr>
      <w:r w:rsidRPr="00CF47B9">
        <w:t>“females have lost their family names” - Raymond Williams</w:t>
      </w:r>
    </w:p>
    <w:p w14:paraId="19EDE114" w14:textId="77777777" w:rsidR="00CF47B9" w:rsidRPr="00CF47B9" w:rsidRDefault="00CF47B9" w:rsidP="00CF47B9">
      <w:pPr>
        <w:pStyle w:val="NoSpacing"/>
        <w:numPr>
          <w:ilvl w:val="0"/>
          <w:numId w:val="4"/>
        </w:numPr>
      </w:pPr>
      <w:r w:rsidRPr="00CF47B9">
        <w:t xml:space="preserve">“complicate[s] any straightforward alignment of nationality with place of birth or habitation” - Rediscovering </w:t>
      </w:r>
      <w:proofErr w:type="spellStart"/>
      <w:r w:rsidRPr="00CF47B9">
        <w:t>Margiad</w:t>
      </w:r>
      <w:proofErr w:type="spellEnd"/>
      <w:r w:rsidRPr="00CF47B9">
        <w:t xml:space="preserve"> Evans: Marginality, Gender and Illness</w:t>
      </w:r>
    </w:p>
    <w:p w14:paraId="55E0864B" w14:textId="77777777" w:rsidR="00CF47B9" w:rsidRPr="00CF47B9" w:rsidRDefault="00CF47B9" w:rsidP="00CF47B9">
      <w:pPr>
        <w:pStyle w:val="NoSpacing"/>
        <w:numPr>
          <w:ilvl w:val="0"/>
          <w:numId w:val="4"/>
        </w:numPr>
      </w:pPr>
      <w:r w:rsidRPr="00CF47B9">
        <w:t>“man comes to embody the nation [whereas] women are not equal to the nation but symbolic of it” - Joanne P. Sharp</w:t>
      </w:r>
    </w:p>
    <w:p w14:paraId="218CD6C5" w14:textId="77777777" w:rsidR="00CF47B9" w:rsidRPr="00CF47B9" w:rsidRDefault="00CF47B9" w:rsidP="00CF47B9">
      <w:pPr>
        <w:pStyle w:val="NoSpacing"/>
        <w:numPr>
          <w:ilvl w:val="0"/>
          <w:numId w:val="4"/>
        </w:numPr>
      </w:pPr>
      <w:r w:rsidRPr="00CF47B9">
        <w:t xml:space="preserve">“places where commonality ends abruptly” - Bonnie </w:t>
      </w:r>
      <w:proofErr w:type="spellStart"/>
      <w:r w:rsidRPr="00CF47B9">
        <w:t>Urciuoli</w:t>
      </w:r>
      <w:proofErr w:type="spellEnd"/>
    </w:p>
    <w:p w14:paraId="33181025" w14:textId="77777777" w:rsidR="00CF47B9" w:rsidRPr="00CF47B9" w:rsidRDefault="00CF47B9" w:rsidP="00CF47B9">
      <w:pPr>
        <w:pStyle w:val="NoSpacing"/>
        <w:numPr>
          <w:ilvl w:val="0"/>
          <w:numId w:val="4"/>
        </w:numPr>
      </w:pPr>
      <w:r w:rsidRPr="00CF47B9">
        <w:lastRenderedPageBreak/>
        <w:t xml:space="preserve">“out on an edge somewhere is where meaning is constructed” - </w:t>
      </w:r>
      <w:r w:rsidRPr="00CF47B9">
        <w:rPr>
          <w:i/>
          <w:iCs/>
        </w:rPr>
        <w:t>Poet and Novelist Christopher Meredith</w:t>
      </w:r>
      <w:r w:rsidRPr="00CF47B9">
        <w:t xml:space="preserve">, 2015 &lt;https://www.youtube.com/watch?v=ImVYxUmZdEw&gt; </w:t>
      </w:r>
    </w:p>
    <w:p w14:paraId="3D302758" w14:textId="77777777" w:rsidR="00CF47B9" w:rsidRPr="00CF47B9" w:rsidRDefault="00CF47B9" w:rsidP="00CF47B9">
      <w:pPr>
        <w:pStyle w:val="NoSpacing"/>
        <w:numPr>
          <w:ilvl w:val="0"/>
          <w:numId w:val="4"/>
        </w:numPr>
      </w:pPr>
      <w:r w:rsidRPr="00CF47B9">
        <w:t xml:space="preserve">““having” a language, which is equated to “belonging” to a group” - </w:t>
      </w:r>
      <w:proofErr w:type="spellStart"/>
      <w:r w:rsidRPr="00CF47B9">
        <w:t>Urciuoli</w:t>
      </w:r>
      <w:proofErr w:type="spellEnd"/>
    </w:p>
    <w:p w14:paraId="7B6234E1" w14:textId="77777777" w:rsidR="00CF47B9" w:rsidRPr="00CF47B9" w:rsidRDefault="00CF47B9" w:rsidP="00CF47B9">
      <w:pPr>
        <w:pStyle w:val="NoSpacing"/>
        <w:numPr>
          <w:ilvl w:val="0"/>
          <w:numId w:val="4"/>
        </w:numPr>
      </w:pPr>
      <w:r w:rsidRPr="00CF47B9">
        <w:t xml:space="preserve">“learning a foreign language can put the speaker in a culturally ambiguous situation: non-Welsh who learn welsh seem contradictory since Welsh speakers are Welsh and non-Welsh do not speak Welsh” - </w:t>
      </w:r>
      <w:proofErr w:type="spellStart"/>
      <w:r w:rsidRPr="00CF47B9">
        <w:t>Urciuoli</w:t>
      </w:r>
      <w:proofErr w:type="spellEnd"/>
    </w:p>
    <w:p w14:paraId="01939ABF" w14:textId="77777777" w:rsidR="00CF47B9" w:rsidRPr="00CF47B9" w:rsidRDefault="00CF47B9" w:rsidP="00CF47B9">
      <w:pPr>
        <w:pStyle w:val="NoSpacing"/>
        <w:numPr>
          <w:ilvl w:val="0"/>
          <w:numId w:val="4"/>
        </w:numPr>
      </w:pPr>
      <w:r w:rsidRPr="00CF47B9">
        <w:t xml:space="preserve">“Keith’s inability to understand Welsh distracts nothing from his nationality. Although he cannot speak it, the language is still “his own”” - Kirsti </w:t>
      </w:r>
      <w:proofErr w:type="spellStart"/>
      <w:r w:rsidRPr="00CF47B9">
        <w:t>Bohata</w:t>
      </w:r>
      <w:proofErr w:type="spellEnd"/>
    </w:p>
    <w:p w14:paraId="16A4405F" w14:textId="77777777" w:rsidR="00CF47B9" w:rsidRPr="00CF47B9" w:rsidRDefault="00CF47B9" w:rsidP="00CF47B9">
      <w:pPr>
        <w:pStyle w:val="NoSpacing"/>
        <w:numPr>
          <w:ilvl w:val="0"/>
          <w:numId w:val="4"/>
        </w:numPr>
      </w:pPr>
      <w:r w:rsidRPr="00CF47B9">
        <w:t xml:space="preserve">“a common human experience to be in a small country with a language spoken by a relatively small number of people in the world” – </w:t>
      </w:r>
      <w:proofErr w:type="spellStart"/>
      <w:r w:rsidRPr="00CF47B9">
        <w:t>Bohata</w:t>
      </w:r>
      <w:proofErr w:type="spellEnd"/>
    </w:p>
    <w:p w14:paraId="36462BB8" w14:textId="77777777" w:rsidR="00CF47B9" w:rsidRPr="00CF47B9" w:rsidRDefault="00CF47B9" w:rsidP="00CF47B9">
      <w:pPr>
        <w:pStyle w:val="NoSpacing"/>
        <w:numPr>
          <w:ilvl w:val="0"/>
          <w:numId w:val="4"/>
        </w:numPr>
      </w:pPr>
      <w:r w:rsidRPr="00CF47B9">
        <w:t xml:space="preserve">“we as readers remain confined by Keith’s perspective and unless we are Welsh speakers (or know enough of the language to negotiate a dictionary) the irony of Keith’s ignorance will go unnoticed” - </w:t>
      </w:r>
      <w:proofErr w:type="spellStart"/>
      <w:r w:rsidRPr="00CF47B9">
        <w:t>Bohata</w:t>
      </w:r>
      <w:proofErr w:type="spellEnd"/>
    </w:p>
    <w:p w14:paraId="3D080175" w14:textId="77777777" w:rsidR="00CF47B9" w:rsidRPr="00CF47B9" w:rsidRDefault="00CF47B9" w:rsidP="00CF47B9">
      <w:pPr>
        <w:pStyle w:val="NoSpacing"/>
      </w:pPr>
    </w:p>
    <w:p w14:paraId="772CABEF" w14:textId="77777777" w:rsidR="00CF47B9" w:rsidRPr="00CF47B9" w:rsidRDefault="00CF47B9" w:rsidP="00CF47B9">
      <w:pPr>
        <w:pStyle w:val="NoSpacing"/>
      </w:pPr>
      <w:r w:rsidRPr="00CF47B9">
        <w:t>Dictionary definition of boundary</w:t>
      </w:r>
    </w:p>
    <w:p w14:paraId="07CCE624" w14:textId="77777777" w:rsidR="00CF47B9" w:rsidRPr="00CF47B9" w:rsidRDefault="00CF47B9" w:rsidP="00CF47B9">
      <w:pPr>
        <w:pStyle w:val="NoSpacing"/>
        <w:numPr>
          <w:ilvl w:val="0"/>
          <w:numId w:val="1"/>
        </w:numPr>
      </w:pPr>
      <w:r w:rsidRPr="00CF47B9">
        <w:t>“a real or imagined line that marks the edge or limit of something”</w:t>
      </w:r>
    </w:p>
    <w:p w14:paraId="5AA59F5C" w14:textId="77777777" w:rsidR="00CF47B9" w:rsidRPr="00CF47B9" w:rsidRDefault="00CF47B9" w:rsidP="00CF47B9">
      <w:pPr>
        <w:pStyle w:val="NoSpacing"/>
        <w:numPr>
          <w:ilvl w:val="0"/>
          <w:numId w:val="1"/>
        </w:numPr>
      </w:pPr>
      <w:r w:rsidRPr="00CF47B9">
        <w:t>“the limit of a subject or principle”</w:t>
      </w:r>
    </w:p>
    <w:p w14:paraId="1EDF73AD" w14:textId="77777777" w:rsidR="00CF47B9" w:rsidRPr="00CF47B9" w:rsidRDefault="00CF47B9" w:rsidP="00CF47B9">
      <w:pPr>
        <w:pStyle w:val="NoSpacing"/>
      </w:pPr>
    </w:p>
    <w:p w14:paraId="7D6572DC" w14:textId="77777777" w:rsidR="00CF47B9" w:rsidRPr="00CF47B9" w:rsidRDefault="00CF47B9" w:rsidP="00CF47B9">
      <w:pPr>
        <w:pStyle w:val="NoSpacing"/>
      </w:pPr>
      <w:r w:rsidRPr="00CF47B9">
        <w:t>Dictionary Definition of shift</w:t>
      </w:r>
    </w:p>
    <w:p w14:paraId="37F458E9" w14:textId="77777777" w:rsidR="00CF47B9" w:rsidRPr="00CF47B9" w:rsidRDefault="00CF47B9" w:rsidP="00CF47B9">
      <w:pPr>
        <w:pStyle w:val="NoSpacing"/>
        <w:numPr>
          <w:ilvl w:val="0"/>
          <w:numId w:val="3"/>
        </w:numPr>
      </w:pPr>
      <w:r w:rsidRPr="00CF47B9">
        <w:t>“to change for another or others”</w:t>
      </w:r>
    </w:p>
    <w:p w14:paraId="6BCECC92" w14:textId="77777777" w:rsidR="00CF47B9" w:rsidRDefault="00CF47B9" w:rsidP="00CF47B9">
      <w:pPr>
        <w:pStyle w:val="NoSpacing"/>
      </w:pPr>
    </w:p>
    <w:sectPr w:rsidR="00CF47B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08364" w14:textId="77777777" w:rsidR="00A26ADB" w:rsidRDefault="00A26ADB" w:rsidP="00E6122C">
      <w:pPr>
        <w:spacing w:after="0" w:line="240" w:lineRule="auto"/>
      </w:pPr>
      <w:r>
        <w:separator/>
      </w:r>
    </w:p>
  </w:endnote>
  <w:endnote w:type="continuationSeparator" w:id="0">
    <w:p w14:paraId="5EE2A363" w14:textId="77777777" w:rsidR="00A26ADB" w:rsidRDefault="00A26ADB" w:rsidP="00E6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1A37E" w14:textId="77777777" w:rsidR="00A26ADB" w:rsidRDefault="00A26ADB" w:rsidP="00E6122C">
      <w:pPr>
        <w:spacing w:after="0" w:line="240" w:lineRule="auto"/>
      </w:pPr>
      <w:r>
        <w:separator/>
      </w:r>
    </w:p>
  </w:footnote>
  <w:footnote w:type="continuationSeparator" w:id="0">
    <w:p w14:paraId="6AB2FE32" w14:textId="77777777" w:rsidR="00A26ADB" w:rsidRDefault="00A26ADB" w:rsidP="00E6122C">
      <w:pPr>
        <w:spacing w:after="0" w:line="240" w:lineRule="auto"/>
      </w:pPr>
      <w:r>
        <w:continuationSeparator/>
      </w:r>
    </w:p>
  </w:footnote>
  <w:footnote w:id="1">
    <w:p w14:paraId="35B96B30" w14:textId="3D8846E2" w:rsidR="00614DD7" w:rsidRDefault="00614DD7">
      <w:pPr>
        <w:pStyle w:val="FootnoteText"/>
      </w:pPr>
      <w:r>
        <w:rPr>
          <w:rStyle w:val="FootnoteReference"/>
        </w:rPr>
        <w:footnoteRef/>
      </w:r>
      <w:r>
        <w:t xml:space="preserve"> </w:t>
      </w:r>
      <w:bookmarkStart w:id="0" w:name="_Hlk30352753"/>
      <w:r w:rsidRPr="0005208B">
        <w:t xml:space="preserve">"BOUNDARY | Meaning </w:t>
      </w:r>
      <w:r>
        <w:t>i</w:t>
      </w:r>
      <w:r w:rsidRPr="0005208B">
        <w:t xml:space="preserve">n </w:t>
      </w:r>
      <w:r>
        <w:t>t</w:t>
      </w:r>
      <w:r w:rsidRPr="0005208B">
        <w:t>he Cambridge English Dictionary", </w:t>
      </w:r>
      <w:bookmarkStart w:id="1" w:name="_Hlk30345874"/>
      <w:r w:rsidRPr="0005208B">
        <w:rPr>
          <w:i/>
          <w:iCs/>
        </w:rPr>
        <w:t>Cambridge Dictionary</w:t>
      </w:r>
      <w:r w:rsidRPr="0005208B">
        <w:t> </w:t>
      </w:r>
      <w:bookmarkEnd w:id="1"/>
      <w:r w:rsidRPr="0005208B">
        <w:t>&lt;https://dictionary.cambridge.org/dictionary/english/boundary&gt; [Accessed 19 January 2020].</w:t>
      </w:r>
    </w:p>
    <w:bookmarkEnd w:id="0"/>
  </w:footnote>
  <w:footnote w:id="2">
    <w:p w14:paraId="2AD61B27" w14:textId="696C0841" w:rsidR="00614DD7" w:rsidRDefault="00614DD7">
      <w:pPr>
        <w:pStyle w:val="FootnoteText"/>
      </w:pPr>
      <w:r>
        <w:rPr>
          <w:rStyle w:val="FootnoteReference"/>
        </w:rPr>
        <w:footnoteRef/>
      </w:r>
      <w:r>
        <w:t xml:space="preserve"> </w:t>
      </w:r>
      <w:r w:rsidRPr="0005208B">
        <w:rPr>
          <w:i/>
          <w:iCs/>
        </w:rPr>
        <w:t>Cambridge Dictionary</w:t>
      </w:r>
      <w:r w:rsidRPr="0005208B">
        <w:t> </w:t>
      </w:r>
    </w:p>
  </w:footnote>
  <w:footnote w:id="3">
    <w:p w14:paraId="3B6B81F2" w14:textId="28A7874B" w:rsidR="00614DD7" w:rsidRDefault="00614DD7">
      <w:pPr>
        <w:pStyle w:val="FootnoteText"/>
      </w:pPr>
      <w:r>
        <w:rPr>
          <w:rStyle w:val="FootnoteReference"/>
        </w:rPr>
        <w:footnoteRef/>
      </w:r>
      <w:r>
        <w:t xml:space="preserve"> </w:t>
      </w:r>
      <w:bookmarkStart w:id="2" w:name="_Hlk30346043"/>
      <w:bookmarkStart w:id="3" w:name="_Hlk30352774"/>
      <w:proofErr w:type="spellStart"/>
      <w:r w:rsidRPr="0005208B">
        <w:t>Margiad</w:t>
      </w:r>
      <w:proofErr w:type="spellEnd"/>
      <w:r w:rsidRPr="0005208B">
        <w:t xml:space="preserve"> Evans</w:t>
      </w:r>
      <w:bookmarkEnd w:id="2"/>
      <w:r w:rsidRPr="0005208B">
        <w:t>, </w:t>
      </w:r>
      <w:r w:rsidRPr="0005208B">
        <w:rPr>
          <w:i/>
          <w:iCs/>
        </w:rPr>
        <w:t>Country Dance</w:t>
      </w:r>
      <w:r w:rsidRPr="0005208B">
        <w:t> (Cardiff: Parthian, 2006)</w:t>
      </w:r>
      <w:bookmarkEnd w:id="3"/>
      <w:r>
        <w:t>, p.4</w:t>
      </w:r>
    </w:p>
  </w:footnote>
  <w:footnote w:id="4">
    <w:p w14:paraId="6048696E" w14:textId="4833851B" w:rsidR="00614DD7" w:rsidRDefault="00614DD7">
      <w:pPr>
        <w:pStyle w:val="FootnoteText"/>
      </w:pPr>
      <w:r>
        <w:rPr>
          <w:rStyle w:val="FootnoteReference"/>
        </w:rPr>
        <w:footnoteRef/>
      </w:r>
      <w:r>
        <w:t xml:space="preserve"> </w:t>
      </w:r>
      <w:proofErr w:type="spellStart"/>
      <w:r w:rsidRPr="0005208B">
        <w:t>Margiad</w:t>
      </w:r>
      <w:proofErr w:type="spellEnd"/>
      <w:r w:rsidRPr="0005208B">
        <w:t xml:space="preserve"> Evans</w:t>
      </w:r>
      <w:r>
        <w:t>,</w:t>
      </w:r>
      <w:r w:rsidRPr="0005208B">
        <w:t xml:space="preserve"> </w:t>
      </w:r>
      <w:r>
        <w:t>p.5</w:t>
      </w:r>
    </w:p>
  </w:footnote>
  <w:footnote w:id="5">
    <w:p w14:paraId="546FC700" w14:textId="20DF2119" w:rsidR="00614DD7" w:rsidRDefault="00614DD7">
      <w:pPr>
        <w:pStyle w:val="FootnoteText"/>
      </w:pPr>
      <w:r>
        <w:rPr>
          <w:rStyle w:val="FootnoteReference"/>
        </w:rPr>
        <w:footnoteRef/>
      </w:r>
      <w:r>
        <w:t xml:space="preserve"> </w:t>
      </w:r>
      <w:proofErr w:type="spellStart"/>
      <w:r w:rsidRPr="0005208B">
        <w:t>Margiad</w:t>
      </w:r>
      <w:proofErr w:type="spellEnd"/>
      <w:r w:rsidRPr="0005208B">
        <w:t xml:space="preserve"> Evans</w:t>
      </w:r>
      <w:r>
        <w:t>,</w:t>
      </w:r>
      <w:r w:rsidRPr="0005208B">
        <w:t xml:space="preserve"> </w:t>
      </w:r>
      <w:proofErr w:type="spellStart"/>
      <w:r>
        <w:t>p.ix</w:t>
      </w:r>
      <w:proofErr w:type="spellEnd"/>
    </w:p>
  </w:footnote>
  <w:footnote w:id="6">
    <w:p w14:paraId="00250D48" w14:textId="1CAF2479" w:rsidR="00614DD7" w:rsidRDefault="00614DD7">
      <w:pPr>
        <w:pStyle w:val="FootnoteText"/>
      </w:pPr>
      <w:r>
        <w:rPr>
          <w:rStyle w:val="FootnoteReference"/>
        </w:rPr>
        <w:footnoteRef/>
      </w:r>
      <w:r>
        <w:t xml:space="preserve"> </w:t>
      </w:r>
      <w:bookmarkStart w:id="4" w:name="_Hlk30352161"/>
      <w:r w:rsidR="00DD58A3">
        <w:t xml:space="preserve">Dino Franco </w:t>
      </w:r>
      <w:proofErr w:type="spellStart"/>
      <w:r w:rsidR="00DD58A3">
        <w:t>Felluga</w:t>
      </w:r>
      <w:proofErr w:type="spellEnd"/>
      <w:r w:rsidR="00DD58A3">
        <w:t xml:space="preserve">, </w:t>
      </w:r>
      <w:r w:rsidR="00DD58A3" w:rsidRPr="00D5271D">
        <w:rPr>
          <w:i/>
          <w:iCs/>
        </w:rPr>
        <w:t>Critical Theory: The Key Concepts</w:t>
      </w:r>
      <w:r w:rsidR="00DD58A3">
        <w:t>, (London: Routledge 2015)</w:t>
      </w:r>
      <w:bookmarkEnd w:id="4"/>
    </w:p>
  </w:footnote>
  <w:footnote w:id="7">
    <w:p w14:paraId="534E3AA4" w14:textId="57D849C1" w:rsidR="00F42305" w:rsidRDefault="00F42305">
      <w:pPr>
        <w:pStyle w:val="FootnoteText"/>
      </w:pPr>
      <w:r>
        <w:rPr>
          <w:rStyle w:val="FootnoteReference"/>
        </w:rPr>
        <w:footnoteRef/>
      </w:r>
      <w:r>
        <w:t xml:space="preserve"> </w:t>
      </w:r>
      <w:r w:rsidR="00E23F5E" w:rsidRPr="00E23F5E">
        <w:t>Christopher Meredith, </w:t>
      </w:r>
      <w:r w:rsidR="00E23F5E" w:rsidRPr="00E23F5E">
        <w:rPr>
          <w:i/>
          <w:iCs/>
        </w:rPr>
        <w:t>Shifts</w:t>
      </w:r>
      <w:r w:rsidR="00E23F5E" w:rsidRPr="00E23F5E">
        <w:t> (</w:t>
      </w:r>
      <w:proofErr w:type="spellStart"/>
      <w:r w:rsidR="00E23F5E" w:rsidRPr="00E23F5E">
        <w:t>Seren</w:t>
      </w:r>
      <w:proofErr w:type="spellEnd"/>
      <w:r w:rsidR="00E23F5E" w:rsidRPr="00E23F5E">
        <w:t>, 2017)</w:t>
      </w:r>
      <w:r w:rsidR="00E23F5E">
        <w:t>, p</w:t>
      </w:r>
      <w:r>
        <w:t>.73</w:t>
      </w:r>
    </w:p>
  </w:footnote>
  <w:footnote w:id="8">
    <w:p w14:paraId="219339C4" w14:textId="12541563" w:rsidR="00BB2D2D" w:rsidRDefault="00BB2D2D">
      <w:pPr>
        <w:pStyle w:val="FootnoteText"/>
      </w:pPr>
      <w:r>
        <w:rPr>
          <w:rStyle w:val="FootnoteReference"/>
        </w:rPr>
        <w:footnoteRef/>
      </w:r>
      <w:r>
        <w:t xml:space="preserve"> </w:t>
      </w:r>
      <w:r w:rsidR="00E23F5E" w:rsidRPr="00E23F5E">
        <w:t>Christopher Meredith</w:t>
      </w:r>
      <w:r w:rsidR="00E23F5E">
        <w:t>,</w:t>
      </w:r>
      <w:r w:rsidR="00E23F5E" w:rsidRPr="00E23F5E">
        <w:t xml:space="preserve"> </w:t>
      </w:r>
      <w:r w:rsidR="00E23F5E">
        <w:t>p</w:t>
      </w:r>
      <w:r>
        <w:t>.161</w:t>
      </w:r>
    </w:p>
  </w:footnote>
  <w:footnote w:id="9">
    <w:p w14:paraId="2C40A1EE" w14:textId="1DE719C6" w:rsidR="00614DD7" w:rsidRDefault="00614DD7">
      <w:pPr>
        <w:pStyle w:val="FootnoteText"/>
      </w:pPr>
      <w:r>
        <w:rPr>
          <w:rStyle w:val="FootnoteReference"/>
        </w:rPr>
        <w:footnoteRef/>
      </w:r>
      <w:r>
        <w:t xml:space="preserve"> </w:t>
      </w:r>
      <w:bookmarkStart w:id="5" w:name="_Hlk30352232"/>
      <w:r>
        <w:t xml:space="preserve">Catherine Fisher, Estuary Poems, V, </w:t>
      </w:r>
      <w:r w:rsidRPr="00614DD7">
        <w:rPr>
          <w:i/>
          <w:iCs/>
        </w:rPr>
        <w:t>Altered States</w:t>
      </w:r>
      <w:r>
        <w:t xml:space="preserve">, </w:t>
      </w:r>
      <w:r w:rsidR="00894834">
        <w:t>(</w:t>
      </w:r>
      <w:proofErr w:type="spellStart"/>
      <w:r>
        <w:t>Seren</w:t>
      </w:r>
      <w:proofErr w:type="spellEnd"/>
      <w:r>
        <w:t>, 1999</w:t>
      </w:r>
      <w:r w:rsidR="00894834">
        <w:t>)</w:t>
      </w:r>
      <w:bookmarkEnd w:id="5"/>
    </w:p>
  </w:footnote>
  <w:footnote w:id="10">
    <w:p w14:paraId="5DEAFAD5" w14:textId="322DABC3" w:rsidR="00614DD7" w:rsidRDefault="00614DD7">
      <w:pPr>
        <w:pStyle w:val="FootnoteText"/>
      </w:pPr>
      <w:r>
        <w:rPr>
          <w:rStyle w:val="FootnoteReference"/>
        </w:rPr>
        <w:footnoteRef/>
      </w:r>
      <w:r>
        <w:t xml:space="preserve"> </w:t>
      </w:r>
      <w:proofErr w:type="spellStart"/>
      <w:r w:rsidRPr="00614DD7">
        <w:t>Margiad</w:t>
      </w:r>
      <w:proofErr w:type="spellEnd"/>
      <w:r w:rsidRPr="00614DD7">
        <w:t xml:space="preserve"> Evans</w:t>
      </w:r>
      <w:r>
        <w:t>,</w:t>
      </w:r>
      <w:r w:rsidRPr="00614DD7">
        <w:t xml:space="preserve"> </w:t>
      </w:r>
      <w:proofErr w:type="spellStart"/>
      <w:r>
        <w:t>p.xii</w:t>
      </w:r>
      <w:proofErr w:type="spellEnd"/>
    </w:p>
  </w:footnote>
  <w:footnote w:id="11">
    <w:p w14:paraId="3A55C5A4" w14:textId="23C46837" w:rsidR="00614DD7" w:rsidRDefault="00614DD7">
      <w:pPr>
        <w:pStyle w:val="FootnoteText"/>
      </w:pPr>
      <w:r>
        <w:rPr>
          <w:rStyle w:val="FootnoteReference"/>
        </w:rPr>
        <w:footnoteRef/>
      </w:r>
      <w:r>
        <w:t xml:space="preserve"> </w:t>
      </w:r>
      <w:proofErr w:type="spellStart"/>
      <w:r w:rsidRPr="00614DD7">
        <w:t>Margiad</w:t>
      </w:r>
      <w:proofErr w:type="spellEnd"/>
      <w:r w:rsidRPr="00614DD7">
        <w:t xml:space="preserve"> Evans</w:t>
      </w:r>
      <w:r>
        <w:t>,</w:t>
      </w:r>
      <w:r w:rsidRPr="00614DD7">
        <w:t xml:space="preserve"> </w:t>
      </w:r>
      <w:r>
        <w:t>p.65</w:t>
      </w:r>
    </w:p>
  </w:footnote>
  <w:footnote w:id="12">
    <w:p w14:paraId="04E0A60C" w14:textId="2EBCB460" w:rsidR="00614DD7" w:rsidRDefault="00614DD7">
      <w:pPr>
        <w:pStyle w:val="FootnoteText"/>
      </w:pPr>
      <w:r>
        <w:rPr>
          <w:rStyle w:val="FootnoteReference"/>
        </w:rPr>
        <w:footnoteRef/>
      </w:r>
      <w:r>
        <w:t xml:space="preserve"> </w:t>
      </w:r>
      <w:proofErr w:type="spellStart"/>
      <w:r w:rsidRPr="00614DD7">
        <w:t>Margiad</w:t>
      </w:r>
      <w:proofErr w:type="spellEnd"/>
      <w:r w:rsidRPr="00614DD7">
        <w:t xml:space="preserve"> Evans</w:t>
      </w:r>
      <w:r>
        <w:t>, p.48</w:t>
      </w:r>
    </w:p>
  </w:footnote>
  <w:footnote w:id="13">
    <w:p w14:paraId="2C607A98" w14:textId="04063057" w:rsidR="00614DD7" w:rsidRDefault="00614DD7">
      <w:pPr>
        <w:pStyle w:val="FootnoteText"/>
      </w:pPr>
      <w:r>
        <w:rPr>
          <w:rStyle w:val="FootnoteReference"/>
        </w:rPr>
        <w:footnoteRef/>
      </w:r>
      <w:r>
        <w:t xml:space="preserve"> </w:t>
      </w:r>
      <w:bookmarkStart w:id="7" w:name="_Hlk30352377"/>
      <w:r w:rsidR="00894834">
        <w:t xml:space="preserve">Franco Moretti, </w:t>
      </w:r>
      <w:r w:rsidR="00894834" w:rsidRPr="00894834">
        <w:rPr>
          <w:i/>
          <w:iCs/>
        </w:rPr>
        <w:t>Atlas of the European Novel, 1800-1900</w:t>
      </w:r>
      <w:r w:rsidR="00894834">
        <w:t>, (London: Verso, 1998)</w:t>
      </w:r>
      <w:bookmarkEnd w:id="7"/>
    </w:p>
  </w:footnote>
  <w:footnote w:id="14">
    <w:p w14:paraId="28CDF73B" w14:textId="4652F036" w:rsidR="00614DD7" w:rsidRDefault="00614DD7" w:rsidP="00C9539A">
      <w:pPr>
        <w:pStyle w:val="FootnoteText"/>
      </w:pPr>
      <w:r>
        <w:rPr>
          <w:rStyle w:val="FootnoteReference"/>
        </w:rPr>
        <w:footnoteRef/>
      </w:r>
      <w:r>
        <w:t xml:space="preserve"> </w:t>
      </w:r>
      <w:bookmarkStart w:id="9" w:name="_Hlk30352849"/>
      <w:r w:rsidR="00894834" w:rsidRPr="00894834">
        <w:rPr>
          <w:i/>
          <w:iCs/>
        </w:rPr>
        <w:t>Collins English Dictionary</w:t>
      </w:r>
      <w:r w:rsidR="00894834">
        <w:t>, 2003</w:t>
      </w:r>
      <w:bookmarkEnd w:id="9"/>
    </w:p>
  </w:footnote>
  <w:footnote w:id="15">
    <w:p w14:paraId="55DFBB77" w14:textId="701394DA" w:rsidR="00614DD7" w:rsidRDefault="00614DD7">
      <w:pPr>
        <w:pStyle w:val="FootnoteText"/>
      </w:pPr>
      <w:r>
        <w:rPr>
          <w:rStyle w:val="FootnoteReference"/>
        </w:rPr>
        <w:footnoteRef/>
      </w:r>
      <w:r>
        <w:t xml:space="preserve"> </w:t>
      </w:r>
      <w:bookmarkStart w:id="11" w:name="_Hlk30352408"/>
      <w:r w:rsidR="00894834">
        <w:t xml:space="preserve">Raymond Williams, </w:t>
      </w:r>
      <w:r w:rsidR="00894834" w:rsidRPr="00894834">
        <w:rPr>
          <w:i/>
          <w:iCs/>
        </w:rPr>
        <w:t>Who Speaks for Wales</w:t>
      </w:r>
      <w:r w:rsidR="00894834">
        <w:t>, ed. Daniel Williams, (Cardiff: University of Wales Press, 2003)</w:t>
      </w:r>
      <w:bookmarkEnd w:id="11"/>
    </w:p>
  </w:footnote>
  <w:footnote w:id="16">
    <w:p w14:paraId="59C2DC79" w14:textId="56D441E3" w:rsidR="00614DD7" w:rsidRDefault="00614DD7">
      <w:pPr>
        <w:pStyle w:val="FootnoteText"/>
      </w:pPr>
      <w:r>
        <w:rPr>
          <w:rStyle w:val="FootnoteReference"/>
        </w:rPr>
        <w:footnoteRef/>
      </w:r>
      <w:r>
        <w:t xml:space="preserve"> </w:t>
      </w:r>
      <w:proofErr w:type="spellStart"/>
      <w:r w:rsidRPr="00614DD7">
        <w:t>Margiad</w:t>
      </w:r>
      <w:proofErr w:type="spellEnd"/>
      <w:r w:rsidRPr="00614DD7">
        <w:t xml:space="preserve"> Evans</w:t>
      </w:r>
      <w:r>
        <w:t>,</w:t>
      </w:r>
      <w:r w:rsidRPr="00614DD7">
        <w:t xml:space="preserve"> </w:t>
      </w:r>
      <w:r>
        <w:t>p.24</w:t>
      </w:r>
    </w:p>
  </w:footnote>
  <w:footnote w:id="17">
    <w:p w14:paraId="1B9C8427" w14:textId="4726462B" w:rsidR="00614DD7" w:rsidRDefault="00614DD7">
      <w:pPr>
        <w:pStyle w:val="FootnoteText"/>
      </w:pPr>
      <w:r>
        <w:rPr>
          <w:rStyle w:val="FootnoteReference"/>
        </w:rPr>
        <w:footnoteRef/>
      </w:r>
      <w:r>
        <w:t xml:space="preserve"> </w:t>
      </w:r>
      <w:proofErr w:type="spellStart"/>
      <w:r w:rsidRPr="00614DD7">
        <w:t>Margiad</w:t>
      </w:r>
      <w:proofErr w:type="spellEnd"/>
      <w:r w:rsidRPr="00614DD7">
        <w:t xml:space="preserve"> Evans</w:t>
      </w:r>
      <w:r>
        <w:t>,</w:t>
      </w:r>
      <w:r w:rsidRPr="00614DD7">
        <w:t xml:space="preserve"> </w:t>
      </w:r>
      <w:r>
        <w:t>p.59</w:t>
      </w:r>
    </w:p>
  </w:footnote>
  <w:footnote w:id="18">
    <w:p w14:paraId="2ADAD6C7" w14:textId="0D9509A8" w:rsidR="00614DD7" w:rsidRDefault="00614DD7">
      <w:pPr>
        <w:pStyle w:val="FootnoteText"/>
      </w:pPr>
      <w:r>
        <w:rPr>
          <w:rStyle w:val="FootnoteReference"/>
        </w:rPr>
        <w:footnoteRef/>
      </w:r>
      <w:r>
        <w:t xml:space="preserve"> </w:t>
      </w:r>
      <w:bookmarkStart w:id="15" w:name="_Hlk30352500"/>
      <w:bookmarkStart w:id="16" w:name="_Hlk30352882"/>
      <w:r>
        <w:t xml:space="preserve">Rediscovering </w:t>
      </w:r>
      <w:proofErr w:type="spellStart"/>
      <w:r>
        <w:t>Margiad</w:t>
      </w:r>
      <w:proofErr w:type="spellEnd"/>
      <w:r>
        <w:t xml:space="preserve"> Evans</w:t>
      </w:r>
      <w:r w:rsidR="00D5271D">
        <w:t xml:space="preserve">: Marginality, Gender and Illness, ed. Kirsti </w:t>
      </w:r>
      <w:proofErr w:type="spellStart"/>
      <w:r w:rsidR="00D5271D">
        <w:t>Bohata</w:t>
      </w:r>
      <w:proofErr w:type="spellEnd"/>
      <w:r w:rsidR="00D5271D">
        <w:t xml:space="preserve"> and Katie </w:t>
      </w:r>
      <w:proofErr w:type="spellStart"/>
      <w:r w:rsidR="00D5271D">
        <w:t>Gramich</w:t>
      </w:r>
      <w:proofErr w:type="spellEnd"/>
      <w:r w:rsidR="00D5271D">
        <w:t>, (Cardiff: University of Wales Press, 2013)</w:t>
      </w:r>
      <w:bookmarkEnd w:id="15"/>
    </w:p>
    <w:bookmarkEnd w:id="16"/>
  </w:footnote>
  <w:footnote w:id="19">
    <w:p w14:paraId="3401DD90" w14:textId="42F81887" w:rsidR="00614DD7" w:rsidRDefault="00614DD7">
      <w:pPr>
        <w:pStyle w:val="FootnoteText"/>
      </w:pPr>
      <w:r>
        <w:rPr>
          <w:rStyle w:val="FootnoteReference"/>
        </w:rPr>
        <w:footnoteRef/>
      </w:r>
      <w:r>
        <w:t xml:space="preserve"> </w:t>
      </w:r>
      <w:bookmarkStart w:id="18" w:name="_Hlk30352902"/>
      <w:bookmarkStart w:id="19" w:name="_Hlk30352518"/>
      <w:r>
        <w:t xml:space="preserve">Joanne P. Sharp, ‘Gendering Nationhood: a feminist engagement with National Identity’, </w:t>
      </w:r>
      <w:proofErr w:type="spellStart"/>
      <w:r w:rsidRPr="00614DD7">
        <w:rPr>
          <w:i/>
          <w:iCs/>
        </w:rPr>
        <w:t>Bodyspace</w:t>
      </w:r>
      <w:proofErr w:type="spellEnd"/>
      <w:r w:rsidRPr="00614DD7">
        <w:rPr>
          <w:i/>
          <w:iCs/>
        </w:rPr>
        <w:t>: Destabilising Geographies of Gender and Sexuality</w:t>
      </w:r>
      <w:r>
        <w:t>, 1996</w:t>
      </w:r>
      <w:bookmarkEnd w:id="18"/>
      <w:r>
        <w:t>, p.99</w:t>
      </w:r>
    </w:p>
    <w:bookmarkEnd w:id="19"/>
  </w:footnote>
  <w:footnote w:id="20">
    <w:p w14:paraId="0B16BCE0" w14:textId="09FE6B4C" w:rsidR="00614DD7" w:rsidRDefault="00614DD7">
      <w:pPr>
        <w:pStyle w:val="FootnoteText"/>
      </w:pPr>
      <w:r>
        <w:rPr>
          <w:rStyle w:val="FootnoteReference"/>
        </w:rPr>
        <w:footnoteRef/>
      </w:r>
      <w:r>
        <w:t xml:space="preserve"> </w:t>
      </w:r>
      <w:proofErr w:type="spellStart"/>
      <w:r w:rsidRPr="00614DD7">
        <w:t>Margiad</w:t>
      </w:r>
      <w:proofErr w:type="spellEnd"/>
      <w:r w:rsidRPr="00614DD7">
        <w:t xml:space="preserve"> Evans</w:t>
      </w:r>
      <w:r>
        <w:t>,</w:t>
      </w:r>
      <w:r w:rsidRPr="00614DD7">
        <w:t xml:space="preserve"> </w:t>
      </w:r>
      <w:r>
        <w:t>p.67</w:t>
      </w:r>
    </w:p>
  </w:footnote>
  <w:footnote w:id="21">
    <w:p w14:paraId="54FBA6C6" w14:textId="2EF643A4" w:rsidR="00614DD7" w:rsidRDefault="00614DD7">
      <w:pPr>
        <w:pStyle w:val="FootnoteText"/>
      </w:pPr>
      <w:r>
        <w:rPr>
          <w:rStyle w:val="FootnoteReference"/>
        </w:rPr>
        <w:footnoteRef/>
      </w:r>
      <w:r>
        <w:t xml:space="preserve"> </w:t>
      </w:r>
      <w:bookmarkStart w:id="22" w:name="_Hlk30352568"/>
      <w:r w:rsidR="00154A23" w:rsidRPr="00154A23">
        <w:t xml:space="preserve">Bonnie </w:t>
      </w:r>
      <w:proofErr w:type="spellStart"/>
      <w:r w:rsidR="00154A23" w:rsidRPr="00154A23">
        <w:t>Urciuoli</w:t>
      </w:r>
      <w:proofErr w:type="spellEnd"/>
      <w:r w:rsidR="00154A23" w:rsidRPr="00154A23">
        <w:t xml:space="preserve">, </w:t>
      </w:r>
      <w:r w:rsidR="00154A23">
        <w:t>‘</w:t>
      </w:r>
      <w:r w:rsidR="00154A23" w:rsidRPr="00154A23">
        <w:t xml:space="preserve">Language </w:t>
      </w:r>
      <w:r w:rsidR="00154A23">
        <w:t>a</w:t>
      </w:r>
      <w:r w:rsidR="00154A23" w:rsidRPr="00154A23">
        <w:t>nd Borders</w:t>
      </w:r>
      <w:r w:rsidR="00154A23">
        <w:t>’</w:t>
      </w:r>
      <w:r w:rsidR="00154A23" w:rsidRPr="00154A23">
        <w:t>, </w:t>
      </w:r>
      <w:r w:rsidR="00154A23" w:rsidRPr="00154A23">
        <w:rPr>
          <w:i/>
          <w:iCs/>
        </w:rPr>
        <w:t xml:space="preserve">Annual Review </w:t>
      </w:r>
      <w:r w:rsidR="00154A23">
        <w:rPr>
          <w:i/>
          <w:iCs/>
        </w:rPr>
        <w:t>o</w:t>
      </w:r>
      <w:r w:rsidR="00154A23" w:rsidRPr="00154A23">
        <w:rPr>
          <w:i/>
          <w:iCs/>
        </w:rPr>
        <w:t>f Anthropology</w:t>
      </w:r>
      <w:r w:rsidR="00154A23" w:rsidRPr="00154A23">
        <w:t>, 24.1 (1995), 525-546 &lt;https://doi.org/10.1146/annurev.an.24.100195.002521&gt;</w:t>
      </w:r>
    </w:p>
    <w:bookmarkEnd w:id="22"/>
  </w:footnote>
  <w:footnote w:id="22">
    <w:p w14:paraId="696ED1F7" w14:textId="7D3440D2" w:rsidR="00614DD7" w:rsidRDefault="00614DD7">
      <w:pPr>
        <w:pStyle w:val="FootnoteText"/>
      </w:pPr>
      <w:r>
        <w:rPr>
          <w:rStyle w:val="FootnoteReference"/>
        </w:rPr>
        <w:footnoteRef/>
      </w:r>
      <w:r>
        <w:t xml:space="preserve"> </w:t>
      </w:r>
      <w:bookmarkStart w:id="24" w:name="_Hlk30352588"/>
      <w:r w:rsidR="00171F4D" w:rsidRPr="00171F4D">
        <w:rPr>
          <w:i/>
          <w:iCs/>
        </w:rPr>
        <w:t xml:space="preserve">Poet </w:t>
      </w:r>
      <w:r w:rsidR="00171F4D">
        <w:rPr>
          <w:i/>
          <w:iCs/>
        </w:rPr>
        <w:t>a</w:t>
      </w:r>
      <w:r w:rsidR="00171F4D" w:rsidRPr="00171F4D">
        <w:rPr>
          <w:i/>
          <w:iCs/>
        </w:rPr>
        <w:t>nd Novelist Christopher Meredith</w:t>
      </w:r>
      <w:r w:rsidR="00171F4D" w:rsidRPr="00171F4D">
        <w:t>, 2015 &lt;https://www.youtube.com/watch?v=ImVYxUmZdEw&gt; [Accessed 19 January 2020].</w:t>
      </w:r>
    </w:p>
    <w:bookmarkEnd w:id="24"/>
  </w:footnote>
  <w:footnote w:id="23">
    <w:p w14:paraId="30510692" w14:textId="72DC57DA" w:rsidR="00BB2D2D" w:rsidRDefault="00BB2D2D">
      <w:pPr>
        <w:pStyle w:val="FootnoteText"/>
      </w:pPr>
      <w:r>
        <w:rPr>
          <w:rStyle w:val="FootnoteReference"/>
        </w:rPr>
        <w:footnoteRef/>
      </w:r>
      <w:r>
        <w:t xml:space="preserve"> </w:t>
      </w:r>
      <w:r w:rsidR="000E3EC7" w:rsidRPr="000E3EC7">
        <w:t>Christopher Meredith</w:t>
      </w:r>
      <w:r w:rsidR="000E3EC7">
        <w:t>,</w:t>
      </w:r>
      <w:r w:rsidR="000E3EC7" w:rsidRPr="000E3EC7">
        <w:t xml:space="preserve"> </w:t>
      </w:r>
      <w:r w:rsidR="000E3EC7">
        <w:t>p</w:t>
      </w:r>
      <w:r>
        <w:t>.210</w:t>
      </w:r>
    </w:p>
  </w:footnote>
  <w:footnote w:id="24">
    <w:p w14:paraId="0E3F9C4E" w14:textId="54A10069" w:rsidR="00614DD7" w:rsidRDefault="00614DD7">
      <w:pPr>
        <w:pStyle w:val="FootnoteText"/>
      </w:pPr>
      <w:r>
        <w:rPr>
          <w:rStyle w:val="FootnoteReference"/>
        </w:rPr>
        <w:footnoteRef/>
      </w:r>
      <w:r>
        <w:t xml:space="preserve"> </w:t>
      </w:r>
      <w:proofErr w:type="spellStart"/>
      <w:r>
        <w:t>Urciuoli</w:t>
      </w:r>
      <w:proofErr w:type="spellEnd"/>
    </w:p>
  </w:footnote>
  <w:footnote w:id="25">
    <w:p w14:paraId="79CBF057" w14:textId="16FCAC29" w:rsidR="00614DD7" w:rsidRDefault="00614DD7">
      <w:pPr>
        <w:pStyle w:val="FootnoteText"/>
      </w:pPr>
      <w:r>
        <w:rPr>
          <w:rStyle w:val="FootnoteReference"/>
        </w:rPr>
        <w:footnoteRef/>
      </w:r>
      <w:r>
        <w:t xml:space="preserve"> </w:t>
      </w:r>
      <w:proofErr w:type="spellStart"/>
      <w:r>
        <w:t>Urciuoli</w:t>
      </w:r>
      <w:proofErr w:type="spellEnd"/>
    </w:p>
  </w:footnote>
  <w:footnote w:id="26">
    <w:p w14:paraId="6DEC0287" w14:textId="5A414372" w:rsidR="00614DD7" w:rsidRDefault="00614DD7">
      <w:pPr>
        <w:pStyle w:val="FootnoteText"/>
      </w:pPr>
      <w:r>
        <w:rPr>
          <w:rStyle w:val="FootnoteReference"/>
        </w:rPr>
        <w:footnoteRef/>
      </w:r>
      <w:r>
        <w:t xml:space="preserve"> </w:t>
      </w:r>
      <w:bookmarkStart w:id="29" w:name="_Hlk30352637"/>
      <w:r>
        <w:t xml:space="preserve">Kirsti Bohata, </w:t>
      </w:r>
      <w:r w:rsidR="00D5271D">
        <w:t>‘</w:t>
      </w:r>
      <w:r>
        <w:t>A Place Without Boundaries</w:t>
      </w:r>
      <w:r w:rsidR="000A1EA2">
        <w:t xml:space="preserve">: </w:t>
      </w:r>
      <w:r w:rsidR="00D5271D" w:rsidRPr="00D5271D">
        <w:t>The Fiction of Christopher Meredith</w:t>
      </w:r>
      <w:r w:rsidR="000A1EA2">
        <w:t>’</w:t>
      </w:r>
      <w:r w:rsidR="00D5271D" w:rsidRPr="00D5271D">
        <w:t xml:space="preserve">, </w:t>
      </w:r>
      <w:r w:rsidR="00D5271D" w:rsidRPr="000A1EA2">
        <w:rPr>
          <w:i/>
          <w:iCs/>
        </w:rPr>
        <w:t>Planet</w:t>
      </w:r>
      <w:r w:rsidR="00D5271D" w:rsidRPr="00D5271D">
        <w:t>, 145 (2001)</w:t>
      </w:r>
      <w:bookmarkEnd w:id="29"/>
    </w:p>
  </w:footnote>
  <w:footnote w:id="27">
    <w:p w14:paraId="36B14A4F" w14:textId="5110CBA0" w:rsidR="00614DD7" w:rsidRDefault="00614DD7">
      <w:pPr>
        <w:pStyle w:val="FootnoteText"/>
      </w:pPr>
      <w:r>
        <w:rPr>
          <w:rStyle w:val="FootnoteReference"/>
        </w:rPr>
        <w:footnoteRef/>
      </w:r>
      <w:r>
        <w:t xml:space="preserve"> </w:t>
      </w:r>
      <w:proofErr w:type="spellStart"/>
      <w:r>
        <w:t>Bohata</w:t>
      </w:r>
      <w:proofErr w:type="spellEnd"/>
    </w:p>
  </w:footnote>
  <w:footnote w:id="28">
    <w:p w14:paraId="6BE78C44" w14:textId="112D24C5" w:rsidR="00614DD7" w:rsidRDefault="00614DD7">
      <w:pPr>
        <w:pStyle w:val="FootnoteText"/>
      </w:pPr>
      <w:r>
        <w:rPr>
          <w:rStyle w:val="FootnoteReference"/>
        </w:rPr>
        <w:footnoteRef/>
      </w:r>
      <w:r>
        <w:t xml:space="preserve"> </w:t>
      </w:r>
      <w:proofErr w:type="spellStart"/>
      <w:r>
        <w:t>Bohata</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D30D0" w14:textId="55011A2C" w:rsidR="00614DD7" w:rsidRDefault="00614DD7">
    <w:pPr>
      <w:pStyle w:val="Header"/>
    </w:pPr>
    <w:r>
      <w:t>Presentation</w:t>
    </w:r>
    <w:r>
      <w:tab/>
    </w:r>
    <w:r>
      <w:tab/>
      <w:t>Jade Davies, 1702321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D6C9F"/>
    <w:multiLevelType w:val="hybridMultilevel"/>
    <w:tmpl w:val="D6EA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F3387"/>
    <w:multiLevelType w:val="hybridMultilevel"/>
    <w:tmpl w:val="FCF4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4850AB"/>
    <w:multiLevelType w:val="hybridMultilevel"/>
    <w:tmpl w:val="CE16A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F3400"/>
    <w:multiLevelType w:val="hybridMultilevel"/>
    <w:tmpl w:val="6468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092DED"/>
    <w:multiLevelType w:val="hybridMultilevel"/>
    <w:tmpl w:val="2256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CB"/>
    <w:rsid w:val="000345B7"/>
    <w:rsid w:val="0005208B"/>
    <w:rsid w:val="0006239A"/>
    <w:rsid w:val="0009761F"/>
    <w:rsid w:val="000A1EA2"/>
    <w:rsid w:val="000A2B5E"/>
    <w:rsid w:val="000E3EC7"/>
    <w:rsid w:val="000F443E"/>
    <w:rsid w:val="00154A23"/>
    <w:rsid w:val="00171F4D"/>
    <w:rsid w:val="00186B9E"/>
    <w:rsid w:val="001B6AB5"/>
    <w:rsid w:val="00215823"/>
    <w:rsid w:val="00283919"/>
    <w:rsid w:val="0036270F"/>
    <w:rsid w:val="003B7BAA"/>
    <w:rsid w:val="004602EF"/>
    <w:rsid w:val="004970D6"/>
    <w:rsid w:val="00593BBB"/>
    <w:rsid w:val="005B753C"/>
    <w:rsid w:val="00614DD7"/>
    <w:rsid w:val="006171C2"/>
    <w:rsid w:val="00617A56"/>
    <w:rsid w:val="006202DB"/>
    <w:rsid w:val="00637406"/>
    <w:rsid w:val="006A3064"/>
    <w:rsid w:val="006B51B4"/>
    <w:rsid w:val="00716445"/>
    <w:rsid w:val="0076593D"/>
    <w:rsid w:val="007C0697"/>
    <w:rsid w:val="007D3DF6"/>
    <w:rsid w:val="007E7769"/>
    <w:rsid w:val="0083754B"/>
    <w:rsid w:val="0086025F"/>
    <w:rsid w:val="00894834"/>
    <w:rsid w:val="008975F1"/>
    <w:rsid w:val="009157CA"/>
    <w:rsid w:val="00917AA2"/>
    <w:rsid w:val="009550EE"/>
    <w:rsid w:val="00986BC2"/>
    <w:rsid w:val="00993C17"/>
    <w:rsid w:val="009D2D65"/>
    <w:rsid w:val="00A26ADB"/>
    <w:rsid w:val="00A8321F"/>
    <w:rsid w:val="00AC574E"/>
    <w:rsid w:val="00AD6D3D"/>
    <w:rsid w:val="00AE1CB9"/>
    <w:rsid w:val="00B05D3F"/>
    <w:rsid w:val="00B30228"/>
    <w:rsid w:val="00B873C6"/>
    <w:rsid w:val="00BA6761"/>
    <w:rsid w:val="00BB2D2D"/>
    <w:rsid w:val="00C56CE0"/>
    <w:rsid w:val="00C9539A"/>
    <w:rsid w:val="00CC7493"/>
    <w:rsid w:val="00CF47B9"/>
    <w:rsid w:val="00D5271D"/>
    <w:rsid w:val="00D637AB"/>
    <w:rsid w:val="00D670F0"/>
    <w:rsid w:val="00D71D68"/>
    <w:rsid w:val="00D92574"/>
    <w:rsid w:val="00DD58A3"/>
    <w:rsid w:val="00DF332C"/>
    <w:rsid w:val="00E20834"/>
    <w:rsid w:val="00E23F5E"/>
    <w:rsid w:val="00E6122C"/>
    <w:rsid w:val="00E62020"/>
    <w:rsid w:val="00E90274"/>
    <w:rsid w:val="00F42305"/>
    <w:rsid w:val="00FB12D0"/>
    <w:rsid w:val="00FB31E4"/>
    <w:rsid w:val="00FC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BDD84"/>
  <w15:chartTrackingRefBased/>
  <w15:docId w15:val="{1DA894D6-9F9B-4D40-BDB6-F08D6C887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122C"/>
    <w:pPr>
      <w:spacing w:after="0" w:line="240" w:lineRule="auto"/>
    </w:pPr>
  </w:style>
  <w:style w:type="paragraph" w:styleId="Header">
    <w:name w:val="header"/>
    <w:basedOn w:val="Normal"/>
    <w:link w:val="HeaderChar"/>
    <w:uiPriority w:val="99"/>
    <w:unhideWhenUsed/>
    <w:rsid w:val="00E61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22C"/>
  </w:style>
  <w:style w:type="paragraph" w:styleId="Footer">
    <w:name w:val="footer"/>
    <w:basedOn w:val="Normal"/>
    <w:link w:val="FooterChar"/>
    <w:uiPriority w:val="99"/>
    <w:unhideWhenUsed/>
    <w:rsid w:val="00E61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22C"/>
  </w:style>
  <w:style w:type="paragraph" w:styleId="FootnoteText">
    <w:name w:val="footnote text"/>
    <w:basedOn w:val="Normal"/>
    <w:link w:val="FootnoteTextChar"/>
    <w:uiPriority w:val="99"/>
    <w:semiHidden/>
    <w:unhideWhenUsed/>
    <w:rsid w:val="001B6A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6AB5"/>
    <w:rPr>
      <w:sz w:val="20"/>
      <w:szCs w:val="20"/>
    </w:rPr>
  </w:style>
  <w:style w:type="character" w:styleId="FootnoteReference">
    <w:name w:val="footnote reference"/>
    <w:basedOn w:val="DefaultParagraphFont"/>
    <w:uiPriority w:val="99"/>
    <w:semiHidden/>
    <w:unhideWhenUsed/>
    <w:rsid w:val="001B6A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CBAE-DA1A-4E2A-8894-57597ACE5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1974</TotalTime>
  <Pages>6</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53</cp:revision>
  <dcterms:created xsi:type="dcterms:W3CDTF">2020-01-18T15:03:00Z</dcterms:created>
  <dcterms:modified xsi:type="dcterms:W3CDTF">2020-01-21T20:42:00Z</dcterms:modified>
</cp:coreProperties>
</file>