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F0611" w14:textId="77777777" w:rsidR="009E0471" w:rsidRPr="009E0471" w:rsidRDefault="009E0471" w:rsidP="00DD386E">
      <w:pPr>
        <w:pStyle w:val="NormalWeb"/>
        <w:spacing w:before="105" w:beforeAutospacing="0" w:after="0" w:afterAutospacing="0"/>
        <w:rPr>
          <w:rFonts w:asciiTheme="minorHAnsi" w:hAnsiTheme="minorHAnsi" w:cstheme="minorHAnsi"/>
          <w:b/>
          <w:bCs/>
          <w:sz w:val="48"/>
          <w:szCs w:val="48"/>
          <w:u w:val="single"/>
        </w:rPr>
      </w:pPr>
    </w:p>
    <w:p w14:paraId="47449CC9" w14:textId="77777777" w:rsidR="009E0471" w:rsidRPr="009E0471" w:rsidRDefault="009E0471" w:rsidP="00DD386E">
      <w:pPr>
        <w:pStyle w:val="NormalWeb"/>
        <w:spacing w:before="105" w:beforeAutospacing="0" w:after="0" w:afterAutospacing="0"/>
        <w:rPr>
          <w:rFonts w:asciiTheme="minorHAnsi" w:hAnsiTheme="minorHAnsi" w:cstheme="minorHAnsi"/>
          <w:b/>
          <w:bCs/>
          <w:sz w:val="48"/>
          <w:szCs w:val="48"/>
          <w:u w:val="single"/>
        </w:rPr>
      </w:pPr>
    </w:p>
    <w:p w14:paraId="00C3020A" w14:textId="42C10B60"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r w:rsidRPr="009E0471">
        <w:rPr>
          <w:rFonts w:asciiTheme="minorHAnsi" w:hAnsiTheme="minorHAnsi" w:cstheme="minorHAnsi"/>
          <w:b/>
          <w:bCs/>
          <w:sz w:val="48"/>
          <w:szCs w:val="48"/>
          <w:u w:val="single"/>
        </w:rPr>
        <w:t>50S01</w:t>
      </w:r>
    </w:p>
    <w:p w14:paraId="20DF8197"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45E6F524"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1BF5904F" w14:textId="77777777" w:rsid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473E7A85" w14:textId="77777777" w:rsid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55A952A3" w14:textId="36ADDE86"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r w:rsidRPr="009E0471">
        <w:rPr>
          <w:rFonts w:asciiTheme="minorHAnsi" w:hAnsiTheme="minorHAnsi" w:cstheme="minorHAnsi"/>
          <w:b/>
          <w:bCs/>
          <w:sz w:val="48"/>
          <w:szCs w:val="48"/>
          <w:u w:val="single"/>
        </w:rPr>
        <w:t>Specialist Employment Law</w:t>
      </w:r>
    </w:p>
    <w:p w14:paraId="2106D38C" w14:textId="77777777" w:rsidR="009E0471" w:rsidRPr="009E0471" w:rsidRDefault="009E0471" w:rsidP="009E0471">
      <w:pPr>
        <w:pStyle w:val="NormalWeb"/>
        <w:spacing w:before="105" w:beforeAutospacing="0" w:after="0" w:afterAutospacing="0"/>
        <w:rPr>
          <w:rFonts w:asciiTheme="minorHAnsi" w:hAnsiTheme="minorHAnsi" w:cstheme="minorHAnsi"/>
          <w:b/>
          <w:bCs/>
          <w:sz w:val="48"/>
          <w:szCs w:val="48"/>
          <w:u w:val="single"/>
        </w:rPr>
      </w:pPr>
    </w:p>
    <w:p w14:paraId="605A1BB7"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48871186"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33E77943"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43F95AC4"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57BC11B2"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431CF070" w14:textId="77777777" w:rsidR="009E0471" w:rsidRPr="009E0471" w:rsidRDefault="009E0471" w:rsidP="009E0471">
      <w:pPr>
        <w:pStyle w:val="NormalWeb"/>
        <w:spacing w:before="105" w:beforeAutospacing="0" w:after="0" w:afterAutospacing="0"/>
        <w:jc w:val="center"/>
        <w:rPr>
          <w:rFonts w:asciiTheme="minorHAnsi" w:hAnsiTheme="minorHAnsi" w:cstheme="minorHAnsi"/>
          <w:b/>
          <w:bCs/>
          <w:sz w:val="48"/>
          <w:szCs w:val="48"/>
          <w:u w:val="single"/>
        </w:rPr>
      </w:pPr>
    </w:p>
    <w:p w14:paraId="78CE02BD" w14:textId="42EF10DD" w:rsidR="009E0471" w:rsidRPr="009E0471" w:rsidRDefault="009E0471" w:rsidP="009E0471">
      <w:pPr>
        <w:pStyle w:val="NormalWeb"/>
        <w:spacing w:before="105" w:beforeAutospacing="0" w:after="0" w:afterAutospacing="0"/>
        <w:jc w:val="center"/>
        <w:rPr>
          <w:rFonts w:asciiTheme="minorHAnsi" w:hAnsiTheme="minorHAnsi" w:cstheme="minorHAnsi"/>
          <w:b/>
          <w:bCs/>
          <w:i/>
          <w:iCs/>
          <w:sz w:val="48"/>
          <w:szCs w:val="48"/>
          <w:u w:val="single"/>
        </w:rPr>
      </w:pPr>
      <w:r w:rsidRPr="009E0471">
        <w:rPr>
          <w:rFonts w:asciiTheme="minorHAnsi" w:hAnsiTheme="minorHAnsi" w:cstheme="minorHAnsi"/>
          <w:b/>
          <w:bCs/>
          <w:i/>
          <w:iCs/>
          <w:sz w:val="48"/>
          <w:szCs w:val="48"/>
          <w:u w:val="single"/>
        </w:rPr>
        <w:t>Hannah Morgan</w:t>
      </w:r>
    </w:p>
    <w:p w14:paraId="1A2E5F2D" w14:textId="77777777" w:rsidR="009E0471" w:rsidRDefault="009E0471" w:rsidP="009E0471">
      <w:pPr>
        <w:pStyle w:val="NormalWeb"/>
        <w:spacing w:before="105" w:beforeAutospacing="0" w:after="0" w:afterAutospacing="0"/>
        <w:jc w:val="center"/>
        <w:rPr>
          <w:rFonts w:asciiTheme="minorHAnsi" w:hAnsiTheme="minorHAnsi" w:cstheme="minorHAnsi"/>
          <w:b/>
          <w:bCs/>
          <w:u w:val="single"/>
        </w:rPr>
      </w:pPr>
    </w:p>
    <w:p w14:paraId="00D2E5B7"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2028504B"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32FDCD35"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63EC2390"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7BCAC7F4"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4B9C53D6"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5C266F99" w14:textId="77777777" w:rsidR="009E0471" w:rsidRDefault="009E0471" w:rsidP="00DD386E">
      <w:pPr>
        <w:pStyle w:val="NormalWeb"/>
        <w:spacing w:before="105" w:beforeAutospacing="0" w:after="0" w:afterAutospacing="0"/>
        <w:rPr>
          <w:rFonts w:asciiTheme="minorHAnsi" w:hAnsiTheme="minorHAnsi" w:cstheme="minorHAnsi"/>
          <w:b/>
          <w:bCs/>
          <w:u w:val="single"/>
        </w:rPr>
      </w:pPr>
    </w:p>
    <w:p w14:paraId="16BB2269" w14:textId="4749253D" w:rsidR="00DD386E" w:rsidRPr="00247F79" w:rsidRDefault="00ED5E90" w:rsidP="00DD386E">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Evaluate the aims and objectives of employment regulation </w:t>
      </w:r>
      <w:r w:rsidR="00DD386E" w:rsidRPr="00247F79">
        <w:rPr>
          <w:rFonts w:asciiTheme="minorHAnsi" w:hAnsiTheme="minorHAnsi" w:cstheme="minorHAnsi"/>
          <w:b/>
          <w:bCs/>
          <w:u w:val="single"/>
        </w:rPr>
        <w:t>(AC 1.1)</w:t>
      </w:r>
    </w:p>
    <w:p w14:paraId="0CD240BD" w14:textId="77777777" w:rsidR="00DD386E" w:rsidRPr="00247F79" w:rsidRDefault="00DD386E" w:rsidP="00DD386E">
      <w:pPr>
        <w:pStyle w:val="NormalWeb"/>
        <w:spacing w:before="105" w:beforeAutospacing="0" w:after="0" w:afterAutospacing="0"/>
        <w:rPr>
          <w:rFonts w:asciiTheme="minorHAnsi" w:hAnsiTheme="minorHAnsi" w:cstheme="minorHAnsi"/>
        </w:rPr>
      </w:pPr>
    </w:p>
    <w:p w14:paraId="1719EF25" w14:textId="33C7139E" w:rsidR="00153ED8" w:rsidRPr="00247F79" w:rsidRDefault="002E4E9D" w:rsidP="002E4E9D">
      <w:pPr>
        <w:rPr>
          <w:rFonts w:cstheme="minorHAnsi"/>
          <w:sz w:val="24"/>
          <w:szCs w:val="24"/>
          <w:lang w:eastAsia="en-GB"/>
        </w:rPr>
      </w:pPr>
      <w:bookmarkStart w:id="0" w:name="_Hlk173847971"/>
      <w:r w:rsidRPr="00247F79">
        <w:rPr>
          <w:rFonts w:cstheme="minorHAnsi"/>
          <w:sz w:val="24"/>
          <w:szCs w:val="24"/>
          <w:lang w:eastAsia="en-GB"/>
        </w:rPr>
        <w:t>In the UK, the laws and regulations that control the working relationship between employers and employees are referred to as employment regulations. Numerous topics are covered by these legislation</w:t>
      </w:r>
      <w:r w:rsidR="00241AD3" w:rsidRPr="00247F79">
        <w:rPr>
          <w:rFonts w:cstheme="minorHAnsi"/>
          <w:sz w:val="24"/>
          <w:szCs w:val="24"/>
          <w:lang w:eastAsia="en-GB"/>
        </w:rPr>
        <w:t>s</w:t>
      </w:r>
      <w:r w:rsidRPr="00247F79">
        <w:rPr>
          <w:rFonts w:cstheme="minorHAnsi"/>
          <w:sz w:val="24"/>
          <w:szCs w:val="24"/>
          <w:lang w:eastAsia="en-GB"/>
        </w:rPr>
        <w:t xml:space="preserve">, including National Minimum Wage, Working Hours, Discrimination, Health and Safety, and Termination of Employment. </w:t>
      </w:r>
      <w:r w:rsidR="00153ED8" w:rsidRPr="00247F79">
        <w:rPr>
          <w:rFonts w:cstheme="minorHAnsi"/>
          <w:sz w:val="24"/>
          <w:szCs w:val="24"/>
        </w:rPr>
        <w:t>The main sources of employment regulation in the UK include:</w:t>
      </w:r>
    </w:p>
    <w:p w14:paraId="58F82579" w14:textId="21672471" w:rsidR="00153ED8" w:rsidRPr="00247F79" w:rsidRDefault="00153ED8" w:rsidP="00153ED8">
      <w:pPr>
        <w:pStyle w:val="NormalWeb"/>
        <w:numPr>
          <w:ilvl w:val="0"/>
          <w:numId w:val="7"/>
        </w:numPr>
        <w:spacing w:before="105" w:beforeAutospacing="0" w:after="0" w:afterAutospacing="0"/>
        <w:rPr>
          <w:rFonts w:asciiTheme="minorHAnsi" w:hAnsiTheme="minorHAnsi" w:cstheme="minorHAnsi"/>
        </w:rPr>
      </w:pPr>
      <w:r w:rsidRPr="00247F79">
        <w:rPr>
          <w:rFonts w:asciiTheme="minorHAnsi" w:hAnsiTheme="minorHAnsi" w:cstheme="minorHAnsi"/>
        </w:rPr>
        <w:t>Employment Rights Act 1996: This legislation sets out the rights and responsibilities of both employers and employees, including terms and conditions of employment, termination of employment, and protection against unfair dismissal</w:t>
      </w:r>
      <w:r w:rsidR="002E4E9D" w:rsidRPr="00247F79">
        <w:rPr>
          <w:rFonts w:asciiTheme="minorHAnsi" w:hAnsiTheme="minorHAnsi" w:cstheme="minorHAnsi"/>
        </w:rPr>
        <w:t xml:space="preserve"> (GOV, 1996)</w:t>
      </w:r>
    </w:p>
    <w:p w14:paraId="42C2744A" w14:textId="4F73E2E9" w:rsidR="00153ED8" w:rsidRPr="00247F79" w:rsidRDefault="00153ED8" w:rsidP="00153ED8">
      <w:pPr>
        <w:pStyle w:val="NormalWeb"/>
        <w:numPr>
          <w:ilvl w:val="0"/>
          <w:numId w:val="7"/>
        </w:numPr>
        <w:spacing w:before="105" w:beforeAutospacing="0" w:after="0" w:afterAutospacing="0"/>
        <w:rPr>
          <w:rFonts w:asciiTheme="minorHAnsi" w:hAnsiTheme="minorHAnsi" w:cstheme="minorHAnsi"/>
        </w:rPr>
      </w:pPr>
      <w:r w:rsidRPr="00247F79">
        <w:rPr>
          <w:rFonts w:asciiTheme="minorHAnsi" w:hAnsiTheme="minorHAnsi" w:cstheme="minorHAnsi"/>
        </w:rPr>
        <w:t>Equality Act 2010: This legislation prohibits discrimination on the grounds of age, disability, gender, race, religion, and sexual orientation in the workplace</w:t>
      </w:r>
      <w:r w:rsidR="002E4E9D" w:rsidRPr="00247F79">
        <w:rPr>
          <w:rFonts w:asciiTheme="minorHAnsi" w:hAnsiTheme="minorHAnsi" w:cstheme="minorHAnsi"/>
        </w:rPr>
        <w:t xml:space="preserve"> (</w:t>
      </w:r>
      <w:r w:rsidR="00202E39" w:rsidRPr="00247F79">
        <w:rPr>
          <w:rFonts w:asciiTheme="minorHAnsi" w:hAnsiTheme="minorHAnsi" w:cstheme="minorHAnsi"/>
        </w:rPr>
        <w:t>GEO, 2013)</w:t>
      </w:r>
    </w:p>
    <w:p w14:paraId="38F412D9" w14:textId="37B99E76" w:rsidR="00153ED8" w:rsidRPr="00247F79" w:rsidRDefault="00153ED8" w:rsidP="00153ED8">
      <w:pPr>
        <w:pStyle w:val="NormalWeb"/>
        <w:numPr>
          <w:ilvl w:val="0"/>
          <w:numId w:val="7"/>
        </w:numPr>
        <w:spacing w:before="105" w:beforeAutospacing="0" w:after="0" w:afterAutospacing="0"/>
        <w:rPr>
          <w:rFonts w:asciiTheme="minorHAnsi" w:hAnsiTheme="minorHAnsi" w:cstheme="minorHAnsi"/>
        </w:rPr>
      </w:pPr>
      <w:r w:rsidRPr="00247F79">
        <w:rPr>
          <w:rFonts w:asciiTheme="minorHAnsi" w:hAnsiTheme="minorHAnsi" w:cstheme="minorHAnsi"/>
        </w:rPr>
        <w:t>Health and Safety at Work Act 1974: This law requires employers to ensure the health, safety, and welfare of their employees in the workplace</w:t>
      </w:r>
      <w:r w:rsidR="00202E39" w:rsidRPr="00247F79">
        <w:rPr>
          <w:rFonts w:asciiTheme="minorHAnsi" w:hAnsiTheme="minorHAnsi" w:cstheme="minorHAnsi"/>
        </w:rPr>
        <w:t xml:space="preserve"> (Croner, 2024</w:t>
      </w:r>
      <w:r w:rsidR="00B769E1" w:rsidRPr="00247F79">
        <w:rPr>
          <w:rFonts w:asciiTheme="minorHAnsi" w:hAnsiTheme="minorHAnsi" w:cstheme="minorHAnsi"/>
        </w:rPr>
        <w:t>a</w:t>
      </w:r>
      <w:r w:rsidR="00202E39" w:rsidRPr="00247F79">
        <w:rPr>
          <w:rFonts w:asciiTheme="minorHAnsi" w:hAnsiTheme="minorHAnsi" w:cstheme="minorHAnsi"/>
        </w:rPr>
        <w:t>)</w:t>
      </w:r>
    </w:p>
    <w:p w14:paraId="0683F21E" w14:textId="628AF41A" w:rsidR="00153ED8" w:rsidRPr="00247F79" w:rsidRDefault="00153ED8" w:rsidP="00153ED8">
      <w:pPr>
        <w:pStyle w:val="NormalWeb"/>
        <w:numPr>
          <w:ilvl w:val="0"/>
          <w:numId w:val="7"/>
        </w:numPr>
        <w:spacing w:before="105" w:beforeAutospacing="0" w:after="0" w:afterAutospacing="0"/>
        <w:rPr>
          <w:rFonts w:asciiTheme="minorHAnsi" w:hAnsiTheme="minorHAnsi" w:cstheme="minorHAnsi"/>
        </w:rPr>
      </w:pPr>
      <w:r w:rsidRPr="00247F79">
        <w:rPr>
          <w:rFonts w:asciiTheme="minorHAnsi" w:hAnsiTheme="minorHAnsi" w:cstheme="minorHAnsi"/>
        </w:rPr>
        <w:t>National Minimum Wage Act 1998: This legislation sets out the minimum wage that employers must pay their employees</w:t>
      </w:r>
      <w:r w:rsidR="00202E39" w:rsidRPr="00247F79">
        <w:rPr>
          <w:rFonts w:asciiTheme="minorHAnsi" w:hAnsiTheme="minorHAnsi" w:cstheme="minorHAnsi"/>
        </w:rPr>
        <w:t xml:space="preserve"> (GOV, 2024</w:t>
      </w:r>
      <w:r w:rsidR="004C4537" w:rsidRPr="00247F79">
        <w:rPr>
          <w:rFonts w:asciiTheme="minorHAnsi" w:hAnsiTheme="minorHAnsi" w:cstheme="minorHAnsi"/>
        </w:rPr>
        <w:t>a</w:t>
      </w:r>
      <w:r w:rsidR="00202E39" w:rsidRPr="00247F79">
        <w:rPr>
          <w:rFonts w:asciiTheme="minorHAnsi" w:hAnsiTheme="minorHAnsi" w:cstheme="minorHAnsi"/>
        </w:rPr>
        <w:t>)</w:t>
      </w:r>
    </w:p>
    <w:p w14:paraId="0EEC0FDD" w14:textId="2E41F259" w:rsidR="00153ED8" w:rsidRPr="00247F79" w:rsidRDefault="00153ED8" w:rsidP="00153ED8">
      <w:pPr>
        <w:pStyle w:val="NormalWeb"/>
        <w:numPr>
          <w:ilvl w:val="0"/>
          <w:numId w:val="7"/>
        </w:numPr>
        <w:spacing w:before="105" w:beforeAutospacing="0" w:after="0" w:afterAutospacing="0"/>
        <w:rPr>
          <w:rFonts w:asciiTheme="minorHAnsi" w:hAnsiTheme="minorHAnsi" w:cstheme="minorHAnsi"/>
        </w:rPr>
      </w:pPr>
      <w:r w:rsidRPr="00247F79">
        <w:rPr>
          <w:rFonts w:asciiTheme="minorHAnsi" w:hAnsiTheme="minorHAnsi" w:cstheme="minorHAnsi"/>
        </w:rPr>
        <w:t>Working Time Regulations 1998: These regulations govern working hours, rest breaks, and paid annual leave for employees</w:t>
      </w:r>
      <w:r w:rsidR="008D5FEA" w:rsidRPr="00247F79">
        <w:rPr>
          <w:rFonts w:asciiTheme="minorHAnsi" w:hAnsiTheme="minorHAnsi" w:cstheme="minorHAnsi"/>
        </w:rPr>
        <w:t xml:space="preserve"> (CIPD, 2024</w:t>
      </w:r>
      <w:r w:rsidR="00682C65" w:rsidRPr="00247F79">
        <w:rPr>
          <w:rFonts w:asciiTheme="minorHAnsi" w:hAnsiTheme="minorHAnsi" w:cstheme="minorHAnsi"/>
        </w:rPr>
        <w:t>a</w:t>
      </w:r>
      <w:r w:rsidR="008D5FEA" w:rsidRPr="00247F79">
        <w:rPr>
          <w:rFonts w:asciiTheme="minorHAnsi" w:hAnsiTheme="minorHAnsi" w:cstheme="minorHAnsi"/>
        </w:rPr>
        <w:t>)</w:t>
      </w:r>
    </w:p>
    <w:p w14:paraId="334B8F1A" w14:textId="75E62819" w:rsidR="00153ED8" w:rsidRPr="00247F79" w:rsidRDefault="00153ED8" w:rsidP="00153ED8">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Employment legislation in the UK is a comprehensive and evolving system designed to protect the rights of workers and ensure fair treatment in the workplace. </w:t>
      </w:r>
    </w:p>
    <w:p w14:paraId="74BDA9BD" w14:textId="4FD6629F" w:rsidR="00153ED8" w:rsidRPr="00247F79" w:rsidRDefault="00153ED8" w:rsidP="00153ED8">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One of the strengths of </w:t>
      </w:r>
      <w:r w:rsidR="00AC3676" w:rsidRPr="00247F79">
        <w:rPr>
          <w:rFonts w:asciiTheme="minorHAnsi" w:hAnsiTheme="minorHAnsi" w:cstheme="minorHAnsi"/>
        </w:rPr>
        <w:t xml:space="preserve">the </w:t>
      </w:r>
      <w:r w:rsidRPr="00247F79">
        <w:rPr>
          <w:rFonts w:asciiTheme="minorHAnsi" w:hAnsiTheme="minorHAnsi" w:cstheme="minorHAnsi"/>
        </w:rPr>
        <w:t>employment legislation is its focus on promoting equality and preventing discrimination in the workplace. The Equality Act prohibits discrimination on the basis of characteristics such as age, gender, race, and disability, ensuring that all workers are treated fairly and have equal access to job opportunities</w:t>
      </w:r>
      <w:r w:rsidR="008D5FEA" w:rsidRPr="00247F79">
        <w:rPr>
          <w:rFonts w:asciiTheme="minorHAnsi" w:hAnsiTheme="minorHAnsi" w:cstheme="minorHAnsi"/>
        </w:rPr>
        <w:t xml:space="preserve"> (ACAS, 2023).</w:t>
      </w:r>
    </w:p>
    <w:p w14:paraId="2B25BAF0" w14:textId="6E925157" w:rsidR="00153ED8" w:rsidRPr="00247F79" w:rsidRDefault="00153ED8" w:rsidP="00153ED8">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Another positive aspect of employment legislation is its commitment to protecting workers' rights and ensuring they are treated fairly by their employers. The Employment Rights Act sets out a range of rights for employees, including the right to receive a written contract of employment, the right to a minimum notice period, and the right to receive a minimum amount of paid annual leave</w:t>
      </w:r>
      <w:r w:rsidR="008D5FEA" w:rsidRPr="00247F79">
        <w:rPr>
          <w:rFonts w:asciiTheme="minorHAnsi" w:hAnsiTheme="minorHAnsi" w:cstheme="minorHAnsi"/>
        </w:rPr>
        <w:t xml:space="preserve"> (GOV, 1996).</w:t>
      </w:r>
    </w:p>
    <w:p w14:paraId="7B4515FF" w14:textId="4E7FF744" w:rsidR="00DD386E" w:rsidRPr="00247F79" w:rsidRDefault="00153ED8" w:rsidP="00DD386E">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However, there are criticisms of </w:t>
      </w:r>
      <w:r w:rsidR="00AC3676" w:rsidRPr="00247F79">
        <w:rPr>
          <w:rFonts w:asciiTheme="minorHAnsi" w:hAnsiTheme="minorHAnsi" w:cstheme="minorHAnsi"/>
        </w:rPr>
        <w:t>the</w:t>
      </w:r>
      <w:r w:rsidRPr="00247F79">
        <w:rPr>
          <w:rFonts w:asciiTheme="minorHAnsi" w:hAnsiTheme="minorHAnsi" w:cstheme="minorHAnsi"/>
        </w:rPr>
        <w:t xml:space="preserve"> employment legislation as well. Some argue that the system is overly complex and can be difficult for employers to navigate, leading to confusion and potential non-compliance. Additionally, some critics contend that the legislation does not go far enough in protecting vulnerable workers, such as those </w:t>
      </w:r>
      <w:r w:rsidR="008D5FEA" w:rsidRPr="00247F79">
        <w:rPr>
          <w:rFonts w:asciiTheme="minorHAnsi" w:hAnsiTheme="minorHAnsi" w:cstheme="minorHAnsi"/>
        </w:rPr>
        <w:t>who are self-employed</w:t>
      </w:r>
      <w:r w:rsidRPr="00247F79">
        <w:rPr>
          <w:rFonts w:asciiTheme="minorHAnsi" w:hAnsiTheme="minorHAnsi" w:cstheme="minorHAnsi"/>
        </w:rPr>
        <w:t xml:space="preserve"> or on zero-hour contracts</w:t>
      </w:r>
      <w:r w:rsidR="008D5FEA" w:rsidRPr="00247F79">
        <w:rPr>
          <w:rFonts w:asciiTheme="minorHAnsi" w:hAnsiTheme="minorHAnsi" w:cstheme="minorHAnsi"/>
        </w:rPr>
        <w:t xml:space="preserve"> (CIPD, 2023</w:t>
      </w:r>
      <w:r w:rsidR="00292961" w:rsidRPr="00247F79">
        <w:rPr>
          <w:rFonts w:asciiTheme="minorHAnsi" w:hAnsiTheme="minorHAnsi" w:cstheme="minorHAnsi"/>
        </w:rPr>
        <w:t>a</w:t>
      </w:r>
      <w:r w:rsidR="008D5FEA" w:rsidRPr="00247F79">
        <w:rPr>
          <w:rFonts w:asciiTheme="minorHAnsi" w:hAnsiTheme="minorHAnsi" w:cstheme="minorHAnsi"/>
        </w:rPr>
        <w:t>).</w:t>
      </w:r>
    </w:p>
    <w:bookmarkEnd w:id="0"/>
    <w:p w14:paraId="63C10A89" w14:textId="77777777" w:rsidR="00153ED8" w:rsidRPr="00247F79" w:rsidRDefault="00153ED8" w:rsidP="00DD386E">
      <w:pPr>
        <w:pStyle w:val="NormalWeb"/>
        <w:spacing w:before="105" w:beforeAutospacing="0" w:after="0" w:afterAutospacing="0"/>
        <w:rPr>
          <w:rFonts w:asciiTheme="minorHAnsi" w:hAnsiTheme="minorHAnsi" w:cstheme="minorHAnsi"/>
        </w:rPr>
      </w:pPr>
    </w:p>
    <w:p w14:paraId="773008A6" w14:textId="77777777" w:rsidR="006C1640" w:rsidRPr="00247F79" w:rsidRDefault="006C1640" w:rsidP="00DD386E">
      <w:pPr>
        <w:pStyle w:val="NormalWeb"/>
        <w:spacing w:before="105" w:beforeAutospacing="0" w:after="0" w:afterAutospacing="0"/>
        <w:rPr>
          <w:rFonts w:asciiTheme="minorHAnsi" w:hAnsiTheme="minorHAnsi" w:cstheme="minorHAnsi"/>
        </w:rPr>
      </w:pPr>
    </w:p>
    <w:p w14:paraId="18A741A6" w14:textId="77777777" w:rsidR="006C1640" w:rsidRPr="00247F79" w:rsidRDefault="006C1640" w:rsidP="00DD386E">
      <w:pPr>
        <w:pStyle w:val="NormalWeb"/>
        <w:spacing w:before="105" w:beforeAutospacing="0" w:after="0" w:afterAutospacing="0"/>
        <w:rPr>
          <w:rFonts w:asciiTheme="minorHAnsi" w:hAnsiTheme="minorHAnsi" w:cstheme="minorHAnsi"/>
        </w:rPr>
      </w:pPr>
    </w:p>
    <w:p w14:paraId="64F46C28" w14:textId="77777777" w:rsidR="006C1640" w:rsidRPr="00247F79" w:rsidRDefault="006C1640" w:rsidP="00DD386E">
      <w:pPr>
        <w:pStyle w:val="NormalWeb"/>
        <w:spacing w:before="105" w:beforeAutospacing="0" w:after="0" w:afterAutospacing="0"/>
        <w:rPr>
          <w:rFonts w:asciiTheme="minorHAnsi" w:hAnsiTheme="minorHAnsi" w:cstheme="minorHAnsi"/>
        </w:rPr>
      </w:pPr>
    </w:p>
    <w:p w14:paraId="0C5447E6" w14:textId="77777777" w:rsidR="006C1640" w:rsidRPr="00247F79" w:rsidRDefault="006C1640" w:rsidP="00DD386E">
      <w:pPr>
        <w:pStyle w:val="NormalWeb"/>
        <w:spacing w:before="105" w:beforeAutospacing="0" w:after="0" w:afterAutospacing="0"/>
        <w:rPr>
          <w:rFonts w:asciiTheme="minorHAnsi" w:hAnsiTheme="minorHAnsi" w:cstheme="minorHAnsi"/>
        </w:rPr>
      </w:pPr>
    </w:p>
    <w:p w14:paraId="5A5D4BC2" w14:textId="77777777" w:rsidR="006C1640" w:rsidRPr="00247F79" w:rsidRDefault="006C1640" w:rsidP="00DD386E">
      <w:pPr>
        <w:pStyle w:val="NormalWeb"/>
        <w:spacing w:before="105" w:beforeAutospacing="0" w:after="0" w:afterAutospacing="0"/>
        <w:rPr>
          <w:rFonts w:asciiTheme="minorHAnsi" w:hAnsiTheme="minorHAnsi" w:cstheme="minorHAnsi"/>
        </w:rPr>
      </w:pPr>
    </w:p>
    <w:p w14:paraId="7E840B5B" w14:textId="77777777" w:rsidR="006C1640" w:rsidRPr="00247F79" w:rsidRDefault="006C1640" w:rsidP="00DD386E">
      <w:pPr>
        <w:pStyle w:val="NormalWeb"/>
        <w:spacing w:before="105" w:beforeAutospacing="0" w:after="0" w:afterAutospacing="0"/>
        <w:rPr>
          <w:rFonts w:asciiTheme="minorHAnsi" w:hAnsiTheme="minorHAnsi" w:cstheme="minorHAnsi"/>
          <w:b/>
          <w:bCs/>
          <w:u w:val="single"/>
        </w:rPr>
      </w:pPr>
    </w:p>
    <w:p w14:paraId="487DF388" w14:textId="40ADB9E3" w:rsidR="00DD386E" w:rsidRPr="00247F79" w:rsidRDefault="00ED5E90" w:rsidP="00DD386E">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Examine the role played by the tribunal and courts system in enforcing employment law </w:t>
      </w:r>
      <w:r w:rsidR="00DD386E" w:rsidRPr="00247F79">
        <w:rPr>
          <w:rFonts w:asciiTheme="minorHAnsi" w:hAnsiTheme="minorHAnsi" w:cstheme="minorHAnsi"/>
          <w:b/>
          <w:bCs/>
          <w:u w:val="single"/>
        </w:rPr>
        <w:t>(AC 1.2)</w:t>
      </w:r>
    </w:p>
    <w:p w14:paraId="5B2F0545" w14:textId="77777777" w:rsidR="00C4661E" w:rsidRPr="00247F79" w:rsidRDefault="00C4661E">
      <w:pPr>
        <w:rPr>
          <w:rFonts w:cstheme="minorHAnsi"/>
          <w:sz w:val="24"/>
          <w:szCs w:val="24"/>
        </w:rPr>
      </w:pPr>
    </w:p>
    <w:p w14:paraId="39184680" w14:textId="35018250" w:rsidR="009431F7" w:rsidRPr="00247F79" w:rsidRDefault="009431F7" w:rsidP="009431F7">
      <w:pPr>
        <w:pStyle w:val="NormalWeb"/>
        <w:spacing w:before="105" w:beforeAutospacing="0" w:after="0" w:afterAutospacing="0"/>
        <w:rPr>
          <w:rFonts w:asciiTheme="minorHAnsi" w:hAnsiTheme="minorHAnsi" w:cstheme="minorHAnsi"/>
        </w:rPr>
      </w:pPr>
      <w:bookmarkStart w:id="1" w:name="_Hlk173847977"/>
      <w:r w:rsidRPr="00247F79">
        <w:rPr>
          <w:rFonts w:asciiTheme="minorHAnsi" w:hAnsiTheme="minorHAnsi" w:cstheme="minorHAnsi"/>
        </w:rPr>
        <w:t>The tribunal and courts system plays a crucial role in enforcing employment law by providing a forum for resolving disputes between employers and employees. The system includes employment tribunals, the Employment Appeal Tribunal, and higher courts such as the High Court and Court of Appeal</w:t>
      </w:r>
      <w:r w:rsidR="00FD1319" w:rsidRPr="00247F79">
        <w:rPr>
          <w:rFonts w:asciiTheme="minorHAnsi" w:hAnsiTheme="minorHAnsi" w:cstheme="minorHAnsi"/>
        </w:rPr>
        <w:t xml:space="preserve"> (Ayling and </w:t>
      </w:r>
      <w:proofErr w:type="spellStart"/>
      <w:r w:rsidR="00FD1319" w:rsidRPr="00247F79">
        <w:rPr>
          <w:rFonts w:asciiTheme="minorHAnsi" w:hAnsiTheme="minorHAnsi" w:cstheme="minorHAnsi"/>
        </w:rPr>
        <w:t>Suff</w:t>
      </w:r>
      <w:proofErr w:type="spellEnd"/>
      <w:r w:rsidR="00FD1319" w:rsidRPr="00247F79">
        <w:rPr>
          <w:rFonts w:asciiTheme="minorHAnsi" w:hAnsiTheme="minorHAnsi" w:cstheme="minorHAnsi"/>
        </w:rPr>
        <w:t>, 2023)</w:t>
      </w:r>
    </w:p>
    <w:p w14:paraId="735563C1" w14:textId="77777777" w:rsidR="009431F7" w:rsidRPr="00247F79" w:rsidRDefault="009431F7" w:rsidP="009431F7">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Employment tribunals are independent bodies that hear and decide on cases related to employment disputes, such as unfair dismissal, discrimination, and breach of contract. They provide an accessible and informal means for individuals to seek redress for employment law breaches without the need for expensive legal representation. Employment tribunals have the power to make legally binding decisions and award compensation to successful claimants.</w:t>
      </w:r>
    </w:p>
    <w:p w14:paraId="2DE0D95A" w14:textId="11204A7C" w:rsidR="009431F7" w:rsidRPr="00247F79" w:rsidRDefault="009431F7" w:rsidP="009431F7">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The Employment Appeal Tribunal is a higher court that hears appeals from decisions made by employment tribunals. It ensures consistency in the interpretation and application of employment law and provides a mechanism for reviewing decisions that may have been made in error</w:t>
      </w:r>
      <w:r w:rsidR="00351726" w:rsidRPr="00247F79">
        <w:rPr>
          <w:rFonts w:asciiTheme="minorHAnsi" w:hAnsiTheme="minorHAnsi" w:cstheme="minorHAnsi"/>
        </w:rPr>
        <w:t xml:space="preserve"> (Taylor, 2023).</w:t>
      </w:r>
    </w:p>
    <w:p w14:paraId="25FF1D73" w14:textId="77777777" w:rsidR="009431F7" w:rsidRPr="00247F79" w:rsidRDefault="009431F7" w:rsidP="009431F7">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The higher courts, such as the High Court and Court of Appeal, also play a role in enforcing employment law by hearing cases that raise important legal issues or involve complex matters of law. These courts provide a further avenue for individuals to seek justice and uphold their rights under employment law.</w:t>
      </w:r>
    </w:p>
    <w:p w14:paraId="471990C1" w14:textId="4A7F0FF3" w:rsidR="009431F7" w:rsidRPr="00247F79" w:rsidRDefault="009431F7" w:rsidP="009431F7">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Overall, the tribunal and courts system in the UK plays a vital role in enforcing employment law by providing a fair and impartial forum for resolving disputes, upholding the rule of law, and ensuring that employers comply with their legal obligations towards their employees. By holding employers accountable for breaches of employment law, the system helps to protect the rights and interests of workers and promote fairness and equality in the workplace</w:t>
      </w:r>
      <w:r w:rsidR="00351726" w:rsidRPr="00247F79">
        <w:rPr>
          <w:rFonts w:asciiTheme="minorHAnsi" w:hAnsiTheme="minorHAnsi" w:cstheme="minorHAnsi"/>
        </w:rPr>
        <w:t xml:space="preserve"> (Taylor, 2023).</w:t>
      </w:r>
    </w:p>
    <w:bookmarkEnd w:id="1"/>
    <w:p w14:paraId="1B14822B" w14:textId="77777777" w:rsidR="00DD386E" w:rsidRPr="00247F79" w:rsidRDefault="00DD386E">
      <w:pPr>
        <w:rPr>
          <w:rFonts w:cstheme="minorHAnsi"/>
          <w:sz w:val="24"/>
          <w:szCs w:val="24"/>
        </w:rPr>
      </w:pPr>
    </w:p>
    <w:p w14:paraId="5E663C17" w14:textId="1ECBAEB2" w:rsidR="00DD386E" w:rsidRPr="00247F79" w:rsidRDefault="00ED5E90">
      <w:pPr>
        <w:rPr>
          <w:rFonts w:cstheme="minorHAnsi"/>
          <w:b/>
          <w:bCs/>
          <w:sz w:val="24"/>
          <w:szCs w:val="24"/>
          <w:u w:val="single"/>
        </w:rPr>
      </w:pPr>
      <w:r w:rsidRPr="00247F79">
        <w:rPr>
          <w:rFonts w:cstheme="minorHAnsi"/>
          <w:b/>
          <w:bCs/>
          <w:sz w:val="24"/>
          <w:szCs w:val="24"/>
          <w:u w:val="single"/>
        </w:rPr>
        <w:t xml:space="preserve">Explain how cases are settled before and during legal procedures  </w:t>
      </w:r>
      <w:r w:rsidR="00DD386E" w:rsidRPr="00247F79">
        <w:rPr>
          <w:rFonts w:cstheme="minorHAnsi"/>
          <w:b/>
          <w:bCs/>
          <w:sz w:val="24"/>
          <w:szCs w:val="24"/>
          <w:u w:val="single"/>
        </w:rPr>
        <w:t>(AC 1.3)</w:t>
      </w:r>
    </w:p>
    <w:p w14:paraId="14F35C2E" w14:textId="1E086881" w:rsidR="00153ED8" w:rsidRPr="00247F79" w:rsidRDefault="00153ED8" w:rsidP="00DD386E">
      <w:pPr>
        <w:pStyle w:val="NormalWeb"/>
        <w:spacing w:before="105" w:beforeAutospacing="0" w:after="0" w:afterAutospacing="0"/>
        <w:rPr>
          <w:rFonts w:asciiTheme="minorHAnsi" w:hAnsiTheme="minorHAnsi" w:cstheme="minorHAnsi"/>
          <w:strike/>
        </w:rPr>
      </w:pPr>
      <w:bookmarkStart w:id="2" w:name="_Hlk170982847"/>
      <w:r w:rsidRPr="00247F79">
        <w:rPr>
          <w:rFonts w:asciiTheme="minorHAnsi" w:hAnsiTheme="minorHAnsi" w:cstheme="minorHAnsi"/>
          <w:strike/>
        </w:rPr>
        <w:t xml:space="preserve">Employment tribunals in the UK enforce employment regulations by hearing and ruling on cases brought before them by employees or employers who believe that their rights have been </w:t>
      </w:r>
      <w:r w:rsidR="00574F64" w:rsidRPr="00247F79">
        <w:rPr>
          <w:rFonts w:asciiTheme="minorHAnsi" w:hAnsiTheme="minorHAnsi" w:cstheme="minorHAnsi"/>
          <w:strike/>
        </w:rPr>
        <w:t>breached</w:t>
      </w:r>
      <w:r w:rsidRPr="00247F79">
        <w:rPr>
          <w:rFonts w:asciiTheme="minorHAnsi" w:hAnsiTheme="minorHAnsi" w:cstheme="minorHAnsi"/>
          <w:strike/>
        </w:rPr>
        <w:t>. If it is found that an employer has breached employment regulations, the tribunal can order them to pay compensation to the employee, reinstate the employee, or take other appropriate action to remedy the situation. Additionally, the tribunal has the power to issue enforcement orders to ensure that the employer complies with the ruling. Failure to comply with a tribunal's decision can result in further legal action, including additional penalties or fines. Ultimately, the enforcement of employment regulations by tribunals aims to protect the rights of employees and ensure fair treatment in the workplace</w:t>
      </w:r>
      <w:r w:rsidR="00351726" w:rsidRPr="00247F79">
        <w:rPr>
          <w:rFonts w:asciiTheme="minorHAnsi" w:hAnsiTheme="minorHAnsi" w:cstheme="minorHAnsi"/>
          <w:strike/>
        </w:rPr>
        <w:t xml:space="preserve"> (ACAS, 2018).</w:t>
      </w:r>
    </w:p>
    <w:p w14:paraId="102CD833" w14:textId="02A527C5" w:rsidR="00DD386E" w:rsidRPr="00247F79" w:rsidRDefault="00DD386E" w:rsidP="00DD386E">
      <w:pPr>
        <w:pStyle w:val="NormalWeb"/>
        <w:spacing w:before="105" w:beforeAutospacing="0" w:after="0" w:afterAutospacing="0"/>
        <w:rPr>
          <w:rFonts w:asciiTheme="minorHAnsi" w:hAnsiTheme="minorHAnsi" w:cstheme="minorHAnsi"/>
          <w:strike/>
        </w:rPr>
      </w:pPr>
      <w:r w:rsidRPr="00247F79">
        <w:rPr>
          <w:rFonts w:asciiTheme="minorHAnsi" w:hAnsiTheme="minorHAnsi" w:cstheme="minorHAnsi"/>
          <w:strike/>
        </w:rPr>
        <w:lastRenderedPageBreak/>
        <w:t xml:space="preserve">Cases can be settled before or during legal procedures through various methods such as negotiation, mediation, or arbitration. </w:t>
      </w:r>
    </w:p>
    <w:p w14:paraId="236EE728" w14:textId="46E43175" w:rsidR="00DD386E" w:rsidRPr="00247F79" w:rsidRDefault="00DD386E" w:rsidP="00DD386E">
      <w:pPr>
        <w:pStyle w:val="NormalWeb"/>
        <w:spacing w:before="105" w:beforeAutospacing="0" w:after="0" w:afterAutospacing="0"/>
        <w:rPr>
          <w:rFonts w:asciiTheme="minorHAnsi" w:hAnsiTheme="minorHAnsi" w:cstheme="minorHAnsi"/>
          <w:strike/>
        </w:rPr>
      </w:pPr>
      <w:r w:rsidRPr="00247F79">
        <w:rPr>
          <w:rFonts w:asciiTheme="minorHAnsi" w:hAnsiTheme="minorHAnsi" w:cstheme="minorHAnsi"/>
          <w:strike/>
        </w:rPr>
        <w:t>Before legal proceedings begin, parties may choose to enter into settlement negotiations in order to avoid the time and expense associated with a trial. This can involve discussions between the parties or their lawyers, as well as the involvement of a neutral third party mediator to facilitate communication and help reach a mutually agreeable resolution. Settlement negotiations can be formal or informal, and may result in a written agreement outlining the terms of the settlement</w:t>
      </w:r>
      <w:r w:rsidR="00351726" w:rsidRPr="00247F79">
        <w:rPr>
          <w:rFonts w:asciiTheme="minorHAnsi" w:hAnsiTheme="minorHAnsi" w:cstheme="minorHAnsi"/>
          <w:strike/>
        </w:rPr>
        <w:t xml:space="preserve"> (Ayling and </w:t>
      </w:r>
      <w:proofErr w:type="spellStart"/>
      <w:r w:rsidR="00351726" w:rsidRPr="00247F79">
        <w:rPr>
          <w:rFonts w:asciiTheme="minorHAnsi" w:hAnsiTheme="minorHAnsi" w:cstheme="minorHAnsi"/>
          <w:strike/>
        </w:rPr>
        <w:t>Suff</w:t>
      </w:r>
      <w:proofErr w:type="spellEnd"/>
      <w:r w:rsidR="00351726" w:rsidRPr="00247F79">
        <w:rPr>
          <w:rFonts w:asciiTheme="minorHAnsi" w:hAnsiTheme="minorHAnsi" w:cstheme="minorHAnsi"/>
          <w:strike/>
        </w:rPr>
        <w:t>, 2023)</w:t>
      </w:r>
    </w:p>
    <w:p w14:paraId="70A6C012" w14:textId="77777777" w:rsidR="00DD386E" w:rsidRPr="00247F79" w:rsidRDefault="00DD386E" w:rsidP="00DD386E">
      <w:pPr>
        <w:pStyle w:val="NormalWeb"/>
        <w:spacing w:before="105" w:beforeAutospacing="0" w:after="0" w:afterAutospacing="0"/>
        <w:rPr>
          <w:rFonts w:asciiTheme="minorHAnsi" w:hAnsiTheme="minorHAnsi" w:cstheme="minorHAnsi"/>
          <w:strike/>
        </w:rPr>
      </w:pPr>
      <w:r w:rsidRPr="00247F79">
        <w:rPr>
          <w:rFonts w:asciiTheme="minorHAnsi" w:hAnsiTheme="minorHAnsi" w:cstheme="minorHAnsi"/>
          <w:strike/>
        </w:rPr>
        <w:t>During legal proceedings, parties may also choose to settle their case through negotiation or alternative dispute resolution methods such as mediation or arbitration. In these cases, the parties may agree to pause the court proceedings in order to attempt to reach a settlement outside of the courtroom. If a settlement is reached, the parties can submit a written agreement to the court for approval, and the case can be resolved without the need for a trial.</w:t>
      </w:r>
    </w:p>
    <w:bookmarkEnd w:id="2"/>
    <w:p w14:paraId="2C86273B" w14:textId="77777777" w:rsidR="00786033" w:rsidRPr="00247F79" w:rsidRDefault="00786033" w:rsidP="00DD386E">
      <w:pPr>
        <w:pStyle w:val="NormalWeb"/>
        <w:spacing w:before="105" w:beforeAutospacing="0" w:after="0" w:afterAutospacing="0"/>
        <w:rPr>
          <w:rFonts w:asciiTheme="minorHAnsi" w:hAnsiTheme="minorHAnsi" w:cstheme="minorHAnsi"/>
          <w:strike/>
          <w:color w:val="FF0000"/>
        </w:rPr>
      </w:pPr>
    </w:p>
    <w:p w14:paraId="23A128F1" w14:textId="71BA34A0" w:rsidR="00786033" w:rsidRPr="00421E00" w:rsidRDefault="00786033" w:rsidP="00F05BA9">
      <w:pPr>
        <w:rPr>
          <w:rFonts w:cstheme="minorHAnsi"/>
          <w:strike/>
          <w:sz w:val="24"/>
          <w:szCs w:val="24"/>
          <w:lang w:eastAsia="en-GB"/>
        </w:rPr>
      </w:pPr>
      <w:bookmarkStart w:id="3" w:name="_Hlk170982953"/>
      <w:r w:rsidRPr="00421E00">
        <w:rPr>
          <w:rFonts w:cstheme="minorHAnsi"/>
          <w:strike/>
          <w:sz w:val="24"/>
          <w:szCs w:val="24"/>
          <w:lang w:eastAsia="en-GB"/>
        </w:rPr>
        <w:t>The processes for settling disputes pertaining to employment are outlined in the Employment Rights Act of 1996. It is highly recommended that an employee submit a formal complaint with ACAS prior to taking their case before an employment tribunal. If both sides agree to ACAS's involvement, it can settle conflicts at work. The goal of ACAS is to support the parties in resolving their disagreement in a cooperative manner. ACAS has achieved its goal when it pinpoints the issue's origin and gives all parties a chance to express their concerns</w:t>
      </w:r>
      <w:r w:rsidR="008603B2" w:rsidRPr="00421E00">
        <w:rPr>
          <w:rFonts w:cstheme="minorHAnsi"/>
          <w:strike/>
          <w:sz w:val="24"/>
          <w:szCs w:val="24"/>
          <w:lang w:eastAsia="en-GB"/>
        </w:rPr>
        <w:t xml:space="preserve"> (ACAS, 2018)</w:t>
      </w:r>
    </w:p>
    <w:p w14:paraId="7C9138A1" w14:textId="684DFC13" w:rsidR="00F05BA9" w:rsidRPr="00421E00" w:rsidRDefault="00F05BA9" w:rsidP="00F05BA9">
      <w:pPr>
        <w:rPr>
          <w:rFonts w:cstheme="minorHAnsi"/>
          <w:strike/>
          <w:sz w:val="24"/>
          <w:szCs w:val="24"/>
        </w:rPr>
      </w:pPr>
      <w:r w:rsidRPr="00421E00">
        <w:rPr>
          <w:rFonts w:cstheme="minorHAnsi"/>
          <w:strike/>
          <w:sz w:val="24"/>
          <w:szCs w:val="24"/>
          <w:lang w:eastAsia="en-GB"/>
        </w:rPr>
        <w:t>ACAS may ask if the claimant is interested in preliminary conciliation when the claimant declares their intention to submit a claim</w:t>
      </w:r>
      <w:r w:rsidRPr="00421E00">
        <w:rPr>
          <w:rFonts w:cstheme="minorHAnsi"/>
          <w:strike/>
          <w:sz w:val="24"/>
          <w:szCs w:val="24"/>
        </w:rPr>
        <w:t xml:space="preserve">. </w:t>
      </w:r>
      <w:r w:rsidRPr="00421E00">
        <w:rPr>
          <w:rFonts w:cstheme="minorHAnsi"/>
          <w:strike/>
          <w:sz w:val="24"/>
          <w:szCs w:val="24"/>
          <w:lang w:eastAsia="en-GB"/>
        </w:rPr>
        <w:t>If an employee is willing to participate in early conciliation, ACAS will ask them for information. It is necessary to send a follow-up email, letter, or phone call outlining the person's ultimate decision and the reason for the problem. The conciliator will then communicate with the complainant to ascertain the complainant's desired resolution. The mediator will start communication between the parties regarding resolution after getting confirmation from the respondent. The conciliator will use the COT3 form to draft a formal agreement as soon as a mutual understanding is achieved, outlining the terms of the agreement</w:t>
      </w:r>
      <w:r w:rsidR="00F21F7E" w:rsidRPr="00421E00">
        <w:rPr>
          <w:rFonts w:cstheme="minorHAnsi"/>
          <w:strike/>
          <w:sz w:val="24"/>
          <w:szCs w:val="24"/>
          <w:lang w:eastAsia="en-GB"/>
        </w:rPr>
        <w:t xml:space="preserve"> (ACAS, 2018).</w:t>
      </w:r>
    </w:p>
    <w:p w14:paraId="430ADEDA" w14:textId="65D24C3D" w:rsidR="00786033" w:rsidRPr="00421E00" w:rsidRDefault="00F05BA9" w:rsidP="00F05BA9">
      <w:pPr>
        <w:rPr>
          <w:rFonts w:cstheme="minorHAnsi"/>
          <w:strike/>
          <w:sz w:val="24"/>
          <w:szCs w:val="24"/>
          <w:lang w:eastAsia="en-GB"/>
        </w:rPr>
      </w:pPr>
      <w:r w:rsidRPr="00421E00">
        <w:rPr>
          <w:rFonts w:cstheme="minorHAnsi"/>
          <w:strike/>
          <w:sz w:val="24"/>
          <w:szCs w:val="24"/>
        </w:rPr>
        <w:t>A COT3 agreement is a type of collective agreement in the UK that helps resolve employment disputes between employers and trade unions. It's a tripartite agreement that involves an independent chairperson to help parties reach a settlement. The agreement outlines procedures for conciliation, arbitration, or tribunal proceedings to resolve disputes on grievances, discipline, redundancy, and pay and conditions. The benefits include speedier resolution, cost-effectiveness, confidentiality, and increased trust. COT3 agreements are commonly used in industries with collective bargaining agreements, such as manufacturing, transportation, and public services</w:t>
      </w:r>
      <w:r w:rsidR="00F21F7E" w:rsidRPr="00421E00">
        <w:rPr>
          <w:rFonts w:cstheme="minorHAnsi"/>
          <w:strike/>
          <w:sz w:val="24"/>
          <w:szCs w:val="24"/>
        </w:rPr>
        <w:t xml:space="preserve"> (</w:t>
      </w:r>
      <w:proofErr w:type="spellStart"/>
      <w:r w:rsidR="00F21F7E" w:rsidRPr="00421E00">
        <w:rPr>
          <w:rFonts w:cstheme="minorHAnsi"/>
          <w:strike/>
          <w:sz w:val="24"/>
          <w:szCs w:val="24"/>
        </w:rPr>
        <w:t>Stoimenidi</w:t>
      </w:r>
      <w:proofErr w:type="spellEnd"/>
      <w:r w:rsidR="00F21F7E" w:rsidRPr="00421E00">
        <w:rPr>
          <w:rFonts w:cstheme="minorHAnsi"/>
          <w:strike/>
          <w:sz w:val="24"/>
          <w:szCs w:val="24"/>
        </w:rPr>
        <w:t>, 2023)</w:t>
      </w:r>
    </w:p>
    <w:p w14:paraId="5310E962" w14:textId="2D1273C4" w:rsidR="00786033" w:rsidRPr="00421E00" w:rsidRDefault="00F05BA9" w:rsidP="00F05BA9">
      <w:pPr>
        <w:rPr>
          <w:rFonts w:cstheme="minorHAnsi"/>
          <w:strike/>
          <w:sz w:val="24"/>
          <w:szCs w:val="24"/>
          <w:lang w:eastAsia="en-GB"/>
        </w:rPr>
      </w:pPr>
      <w:r w:rsidRPr="00421E00">
        <w:rPr>
          <w:rFonts w:cstheme="minorHAnsi"/>
          <w:strike/>
          <w:sz w:val="24"/>
          <w:szCs w:val="24"/>
          <w:lang w:eastAsia="en-GB"/>
        </w:rPr>
        <w:lastRenderedPageBreak/>
        <w:t xml:space="preserve">When a dispute is settled in a formal legal action, the parties will decide on the terms of a settlement agreement by negotiation. According to </w:t>
      </w:r>
      <w:r w:rsidR="00247F79" w:rsidRPr="00421E00">
        <w:rPr>
          <w:rFonts w:cstheme="minorHAnsi"/>
          <w:strike/>
          <w:sz w:val="24"/>
          <w:szCs w:val="24"/>
          <w:lang w:eastAsia="en-GB"/>
        </w:rPr>
        <w:t>ACAS,</w:t>
      </w:r>
      <w:r w:rsidRPr="00421E00">
        <w:rPr>
          <w:rFonts w:cstheme="minorHAnsi"/>
          <w:strike/>
          <w:sz w:val="24"/>
          <w:szCs w:val="24"/>
          <w:lang w:eastAsia="en-GB"/>
        </w:rPr>
        <w:t xml:space="preserve"> arbitration or mediation can be used to achieve this. Following the conclusion of negotiations, all required steps are taken on behalf of the client to apply for the settlement and go forward with other cases or business endeavours knowing that the issue has been resolved. An unbiased third party without a stake in the outcome of the dispute must be chosen to act as the arbitrator in a mediation. Instead, in an effort to learn more, they query the employee and employer a number of times</w:t>
      </w:r>
      <w:bookmarkEnd w:id="3"/>
      <w:r w:rsidR="00247F79" w:rsidRPr="00421E00">
        <w:rPr>
          <w:rFonts w:cstheme="minorHAnsi"/>
          <w:strike/>
          <w:sz w:val="24"/>
          <w:szCs w:val="24"/>
          <w:lang w:eastAsia="en-GB"/>
        </w:rPr>
        <w:t xml:space="preserve"> (ACAS, 2018).</w:t>
      </w:r>
    </w:p>
    <w:p w14:paraId="48236AE0" w14:textId="5638D892" w:rsidR="00DD386E" w:rsidRDefault="00DD386E" w:rsidP="00DD386E">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Overall, settling a case before or during legal procedures can be beneficial for both parties as it can save time, money, and emotional stress associated with litigation. It also allows the parties to have more control over the outcome of the case and can result in a quicker resolution to the dispute</w:t>
      </w:r>
      <w:r w:rsidR="00B769E1" w:rsidRPr="00421E00">
        <w:rPr>
          <w:rFonts w:asciiTheme="minorHAnsi" w:hAnsiTheme="minorHAnsi" w:cstheme="minorHAnsi"/>
          <w:strike/>
        </w:rPr>
        <w:t xml:space="preserve"> (Corner, 2024b).</w:t>
      </w:r>
    </w:p>
    <w:p w14:paraId="04A54BA5" w14:textId="77777777" w:rsidR="00421E00" w:rsidRDefault="00421E00" w:rsidP="00421E00">
      <w:pPr>
        <w:rPr>
          <w:rFonts w:cstheme="minorHAnsi"/>
          <w:sz w:val="24"/>
          <w:szCs w:val="24"/>
          <w:lang w:eastAsia="en-GB"/>
        </w:rPr>
      </w:pPr>
    </w:p>
    <w:p w14:paraId="0D24E562" w14:textId="0084E080" w:rsidR="00421E00" w:rsidRPr="00421E00" w:rsidRDefault="00421E00" w:rsidP="00421E00">
      <w:pPr>
        <w:rPr>
          <w:rFonts w:cstheme="minorHAnsi"/>
          <w:color w:val="FF0000"/>
          <w:sz w:val="24"/>
          <w:szCs w:val="24"/>
          <w:lang w:eastAsia="en-GB"/>
        </w:rPr>
      </w:pPr>
      <w:bookmarkStart w:id="4" w:name="_Hlk173847986"/>
      <w:r w:rsidRPr="00421E00">
        <w:rPr>
          <w:rFonts w:cstheme="minorHAnsi"/>
          <w:color w:val="FF0000"/>
          <w:sz w:val="24"/>
          <w:szCs w:val="24"/>
          <w:lang w:eastAsia="en-GB"/>
        </w:rPr>
        <w:t>ACAS conciliation, which involves using a COT3, mediation, or direct communication between employers and employees are some of the methods by which disputes can be resolved without resorting to an Employment Tribunal (ACAS, 2022).</w:t>
      </w:r>
    </w:p>
    <w:p w14:paraId="5B80AB87" w14:textId="77777777" w:rsidR="00421E00" w:rsidRPr="00421E00" w:rsidRDefault="00421E00" w:rsidP="00421E00">
      <w:pPr>
        <w:rPr>
          <w:rFonts w:cstheme="minorHAnsi"/>
          <w:color w:val="FF0000"/>
          <w:sz w:val="24"/>
          <w:szCs w:val="24"/>
          <w:lang w:eastAsia="en-GB"/>
        </w:rPr>
      </w:pPr>
      <w:r w:rsidRPr="00421E00">
        <w:rPr>
          <w:rFonts w:cstheme="minorHAnsi"/>
          <w:color w:val="FF0000"/>
          <w:sz w:val="24"/>
          <w:szCs w:val="24"/>
          <w:lang w:eastAsia="en-GB"/>
        </w:rPr>
        <w:t>ACAS will ask if the claimant is interested in preliminary conciliation when the claimant declares their intention to submit a claim</w:t>
      </w:r>
      <w:r w:rsidRPr="00421E00">
        <w:rPr>
          <w:rFonts w:cstheme="minorHAnsi"/>
          <w:color w:val="FF0000"/>
          <w:sz w:val="24"/>
          <w:szCs w:val="24"/>
        </w:rPr>
        <w:t xml:space="preserve">. </w:t>
      </w:r>
      <w:r w:rsidRPr="00421E00">
        <w:rPr>
          <w:rFonts w:cstheme="minorHAnsi"/>
          <w:color w:val="FF0000"/>
          <w:sz w:val="24"/>
          <w:szCs w:val="24"/>
          <w:lang w:eastAsia="en-GB"/>
        </w:rPr>
        <w:t>If an employee is willing to participate in early conciliation, ACAS (2022) will, while being unbiased, communicate with and assist both parties in communicating in an effort to address the problem. The objective is to collaboratively come to a decision and a course of action to prevent drawn-out and expensive legal proceedings (ACAS, 2022). This process is free for the employee to use; however, it will usually end in a lump sum payment from the employer to the employee.</w:t>
      </w:r>
    </w:p>
    <w:p w14:paraId="72414C75" w14:textId="77777777" w:rsidR="00421E00" w:rsidRPr="00421E00" w:rsidRDefault="00421E00" w:rsidP="00421E00">
      <w:pPr>
        <w:rPr>
          <w:rFonts w:cstheme="minorHAnsi"/>
          <w:color w:val="FF0000"/>
          <w:sz w:val="24"/>
          <w:szCs w:val="24"/>
        </w:rPr>
      </w:pPr>
      <w:r w:rsidRPr="00421E00">
        <w:rPr>
          <w:rFonts w:cstheme="minorHAnsi"/>
          <w:color w:val="FF0000"/>
          <w:sz w:val="24"/>
          <w:szCs w:val="24"/>
        </w:rPr>
        <w:t>A trade union representative, a friend or relative, or someone with a legal stake can all be utilised as a representative for either party. It is crucial that there be open lines of communication between the representative and the representee since they will be speaking on behalf of their representee, making sure that their intended result is understood (ACAS, 2022)</w:t>
      </w:r>
    </w:p>
    <w:p w14:paraId="4E1F0C5B" w14:textId="77777777" w:rsidR="00421E00" w:rsidRPr="00421E00" w:rsidRDefault="00421E00" w:rsidP="00421E00">
      <w:pPr>
        <w:rPr>
          <w:rFonts w:cstheme="minorHAnsi"/>
          <w:color w:val="FF0000"/>
          <w:sz w:val="24"/>
          <w:szCs w:val="24"/>
        </w:rPr>
      </w:pPr>
      <w:r w:rsidRPr="00421E00">
        <w:rPr>
          <w:rFonts w:cstheme="minorHAnsi"/>
          <w:color w:val="FF0000"/>
          <w:sz w:val="24"/>
          <w:szCs w:val="24"/>
        </w:rPr>
        <w:t>In the event that a mutually agreeable solution is achieved, ACAS will generate a COT3, which is a legally enforceable document that both parties must abide by in order to further mitigate any potential claims in the future (ACAS, 2022). A COT3 agreement also means that the claimant cannot bring forward any further claims as the case will then be closed. It is important for the employee to seek legal advice prior to agreeing to the COT3 to guarantee that the worker is completely informed of all terms and conditions contained in the settlement agreement, including any compensation that may be awarded (Daniels, 2022 p.25)</w:t>
      </w:r>
    </w:p>
    <w:p w14:paraId="1829CF9C" w14:textId="77777777" w:rsidR="00421E00" w:rsidRPr="00421E00" w:rsidRDefault="00421E00" w:rsidP="00421E00">
      <w:pPr>
        <w:rPr>
          <w:rFonts w:cstheme="minorHAnsi"/>
          <w:color w:val="FF0000"/>
          <w:sz w:val="24"/>
          <w:szCs w:val="24"/>
        </w:rPr>
      </w:pPr>
      <w:r w:rsidRPr="00421E00">
        <w:rPr>
          <w:rFonts w:cstheme="minorHAnsi"/>
          <w:color w:val="FF0000"/>
          <w:sz w:val="24"/>
          <w:szCs w:val="24"/>
        </w:rPr>
        <w:lastRenderedPageBreak/>
        <w:t>Should a mutual agreement not be reached, ACAS will give the claimant a certificate with a unique reference number that they must enter on an ET1 form in order to make a claim (ACAS, 2022).</w:t>
      </w:r>
    </w:p>
    <w:p w14:paraId="170E5144" w14:textId="77777777" w:rsidR="00421E00" w:rsidRPr="00421E00" w:rsidRDefault="00421E00" w:rsidP="00421E00">
      <w:pPr>
        <w:rPr>
          <w:rFonts w:cstheme="minorHAnsi"/>
          <w:color w:val="FF0000"/>
          <w:sz w:val="24"/>
          <w:szCs w:val="24"/>
        </w:rPr>
      </w:pPr>
      <w:r w:rsidRPr="00421E00">
        <w:rPr>
          <w:rFonts w:cstheme="minorHAnsi"/>
          <w:color w:val="FF0000"/>
          <w:sz w:val="24"/>
          <w:szCs w:val="24"/>
        </w:rPr>
        <w:t>Direct communication between the employer and employee agreeing a settlement offer can be an easier, more cost-effective process than a COT3. This is still a legally binding contract and it  typically includes the employee waiving their right to pursue claims in an employment tribunal or court, such as claims for unfair dismissal, discrimination, or breach of contract. In exchange, the employer often provides a financial settlement, which may include a lump sum payment, additional benefits, or a positive reference. Settlement agreements are often used to resolve disputes amicably and efficiently, avoiding protracted legal battles (ACAS, 2018).</w:t>
      </w:r>
    </w:p>
    <w:p w14:paraId="1B505D05"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Overall, settling a case before or during legal procedures can be beneficial for both parties as it can save time, money, and emotional stress associated with litigation. It also allows the parties to have more control over the outcome of the case and can result in a quicker resolution to the dispute (Corner, 2024b).</w:t>
      </w:r>
    </w:p>
    <w:bookmarkEnd w:id="4"/>
    <w:p w14:paraId="466963C1" w14:textId="77777777" w:rsidR="00DD386E" w:rsidRPr="00247F79" w:rsidRDefault="00DD386E" w:rsidP="00DD386E">
      <w:pPr>
        <w:pStyle w:val="NormalWeb"/>
        <w:spacing w:before="105" w:beforeAutospacing="0" w:after="0" w:afterAutospacing="0"/>
        <w:rPr>
          <w:rFonts w:asciiTheme="minorHAnsi" w:hAnsiTheme="minorHAnsi" w:cstheme="minorHAnsi"/>
        </w:rPr>
      </w:pPr>
    </w:p>
    <w:p w14:paraId="20606F17" w14:textId="617F554F" w:rsidR="00DD386E" w:rsidRPr="00247F79" w:rsidRDefault="00ED5E90" w:rsidP="00DD386E">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Discrimination law in recruitment, selection and Employment </w:t>
      </w:r>
      <w:r w:rsidR="00DD386E" w:rsidRPr="00247F79">
        <w:rPr>
          <w:rFonts w:asciiTheme="minorHAnsi" w:hAnsiTheme="minorHAnsi" w:cstheme="minorHAnsi"/>
          <w:b/>
          <w:bCs/>
          <w:u w:val="single"/>
        </w:rPr>
        <w:t>(AC 2.1)</w:t>
      </w:r>
    </w:p>
    <w:p w14:paraId="1B2B281F" w14:textId="77777777" w:rsidR="00DD386E" w:rsidRPr="00247F79" w:rsidRDefault="00DD386E" w:rsidP="00DD386E">
      <w:pPr>
        <w:pStyle w:val="NormalWeb"/>
        <w:spacing w:before="105" w:beforeAutospacing="0" w:after="0" w:afterAutospacing="0"/>
        <w:rPr>
          <w:rFonts w:asciiTheme="minorHAnsi" w:hAnsiTheme="minorHAnsi" w:cstheme="minorHAnsi"/>
        </w:rPr>
      </w:pPr>
    </w:p>
    <w:p w14:paraId="6EFC5098" w14:textId="28ED1841" w:rsidR="005C6342" w:rsidRPr="00421E00" w:rsidRDefault="00DD386E" w:rsidP="00DD386E">
      <w:pPr>
        <w:pStyle w:val="NormalWeb"/>
        <w:spacing w:before="105" w:beforeAutospacing="0" w:after="0" w:afterAutospacing="0"/>
        <w:rPr>
          <w:rFonts w:asciiTheme="minorHAnsi" w:hAnsiTheme="minorHAnsi" w:cstheme="minorHAnsi"/>
          <w:strike/>
        </w:rPr>
      </w:pPr>
      <w:bookmarkStart w:id="5" w:name="_Hlk170983381"/>
      <w:r w:rsidRPr="00421E00">
        <w:rPr>
          <w:rFonts w:asciiTheme="minorHAnsi" w:hAnsiTheme="minorHAnsi" w:cstheme="minorHAnsi"/>
          <w:strike/>
        </w:rPr>
        <w:t xml:space="preserve">By choosing to appoint young men only in order to avoid dealing with retirement and maternity leave, Charlotte and Madeleine </w:t>
      </w:r>
      <w:r w:rsidR="005C6342" w:rsidRPr="00421E00">
        <w:rPr>
          <w:rFonts w:asciiTheme="minorHAnsi" w:hAnsiTheme="minorHAnsi" w:cstheme="minorHAnsi"/>
          <w:strike/>
        </w:rPr>
        <w:t xml:space="preserve">are </w:t>
      </w:r>
      <w:r w:rsidRPr="00421E00">
        <w:rPr>
          <w:rFonts w:asciiTheme="minorHAnsi" w:hAnsiTheme="minorHAnsi" w:cstheme="minorHAnsi"/>
          <w:strike/>
        </w:rPr>
        <w:t>in violation of discrimination legislation and is not a recommended approach.</w:t>
      </w:r>
      <w:r w:rsidR="005C6342" w:rsidRPr="00421E00">
        <w:rPr>
          <w:rFonts w:asciiTheme="minorHAnsi" w:hAnsiTheme="minorHAnsi" w:cstheme="minorHAnsi"/>
          <w:strike/>
        </w:rPr>
        <w:t xml:space="preserve"> </w:t>
      </w:r>
      <w:r w:rsidRPr="00421E00">
        <w:rPr>
          <w:rFonts w:asciiTheme="minorHAnsi" w:hAnsiTheme="minorHAnsi" w:cstheme="minorHAnsi"/>
          <w:strike/>
        </w:rPr>
        <w:t>It is important to abide by discrimination legislation and create a supportive and inclusive work environment for all employees.</w:t>
      </w:r>
    </w:p>
    <w:p w14:paraId="1D499990" w14:textId="4BBDD09B" w:rsidR="005C6342" w:rsidRPr="00421E00" w:rsidRDefault="005C6342" w:rsidP="005C6342">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Discrimination law in recruitment, selection and employment is designed to ensure that individuals are treated fairly and equally in the workplace, and that decisions about hiring, promotion, and other aspects of employment are made based on merit rather than irrelevant factors such as race, gender, age, disability, or sexual orientation</w:t>
      </w:r>
      <w:r w:rsidR="00292961" w:rsidRPr="00421E00">
        <w:rPr>
          <w:rFonts w:asciiTheme="minorHAnsi" w:hAnsiTheme="minorHAnsi" w:cstheme="minorHAnsi"/>
          <w:strike/>
        </w:rPr>
        <w:t xml:space="preserve"> (CIPD, 2023b)</w:t>
      </w:r>
    </w:p>
    <w:p w14:paraId="51C00DC6" w14:textId="0943A9FA" w:rsidR="00292961" w:rsidRPr="00421E00" w:rsidRDefault="00292961" w:rsidP="00292961">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i/>
          <w:iCs/>
          <w:strike/>
        </w:rPr>
        <w:t>A case in 2019 – Furlong v Chief Constable of Cheshire Police, where a white heterosexual male claimed that he was not appointed with a job role because he didn’t have a protected characteristic, his case was upheld and deemed as ‘positive discrimination’.</w:t>
      </w:r>
      <w:r w:rsidRPr="00421E00">
        <w:rPr>
          <w:rFonts w:asciiTheme="minorHAnsi" w:hAnsiTheme="minorHAnsi" w:cstheme="minorHAnsi"/>
          <w:strike/>
        </w:rPr>
        <w:t xml:space="preserve"> (CIPD, 2023b)</w:t>
      </w:r>
    </w:p>
    <w:p w14:paraId="2B94E0D6" w14:textId="77777777" w:rsidR="005C6342" w:rsidRPr="00421E00" w:rsidRDefault="005C6342" w:rsidP="005C6342">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The principles of discrimination law in recruitment, selection and employment are as follows:</w:t>
      </w:r>
    </w:p>
    <w:p w14:paraId="09823C13" w14:textId="77777777" w:rsidR="005C6342" w:rsidRPr="00421E00" w:rsidRDefault="005C6342" w:rsidP="005C6342">
      <w:pPr>
        <w:pStyle w:val="NormalWeb"/>
        <w:numPr>
          <w:ilvl w:val="0"/>
          <w:numId w:val="6"/>
        </w:numPr>
        <w:spacing w:before="105" w:beforeAutospacing="0" w:after="0" w:afterAutospacing="0"/>
        <w:rPr>
          <w:rFonts w:asciiTheme="minorHAnsi" w:hAnsiTheme="minorHAnsi" w:cstheme="minorHAnsi"/>
          <w:strike/>
        </w:rPr>
      </w:pPr>
      <w:r w:rsidRPr="00421E00">
        <w:rPr>
          <w:rFonts w:asciiTheme="minorHAnsi" w:hAnsiTheme="minorHAnsi" w:cstheme="minorHAnsi"/>
          <w:strike/>
        </w:rPr>
        <w:t>Equal Opportunity: Employers must provide equal opportunity to all job applicants and employees, regardless of their protected characteristics. This means that all individuals should have the same chance of being hired, promoted, or retained based on their qualifications and abilities, rather than their race, gender, age, disability, or other protected characteristics.</w:t>
      </w:r>
    </w:p>
    <w:p w14:paraId="212A467F" w14:textId="77777777" w:rsidR="005C6342" w:rsidRPr="00421E00" w:rsidRDefault="005C6342" w:rsidP="005C6342">
      <w:pPr>
        <w:pStyle w:val="NormalWeb"/>
        <w:numPr>
          <w:ilvl w:val="0"/>
          <w:numId w:val="6"/>
        </w:numPr>
        <w:spacing w:before="105" w:beforeAutospacing="0" w:after="0" w:afterAutospacing="0"/>
        <w:rPr>
          <w:rFonts w:asciiTheme="minorHAnsi" w:hAnsiTheme="minorHAnsi" w:cstheme="minorHAnsi"/>
          <w:strike/>
        </w:rPr>
      </w:pPr>
      <w:r w:rsidRPr="00421E00">
        <w:rPr>
          <w:rFonts w:asciiTheme="minorHAnsi" w:hAnsiTheme="minorHAnsi" w:cstheme="minorHAnsi"/>
          <w:strike/>
        </w:rPr>
        <w:t>Accommodation of Disabilities: Employers must make reasonable accommodations for individuals with disabilities to ensure that they have equal opportunity in the workplace. This means making adjustments to the work environment or job duties to allow individuals with disabilities to perform their job effectively.</w:t>
      </w:r>
    </w:p>
    <w:p w14:paraId="6DDF4389" w14:textId="77777777" w:rsidR="005C6342" w:rsidRPr="00421E00" w:rsidRDefault="005C6342" w:rsidP="005C6342">
      <w:pPr>
        <w:pStyle w:val="NormalWeb"/>
        <w:numPr>
          <w:ilvl w:val="0"/>
          <w:numId w:val="6"/>
        </w:numPr>
        <w:spacing w:before="105" w:beforeAutospacing="0" w:after="0" w:afterAutospacing="0"/>
        <w:rPr>
          <w:rFonts w:asciiTheme="minorHAnsi" w:hAnsiTheme="minorHAnsi" w:cstheme="minorHAnsi"/>
          <w:strike/>
        </w:rPr>
      </w:pPr>
      <w:r w:rsidRPr="00421E00">
        <w:rPr>
          <w:rFonts w:asciiTheme="minorHAnsi" w:hAnsiTheme="minorHAnsi" w:cstheme="minorHAnsi"/>
          <w:strike/>
        </w:rPr>
        <w:lastRenderedPageBreak/>
        <w:t>Affirmative Action: In some cases, employers may be required to take affirmative action to address past discrimination and promote diversity in the workplace. This may involve implementing policies or programs to increase the representation of underrepresented groups in the workforce.</w:t>
      </w:r>
    </w:p>
    <w:p w14:paraId="292ED0F6" w14:textId="0B4BD970" w:rsidR="005C6342" w:rsidRPr="00421E00" w:rsidRDefault="005C6342" w:rsidP="005C6342">
      <w:pPr>
        <w:pStyle w:val="NormalWeb"/>
        <w:numPr>
          <w:ilvl w:val="0"/>
          <w:numId w:val="6"/>
        </w:numPr>
        <w:spacing w:before="105" w:beforeAutospacing="0" w:after="0" w:afterAutospacing="0"/>
        <w:rPr>
          <w:rFonts w:asciiTheme="minorHAnsi" w:hAnsiTheme="minorHAnsi" w:cstheme="minorHAnsi"/>
          <w:strike/>
        </w:rPr>
      </w:pPr>
      <w:r w:rsidRPr="00421E00">
        <w:rPr>
          <w:rFonts w:asciiTheme="minorHAnsi" w:hAnsiTheme="minorHAnsi" w:cstheme="minorHAnsi"/>
          <w:strike/>
        </w:rPr>
        <w:t>Non-retaliation: Employers are prohibited from retaliating against employees who make complaints or raise concerns about discrimination in the workplace. This includes taking disciplinary action, demoting, or terminating employees who speak out against discriminatory practices</w:t>
      </w:r>
      <w:r w:rsidR="00292961" w:rsidRPr="00421E00">
        <w:rPr>
          <w:rFonts w:asciiTheme="minorHAnsi" w:hAnsiTheme="minorHAnsi" w:cstheme="minorHAnsi"/>
          <w:strike/>
        </w:rPr>
        <w:t xml:space="preserve"> (Mahesan, 2023).</w:t>
      </w:r>
    </w:p>
    <w:p w14:paraId="55289FAB" w14:textId="625DE4E8" w:rsidR="00DD386E" w:rsidRPr="00421E00" w:rsidRDefault="00DD386E" w:rsidP="00DD386E">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In addition to the legal implications, this approach can also have negative consequences for the business in terms of diversity, creativity, and overall employee satisfaction. Employing a diverse workforce can bring different perspectives and ideas to the table, leading to a more innovative and successful business. Furthermore, actively excluding certain groups of people can damage the reputation of the business and lead to potential backlash from customers and the community</w:t>
      </w:r>
      <w:r w:rsidR="00AA125E" w:rsidRPr="00421E00">
        <w:rPr>
          <w:rFonts w:asciiTheme="minorHAnsi" w:hAnsiTheme="minorHAnsi" w:cstheme="minorHAnsi"/>
          <w:strike/>
        </w:rPr>
        <w:t xml:space="preserve"> (Ali, 2022).</w:t>
      </w:r>
      <w:bookmarkEnd w:id="5"/>
    </w:p>
    <w:p w14:paraId="39912166" w14:textId="77777777" w:rsidR="003524D5" w:rsidRPr="00421E00" w:rsidRDefault="003524D5" w:rsidP="00DD386E">
      <w:pPr>
        <w:pStyle w:val="NormalWeb"/>
        <w:spacing w:before="105" w:beforeAutospacing="0" w:after="0" w:afterAutospacing="0"/>
        <w:rPr>
          <w:rFonts w:asciiTheme="minorHAnsi" w:hAnsiTheme="minorHAnsi" w:cstheme="minorHAnsi"/>
          <w:strike/>
        </w:rPr>
      </w:pPr>
    </w:p>
    <w:p w14:paraId="5DBFED0E" w14:textId="44ABD5C3" w:rsidR="003524D5" w:rsidRPr="00421E00" w:rsidRDefault="003524D5" w:rsidP="003524D5">
      <w:pPr>
        <w:spacing w:after="0" w:line="240" w:lineRule="auto"/>
        <w:rPr>
          <w:rFonts w:eastAsia="Times New Roman" w:cstheme="minorHAnsi"/>
          <w:strike/>
          <w:sz w:val="24"/>
          <w:szCs w:val="24"/>
          <w:lang w:eastAsia="en-GB"/>
        </w:rPr>
      </w:pPr>
      <w:bookmarkStart w:id="6" w:name="_Hlk170983842"/>
      <w:r w:rsidRPr="00421E00">
        <w:rPr>
          <w:rFonts w:eastAsia="Times New Roman" w:cstheme="minorHAnsi"/>
          <w:strike/>
          <w:sz w:val="24"/>
          <w:szCs w:val="24"/>
          <w:lang w:eastAsia="en-GB"/>
        </w:rPr>
        <w:t>The main piece of legislation that governs discrimination in the UK is the Equality Act 2010, which forbids discrimination in the following areas</w:t>
      </w:r>
      <w:r w:rsidR="007A0732" w:rsidRPr="00421E00">
        <w:rPr>
          <w:rFonts w:eastAsia="Times New Roman" w:cstheme="minorHAnsi"/>
          <w:strike/>
          <w:sz w:val="24"/>
          <w:szCs w:val="24"/>
          <w:lang w:eastAsia="en-GB"/>
        </w:rPr>
        <w:t xml:space="preserve"> (CIPD, 2023b)</w:t>
      </w:r>
      <w:r w:rsidRPr="00421E00">
        <w:rPr>
          <w:rFonts w:eastAsia="Times New Roman" w:cstheme="minorHAnsi"/>
          <w:strike/>
          <w:sz w:val="24"/>
          <w:szCs w:val="24"/>
          <w:lang w:eastAsia="en-GB"/>
        </w:rPr>
        <w:t xml:space="preserve">: </w:t>
      </w:r>
      <w:r w:rsidRPr="00421E00">
        <w:rPr>
          <w:rFonts w:eastAsia="Times New Roman" w:cstheme="minorHAnsi"/>
          <w:strike/>
          <w:sz w:val="24"/>
          <w:szCs w:val="24"/>
          <w:lang w:eastAsia="en-GB"/>
        </w:rPr>
        <w:br/>
      </w:r>
      <w:r w:rsidRPr="00421E00">
        <w:rPr>
          <w:rFonts w:eastAsia="Times New Roman" w:cstheme="minorHAnsi"/>
          <w:strike/>
          <w:sz w:val="24"/>
          <w:szCs w:val="24"/>
          <w:lang w:eastAsia="en-GB"/>
        </w:rPr>
        <w:br/>
        <w:t xml:space="preserve">Recruitment: Protected qualities, such as age, gender, ethnicity, religion, sexual orientation, handicap, or pregnancy, prohibit employers from treating job applicants unfairly. Organisations need to make sure that all applicants are evaluated equally and impartially, taking into account their backgrounds and skill sets. </w:t>
      </w:r>
      <w:r w:rsidRPr="00421E00">
        <w:rPr>
          <w:rFonts w:eastAsia="Times New Roman" w:cstheme="minorHAnsi"/>
          <w:strike/>
          <w:sz w:val="24"/>
          <w:szCs w:val="24"/>
          <w:lang w:eastAsia="en-GB"/>
        </w:rPr>
        <w:br/>
      </w:r>
      <w:r w:rsidRPr="00421E00">
        <w:rPr>
          <w:rFonts w:eastAsia="Times New Roman" w:cstheme="minorHAnsi"/>
          <w:strike/>
          <w:sz w:val="24"/>
          <w:szCs w:val="24"/>
          <w:lang w:eastAsia="en-GB"/>
        </w:rPr>
        <w:br/>
        <w:t>Selection: Employers are prohibited from discriminating against candidates on the basis of protected characteristics during the selection process. This involves refraining from biassed interview questions and assuming something about a person's aptitude because of a protected trait.</w:t>
      </w:r>
    </w:p>
    <w:p w14:paraId="3D661600" w14:textId="77777777" w:rsidR="003524D5" w:rsidRPr="00421E00" w:rsidRDefault="003524D5" w:rsidP="003524D5">
      <w:pPr>
        <w:spacing w:after="0" w:line="240" w:lineRule="auto"/>
        <w:rPr>
          <w:rFonts w:eastAsia="Times New Roman" w:cstheme="minorHAnsi"/>
          <w:strike/>
          <w:sz w:val="24"/>
          <w:szCs w:val="24"/>
          <w:lang w:eastAsia="en-GB"/>
        </w:rPr>
      </w:pPr>
    </w:p>
    <w:p w14:paraId="51416085" w14:textId="4CD3E740" w:rsidR="003524D5" w:rsidRPr="00421E00" w:rsidRDefault="003524D5" w:rsidP="003524D5">
      <w:pPr>
        <w:spacing w:after="0" w:line="240" w:lineRule="auto"/>
        <w:rPr>
          <w:rFonts w:eastAsia="Times New Roman" w:cstheme="minorHAnsi"/>
          <w:strike/>
          <w:sz w:val="24"/>
          <w:szCs w:val="24"/>
          <w:lang w:eastAsia="en-GB"/>
        </w:rPr>
      </w:pPr>
      <w:r w:rsidRPr="00421E00">
        <w:rPr>
          <w:rFonts w:eastAsia="Times New Roman" w:cstheme="minorHAnsi"/>
          <w:strike/>
          <w:sz w:val="24"/>
          <w:szCs w:val="24"/>
          <w:lang w:eastAsia="en-GB"/>
        </w:rPr>
        <w:t xml:space="preserve">Employment: Employers are required to treat workers fairly and equitably, without discriminating against them on the basis of their protected characteristics, once they have been hired. This entails offering a safe and healthy working environment, chances for career progress, and fair remuneration for equal labour. </w:t>
      </w:r>
      <w:r w:rsidRPr="00421E00">
        <w:rPr>
          <w:rFonts w:eastAsia="Times New Roman" w:cstheme="minorHAnsi"/>
          <w:strike/>
          <w:sz w:val="24"/>
          <w:szCs w:val="24"/>
          <w:lang w:eastAsia="en-GB"/>
        </w:rPr>
        <w:br/>
      </w:r>
      <w:r w:rsidRPr="00421E00">
        <w:rPr>
          <w:rFonts w:eastAsia="Times New Roman" w:cstheme="minorHAnsi"/>
          <w:strike/>
          <w:sz w:val="24"/>
          <w:szCs w:val="24"/>
          <w:lang w:eastAsia="en-GB"/>
        </w:rPr>
        <w:br/>
        <w:t>Prohibiting direct discrimination: Direct discrimination is when an employer treats a person less favourably due to a protected characteristic. For instance, it would be outright discrimination to refuse to hire someone based only on their age.</w:t>
      </w:r>
    </w:p>
    <w:p w14:paraId="18DAC545" w14:textId="77777777" w:rsidR="003524D5" w:rsidRPr="00421E00" w:rsidRDefault="003524D5" w:rsidP="003524D5">
      <w:pPr>
        <w:spacing w:after="0" w:line="240" w:lineRule="auto"/>
        <w:rPr>
          <w:rFonts w:eastAsia="Times New Roman" w:cstheme="minorHAnsi"/>
          <w:strike/>
          <w:sz w:val="24"/>
          <w:szCs w:val="24"/>
          <w:lang w:eastAsia="en-GB"/>
        </w:rPr>
      </w:pPr>
    </w:p>
    <w:p w14:paraId="1606056C" w14:textId="07136C1C" w:rsidR="003524D5" w:rsidRPr="00421E00" w:rsidRDefault="003524D5" w:rsidP="003524D5">
      <w:pPr>
        <w:spacing w:after="0" w:line="240" w:lineRule="auto"/>
        <w:rPr>
          <w:rFonts w:eastAsia="Times New Roman" w:cstheme="minorHAnsi"/>
          <w:strike/>
          <w:sz w:val="24"/>
          <w:szCs w:val="24"/>
          <w:lang w:eastAsia="en-GB"/>
        </w:rPr>
      </w:pPr>
      <w:r w:rsidRPr="00421E00">
        <w:rPr>
          <w:rFonts w:eastAsia="Times New Roman" w:cstheme="minorHAnsi"/>
          <w:strike/>
          <w:sz w:val="24"/>
          <w:szCs w:val="24"/>
          <w:lang w:eastAsia="en-GB"/>
        </w:rPr>
        <w:t>Prohibition of indirect discrimination: When an employer sets a rule or condition that disadvantages employees with a certain protected trait. An example could be that the organisation enforce 9-5 working hours on parents of small children.</w:t>
      </w:r>
      <w:r w:rsidR="003B3D47" w:rsidRPr="00421E00">
        <w:rPr>
          <w:rFonts w:eastAsia="Times New Roman" w:cstheme="minorHAnsi"/>
          <w:strike/>
          <w:sz w:val="24"/>
          <w:szCs w:val="24"/>
          <w:lang w:eastAsia="en-GB"/>
        </w:rPr>
        <w:t xml:space="preserve"> (ACAS, 2023)</w:t>
      </w:r>
    </w:p>
    <w:p w14:paraId="30B0F393" w14:textId="0899D0F9" w:rsidR="003524D5" w:rsidRPr="00421E00" w:rsidRDefault="003524D5" w:rsidP="00DD386E">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 xml:space="preserve">A case in 2019 – </w:t>
      </w:r>
      <w:r w:rsidRPr="00421E00">
        <w:rPr>
          <w:rFonts w:asciiTheme="minorHAnsi" w:hAnsiTheme="minorHAnsi" w:cstheme="minorHAnsi"/>
          <w:i/>
          <w:iCs/>
          <w:strike/>
        </w:rPr>
        <w:t>Furlong v Chief Constable of Cheshire Police</w:t>
      </w:r>
      <w:r w:rsidRPr="00421E00">
        <w:rPr>
          <w:rFonts w:asciiTheme="minorHAnsi" w:hAnsiTheme="minorHAnsi" w:cstheme="minorHAnsi"/>
          <w:strike/>
        </w:rPr>
        <w:t>, where a white heterosexual male claimed that he was not appointed with a job role because he didn’t have a protected characteristic, his case was upheld and deemed as ‘positive discrimination’. (CIPD, 2023b)</w:t>
      </w:r>
      <w:bookmarkEnd w:id="6"/>
    </w:p>
    <w:p w14:paraId="12824235" w14:textId="77777777" w:rsidR="00DD386E" w:rsidRPr="00421E00" w:rsidRDefault="00DD386E" w:rsidP="00DD386E">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 xml:space="preserve">Instead of focusing on avoiding retirement and maternity leave, it would be more beneficial for Charlotte and Madeleine to create policies and procedures that support and </w:t>
      </w:r>
      <w:r w:rsidRPr="00421E00">
        <w:rPr>
          <w:rFonts w:asciiTheme="minorHAnsi" w:hAnsiTheme="minorHAnsi" w:cstheme="minorHAnsi"/>
          <w:strike/>
        </w:rPr>
        <w:lastRenderedPageBreak/>
        <w:t>accommodate employees at all stages of their careers and lives. This could include offering flexible work arrangements, parental leave policies, and retirement planning assistance.</w:t>
      </w:r>
    </w:p>
    <w:p w14:paraId="7836BBEC" w14:textId="77777777" w:rsidR="00A32A95" w:rsidRPr="00247F79" w:rsidRDefault="00A32A95" w:rsidP="00DD386E">
      <w:pPr>
        <w:pStyle w:val="NormalWeb"/>
        <w:spacing w:before="105" w:beforeAutospacing="0" w:after="0" w:afterAutospacing="0"/>
        <w:rPr>
          <w:rFonts w:asciiTheme="minorHAnsi" w:hAnsiTheme="minorHAnsi" w:cstheme="minorHAnsi"/>
        </w:rPr>
      </w:pPr>
    </w:p>
    <w:p w14:paraId="01D69C4A"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bookmarkStart w:id="7" w:name="_Hlk173847995"/>
      <w:r w:rsidRPr="00421E00">
        <w:rPr>
          <w:rFonts w:asciiTheme="minorHAnsi" w:hAnsiTheme="minorHAnsi" w:cstheme="minorHAnsi"/>
          <w:color w:val="FF0000"/>
        </w:rPr>
        <w:t>By choosing to appoint young men only in order to avoid dealing with retirement and maternity leave, Charlotte and Madeleine are in breach of discrimination legislation and is not a recommended approach. It is important to abide by discrimination legislation and create a supportive and inclusive work environment for all employees.</w:t>
      </w:r>
    </w:p>
    <w:p w14:paraId="21366DD2"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p>
    <w:p w14:paraId="401FC7D7" w14:textId="77777777" w:rsidR="00421E00" w:rsidRPr="00421E00" w:rsidRDefault="00421E00" w:rsidP="00421E00">
      <w:pPr>
        <w:rPr>
          <w:rFonts w:cstheme="minorHAnsi"/>
          <w:color w:val="FF0000"/>
          <w:sz w:val="24"/>
          <w:szCs w:val="24"/>
        </w:rPr>
      </w:pPr>
      <w:r w:rsidRPr="00421E00">
        <w:rPr>
          <w:rFonts w:cstheme="minorHAnsi"/>
          <w:color w:val="FF0000"/>
          <w:sz w:val="24"/>
          <w:szCs w:val="24"/>
        </w:rPr>
        <w:t>Charlotte and Madeline need to take into consideration the Equality Act 2010 to avoid discrimination against protected characteristics. According to ACAS (2023), hiring exclusively young men in this situation alienates women and older potential applicants and provides grounds for a potential claim of direct discrimination because an employer cannot give "detriment" to a protected group, such as age or sex (CIPD, 2023b).</w:t>
      </w:r>
    </w:p>
    <w:p w14:paraId="1E425694" w14:textId="365FC1E8" w:rsidR="00421E00" w:rsidRPr="00421E00" w:rsidRDefault="00421E00" w:rsidP="00421E00">
      <w:pPr>
        <w:rPr>
          <w:rFonts w:cstheme="minorHAnsi"/>
          <w:color w:val="FF0000"/>
          <w:sz w:val="24"/>
          <w:szCs w:val="24"/>
        </w:rPr>
      </w:pPr>
      <w:r w:rsidRPr="00421E00">
        <w:rPr>
          <w:rFonts w:cstheme="minorHAnsi"/>
          <w:color w:val="FF0000"/>
          <w:sz w:val="24"/>
          <w:szCs w:val="24"/>
        </w:rPr>
        <w:t xml:space="preserve">A recent example of this, is a case in April 2024 – </w:t>
      </w:r>
      <w:r w:rsidRPr="00421E00">
        <w:rPr>
          <w:rFonts w:cstheme="minorHAnsi"/>
          <w:i/>
          <w:iCs/>
          <w:color w:val="FF0000"/>
          <w:sz w:val="24"/>
          <w:szCs w:val="24"/>
        </w:rPr>
        <w:t>Lee v R &amp; F Properties UK</w:t>
      </w:r>
      <w:r w:rsidRPr="00421E00">
        <w:rPr>
          <w:rFonts w:cstheme="minorHAnsi"/>
          <w:color w:val="FF0000"/>
          <w:sz w:val="24"/>
          <w:szCs w:val="24"/>
        </w:rPr>
        <w:t>, where a recruitment panel asked at the Interview what ages her children were, resulting in her not getting the job role. This illustrates direct sex discrimination where the candidate was wrongly at a disadvantage due to her having children. This claimant was awarded £91, 597 in compensation for loss of earnings and injury to feelings because the Court found her to be, on the balance of probabilities, discriminated against because of her Sex (CIPD Inform, 2024</w:t>
      </w:r>
      <w:r>
        <w:rPr>
          <w:rFonts w:cstheme="minorHAnsi"/>
          <w:color w:val="FF0000"/>
          <w:sz w:val="24"/>
          <w:szCs w:val="24"/>
        </w:rPr>
        <w:t>d</w:t>
      </w:r>
      <w:r w:rsidRPr="00421E00">
        <w:rPr>
          <w:rFonts w:cstheme="minorHAnsi"/>
          <w:color w:val="FF0000"/>
          <w:sz w:val="24"/>
          <w:szCs w:val="24"/>
        </w:rPr>
        <w:t>).</w:t>
      </w:r>
    </w:p>
    <w:p w14:paraId="72002C93" w14:textId="77777777" w:rsidR="00421E00" w:rsidRPr="00421E00" w:rsidRDefault="00421E00" w:rsidP="00421E00">
      <w:pPr>
        <w:rPr>
          <w:rFonts w:cstheme="minorHAnsi"/>
          <w:color w:val="FF0000"/>
          <w:sz w:val="24"/>
          <w:szCs w:val="24"/>
        </w:rPr>
      </w:pPr>
      <w:r w:rsidRPr="00421E00">
        <w:rPr>
          <w:rFonts w:cstheme="minorHAnsi"/>
          <w:color w:val="FF0000"/>
          <w:sz w:val="24"/>
          <w:szCs w:val="24"/>
        </w:rPr>
        <w:t>The CIPD (2024) clarifies direct discrimination as treating someone less favourably than another person because of this protected characteristic.  It is important to note, that claimants can bring a case for discrimination against an employer prior to being employed by them for discrimination via recruitment practices</w:t>
      </w:r>
    </w:p>
    <w:p w14:paraId="0BBB082E" w14:textId="77777777" w:rsidR="00421E00" w:rsidRPr="00421E00" w:rsidRDefault="00421E00" w:rsidP="00421E00">
      <w:pPr>
        <w:rPr>
          <w:rFonts w:cstheme="minorHAnsi"/>
          <w:color w:val="FF0000"/>
          <w:sz w:val="24"/>
          <w:szCs w:val="24"/>
        </w:rPr>
      </w:pPr>
      <w:r w:rsidRPr="00421E00">
        <w:rPr>
          <w:rFonts w:cstheme="minorHAnsi"/>
          <w:color w:val="FF0000"/>
          <w:sz w:val="24"/>
          <w:szCs w:val="24"/>
        </w:rPr>
        <w:t>Charlotte and Madeleine should not advertise with unlawful specific requirements, as their desire to limit applications to young men only to avoid retirement or maternity leave is regarded as direct sex and age discrimination.  Charlotte and Madeline run the risk of being taken to an employment tribunal if they stick to their goal of exclusively appointing young men because they are eliminating other demographic groups based simply on age and gender. This could also damage the corporate reputation of the organisation resulting in difficulty to attract and retain employees and customers (ACAS, 2023)</w:t>
      </w:r>
    </w:p>
    <w:p w14:paraId="21357B18"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Instead of focusing on avoiding retirement and maternity leave, it would be more beneficial for Charlotte and Madeleine to create policies and procedures that support and accommodate employees at all stages of their careers and lives. This could include offering flexible work arrangements, parental leave policies, and retirement planning assistance.</w:t>
      </w:r>
    </w:p>
    <w:bookmarkEnd w:id="7"/>
    <w:p w14:paraId="68CE81BC" w14:textId="77777777" w:rsidR="00D91402" w:rsidRPr="00247F79" w:rsidRDefault="00D91402" w:rsidP="00DD386E">
      <w:pPr>
        <w:pStyle w:val="NormalWeb"/>
        <w:spacing w:before="105" w:beforeAutospacing="0" w:after="0" w:afterAutospacing="0"/>
        <w:rPr>
          <w:rFonts w:asciiTheme="minorHAnsi" w:hAnsiTheme="minorHAnsi" w:cstheme="minorHAnsi"/>
          <w:b/>
          <w:bCs/>
          <w:u w:val="single"/>
        </w:rPr>
      </w:pPr>
    </w:p>
    <w:p w14:paraId="0826CFC2" w14:textId="77777777" w:rsidR="00421E00" w:rsidRDefault="00421E00" w:rsidP="00DD386E">
      <w:pPr>
        <w:pStyle w:val="NormalWeb"/>
        <w:spacing w:before="105" w:beforeAutospacing="0" w:after="0" w:afterAutospacing="0"/>
        <w:rPr>
          <w:rFonts w:asciiTheme="minorHAnsi" w:hAnsiTheme="minorHAnsi" w:cstheme="minorHAnsi"/>
          <w:b/>
          <w:bCs/>
          <w:u w:val="single"/>
        </w:rPr>
      </w:pPr>
    </w:p>
    <w:p w14:paraId="2B0FB881" w14:textId="77777777" w:rsidR="00421E00" w:rsidRDefault="00421E00" w:rsidP="00DD386E">
      <w:pPr>
        <w:pStyle w:val="NormalWeb"/>
        <w:spacing w:before="105" w:beforeAutospacing="0" w:after="0" w:afterAutospacing="0"/>
        <w:rPr>
          <w:rFonts w:asciiTheme="minorHAnsi" w:hAnsiTheme="minorHAnsi" w:cstheme="minorHAnsi"/>
          <w:b/>
          <w:bCs/>
          <w:u w:val="single"/>
        </w:rPr>
      </w:pPr>
    </w:p>
    <w:p w14:paraId="3432DB9B" w14:textId="53FCFA00" w:rsidR="00A32A95" w:rsidRPr="00247F79" w:rsidRDefault="00ED5E90" w:rsidP="00DD386E">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lastRenderedPageBreak/>
        <w:t xml:space="preserve">Legal Requirements of Equal Pay </w:t>
      </w:r>
      <w:r w:rsidR="00A32A95" w:rsidRPr="00247F79">
        <w:rPr>
          <w:rFonts w:asciiTheme="minorHAnsi" w:hAnsiTheme="minorHAnsi" w:cstheme="minorHAnsi"/>
          <w:b/>
          <w:bCs/>
          <w:u w:val="single"/>
        </w:rPr>
        <w:t>(AC 2.2)</w:t>
      </w:r>
    </w:p>
    <w:p w14:paraId="570EB388" w14:textId="77777777" w:rsidR="00ED5E90" w:rsidRPr="00247F79" w:rsidRDefault="00ED5E90" w:rsidP="00254297">
      <w:pPr>
        <w:rPr>
          <w:rFonts w:cstheme="minorHAnsi"/>
          <w:color w:val="FF0000"/>
          <w:sz w:val="24"/>
          <w:szCs w:val="24"/>
        </w:rPr>
      </w:pPr>
    </w:p>
    <w:p w14:paraId="436EDC11" w14:textId="00471242" w:rsidR="00254297" w:rsidRPr="00247F79" w:rsidRDefault="00254297" w:rsidP="00247F79">
      <w:pPr>
        <w:rPr>
          <w:rFonts w:cstheme="minorHAnsi"/>
          <w:color w:val="FF0000"/>
          <w:sz w:val="24"/>
          <w:szCs w:val="24"/>
        </w:rPr>
      </w:pPr>
      <w:bookmarkStart w:id="8" w:name="_Hlk170984922"/>
      <w:r w:rsidRPr="00247F79">
        <w:rPr>
          <w:rFonts w:cstheme="minorHAnsi"/>
          <w:color w:val="FF0000"/>
          <w:sz w:val="24"/>
          <w:szCs w:val="24"/>
        </w:rPr>
        <w:t>Cat's situation highlights a potential issue of unequal pay between male and female employees in the UK. The Equality Act 2010 makes it unlawful to pay employees of the opposite sex or of a different race, age, or other protected characteristics differently for the same work, unless the difference can be justified. As Cat and Kit perform similar roles as managers, this could be seen as indirect discrimination, as Cat is being paid less because of her gender</w:t>
      </w:r>
      <w:r w:rsidR="00247F79" w:rsidRPr="00247F79">
        <w:rPr>
          <w:rFonts w:cstheme="minorHAnsi"/>
          <w:color w:val="FF0000"/>
          <w:sz w:val="24"/>
          <w:szCs w:val="24"/>
        </w:rPr>
        <w:t xml:space="preserve"> (ACAS, 2024b)</w:t>
      </w:r>
    </w:p>
    <w:p w14:paraId="60E75504" w14:textId="52132492" w:rsidR="005C6342" w:rsidRPr="00247F79" w:rsidRDefault="005C6342" w:rsidP="00247F79">
      <w:pPr>
        <w:rPr>
          <w:rFonts w:cstheme="minorHAnsi"/>
          <w:strike/>
          <w:sz w:val="24"/>
          <w:szCs w:val="24"/>
        </w:rPr>
      </w:pPr>
      <w:bookmarkStart w:id="9" w:name="_Hlk170984887"/>
      <w:bookmarkEnd w:id="8"/>
      <w:r w:rsidRPr="00247F79">
        <w:rPr>
          <w:rFonts w:cstheme="minorHAnsi"/>
          <w:strike/>
          <w:sz w:val="24"/>
          <w:szCs w:val="24"/>
        </w:rPr>
        <w:t>In the UK, the legal requirement for equal pay is outlined in the Equality Act of 2010. This legislation mandates that men and women should receive equal pay for equal work. Employers are prohibited from discriminating on the basis of gender when determining pay and must ensure that all employees are paid fairly and equally for performing the same or similar work</w:t>
      </w:r>
      <w:r w:rsidR="007014C6" w:rsidRPr="00247F79">
        <w:rPr>
          <w:rFonts w:cstheme="minorHAnsi"/>
          <w:strike/>
          <w:sz w:val="24"/>
          <w:szCs w:val="24"/>
        </w:rPr>
        <w:t xml:space="preserve"> (ACAS, 2024</w:t>
      </w:r>
      <w:r w:rsidR="00682C65" w:rsidRPr="00247F79">
        <w:rPr>
          <w:rFonts w:cstheme="minorHAnsi"/>
          <w:strike/>
          <w:sz w:val="24"/>
          <w:szCs w:val="24"/>
        </w:rPr>
        <w:t>b</w:t>
      </w:r>
      <w:r w:rsidR="007014C6" w:rsidRPr="00247F79">
        <w:rPr>
          <w:rFonts w:cstheme="minorHAnsi"/>
          <w:strike/>
          <w:sz w:val="24"/>
          <w:szCs w:val="24"/>
        </w:rPr>
        <w:t>).</w:t>
      </w:r>
    </w:p>
    <w:p w14:paraId="55D7EDFC" w14:textId="22F88985" w:rsidR="00254297" w:rsidRPr="00247F79" w:rsidRDefault="005C6342" w:rsidP="00254297">
      <w:pPr>
        <w:pStyle w:val="NormalWeb"/>
        <w:spacing w:before="105" w:beforeAutospacing="0" w:after="0" w:afterAutospacing="0"/>
        <w:rPr>
          <w:rFonts w:asciiTheme="minorHAnsi" w:hAnsiTheme="minorHAnsi" w:cstheme="minorHAnsi"/>
        </w:rPr>
      </w:pPr>
      <w:bookmarkStart w:id="10" w:name="_Hlk173848023"/>
      <w:bookmarkEnd w:id="9"/>
      <w:r w:rsidRPr="00247F79">
        <w:rPr>
          <w:rFonts w:asciiTheme="minorHAnsi" w:hAnsiTheme="minorHAnsi" w:cstheme="minorHAnsi"/>
        </w:rPr>
        <w:t>Under the Equality Act, employees have the right to challenge their pay if they believe they are being unfairly treated in comparison to colleagues of the opposite sex. They can file a formal grievance with their employer or take their case to an employment tribunal for resolution.</w:t>
      </w:r>
    </w:p>
    <w:p w14:paraId="786ABD73" w14:textId="77777777" w:rsidR="00254297" w:rsidRPr="00247F79" w:rsidRDefault="00254297" w:rsidP="00254297">
      <w:pPr>
        <w:pStyle w:val="NormalWeb"/>
        <w:spacing w:before="105" w:beforeAutospacing="0" w:after="0" w:afterAutospacing="0"/>
        <w:rPr>
          <w:rFonts w:asciiTheme="minorHAnsi" w:hAnsiTheme="minorHAnsi" w:cstheme="minorHAnsi"/>
        </w:rPr>
      </w:pPr>
    </w:p>
    <w:p w14:paraId="25D8E54B" w14:textId="524DD0D8" w:rsidR="00254297" w:rsidRPr="00247F79" w:rsidRDefault="00254297" w:rsidP="00254297">
      <w:pPr>
        <w:rPr>
          <w:rFonts w:cstheme="minorHAnsi"/>
          <w:color w:val="FF0000"/>
          <w:sz w:val="24"/>
          <w:szCs w:val="24"/>
        </w:rPr>
      </w:pPr>
      <w:bookmarkStart w:id="11" w:name="_Hlk170984926"/>
      <w:r w:rsidRPr="00247F79">
        <w:rPr>
          <w:rFonts w:cstheme="minorHAnsi"/>
          <w:color w:val="FF0000"/>
          <w:sz w:val="24"/>
          <w:szCs w:val="24"/>
        </w:rPr>
        <w:t>Cat's experience may also raise concerns about unconscious bias in the workplace. Unconscious bias can lead to unfair treatment and discrimination, and employers have a responsibility to address it through training and policies. The UK government has implemented measures to promote equal pay and challenge unconscious bias, such as the gender pay gap reporting regulations for larger organisations</w:t>
      </w:r>
      <w:r w:rsidR="00247F79" w:rsidRPr="00247F79">
        <w:rPr>
          <w:rFonts w:cstheme="minorHAnsi"/>
          <w:color w:val="FF0000"/>
          <w:sz w:val="24"/>
          <w:szCs w:val="24"/>
        </w:rPr>
        <w:t xml:space="preserve"> (GOV, 2016).</w:t>
      </w:r>
    </w:p>
    <w:p w14:paraId="3A04E0AF" w14:textId="7172B83D" w:rsidR="005C6342" w:rsidRPr="00247F79" w:rsidRDefault="005C6342" w:rsidP="005C6342">
      <w:pPr>
        <w:pStyle w:val="NormalWeb"/>
        <w:spacing w:before="105" w:beforeAutospacing="0" w:after="0" w:afterAutospacing="0"/>
        <w:rPr>
          <w:rFonts w:asciiTheme="minorHAnsi" w:hAnsiTheme="minorHAnsi" w:cstheme="minorHAnsi"/>
          <w:strike/>
        </w:rPr>
      </w:pPr>
      <w:bookmarkStart w:id="12" w:name="_Hlk170984897"/>
      <w:bookmarkEnd w:id="10"/>
      <w:bookmarkEnd w:id="11"/>
      <w:r w:rsidRPr="00247F79">
        <w:rPr>
          <w:rFonts w:asciiTheme="minorHAnsi" w:hAnsiTheme="minorHAnsi" w:cstheme="minorHAnsi"/>
          <w:strike/>
        </w:rPr>
        <w:t>Employers are also required to conduct regular pay audits to ensure that they are complying with equal pay laws and to identify and address any disparities in pay between different groups of employees. Failure to comply with equal pay regulations can result in legal action, fines, and reputational damage for the employer</w:t>
      </w:r>
      <w:r w:rsidR="007014C6" w:rsidRPr="00247F79">
        <w:rPr>
          <w:rFonts w:asciiTheme="minorHAnsi" w:hAnsiTheme="minorHAnsi" w:cstheme="minorHAnsi"/>
          <w:strike/>
        </w:rPr>
        <w:t xml:space="preserve"> (</w:t>
      </w:r>
      <w:proofErr w:type="spellStart"/>
      <w:r w:rsidR="007014C6" w:rsidRPr="00247F79">
        <w:rPr>
          <w:rFonts w:asciiTheme="minorHAnsi" w:hAnsiTheme="minorHAnsi" w:cstheme="minorHAnsi"/>
          <w:strike/>
        </w:rPr>
        <w:t>McAnea</w:t>
      </w:r>
      <w:proofErr w:type="spellEnd"/>
      <w:r w:rsidR="007014C6" w:rsidRPr="00247F79">
        <w:rPr>
          <w:rFonts w:asciiTheme="minorHAnsi" w:hAnsiTheme="minorHAnsi" w:cstheme="minorHAnsi"/>
          <w:strike/>
        </w:rPr>
        <w:t>, 2023).</w:t>
      </w:r>
    </w:p>
    <w:p w14:paraId="682C6D58" w14:textId="2F7EACBC" w:rsidR="005C6342" w:rsidRPr="00247F79" w:rsidRDefault="005C6342" w:rsidP="005C6342">
      <w:pPr>
        <w:pStyle w:val="NormalWeb"/>
        <w:spacing w:before="105" w:beforeAutospacing="0" w:after="0" w:afterAutospacing="0"/>
        <w:rPr>
          <w:rFonts w:asciiTheme="minorHAnsi" w:hAnsiTheme="minorHAnsi" w:cstheme="minorHAnsi"/>
          <w:strike/>
        </w:rPr>
      </w:pPr>
      <w:r w:rsidRPr="00247F79">
        <w:rPr>
          <w:rFonts w:asciiTheme="minorHAnsi" w:hAnsiTheme="minorHAnsi" w:cstheme="minorHAnsi"/>
          <w:strike/>
        </w:rPr>
        <w:t>In addition to the legal requirement for equal pay, the UK government has introduced gender pay gap reporting regulations that require larger employers to publish their gender pay gap data annually. This initiative aims to increase transparency around pay disparities and encourage employers to take action to address them</w:t>
      </w:r>
      <w:r w:rsidR="00323FDE" w:rsidRPr="00247F79">
        <w:rPr>
          <w:rFonts w:asciiTheme="minorHAnsi" w:hAnsiTheme="minorHAnsi" w:cstheme="minorHAnsi"/>
          <w:strike/>
        </w:rPr>
        <w:t xml:space="preserve"> (GOV, 2016).</w:t>
      </w:r>
    </w:p>
    <w:p w14:paraId="6A1B0C9B" w14:textId="5A1FD016" w:rsidR="007B77E8" w:rsidRPr="00247F79" w:rsidRDefault="005C6342" w:rsidP="00DD386E">
      <w:pPr>
        <w:pStyle w:val="NormalWeb"/>
        <w:spacing w:before="105" w:beforeAutospacing="0" w:after="0" w:afterAutospacing="0"/>
        <w:rPr>
          <w:rFonts w:asciiTheme="minorHAnsi" w:hAnsiTheme="minorHAnsi" w:cstheme="minorHAnsi"/>
        </w:rPr>
      </w:pPr>
      <w:r w:rsidRPr="00247F79">
        <w:rPr>
          <w:rFonts w:asciiTheme="minorHAnsi" w:hAnsiTheme="minorHAnsi" w:cstheme="minorHAnsi"/>
          <w:strike/>
        </w:rPr>
        <w:t>Overall, the legal requirements of equal pay in the UK are designed to promote fairness, equality, and non-discrimination in the workplace and to ensure that all employees are rewarded equally for their work</w:t>
      </w:r>
      <w:bookmarkEnd w:id="12"/>
      <w:r w:rsidRPr="00247F79">
        <w:rPr>
          <w:rFonts w:asciiTheme="minorHAnsi" w:hAnsiTheme="minorHAnsi" w:cstheme="minorHAnsi"/>
          <w:strike/>
        </w:rPr>
        <w:t>.</w:t>
      </w:r>
      <w:r w:rsidR="00820657" w:rsidRPr="00247F79">
        <w:rPr>
          <w:rFonts w:asciiTheme="minorHAnsi" w:hAnsiTheme="minorHAnsi" w:cstheme="minorHAnsi"/>
        </w:rPr>
        <w:t xml:space="preserve"> Cat may look to claim for the following:</w:t>
      </w:r>
    </w:p>
    <w:p w14:paraId="149F149A" w14:textId="5DA57ADE" w:rsidR="007B77E8" w:rsidRPr="00247F79" w:rsidRDefault="007B77E8" w:rsidP="00254297">
      <w:pPr>
        <w:pStyle w:val="NormalWeb"/>
        <w:spacing w:before="105" w:beforeAutospacing="0" w:after="0" w:afterAutospacing="0"/>
        <w:rPr>
          <w:rFonts w:asciiTheme="minorHAnsi" w:hAnsiTheme="minorHAnsi" w:cstheme="minorHAnsi"/>
        </w:rPr>
      </w:pPr>
      <w:bookmarkStart w:id="13" w:name="_Hlk173848035"/>
      <w:r w:rsidRPr="00247F79">
        <w:rPr>
          <w:rFonts w:asciiTheme="minorHAnsi" w:hAnsiTheme="minorHAnsi" w:cstheme="minorHAnsi"/>
          <w:b/>
          <w:bCs/>
        </w:rPr>
        <w:t>Gender Discrimination:</w:t>
      </w:r>
      <w:r w:rsidRPr="00247F79">
        <w:rPr>
          <w:rFonts w:asciiTheme="minorHAnsi" w:hAnsiTheme="minorHAnsi" w:cstheme="minorHAnsi"/>
        </w:rPr>
        <w:t xml:space="preserve"> Cat may have grounds to claim gender discrimination if she can demonstrate that the pay disparity between her and Kit is based on her gender. This is a </w:t>
      </w:r>
      <w:r w:rsidR="00AC3676" w:rsidRPr="00247F79">
        <w:rPr>
          <w:rFonts w:asciiTheme="minorHAnsi" w:hAnsiTheme="minorHAnsi" w:cstheme="minorHAnsi"/>
        </w:rPr>
        <w:t xml:space="preserve">breach </w:t>
      </w:r>
      <w:r w:rsidRPr="00247F79">
        <w:rPr>
          <w:rFonts w:asciiTheme="minorHAnsi" w:hAnsiTheme="minorHAnsi" w:cstheme="minorHAnsi"/>
        </w:rPr>
        <w:t>of the Equality Act 2010 in the, which prohibits discrimination on the basis of gender. Cat should document any evidence that suggests her gender was a factor in the pay difference.</w:t>
      </w:r>
    </w:p>
    <w:p w14:paraId="35E60607" w14:textId="10359A3B" w:rsidR="007B77E8" w:rsidRPr="00247F79" w:rsidRDefault="007B77E8" w:rsidP="00254297">
      <w:pPr>
        <w:pStyle w:val="NormalWeb"/>
        <w:spacing w:before="105" w:beforeAutospacing="0" w:after="0" w:afterAutospacing="0"/>
        <w:rPr>
          <w:rFonts w:asciiTheme="minorHAnsi" w:hAnsiTheme="minorHAnsi" w:cstheme="minorHAnsi"/>
        </w:rPr>
      </w:pPr>
      <w:r w:rsidRPr="00247F79">
        <w:rPr>
          <w:rFonts w:asciiTheme="minorHAnsi" w:hAnsiTheme="minorHAnsi" w:cstheme="minorHAnsi"/>
          <w:b/>
          <w:bCs/>
        </w:rPr>
        <w:lastRenderedPageBreak/>
        <w:t xml:space="preserve">Equal Pay </w:t>
      </w:r>
      <w:r w:rsidRPr="00247F79">
        <w:rPr>
          <w:rFonts w:asciiTheme="minorHAnsi" w:hAnsiTheme="minorHAnsi" w:cstheme="minorHAnsi"/>
          <w:b/>
          <w:bCs/>
          <w:strike/>
        </w:rPr>
        <w:t>Act</w:t>
      </w:r>
      <w:r w:rsidR="00254297" w:rsidRPr="00247F79">
        <w:rPr>
          <w:rFonts w:asciiTheme="minorHAnsi" w:hAnsiTheme="minorHAnsi" w:cstheme="minorHAnsi"/>
          <w:b/>
          <w:bCs/>
        </w:rPr>
        <w:t xml:space="preserve"> </w:t>
      </w:r>
      <w:r w:rsidR="00254297" w:rsidRPr="00247F79">
        <w:rPr>
          <w:rFonts w:asciiTheme="minorHAnsi" w:hAnsiTheme="minorHAnsi" w:cstheme="minorHAnsi"/>
          <w:b/>
          <w:bCs/>
          <w:color w:val="FF0000"/>
        </w:rPr>
        <w:t>Claim</w:t>
      </w:r>
      <w:r w:rsidRPr="00247F79">
        <w:rPr>
          <w:rFonts w:asciiTheme="minorHAnsi" w:hAnsiTheme="minorHAnsi" w:cstheme="minorHAnsi"/>
          <w:b/>
          <w:bCs/>
        </w:rPr>
        <w:t>:</w:t>
      </w:r>
      <w:r w:rsidRPr="00247F79">
        <w:rPr>
          <w:rFonts w:asciiTheme="minorHAnsi" w:hAnsiTheme="minorHAnsi" w:cstheme="minorHAnsi"/>
        </w:rPr>
        <w:t xml:space="preserve"> Cat may also have a claim under the </w:t>
      </w:r>
      <w:r w:rsidRPr="00247F79">
        <w:rPr>
          <w:rFonts w:asciiTheme="minorHAnsi" w:hAnsiTheme="minorHAnsi" w:cstheme="minorHAnsi"/>
          <w:strike/>
        </w:rPr>
        <w:t>Equal Pay Act 1970</w:t>
      </w:r>
      <w:r w:rsidR="00D91402" w:rsidRPr="00247F79">
        <w:rPr>
          <w:rFonts w:asciiTheme="minorHAnsi" w:hAnsiTheme="minorHAnsi" w:cstheme="minorHAnsi"/>
        </w:rPr>
        <w:t xml:space="preserve"> </w:t>
      </w:r>
      <w:r w:rsidR="00D91402" w:rsidRPr="00247F79">
        <w:rPr>
          <w:rFonts w:asciiTheme="minorHAnsi" w:hAnsiTheme="minorHAnsi" w:cstheme="minorHAnsi"/>
          <w:color w:val="FF0000"/>
        </w:rPr>
        <w:t>Equality Act 2010</w:t>
      </w:r>
      <w:r w:rsidRPr="00247F79">
        <w:rPr>
          <w:rFonts w:asciiTheme="minorHAnsi" w:hAnsiTheme="minorHAnsi" w:cstheme="minorHAnsi"/>
        </w:rPr>
        <w:t>, which requires equal pay for equal work. If Cat can show that she and Kit are performing similar duties and responsibilities, she may be entitled to the same salary as Kit. Employers are required to pay male and female employees equally for work of equal value.</w:t>
      </w:r>
    </w:p>
    <w:p w14:paraId="54820937" w14:textId="55ECEF7D" w:rsidR="007B77E8" w:rsidRPr="00247F79" w:rsidRDefault="007B77E8" w:rsidP="00254297">
      <w:pPr>
        <w:pStyle w:val="NormalWeb"/>
        <w:spacing w:before="105" w:beforeAutospacing="0" w:after="0" w:afterAutospacing="0"/>
        <w:rPr>
          <w:rFonts w:asciiTheme="minorHAnsi" w:hAnsiTheme="minorHAnsi" w:cstheme="minorHAnsi"/>
        </w:rPr>
      </w:pPr>
      <w:r w:rsidRPr="00247F79">
        <w:rPr>
          <w:rFonts w:asciiTheme="minorHAnsi" w:hAnsiTheme="minorHAnsi" w:cstheme="minorHAnsi"/>
          <w:b/>
          <w:bCs/>
        </w:rPr>
        <w:t>Unfair Treatment:</w:t>
      </w:r>
      <w:r w:rsidRPr="00247F79">
        <w:rPr>
          <w:rFonts w:asciiTheme="minorHAnsi" w:hAnsiTheme="minorHAnsi" w:cstheme="minorHAnsi"/>
        </w:rPr>
        <w:t xml:space="preserve"> Cat may have a claim for unfair treatment if she can show that she is being treated less </w:t>
      </w:r>
      <w:r w:rsidR="00153ED8" w:rsidRPr="00247F79">
        <w:rPr>
          <w:rFonts w:asciiTheme="minorHAnsi" w:hAnsiTheme="minorHAnsi" w:cstheme="minorHAnsi"/>
        </w:rPr>
        <w:t>favourably</w:t>
      </w:r>
      <w:r w:rsidRPr="00247F79">
        <w:rPr>
          <w:rFonts w:asciiTheme="minorHAnsi" w:hAnsiTheme="minorHAnsi" w:cstheme="minorHAnsi"/>
        </w:rPr>
        <w:t xml:space="preserve"> than Kit without justification. Employers have a duty to treat their employees fairly and consistently</w:t>
      </w:r>
      <w:r w:rsidR="00820657" w:rsidRPr="00247F79">
        <w:rPr>
          <w:rFonts w:asciiTheme="minorHAnsi" w:hAnsiTheme="minorHAnsi" w:cstheme="minorHAnsi"/>
        </w:rPr>
        <w:t xml:space="preserve"> (ACAS, 2024</w:t>
      </w:r>
      <w:r w:rsidR="00F71BB0" w:rsidRPr="00247F79">
        <w:rPr>
          <w:rFonts w:asciiTheme="minorHAnsi" w:hAnsiTheme="minorHAnsi" w:cstheme="minorHAnsi"/>
        </w:rPr>
        <w:t>a</w:t>
      </w:r>
      <w:r w:rsidR="00820657" w:rsidRPr="00247F79">
        <w:rPr>
          <w:rFonts w:asciiTheme="minorHAnsi" w:hAnsiTheme="minorHAnsi" w:cstheme="minorHAnsi"/>
        </w:rPr>
        <w:t>)</w:t>
      </w:r>
    </w:p>
    <w:p w14:paraId="4FA75AD0" w14:textId="511BE6F4" w:rsidR="00323FDE" w:rsidRPr="00247F79" w:rsidRDefault="007B77E8" w:rsidP="007B77E8">
      <w:pPr>
        <w:pStyle w:val="NormalWeb"/>
        <w:spacing w:before="105" w:beforeAutospacing="0" w:after="0" w:afterAutospacing="0"/>
        <w:rPr>
          <w:rFonts w:asciiTheme="minorHAnsi" w:hAnsiTheme="minorHAnsi" w:cstheme="minorHAnsi"/>
          <w:strike/>
        </w:rPr>
      </w:pPr>
      <w:bookmarkStart w:id="14" w:name="_Hlk170984903"/>
      <w:bookmarkEnd w:id="13"/>
      <w:r w:rsidRPr="00247F79">
        <w:rPr>
          <w:rFonts w:asciiTheme="minorHAnsi" w:hAnsiTheme="minorHAnsi" w:cstheme="minorHAnsi"/>
          <w:strike/>
        </w:rPr>
        <w:t xml:space="preserve">In conclusion, Cat may have legal avenues to pursue if she believes that she is being unfairly paid less than Kit based on her gender. </w:t>
      </w:r>
    </w:p>
    <w:p w14:paraId="1FBA9867" w14:textId="42CB66E6" w:rsidR="00254297" w:rsidRPr="00247F79" w:rsidRDefault="00323FDE" w:rsidP="00254297">
      <w:pPr>
        <w:pStyle w:val="NormalWeb"/>
        <w:spacing w:before="105" w:beforeAutospacing="0" w:after="0" w:afterAutospacing="0"/>
        <w:rPr>
          <w:rFonts w:asciiTheme="minorHAnsi" w:hAnsiTheme="minorHAnsi" w:cstheme="minorHAnsi"/>
          <w:i/>
          <w:iCs/>
        </w:rPr>
      </w:pPr>
      <w:bookmarkStart w:id="15" w:name="_Hlk173848040"/>
      <w:bookmarkEnd w:id="14"/>
      <w:r w:rsidRPr="00247F79">
        <w:rPr>
          <w:rFonts w:asciiTheme="minorHAnsi" w:hAnsiTheme="minorHAnsi" w:cstheme="minorHAnsi"/>
          <w:i/>
          <w:iCs/>
        </w:rPr>
        <w:t>In 20</w:t>
      </w:r>
      <w:r w:rsidR="00820657" w:rsidRPr="00247F79">
        <w:rPr>
          <w:rFonts w:asciiTheme="minorHAnsi" w:hAnsiTheme="minorHAnsi" w:cstheme="minorHAnsi"/>
          <w:i/>
          <w:iCs/>
        </w:rPr>
        <w:t>12</w:t>
      </w:r>
      <w:r w:rsidRPr="00247F79">
        <w:rPr>
          <w:rFonts w:asciiTheme="minorHAnsi" w:hAnsiTheme="minorHAnsi" w:cstheme="minorHAnsi"/>
          <w:i/>
          <w:iCs/>
        </w:rPr>
        <w:t xml:space="preserve"> – </w:t>
      </w:r>
      <w:r w:rsidR="00820657" w:rsidRPr="00247F79">
        <w:rPr>
          <w:rFonts w:asciiTheme="minorHAnsi" w:hAnsiTheme="minorHAnsi" w:cstheme="minorHAnsi"/>
          <w:i/>
          <w:iCs/>
        </w:rPr>
        <w:t>Irish Police Force Equal Pay Claim (Kenny v Minister for Justice Equality and Law Reform) where a group of Female Civil Servants brought a claim to be paid the same is he Male Officers who also carried out clerical duties. The high court upheld their claim as indirect sex discrimination, costing thousands of pounds</w:t>
      </w:r>
      <w:r w:rsidR="00D5399C" w:rsidRPr="00247F79">
        <w:rPr>
          <w:rFonts w:asciiTheme="minorHAnsi" w:hAnsiTheme="minorHAnsi" w:cstheme="minorHAnsi"/>
          <w:i/>
          <w:iCs/>
        </w:rPr>
        <w:t xml:space="preserve"> (CIPD, 2024</w:t>
      </w:r>
      <w:r w:rsidR="00682C65" w:rsidRPr="00247F79">
        <w:rPr>
          <w:rFonts w:asciiTheme="minorHAnsi" w:hAnsiTheme="minorHAnsi" w:cstheme="minorHAnsi"/>
          <w:i/>
          <w:iCs/>
        </w:rPr>
        <w:t>b</w:t>
      </w:r>
      <w:r w:rsidR="00D5399C" w:rsidRPr="00247F79">
        <w:rPr>
          <w:rFonts w:asciiTheme="minorHAnsi" w:hAnsiTheme="minorHAnsi" w:cstheme="minorHAnsi"/>
          <w:i/>
          <w:iCs/>
        </w:rPr>
        <w:t>)</w:t>
      </w:r>
      <w:r w:rsidR="00254297" w:rsidRPr="00247F79">
        <w:rPr>
          <w:rFonts w:asciiTheme="minorHAnsi" w:hAnsiTheme="minorHAnsi" w:cstheme="minorHAnsi"/>
          <w:i/>
          <w:iCs/>
        </w:rPr>
        <w:t>.</w:t>
      </w:r>
    </w:p>
    <w:p w14:paraId="38FCE439" w14:textId="77777777" w:rsidR="00254297" w:rsidRPr="00247F79" w:rsidRDefault="00254297" w:rsidP="00254297">
      <w:pPr>
        <w:pStyle w:val="NormalWeb"/>
        <w:spacing w:before="105" w:beforeAutospacing="0" w:after="0" w:afterAutospacing="0"/>
        <w:rPr>
          <w:rFonts w:asciiTheme="minorHAnsi" w:hAnsiTheme="minorHAnsi" w:cstheme="minorHAnsi"/>
          <w:i/>
          <w:iCs/>
        </w:rPr>
      </w:pPr>
    </w:p>
    <w:p w14:paraId="096B879E" w14:textId="348D2F47" w:rsidR="00254297" w:rsidRPr="00247F79" w:rsidRDefault="00254297" w:rsidP="00254297">
      <w:pPr>
        <w:rPr>
          <w:rFonts w:cstheme="minorHAnsi"/>
          <w:color w:val="FF0000"/>
          <w:sz w:val="24"/>
          <w:szCs w:val="24"/>
        </w:rPr>
      </w:pPr>
      <w:bookmarkStart w:id="16" w:name="_Hlk170984934"/>
      <w:r w:rsidRPr="00247F79">
        <w:rPr>
          <w:rFonts w:cstheme="minorHAnsi"/>
          <w:color w:val="FF0000"/>
          <w:sz w:val="24"/>
          <w:szCs w:val="24"/>
        </w:rPr>
        <w:t>In this scenario, it is essential for Cat's employer to conduct an investigation into the salary disparity between Cat and Kit, consider evidence of equal pay claims, and provide a fair solution that addresses the issue. Failing to do so could lead to legal action and harm the reputation of the company</w:t>
      </w:r>
      <w:r w:rsidR="00247F79" w:rsidRPr="00247F79">
        <w:rPr>
          <w:rFonts w:cstheme="minorHAnsi"/>
          <w:color w:val="FF0000"/>
          <w:sz w:val="24"/>
          <w:szCs w:val="24"/>
        </w:rPr>
        <w:t xml:space="preserve"> (CIPD, 2024c).</w:t>
      </w:r>
    </w:p>
    <w:p w14:paraId="0CD92AB0" w14:textId="5F4F31C7" w:rsidR="00A32A95" w:rsidRPr="00247F79" w:rsidRDefault="00A32A95" w:rsidP="00A32A95">
      <w:pPr>
        <w:pStyle w:val="NormalWeb"/>
        <w:spacing w:before="105" w:beforeAutospacing="0" w:after="0" w:afterAutospacing="0"/>
        <w:rPr>
          <w:rFonts w:asciiTheme="minorHAnsi" w:hAnsiTheme="minorHAnsi" w:cstheme="minorHAnsi"/>
          <w:strike/>
        </w:rPr>
      </w:pPr>
      <w:bookmarkStart w:id="17" w:name="_Hlk170984907"/>
      <w:bookmarkEnd w:id="15"/>
      <w:bookmarkEnd w:id="16"/>
      <w:r w:rsidRPr="00247F79">
        <w:rPr>
          <w:rFonts w:asciiTheme="minorHAnsi" w:hAnsiTheme="minorHAnsi" w:cstheme="minorHAnsi"/>
          <w:strike/>
        </w:rPr>
        <w:t>We recommend conducting a thorough review of all managers' salaries to identify and rectify any pay discrepancies. It is crucial to promote fairness, equality, and transparency in our compensation practices to maintain a positive work environment and avoid potential legal issues</w:t>
      </w:r>
      <w:r w:rsidR="00323FDE" w:rsidRPr="00247F79">
        <w:rPr>
          <w:rFonts w:asciiTheme="minorHAnsi" w:hAnsiTheme="minorHAnsi" w:cstheme="minorHAnsi"/>
          <w:strike/>
        </w:rPr>
        <w:t xml:space="preserve"> (CIPD, 2024c)</w:t>
      </w:r>
    </w:p>
    <w:bookmarkEnd w:id="17"/>
    <w:p w14:paraId="2A9B17DB" w14:textId="77777777" w:rsidR="00A32A95" w:rsidRPr="00247F79" w:rsidRDefault="00A32A95" w:rsidP="00DD386E">
      <w:pPr>
        <w:pStyle w:val="NormalWeb"/>
        <w:spacing w:before="105" w:beforeAutospacing="0" w:after="0" w:afterAutospacing="0"/>
        <w:rPr>
          <w:rFonts w:asciiTheme="minorHAnsi" w:hAnsiTheme="minorHAnsi" w:cstheme="minorHAnsi"/>
          <w:color w:val="FF0000"/>
        </w:rPr>
      </w:pPr>
    </w:p>
    <w:p w14:paraId="38EC3E80" w14:textId="09C17942" w:rsidR="00A32A95" w:rsidRPr="00247F79" w:rsidRDefault="00ED5E90">
      <w:pPr>
        <w:rPr>
          <w:rFonts w:cstheme="minorHAnsi"/>
          <w:b/>
          <w:bCs/>
          <w:sz w:val="24"/>
          <w:szCs w:val="24"/>
          <w:u w:val="single"/>
        </w:rPr>
      </w:pPr>
      <w:r w:rsidRPr="00247F79">
        <w:rPr>
          <w:rFonts w:cstheme="minorHAnsi"/>
          <w:b/>
          <w:bCs/>
          <w:sz w:val="24"/>
          <w:szCs w:val="24"/>
          <w:u w:val="single"/>
        </w:rPr>
        <w:t xml:space="preserve">Redundancy and Managing Change </w:t>
      </w:r>
      <w:r w:rsidR="00A32A95" w:rsidRPr="00247F79">
        <w:rPr>
          <w:rFonts w:cstheme="minorHAnsi"/>
          <w:b/>
          <w:bCs/>
          <w:sz w:val="24"/>
          <w:szCs w:val="24"/>
          <w:u w:val="single"/>
        </w:rPr>
        <w:t>(AC 3.1)</w:t>
      </w:r>
    </w:p>
    <w:p w14:paraId="16B7197F" w14:textId="46B5C9A3" w:rsidR="00103C38" w:rsidRPr="00421E00" w:rsidRDefault="004551D4"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Angelica and Saffron both have over 2 years’ service</w:t>
      </w:r>
      <w:r w:rsidR="00C817EE" w:rsidRPr="00421E00">
        <w:rPr>
          <w:rFonts w:asciiTheme="minorHAnsi" w:hAnsiTheme="minorHAnsi" w:cstheme="minorHAnsi"/>
          <w:strike/>
        </w:rPr>
        <w:t xml:space="preserve">. Dismissing them with 2 weeks’ notice would come with some serious breaches of The Employment Rights Act 1996, which in turn opens some legal risks, as per the below: </w:t>
      </w:r>
      <w:r w:rsidR="00103C38" w:rsidRPr="00421E00">
        <w:rPr>
          <w:rFonts w:asciiTheme="minorHAnsi" w:hAnsiTheme="minorHAnsi" w:cstheme="minorHAnsi"/>
          <w:strike/>
        </w:rPr>
        <w:t>Some of the legal risks associated with dismissing employees rather than making them redundant during a business closure include</w:t>
      </w:r>
      <w:r w:rsidR="002C6A9B" w:rsidRPr="00421E00">
        <w:rPr>
          <w:rFonts w:asciiTheme="minorHAnsi" w:hAnsiTheme="minorHAnsi" w:cstheme="minorHAnsi"/>
          <w:strike/>
        </w:rPr>
        <w:t xml:space="preserve"> (Morris, 2023)</w:t>
      </w:r>
      <w:r w:rsidR="00103C38" w:rsidRPr="00421E00">
        <w:rPr>
          <w:rFonts w:asciiTheme="minorHAnsi" w:hAnsiTheme="minorHAnsi" w:cstheme="minorHAnsi"/>
          <w:strike/>
        </w:rPr>
        <w:t>:</w:t>
      </w:r>
    </w:p>
    <w:p w14:paraId="0959E871" w14:textId="77777777"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Unfair dismissal claims:</w:t>
      </w:r>
      <w:r w:rsidRPr="00421E00">
        <w:rPr>
          <w:rFonts w:asciiTheme="minorHAnsi" w:hAnsiTheme="minorHAnsi" w:cstheme="minorHAnsi"/>
          <w:strike/>
        </w:rPr>
        <w:t xml:space="preserve"> Dismissing employees without valid reasons or without following proper dismissal procedures can lead to unfair dismissal claims. Employees may challenge the fairness of their dismissal and seek compensation through an employment tribunal.</w:t>
      </w:r>
    </w:p>
    <w:p w14:paraId="2DF7CA60" w14:textId="77777777"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Breach of employment laws:</w:t>
      </w:r>
      <w:r w:rsidRPr="00421E00">
        <w:rPr>
          <w:rFonts w:asciiTheme="minorHAnsi" w:hAnsiTheme="minorHAnsi" w:cstheme="minorHAnsi"/>
          <w:strike/>
        </w:rPr>
        <w:t xml:space="preserve"> Dismissing employees without adhering to employment laws and regulations, such as those governing notice periods, consultation requirements, and redundancy procedures, can result in claims of breach of employment laws.</w:t>
      </w:r>
    </w:p>
    <w:p w14:paraId="161B9726" w14:textId="77777777"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Discrimination claims:</w:t>
      </w:r>
      <w:r w:rsidRPr="00421E00">
        <w:rPr>
          <w:rFonts w:asciiTheme="minorHAnsi" w:hAnsiTheme="minorHAnsi" w:cstheme="minorHAnsi"/>
          <w:strike/>
        </w:rPr>
        <w:t xml:space="preserve"> If the selection process for dismissing employees is perceived to be discriminatory based on protected characteristics such as age, gender, race, disability, or pregnancy, employees may bring discrimination claims against the employer.</w:t>
      </w:r>
    </w:p>
    <w:p w14:paraId="3B825137" w14:textId="27E5C22E"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Notice period and payment disputes:</w:t>
      </w:r>
      <w:r w:rsidRPr="00421E00">
        <w:rPr>
          <w:rFonts w:asciiTheme="minorHAnsi" w:hAnsiTheme="minorHAnsi" w:cstheme="minorHAnsi"/>
          <w:strike/>
        </w:rPr>
        <w:t xml:space="preserve"> Terminating employees without providing the required notice period or without paying them their entitlements, such as redundancy pay, notice pay, and accrued holiday pay, can result in disputes and legal claims from employees</w:t>
      </w:r>
      <w:r w:rsidR="00C817EE" w:rsidRPr="00421E00">
        <w:rPr>
          <w:rFonts w:asciiTheme="minorHAnsi" w:hAnsiTheme="minorHAnsi" w:cstheme="minorHAnsi"/>
          <w:strike/>
        </w:rPr>
        <w:t xml:space="preserve"> (Morris, 2023).</w:t>
      </w:r>
    </w:p>
    <w:p w14:paraId="6E880844" w14:textId="77777777" w:rsidR="00C817EE"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lastRenderedPageBreak/>
        <w:t>Reputational damage:</w:t>
      </w:r>
      <w:r w:rsidRPr="00421E00">
        <w:rPr>
          <w:rFonts w:asciiTheme="minorHAnsi" w:hAnsiTheme="minorHAnsi" w:cstheme="minorHAnsi"/>
          <w:strike/>
        </w:rPr>
        <w:t xml:space="preserve"> </w:t>
      </w:r>
    </w:p>
    <w:p w14:paraId="11727E9B" w14:textId="419BF1F4" w:rsidR="00103C38" w:rsidRPr="00421E00" w:rsidRDefault="00C817EE"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Not only is there possible financial complications, d</w:t>
      </w:r>
      <w:r w:rsidR="00103C38" w:rsidRPr="00421E00">
        <w:rPr>
          <w:rFonts w:asciiTheme="minorHAnsi" w:hAnsiTheme="minorHAnsi" w:cstheme="minorHAnsi"/>
          <w:strike/>
        </w:rPr>
        <w:t>ismissing employees unfairly or without proper justification can harm the employer's reputation and lead to negative publicity, affecting relationships with customers, suppliers, and the wider community.</w:t>
      </w:r>
    </w:p>
    <w:p w14:paraId="22D1A484" w14:textId="7EAB8714"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Legal costs and penalties</w:t>
      </w:r>
      <w:r w:rsidRPr="00421E00">
        <w:rPr>
          <w:rFonts w:asciiTheme="minorHAnsi" w:hAnsiTheme="minorHAnsi" w:cstheme="minorHAnsi"/>
          <w:strike/>
        </w:rPr>
        <w:t>: Defending against legal claims and disputes resulting from improper dismissals can incur significant legal costs for the employer. Additionally, tribunals may impose penalties or compensation payments if the employer is found to have acted unlawfully</w:t>
      </w:r>
      <w:r w:rsidR="002C6A9B" w:rsidRPr="00421E00">
        <w:rPr>
          <w:rFonts w:asciiTheme="minorHAnsi" w:hAnsiTheme="minorHAnsi" w:cstheme="minorHAnsi"/>
          <w:strike/>
        </w:rPr>
        <w:t xml:space="preserve"> (Morris, 2023)</w:t>
      </w:r>
    </w:p>
    <w:p w14:paraId="4B027268" w14:textId="25374F60" w:rsidR="00103C38" w:rsidRPr="00421E00" w:rsidRDefault="00103C38" w:rsidP="00103C38">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To avoid these legal risks, employers should ensure that any dismissals during a business closure are carried out in compliance with employment laws, contractual obligations, and best practices, and the job roles should be made redundant, following the correct steps set out below</w:t>
      </w:r>
      <w:r w:rsidR="00F71BB0" w:rsidRPr="00421E00">
        <w:rPr>
          <w:rFonts w:asciiTheme="minorHAnsi" w:hAnsiTheme="minorHAnsi" w:cstheme="minorHAnsi"/>
          <w:strike/>
        </w:rPr>
        <w:t xml:space="preserve"> (ACAS, 2024b)</w:t>
      </w:r>
      <w:r w:rsidRPr="00421E00">
        <w:rPr>
          <w:rFonts w:asciiTheme="minorHAnsi" w:hAnsiTheme="minorHAnsi" w:cstheme="minorHAnsi"/>
          <w:strike/>
        </w:rPr>
        <w:t>:</w:t>
      </w:r>
    </w:p>
    <w:p w14:paraId="628225A0"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Consultation:</w:t>
      </w:r>
      <w:r w:rsidRPr="00421E00">
        <w:rPr>
          <w:rFonts w:asciiTheme="minorHAnsi" w:hAnsiTheme="minorHAnsi" w:cstheme="minorHAnsi"/>
          <w:strike/>
        </w:rPr>
        <w:t xml:space="preserve"> The first step is to consult with employees regarding the closure of the business and the potential redundancy situation. This should be done as early as possible and in a transparent manner.</w:t>
      </w:r>
    </w:p>
    <w:p w14:paraId="35EA61BD"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Selection process:</w:t>
      </w:r>
      <w:r w:rsidRPr="00421E00">
        <w:rPr>
          <w:rFonts w:asciiTheme="minorHAnsi" w:hAnsiTheme="minorHAnsi" w:cstheme="minorHAnsi"/>
          <w:strike/>
        </w:rPr>
        <w:t xml:space="preserve"> If there are multiple employees in similar roles, you will need to establish a fair and objective selection process based on criteria such as skills, performance, and length of service.</w:t>
      </w:r>
    </w:p>
    <w:p w14:paraId="7BB457BD"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Write to employees:</w:t>
      </w:r>
      <w:r w:rsidRPr="00421E00">
        <w:rPr>
          <w:rFonts w:asciiTheme="minorHAnsi" w:hAnsiTheme="minorHAnsi" w:cstheme="minorHAnsi"/>
          <w:strike/>
        </w:rPr>
        <w:t xml:space="preserve"> Provide written notice to affected employees outlining the reasons for redundancy, the selection process, and the rights they have during the process.</w:t>
      </w:r>
    </w:p>
    <w:p w14:paraId="5096E3D2"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Offer alternative employment:</w:t>
      </w:r>
      <w:r w:rsidRPr="00421E00">
        <w:rPr>
          <w:rFonts w:asciiTheme="minorHAnsi" w:hAnsiTheme="minorHAnsi" w:cstheme="minorHAnsi"/>
          <w:strike/>
        </w:rPr>
        <w:t xml:space="preserve"> Consider whether there are any alternative roles within the company that the affected employees could be suitable for.</w:t>
      </w:r>
    </w:p>
    <w:p w14:paraId="47AEDA5D"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Redundancy pay:</w:t>
      </w:r>
      <w:r w:rsidRPr="00421E00">
        <w:rPr>
          <w:rFonts w:asciiTheme="minorHAnsi" w:hAnsiTheme="minorHAnsi" w:cstheme="minorHAnsi"/>
          <w:strike/>
        </w:rPr>
        <w:t xml:space="preserve"> Ensure that you provide the appropriate statutory redundancy pay as well as any contractual entitlements.</w:t>
      </w:r>
    </w:p>
    <w:p w14:paraId="19FBEAEB" w14:textId="77777777" w:rsidR="00103C38" w:rsidRPr="00421E00" w:rsidRDefault="00103C38" w:rsidP="00103C38">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Follow the correct procedure:</w:t>
      </w:r>
      <w:r w:rsidRPr="00421E00">
        <w:rPr>
          <w:rFonts w:asciiTheme="minorHAnsi" w:hAnsiTheme="minorHAnsi" w:cstheme="minorHAnsi"/>
          <w:strike/>
        </w:rPr>
        <w:t xml:space="preserve"> Make sure you adhere to the correct redundancy procedures as set out in UK employment law, including the minimum consultation period and any collective consultation requirements.</w:t>
      </w:r>
    </w:p>
    <w:p w14:paraId="5C808980" w14:textId="45B9AB48" w:rsidR="002C6A9B" w:rsidRPr="00421E00" w:rsidRDefault="00103C38" w:rsidP="002C6A9B">
      <w:pPr>
        <w:pStyle w:val="NormalWeb"/>
        <w:numPr>
          <w:ilvl w:val="0"/>
          <w:numId w:val="3"/>
        </w:numPr>
        <w:spacing w:before="105" w:beforeAutospacing="0" w:after="0" w:afterAutospacing="0"/>
        <w:rPr>
          <w:rFonts w:asciiTheme="minorHAnsi" w:hAnsiTheme="minorHAnsi" w:cstheme="minorHAnsi"/>
          <w:strike/>
        </w:rPr>
      </w:pPr>
      <w:r w:rsidRPr="00421E00">
        <w:rPr>
          <w:rFonts w:asciiTheme="minorHAnsi" w:hAnsiTheme="minorHAnsi" w:cstheme="minorHAnsi"/>
          <w:b/>
          <w:bCs/>
          <w:strike/>
        </w:rPr>
        <w:t>Provide support:</w:t>
      </w:r>
      <w:r w:rsidRPr="00421E00">
        <w:rPr>
          <w:rFonts w:asciiTheme="minorHAnsi" w:hAnsiTheme="minorHAnsi" w:cstheme="minorHAnsi"/>
          <w:strike/>
        </w:rPr>
        <w:t xml:space="preserve"> Offer support to employees through the process, such as outplacement services or access to </w:t>
      </w:r>
      <w:r w:rsidR="00153ED8" w:rsidRPr="00421E00">
        <w:rPr>
          <w:rFonts w:asciiTheme="minorHAnsi" w:hAnsiTheme="minorHAnsi" w:cstheme="minorHAnsi"/>
          <w:strike/>
        </w:rPr>
        <w:t>counselling</w:t>
      </w:r>
      <w:r w:rsidRPr="00421E00">
        <w:rPr>
          <w:rFonts w:asciiTheme="minorHAnsi" w:hAnsiTheme="minorHAnsi" w:cstheme="minorHAnsi"/>
          <w:strike/>
        </w:rPr>
        <w:t xml:space="preserve"> services.</w:t>
      </w:r>
    </w:p>
    <w:p w14:paraId="7810C554" w14:textId="18F07B07" w:rsidR="002C6A9B" w:rsidRPr="00421E00" w:rsidRDefault="002C6A9B" w:rsidP="002C6A9B">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Angelica is legally entitled to £8,400 redundancy pay plus 8 weeks’ notice pay</w:t>
      </w:r>
      <w:r w:rsidR="003A01F9" w:rsidRPr="00421E00">
        <w:rPr>
          <w:rFonts w:asciiTheme="minorHAnsi" w:hAnsiTheme="minorHAnsi" w:cstheme="minorHAnsi"/>
          <w:strike/>
        </w:rPr>
        <w:t xml:space="preserve"> @ £700 per week, giving a total of £14,000.</w:t>
      </w:r>
    </w:p>
    <w:p w14:paraId="104D56F4" w14:textId="17330D12" w:rsidR="002C6A9B" w:rsidRPr="00421E00" w:rsidRDefault="002C6A9B" w:rsidP="002C6A9B">
      <w:pPr>
        <w:pStyle w:val="NormalWeb"/>
        <w:spacing w:before="105" w:beforeAutospacing="0" w:after="0" w:afterAutospacing="0"/>
        <w:rPr>
          <w:rFonts w:asciiTheme="minorHAnsi" w:hAnsiTheme="minorHAnsi" w:cstheme="minorHAnsi"/>
          <w:strike/>
        </w:rPr>
      </w:pPr>
      <w:r w:rsidRPr="00421E00">
        <w:rPr>
          <w:rFonts w:asciiTheme="minorHAnsi" w:hAnsiTheme="minorHAnsi" w:cstheme="minorHAnsi"/>
          <w:strike/>
        </w:rPr>
        <w:t>Saffron is legally entitled to £1750 redundancy pay plus 5 weeks’ notice pay</w:t>
      </w:r>
      <w:r w:rsidR="003A01F9" w:rsidRPr="00421E00">
        <w:rPr>
          <w:rFonts w:asciiTheme="minorHAnsi" w:hAnsiTheme="minorHAnsi" w:cstheme="minorHAnsi"/>
          <w:strike/>
        </w:rPr>
        <w:t xml:space="preserve"> @ £350 per week, giving a total of £3,500.</w:t>
      </w:r>
    </w:p>
    <w:p w14:paraId="52ED2C46" w14:textId="1CE999FC" w:rsidR="002C6A9B" w:rsidRPr="00247F79" w:rsidRDefault="003A01F9" w:rsidP="002C6A9B">
      <w:pPr>
        <w:pStyle w:val="NormalWeb"/>
        <w:spacing w:before="105" w:beforeAutospacing="0" w:after="0" w:afterAutospacing="0"/>
        <w:rPr>
          <w:rFonts w:asciiTheme="minorHAnsi" w:hAnsiTheme="minorHAnsi" w:cstheme="minorHAnsi"/>
        </w:rPr>
      </w:pPr>
      <w:r w:rsidRPr="00421E00">
        <w:rPr>
          <w:rFonts w:asciiTheme="minorHAnsi" w:hAnsiTheme="minorHAnsi" w:cstheme="minorHAnsi"/>
          <w:strike/>
        </w:rPr>
        <w:t>Chip, Cherry, Reece and Carmel are not entitled to any redundancy pay</w:t>
      </w:r>
      <w:r w:rsidR="00C817EE" w:rsidRPr="00421E00">
        <w:rPr>
          <w:rFonts w:asciiTheme="minorHAnsi" w:hAnsiTheme="minorHAnsi" w:cstheme="minorHAnsi"/>
          <w:strike/>
        </w:rPr>
        <w:t xml:space="preserve">, as they have less than 2 </w:t>
      </w:r>
      <w:proofErr w:type="spellStart"/>
      <w:r w:rsidR="00C817EE" w:rsidRPr="00421E00">
        <w:rPr>
          <w:rFonts w:asciiTheme="minorHAnsi" w:hAnsiTheme="minorHAnsi" w:cstheme="minorHAnsi"/>
          <w:strike/>
        </w:rPr>
        <w:t>year’s service</w:t>
      </w:r>
      <w:proofErr w:type="spellEnd"/>
      <w:r w:rsidR="00C817EE" w:rsidRPr="00421E00">
        <w:rPr>
          <w:rFonts w:asciiTheme="minorHAnsi" w:hAnsiTheme="minorHAnsi" w:cstheme="minorHAnsi"/>
          <w:strike/>
        </w:rPr>
        <w:t>, however</w:t>
      </w:r>
      <w:r w:rsidRPr="00421E00">
        <w:rPr>
          <w:rFonts w:asciiTheme="minorHAnsi" w:hAnsiTheme="minorHAnsi" w:cstheme="minorHAnsi"/>
          <w:strike/>
        </w:rPr>
        <w:t xml:space="preserve"> they would be entitled to 1 </w:t>
      </w:r>
      <w:r w:rsidR="004551D4" w:rsidRPr="00421E00">
        <w:rPr>
          <w:rFonts w:asciiTheme="minorHAnsi" w:hAnsiTheme="minorHAnsi" w:cstheme="minorHAnsi"/>
          <w:strike/>
        </w:rPr>
        <w:t xml:space="preserve">2 </w:t>
      </w:r>
      <w:r w:rsidRPr="00421E00">
        <w:rPr>
          <w:rFonts w:asciiTheme="minorHAnsi" w:hAnsiTheme="minorHAnsi" w:cstheme="minorHAnsi"/>
          <w:strike/>
        </w:rPr>
        <w:t>week’ notice pay of £225</w:t>
      </w:r>
      <w:r w:rsidR="004551D4" w:rsidRPr="00421E00">
        <w:rPr>
          <w:rFonts w:asciiTheme="minorHAnsi" w:hAnsiTheme="minorHAnsi" w:cstheme="minorHAnsi"/>
          <w:strike/>
        </w:rPr>
        <w:t xml:space="preserve"> £450</w:t>
      </w:r>
      <w:r w:rsidRPr="00421E00">
        <w:rPr>
          <w:rFonts w:asciiTheme="minorHAnsi" w:hAnsiTheme="minorHAnsi" w:cstheme="minorHAnsi"/>
          <w:strike/>
        </w:rPr>
        <w:t>.</w:t>
      </w:r>
      <w:r w:rsidR="00C817EE" w:rsidRPr="00421E00">
        <w:rPr>
          <w:rFonts w:asciiTheme="minorHAnsi" w:hAnsiTheme="minorHAnsi" w:cstheme="minorHAnsi"/>
          <w:strike/>
        </w:rPr>
        <w:t xml:space="preserve"> A redundancy process would not be necessary however, as best practice it would be advisable to follow the same process for all.</w:t>
      </w:r>
    </w:p>
    <w:p w14:paraId="4055B87D" w14:textId="77777777" w:rsidR="00103C38" w:rsidRPr="00247F79" w:rsidRDefault="00103C38" w:rsidP="00103C38">
      <w:pPr>
        <w:pStyle w:val="NormalWeb"/>
        <w:spacing w:before="105" w:beforeAutospacing="0" w:after="0" w:afterAutospacing="0"/>
        <w:rPr>
          <w:rFonts w:asciiTheme="minorHAnsi" w:hAnsiTheme="minorHAnsi" w:cstheme="minorHAnsi"/>
        </w:rPr>
      </w:pPr>
    </w:p>
    <w:p w14:paraId="360C85C8" w14:textId="77777777" w:rsidR="00C817EE" w:rsidRPr="00247F79" w:rsidRDefault="00C817EE" w:rsidP="00103C38">
      <w:pPr>
        <w:pStyle w:val="NormalWeb"/>
        <w:spacing w:before="105" w:beforeAutospacing="0" w:after="0" w:afterAutospacing="0"/>
        <w:rPr>
          <w:rFonts w:asciiTheme="minorHAnsi" w:hAnsiTheme="minorHAnsi" w:cstheme="minorHAnsi"/>
        </w:rPr>
      </w:pPr>
    </w:p>
    <w:p w14:paraId="14523012" w14:textId="77777777" w:rsidR="00421E00" w:rsidRDefault="00421E00" w:rsidP="00421E00">
      <w:pPr>
        <w:rPr>
          <w:rFonts w:cstheme="minorHAnsi"/>
          <w:sz w:val="24"/>
          <w:szCs w:val="24"/>
        </w:rPr>
      </w:pPr>
    </w:p>
    <w:p w14:paraId="1B99B9A1" w14:textId="4649B283" w:rsidR="00421E00" w:rsidRPr="00421E00" w:rsidRDefault="00421E00" w:rsidP="00421E00">
      <w:pPr>
        <w:rPr>
          <w:rFonts w:cstheme="minorHAnsi"/>
          <w:color w:val="FF0000"/>
          <w:sz w:val="24"/>
          <w:szCs w:val="24"/>
        </w:rPr>
      </w:pPr>
      <w:bookmarkStart w:id="18" w:name="_Hlk173848051"/>
      <w:r w:rsidRPr="00421E00">
        <w:rPr>
          <w:rFonts w:cstheme="minorHAnsi"/>
          <w:color w:val="FF0000"/>
          <w:sz w:val="24"/>
          <w:szCs w:val="24"/>
        </w:rPr>
        <w:lastRenderedPageBreak/>
        <w:t>Charlotte and Madeleine should think about whether there might be viable job options elsewhere in the company before considering redundancy. Following investigation and validation, all at-risk employees must be consulted and given the opportunity to explain their redundancy and other job options (Morris, 2023).</w:t>
      </w:r>
    </w:p>
    <w:p w14:paraId="737304FD" w14:textId="77777777" w:rsidR="00421E00" w:rsidRPr="00421E00" w:rsidRDefault="00421E00" w:rsidP="00421E00">
      <w:pPr>
        <w:rPr>
          <w:rFonts w:cstheme="minorHAnsi"/>
          <w:color w:val="FF0000"/>
          <w:sz w:val="24"/>
          <w:szCs w:val="24"/>
        </w:rPr>
      </w:pPr>
      <w:r w:rsidRPr="00421E00">
        <w:rPr>
          <w:rFonts w:cstheme="minorHAnsi"/>
          <w:color w:val="FF0000"/>
          <w:sz w:val="24"/>
          <w:szCs w:val="24"/>
        </w:rPr>
        <w:t>They will need to meet with every employee and give them a fair amount of notice before making them redundant.  Although there is no legal deadline when fewer than 20 employees are expected to be made redundant, the consultation period needs to be considered meaningful. It is important to follow the correct process and timelines for at-risk employees (ACAS, 2024b).</w:t>
      </w:r>
    </w:p>
    <w:p w14:paraId="1E936442" w14:textId="77777777" w:rsidR="00421E00" w:rsidRPr="00421E00" w:rsidRDefault="00421E00" w:rsidP="00421E00">
      <w:pPr>
        <w:rPr>
          <w:rFonts w:cstheme="minorHAnsi"/>
          <w:color w:val="FF0000"/>
          <w:sz w:val="24"/>
          <w:szCs w:val="24"/>
        </w:rPr>
      </w:pPr>
      <w:r w:rsidRPr="00421E00">
        <w:rPr>
          <w:rFonts w:cstheme="minorHAnsi"/>
          <w:color w:val="FF0000"/>
          <w:sz w:val="24"/>
          <w:szCs w:val="24"/>
        </w:rPr>
        <w:t>Following the completion of the consultation process, the employees will receive written notice detailing the cause for the redundancy, the date of termination, and the expected amount of severance pay. They should also be offered the opportunity to meet with the Charlotte and Madeleine, at which point they may choose to be accompanied. Statutory pay would then be awarded, as per the Government Guidelines (Gov, 2014).</w:t>
      </w:r>
    </w:p>
    <w:p w14:paraId="177A05AE"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Angelica is legally entitled to £8,400 redundancy pay and Saffron is legally entitled to £1750 redundancy pay, as per the government calculations.</w:t>
      </w:r>
    </w:p>
    <w:p w14:paraId="3F38A58C"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Chip, Cherry, Reece and Carmel are not entitled to any redundancy pay, as they have less than 2 years’ service (Gov, 2014).</w:t>
      </w:r>
    </w:p>
    <w:p w14:paraId="7B33D4AE"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p>
    <w:p w14:paraId="0E731BD6" w14:textId="77777777" w:rsidR="00421E00" w:rsidRPr="00421E00" w:rsidRDefault="00421E00" w:rsidP="00421E00">
      <w:pPr>
        <w:rPr>
          <w:rFonts w:cstheme="minorHAnsi"/>
          <w:color w:val="FF0000"/>
          <w:sz w:val="24"/>
          <w:szCs w:val="24"/>
        </w:rPr>
      </w:pPr>
      <w:r w:rsidRPr="00421E00">
        <w:rPr>
          <w:rFonts w:cstheme="minorHAnsi"/>
          <w:color w:val="FF0000"/>
          <w:sz w:val="24"/>
          <w:szCs w:val="24"/>
        </w:rPr>
        <w:t>As per the contractual terms and conditions of employment, Charlotte and Madeleine also have to abide by their terms by giving each employee the appropriate notice pay. It is important to note, that Angelica and Saffron both have over 2 years’ service. Dismissing them with just 2 weeks’ notice would come with some serious breaches of The Employment Rights Act 1996, which in turn opens some legal risks such as unfair dismissal (ACAS, 2024)</w:t>
      </w:r>
    </w:p>
    <w:p w14:paraId="70FFA7B2"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In accordance with government guidance Angela is entitled to 8 weeks’ notice and Saffron 5 weeks’ notice due to their length of service.  It is up to Charlotte and Madeleine, to decide whether they want Angela and Saffron to be paid in lieu of notice or whether they would want them to work right up until the lease of the restaurant ends.</w:t>
      </w:r>
    </w:p>
    <w:p w14:paraId="1AD15865"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 xml:space="preserve">Chip, Cherry, Reece and Carmel would be entitled to 2 week’ notice pay or again, they could work until the lease ended. </w:t>
      </w:r>
    </w:p>
    <w:p w14:paraId="6C38D090"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It is important to note that redundancy pay is tax free, whereas pay in lieu of notice is subject to PAYE and NI (ACAS, 2024)</w:t>
      </w:r>
    </w:p>
    <w:p w14:paraId="5AA61527" w14:textId="77777777" w:rsidR="00421E00" w:rsidRPr="00421E00" w:rsidRDefault="00421E00" w:rsidP="00421E00">
      <w:pPr>
        <w:pStyle w:val="NormalWeb"/>
        <w:spacing w:before="105" w:beforeAutospacing="0" w:after="0" w:afterAutospacing="0"/>
        <w:rPr>
          <w:rFonts w:asciiTheme="minorHAnsi" w:hAnsiTheme="minorHAnsi" w:cstheme="minorHAnsi"/>
          <w:color w:val="FF0000"/>
        </w:rPr>
      </w:pPr>
      <w:r w:rsidRPr="00421E00">
        <w:rPr>
          <w:rFonts w:asciiTheme="minorHAnsi" w:hAnsiTheme="minorHAnsi" w:cstheme="minorHAnsi"/>
          <w:color w:val="FF0000"/>
        </w:rPr>
        <w:t>Although the redundancy process would not be necessary however for employees with less than 2 years’ service, as best practice it would be advisable to follow the same process for all.</w:t>
      </w:r>
    </w:p>
    <w:bookmarkEnd w:id="18"/>
    <w:p w14:paraId="5F83C2AB" w14:textId="77777777" w:rsidR="002323F5" w:rsidRPr="00247F79" w:rsidRDefault="002323F5" w:rsidP="00103C38">
      <w:pPr>
        <w:pStyle w:val="NormalWeb"/>
        <w:spacing w:before="105" w:beforeAutospacing="0" w:after="0" w:afterAutospacing="0"/>
        <w:rPr>
          <w:rFonts w:asciiTheme="minorHAnsi" w:hAnsiTheme="minorHAnsi" w:cstheme="minorHAnsi"/>
          <w:b/>
          <w:bCs/>
          <w:u w:val="single"/>
        </w:rPr>
      </w:pPr>
    </w:p>
    <w:p w14:paraId="692F95B3" w14:textId="77777777" w:rsidR="00421E00" w:rsidRDefault="00421E00" w:rsidP="00103C38">
      <w:pPr>
        <w:pStyle w:val="NormalWeb"/>
        <w:spacing w:before="105" w:beforeAutospacing="0" w:after="0" w:afterAutospacing="0"/>
        <w:rPr>
          <w:rFonts w:asciiTheme="minorHAnsi" w:hAnsiTheme="minorHAnsi" w:cstheme="minorHAnsi"/>
          <w:b/>
          <w:bCs/>
          <w:u w:val="single"/>
        </w:rPr>
      </w:pPr>
    </w:p>
    <w:p w14:paraId="438CF4FF" w14:textId="77777777" w:rsidR="00421E00" w:rsidRDefault="00421E00" w:rsidP="00103C38">
      <w:pPr>
        <w:pStyle w:val="NormalWeb"/>
        <w:spacing w:before="105" w:beforeAutospacing="0" w:after="0" w:afterAutospacing="0"/>
        <w:rPr>
          <w:rFonts w:asciiTheme="minorHAnsi" w:hAnsiTheme="minorHAnsi" w:cstheme="minorHAnsi"/>
          <w:b/>
          <w:bCs/>
          <w:u w:val="single"/>
        </w:rPr>
      </w:pPr>
    </w:p>
    <w:p w14:paraId="38E74C87" w14:textId="618EEFA8" w:rsidR="00103C38" w:rsidRPr="00247F79" w:rsidRDefault="00ED5E90" w:rsidP="00103C38">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lastRenderedPageBreak/>
        <w:t xml:space="preserve">TUPE </w:t>
      </w:r>
      <w:r w:rsidR="00103C38" w:rsidRPr="00247F79">
        <w:rPr>
          <w:rFonts w:asciiTheme="minorHAnsi" w:hAnsiTheme="minorHAnsi" w:cstheme="minorHAnsi"/>
          <w:b/>
          <w:bCs/>
          <w:u w:val="single"/>
        </w:rPr>
        <w:t>(AC 3.2)</w:t>
      </w:r>
    </w:p>
    <w:p w14:paraId="59419557" w14:textId="504B76A4" w:rsidR="00DB2696" w:rsidRPr="00247F79" w:rsidRDefault="00DB2696" w:rsidP="00103C38">
      <w:pPr>
        <w:pStyle w:val="NormalWeb"/>
        <w:spacing w:before="105" w:beforeAutospacing="0" w:after="0" w:afterAutospacing="0"/>
        <w:rPr>
          <w:rFonts w:asciiTheme="minorHAnsi" w:hAnsiTheme="minorHAnsi" w:cstheme="minorHAnsi"/>
        </w:rPr>
      </w:pPr>
      <w:bookmarkStart w:id="19" w:name="_Hlk173848063"/>
      <w:r w:rsidRPr="00247F79">
        <w:rPr>
          <w:rFonts w:asciiTheme="minorHAnsi" w:hAnsiTheme="minorHAnsi" w:cstheme="minorHAnsi"/>
        </w:rPr>
        <w:t>The legal risk of giving the employees of Crumbly Cakes new contracts on the same terms and conditions as existing employees of Peachy Desserts Ltd is that it may lead to potential issues with employment law compliance. Each employee's contract should reflect their individual terms and conditions of employment, taking into account factors such as length of service, role, salary, and any existing benefits or entitlements</w:t>
      </w:r>
      <w:r w:rsidR="00DE2AA4" w:rsidRPr="00247F79">
        <w:rPr>
          <w:rFonts w:asciiTheme="minorHAnsi" w:hAnsiTheme="minorHAnsi" w:cstheme="minorHAnsi"/>
        </w:rPr>
        <w:t>.</w:t>
      </w:r>
    </w:p>
    <w:p w14:paraId="7B842225" w14:textId="439BE52A"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TUPE stands for the Transfer of Undertakings (Protection of Employment) Regulations 2006, which is a set of employment regulations in the UK that protect employees' rights when the business they work for is taken over by a new employer</w:t>
      </w:r>
      <w:r w:rsidR="00DE2AA4" w:rsidRPr="00247F79">
        <w:rPr>
          <w:rFonts w:asciiTheme="minorHAnsi" w:hAnsiTheme="minorHAnsi" w:cstheme="minorHAnsi"/>
        </w:rPr>
        <w:t xml:space="preserve"> (ACAS, 2021).</w:t>
      </w:r>
    </w:p>
    <w:p w14:paraId="11E65FA5" w14:textId="4DF00313" w:rsidR="00A330AB"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According to TUPE, when a business is transferred from one employer to another, the employment contracts of all affected employees transfer automatically to the new employer. This means that their terms and conditions, including pay, hours of work, and holiday entitlement, should remain the same. It also prohibits the dismissal of employees as a result of the transfer.</w:t>
      </w:r>
    </w:p>
    <w:p w14:paraId="65094EA9" w14:textId="03884B1D" w:rsidR="00A330AB" w:rsidRPr="00247F79" w:rsidRDefault="00A330AB"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Steps for TUPE:</w:t>
      </w:r>
    </w:p>
    <w:p w14:paraId="53BBB480" w14:textId="4D6911CB" w:rsidR="00A330AB" w:rsidRPr="00247F79" w:rsidRDefault="00A330AB" w:rsidP="00A330AB">
      <w:pPr>
        <w:pStyle w:val="NormalWeb"/>
        <w:numPr>
          <w:ilvl w:val="0"/>
          <w:numId w:val="9"/>
        </w:numPr>
        <w:spacing w:before="105" w:beforeAutospacing="0" w:after="0" w:afterAutospacing="0"/>
        <w:rPr>
          <w:rFonts w:asciiTheme="minorHAnsi" w:hAnsiTheme="minorHAnsi" w:cstheme="minorHAnsi"/>
        </w:rPr>
      </w:pPr>
      <w:r w:rsidRPr="00247F79">
        <w:rPr>
          <w:rFonts w:asciiTheme="minorHAnsi" w:hAnsiTheme="minorHAnsi" w:cstheme="minorHAnsi"/>
          <w:b/>
          <w:bCs/>
        </w:rPr>
        <w:t>Notification</w:t>
      </w:r>
      <w:r w:rsidRPr="00247F79">
        <w:rPr>
          <w:rFonts w:asciiTheme="minorHAnsi" w:hAnsiTheme="minorHAnsi" w:cstheme="minorHAnsi"/>
        </w:rPr>
        <w:t xml:space="preserve"> – Written explaining the pending transfer to Peachy Desserts Ltd</w:t>
      </w:r>
    </w:p>
    <w:p w14:paraId="441177CA" w14:textId="32E6484F" w:rsidR="00A330AB" w:rsidRPr="00247F79" w:rsidRDefault="00A330AB" w:rsidP="00A330AB">
      <w:pPr>
        <w:pStyle w:val="NormalWeb"/>
        <w:numPr>
          <w:ilvl w:val="0"/>
          <w:numId w:val="9"/>
        </w:numPr>
        <w:spacing w:before="105" w:beforeAutospacing="0" w:after="0" w:afterAutospacing="0"/>
        <w:rPr>
          <w:rFonts w:asciiTheme="minorHAnsi" w:hAnsiTheme="minorHAnsi" w:cstheme="minorHAnsi"/>
        </w:rPr>
      </w:pPr>
      <w:r w:rsidRPr="00247F79">
        <w:rPr>
          <w:rFonts w:asciiTheme="minorHAnsi" w:hAnsiTheme="minorHAnsi" w:cstheme="minorHAnsi"/>
          <w:b/>
          <w:bCs/>
        </w:rPr>
        <w:t>Consultation</w:t>
      </w:r>
      <w:r w:rsidRPr="00247F79">
        <w:rPr>
          <w:rFonts w:asciiTheme="minorHAnsi" w:hAnsiTheme="minorHAnsi" w:cstheme="minorHAnsi"/>
        </w:rPr>
        <w:t xml:space="preserve"> – Explaining the potential changes to employment at Peachy Desserts Ltd</w:t>
      </w:r>
    </w:p>
    <w:p w14:paraId="0A397575" w14:textId="654C159E" w:rsidR="00A330AB" w:rsidRPr="00247F79" w:rsidRDefault="00A330AB" w:rsidP="00A330AB">
      <w:pPr>
        <w:pStyle w:val="NormalWeb"/>
        <w:numPr>
          <w:ilvl w:val="0"/>
          <w:numId w:val="9"/>
        </w:numPr>
        <w:spacing w:before="105" w:beforeAutospacing="0" w:after="0" w:afterAutospacing="0"/>
        <w:rPr>
          <w:rFonts w:asciiTheme="minorHAnsi" w:hAnsiTheme="minorHAnsi" w:cstheme="minorHAnsi"/>
        </w:rPr>
      </w:pPr>
      <w:r w:rsidRPr="00247F79">
        <w:rPr>
          <w:rFonts w:asciiTheme="minorHAnsi" w:hAnsiTheme="minorHAnsi" w:cstheme="minorHAnsi"/>
          <w:b/>
          <w:bCs/>
        </w:rPr>
        <w:t>Transfer of Employment</w:t>
      </w:r>
      <w:r w:rsidRPr="00247F79">
        <w:rPr>
          <w:rFonts w:asciiTheme="minorHAnsi" w:hAnsiTheme="minorHAnsi" w:cstheme="minorHAnsi"/>
        </w:rPr>
        <w:t xml:space="preserve"> – Automatically transferred to Peachy Desserts Ltd on their existing contract of employment which includes length of service, pay and benefits.</w:t>
      </w:r>
    </w:p>
    <w:p w14:paraId="5445F904" w14:textId="4C7B36F9"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If TUPE regulations are not followed correctly, the new employer could face serious legal complications. This could include claims for unfair dismissal, unlawful deductions from wages, or breach of contract. Employees may also have the right to claim compensation if their rights under TUPE are not respected. Additionally, failure to comply with TUPE regulations can result in costly legal disputes and damage to the reputation of the business</w:t>
      </w:r>
      <w:r w:rsidR="00B62260" w:rsidRPr="00247F79">
        <w:rPr>
          <w:rFonts w:asciiTheme="minorHAnsi" w:hAnsiTheme="minorHAnsi" w:cstheme="minorHAnsi"/>
        </w:rPr>
        <w:t xml:space="preserve"> (</w:t>
      </w:r>
      <w:proofErr w:type="spellStart"/>
      <w:r w:rsidR="00B62260" w:rsidRPr="00247F79">
        <w:rPr>
          <w:rFonts w:asciiTheme="minorHAnsi" w:hAnsiTheme="minorHAnsi" w:cstheme="minorHAnsi"/>
        </w:rPr>
        <w:t>Suff</w:t>
      </w:r>
      <w:proofErr w:type="spellEnd"/>
      <w:r w:rsidR="00B62260" w:rsidRPr="00247F79">
        <w:rPr>
          <w:rFonts w:asciiTheme="minorHAnsi" w:hAnsiTheme="minorHAnsi" w:cstheme="minorHAnsi"/>
        </w:rPr>
        <w:t>, 2023).</w:t>
      </w:r>
    </w:p>
    <w:p w14:paraId="64C72412" w14:textId="77777777" w:rsidR="00DB2696" w:rsidRPr="00247F79" w:rsidRDefault="00DB2696" w:rsidP="00103C38">
      <w:pPr>
        <w:pStyle w:val="NormalWeb"/>
        <w:spacing w:before="105" w:beforeAutospacing="0" w:after="0" w:afterAutospacing="0"/>
        <w:rPr>
          <w:rFonts w:asciiTheme="minorHAnsi" w:hAnsiTheme="minorHAnsi" w:cstheme="minorHAnsi"/>
        </w:rPr>
      </w:pPr>
    </w:p>
    <w:p w14:paraId="367A4EB2" w14:textId="6A365611" w:rsidR="00103C38" w:rsidRPr="00247F79" w:rsidRDefault="00ED5E90" w:rsidP="00103C38">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Statutory rights workers have in relation to pay </w:t>
      </w:r>
      <w:r w:rsidR="00DB2696" w:rsidRPr="00247F79">
        <w:rPr>
          <w:rFonts w:asciiTheme="minorHAnsi" w:hAnsiTheme="minorHAnsi" w:cstheme="minorHAnsi"/>
          <w:b/>
          <w:bCs/>
          <w:u w:val="single"/>
        </w:rPr>
        <w:t>(AC 4.1)</w:t>
      </w:r>
    </w:p>
    <w:p w14:paraId="3704DE73" w14:textId="37577061"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Charlotte and Madeleine are correct in wanting to ensure they are compliant with the law regarding the National Minimum Wage. </w:t>
      </w:r>
      <w:r w:rsidR="00AC3676" w:rsidRPr="00247F79">
        <w:rPr>
          <w:rFonts w:asciiTheme="minorHAnsi" w:hAnsiTheme="minorHAnsi" w:cstheme="minorHAnsi"/>
        </w:rPr>
        <w:t>T</w:t>
      </w:r>
      <w:r w:rsidRPr="00247F79">
        <w:rPr>
          <w:rFonts w:asciiTheme="minorHAnsi" w:hAnsiTheme="minorHAnsi" w:cstheme="minorHAnsi"/>
        </w:rPr>
        <w:t>he National Minimum Wage is set by the government and is different depending on the age of the worker. It is illegal to pay workers below the National Minimum Wage, so it is important for employers to keep up to date with any changes to the rates</w:t>
      </w:r>
      <w:r w:rsidR="005E74B4" w:rsidRPr="00247F79">
        <w:rPr>
          <w:rFonts w:asciiTheme="minorHAnsi" w:hAnsiTheme="minorHAnsi" w:cstheme="minorHAnsi"/>
        </w:rPr>
        <w:t xml:space="preserve"> (ACAS, 2024c).</w:t>
      </w:r>
    </w:p>
    <w:p w14:paraId="50D6AF8D"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In terms of equal pay, it is illegal to pay workers differently based on their age, gender, or other protected characteristics under the Equality Act 2010. If all sales assistants are doing the same job regardless of age, they should indeed be paid the same rate.</w:t>
      </w:r>
    </w:p>
    <w:p w14:paraId="14144E0C"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Additionally, employers are required to provide workers with a pay statement that outlines their pay and any deductions made. This is a legal requirement under the Employment Rights Act 1996. </w:t>
      </w:r>
    </w:p>
    <w:p w14:paraId="5DBC2B5B" w14:textId="6448898A"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 xml:space="preserve">The pay slip serves as a record of the employee's earnings and deductions, helping to prevent wage disputes and ensuring that employees are paid accurately and in compliance with </w:t>
      </w:r>
      <w:proofErr w:type="spellStart"/>
      <w:r w:rsidRPr="00247F79">
        <w:rPr>
          <w:rFonts w:asciiTheme="minorHAnsi" w:hAnsiTheme="minorHAnsi" w:cstheme="minorHAnsi"/>
        </w:rPr>
        <w:t>labor</w:t>
      </w:r>
      <w:proofErr w:type="spellEnd"/>
      <w:r w:rsidRPr="00247F79">
        <w:rPr>
          <w:rFonts w:asciiTheme="minorHAnsi" w:hAnsiTheme="minorHAnsi" w:cstheme="minorHAnsi"/>
        </w:rPr>
        <w:t xml:space="preserve"> laws</w:t>
      </w:r>
      <w:r w:rsidR="005E74B4" w:rsidRPr="00247F79">
        <w:rPr>
          <w:rFonts w:asciiTheme="minorHAnsi" w:hAnsiTheme="minorHAnsi" w:cstheme="minorHAnsi"/>
        </w:rPr>
        <w:t xml:space="preserve"> (ACAS, 2024d).</w:t>
      </w:r>
    </w:p>
    <w:p w14:paraId="5719A2E4" w14:textId="520BD52A" w:rsidR="00DB2696" w:rsidRPr="00247F79" w:rsidRDefault="00DB2696" w:rsidP="00DB2696">
      <w:pPr>
        <w:pStyle w:val="NormalWeb"/>
        <w:spacing w:before="105" w:beforeAutospacing="0" w:after="0" w:afterAutospacing="0"/>
        <w:rPr>
          <w:rFonts w:asciiTheme="minorHAnsi" w:hAnsiTheme="minorHAnsi" w:cstheme="minorHAnsi"/>
        </w:rPr>
      </w:pPr>
      <w:bookmarkStart w:id="20" w:name="_Hlk173848079"/>
      <w:bookmarkEnd w:id="19"/>
      <w:r w:rsidRPr="00247F79">
        <w:rPr>
          <w:rFonts w:asciiTheme="minorHAnsi" w:hAnsiTheme="minorHAnsi" w:cstheme="minorHAnsi"/>
        </w:rPr>
        <w:lastRenderedPageBreak/>
        <w:t>Additionally, pay slips provide employees with important information about their earnings, such as their gross pay, net pay, deductions, and any additional benefits or allowances. This information is essential for employees to understand how their wages are calculated and to verify that they are being paid correctly.</w:t>
      </w:r>
    </w:p>
    <w:p w14:paraId="0D8AE989"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Charlotte and Madeleine should ensure they are complying with these legal requirements to avoid any potential legal issues in the future.</w:t>
      </w:r>
    </w:p>
    <w:p w14:paraId="68284179" w14:textId="77777777" w:rsidR="00DB2696" w:rsidRPr="00247F79" w:rsidRDefault="00DB2696" w:rsidP="00103C38">
      <w:pPr>
        <w:pStyle w:val="NormalWeb"/>
        <w:spacing w:before="105" w:beforeAutospacing="0" w:after="0" w:afterAutospacing="0"/>
        <w:rPr>
          <w:rFonts w:asciiTheme="minorHAnsi" w:hAnsiTheme="minorHAnsi" w:cstheme="minorHAnsi"/>
        </w:rPr>
      </w:pPr>
    </w:p>
    <w:p w14:paraId="45812F3A" w14:textId="77777777" w:rsidR="00AC3676" w:rsidRPr="00247F79" w:rsidRDefault="00AC3676" w:rsidP="00103C38">
      <w:pPr>
        <w:pStyle w:val="NormalWeb"/>
        <w:spacing w:before="105" w:beforeAutospacing="0" w:after="0" w:afterAutospacing="0"/>
        <w:rPr>
          <w:rFonts w:asciiTheme="minorHAnsi" w:hAnsiTheme="minorHAnsi" w:cstheme="minorHAnsi"/>
          <w:b/>
          <w:bCs/>
          <w:u w:val="single"/>
        </w:rPr>
      </w:pPr>
    </w:p>
    <w:p w14:paraId="6A905779" w14:textId="202BA5B7" w:rsidR="00DB2696" w:rsidRPr="00247F79" w:rsidRDefault="00ED5E90" w:rsidP="00103C38">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Working Time Directive </w:t>
      </w:r>
      <w:r w:rsidR="00DB2696" w:rsidRPr="00247F79">
        <w:rPr>
          <w:rFonts w:asciiTheme="minorHAnsi" w:hAnsiTheme="minorHAnsi" w:cstheme="minorHAnsi"/>
          <w:b/>
          <w:bCs/>
          <w:u w:val="single"/>
        </w:rPr>
        <w:t>(AC 4.2)</w:t>
      </w:r>
    </w:p>
    <w:p w14:paraId="18816626" w14:textId="77777777" w:rsidR="00DB2696" w:rsidRPr="00247F79" w:rsidRDefault="00DB2696" w:rsidP="00103C38">
      <w:pPr>
        <w:pStyle w:val="NormalWeb"/>
        <w:spacing w:before="105" w:beforeAutospacing="0" w:after="0" w:afterAutospacing="0"/>
        <w:rPr>
          <w:rFonts w:asciiTheme="minorHAnsi" w:hAnsiTheme="minorHAnsi" w:cstheme="minorHAnsi"/>
        </w:rPr>
      </w:pPr>
    </w:p>
    <w:p w14:paraId="2D7B6994" w14:textId="4B95AC64" w:rsidR="00DB2696" w:rsidRPr="00247F79" w:rsidRDefault="00AC367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The</w:t>
      </w:r>
      <w:r w:rsidR="00DB2696" w:rsidRPr="00247F79">
        <w:rPr>
          <w:rFonts w:asciiTheme="minorHAnsi" w:hAnsiTheme="minorHAnsi" w:cstheme="minorHAnsi"/>
        </w:rPr>
        <w:t xml:space="preserve"> working time regulations stipulate that workers are entitled to at least 11 consecutive hours' rest in each 24-hour period they work. They are also entitled to a rest break of at least 20 minutes when they work more than six hours a day. Additionally, workers are entitled to at least one day off each week, or two days off in a 14-day period</w:t>
      </w:r>
      <w:r w:rsidR="00833F4C" w:rsidRPr="00247F79">
        <w:rPr>
          <w:rFonts w:asciiTheme="minorHAnsi" w:hAnsiTheme="minorHAnsi" w:cstheme="minorHAnsi"/>
        </w:rPr>
        <w:t xml:space="preserve"> (GOV,2015).</w:t>
      </w:r>
    </w:p>
    <w:p w14:paraId="728E2842"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Based on Kit's working hours as stated (9.30am to 9.30pm for five days a week), it appears that he may not be receiving the mandatory rest breaks or adequate days off as required by law. Covering for his supervisor's days off may also contribute to his long working hours and lack of breaks.</w:t>
      </w:r>
    </w:p>
    <w:p w14:paraId="52AB4F7B"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Therefore, Kit may have a legal cause for complaint under the working time regulations. Charlotte should review Kit's working hours and schedule to ensure that they comply with the relevant employment laws and regulations. It may be necessary to adjust his schedule or provide additional support to ensure that he receives the necessary rest breaks and days off as mandated by law.</w:t>
      </w:r>
    </w:p>
    <w:p w14:paraId="2BD74CA3" w14:textId="60DE0DCC" w:rsidR="00682C65" w:rsidRPr="00247F79" w:rsidRDefault="00682C65" w:rsidP="00DB2696">
      <w:pPr>
        <w:pStyle w:val="NormalWeb"/>
        <w:spacing w:before="105" w:beforeAutospacing="0" w:after="0" w:afterAutospacing="0"/>
        <w:rPr>
          <w:rFonts w:asciiTheme="minorHAnsi" w:hAnsiTheme="minorHAnsi" w:cstheme="minorHAnsi"/>
          <w:i/>
          <w:iCs/>
        </w:rPr>
      </w:pPr>
      <w:r w:rsidRPr="00247F79">
        <w:rPr>
          <w:rFonts w:asciiTheme="minorHAnsi" w:hAnsiTheme="minorHAnsi" w:cstheme="minorHAnsi"/>
          <w:i/>
          <w:iCs/>
        </w:rPr>
        <w:t>Santos Gomez v Higher Level Care Ltd (2016) where the employer failed to provide the employee with their 20 minutes lunch break, were ordered to pay £1220 in financial losses with the potential for extra compensation for injury to feelings (CIPD, 2024c).</w:t>
      </w:r>
    </w:p>
    <w:p w14:paraId="3BA06E3E" w14:textId="48035B75" w:rsidR="00DB2696" w:rsidRPr="00247F79" w:rsidRDefault="00682C65"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Breaching</w:t>
      </w:r>
      <w:r w:rsidR="00DB2696" w:rsidRPr="00247F79">
        <w:rPr>
          <w:rFonts w:asciiTheme="minorHAnsi" w:hAnsiTheme="minorHAnsi" w:cstheme="minorHAnsi"/>
        </w:rPr>
        <w:t xml:space="preserve"> the Working Time Directive can lead to legal consequences, reputational damage, employee dissatisfaction, health and safety risks, and discrimination claims. Failure to comply can result in fines, penalties, legal action, and damage to the employer's reputation, affecting talent retention and productivity. It is crucial for employers to adhere to the Directive to avoid these complications</w:t>
      </w:r>
      <w:r w:rsidRPr="00247F79">
        <w:rPr>
          <w:rFonts w:asciiTheme="minorHAnsi" w:hAnsiTheme="minorHAnsi" w:cstheme="minorHAnsi"/>
        </w:rPr>
        <w:t xml:space="preserve"> (</w:t>
      </w:r>
      <w:proofErr w:type="spellStart"/>
      <w:r w:rsidRPr="00247F79">
        <w:rPr>
          <w:rFonts w:asciiTheme="minorHAnsi" w:hAnsiTheme="minorHAnsi" w:cstheme="minorHAnsi"/>
        </w:rPr>
        <w:t>Rawlingson</w:t>
      </w:r>
      <w:proofErr w:type="spellEnd"/>
      <w:r w:rsidRPr="00247F79">
        <w:rPr>
          <w:rFonts w:asciiTheme="minorHAnsi" w:hAnsiTheme="minorHAnsi" w:cstheme="minorHAnsi"/>
        </w:rPr>
        <w:t>, 2024).</w:t>
      </w:r>
    </w:p>
    <w:p w14:paraId="6DF6E67C" w14:textId="77777777" w:rsidR="00DB2696" w:rsidRPr="00247F79" w:rsidRDefault="00DB2696" w:rsidP="00103C38">
      <w:pPr>
        <w:pStyle w:val="NormalWeb"/>
        <w:spacing w:before="105" w:beforeAutospacing="0" w:after="0" w:afterAutospacing="0"/>
        <w:rPr>
          <w:rFonts w:asciiTheme="minorHAnsi" w:hAnsiTheme="minorHAnsi" w:cstheme="minorHAnsi"/>
        </w:rPr>
      </w:pPr>
    </w:p>
    <w:p w14:paraId="0DE1A95B" w14:textId="7EF30547" w:rsidR="00DB2696" w:rsidRPr="00247F79" w:rsidRDefault="00ED5E90" w:rsidP="00103C38">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Maternity, Paternity and Adoption Rights </w:t>
      </w:r>
      <w:r w:rsidR="00DB2696" w:rsidRPr="00247F79">
        <w:rPr>
          <w:rFonts w:asciiTheme="minorHAnsi" w:hAnsiTheme="minorHAnsi" w:cstheme="minorHAnsi"/>
          <w:b/>
          <w:bCs/>
          <w:u w:val="single"/>
        </w:rPr>
        <w:t>(AC 4.3)</w:t>
      </w:r>
    </w:p>
    <w:p w14:paraId="1F1CF09E" w14:textId="77777777" w:rsidR="00DB2696" w:rsidRPr="00247F79" w:rsidRDefault="00DB2696" w:rsidP="00103C38">
      <w:pPr>
        <w:pStyle w:val="NormalWeb"/>
        <w:spacing w:before="105" w:beforeAutospacing="0" w:after="0" w:afterAutospacing="0"/>
        <w:rPr>
          <w:rFonts w:asciiTheme="minorHAnsi" w:hAnsiTheme="minorHAnsi" w:cstheme="minorHAnsi"/>
        </w:rPr>
      </w:pPr>
    </w:p>
    <w:p w14:paraId="10ED3368" w14:textId="34587642"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Coco, as an employee with eight years’ service, is entitled to statutory maternity leave and maternity pay. Statutory maternity leave is up to 52 weeks, made up of 26 weeks of ordinary maternity leave and 26 weeks of additional maternity leave. Statutory maternity pay is paid for up to 39 weeks, which is 90% of her average weekly earnings for the first 6 weeks, followed by £</w:t>
      </w:r>
      <w:r w:rsidR="00DD6459" w:rsidRPr="00247F79">
        <w:rPr>
          <w:rFonts w:asciiTheme="minorHAnsi" w:hAnsiTheme="minorHAnsi" w:cstheme="minorHAnsi"/>
        </w:rPr>
        <w:t>184.03</w:t>
      </w:r>
      <w:r w:rsidRPr="00247F79">
        <w:rPr>
          <w:rFonts w:asciiTheme="minorHAnsi" w:hAnsiTheme="minorHAnsi" w:cstheme="minorHAnsi"/>
        </w:rPr>
        <w:t xml:space="preserve"> or 90% of her average weekly earnings (whichever is lower) for the remaining 33 weeks</w:t>
      </w:r>
      <w:r w:rsidR="004C4537" w:rsidRPr="00247F79">
        <w:rPr>
          <w:rFonts w:asciiTheme="minorHAnsi" w:hAnsiTheme="minorHAnsi" w:cstheme="minorHAnsi"/>
        </w:rPr>
        <w:t xml:space="preserve"> (ACAS, 2024e)</w:t>
      </w:r>
    </w:p>
    <w:p w14:paraId="6952C51E" w14:textId="77777777" w:rsidR="00956E54" w:rsidRPr="00247F79" w:rsidRDefault="00956E54" w:rsidP="00956E54">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Coco would also have legal protection against unfair treatment, discrimination, and dismissal due to their pregnancy or maternity leave.</w:t>
      </w:r>
    </w:p>
    <w:p w14:paraId="5B00EBF4" w14:textId="49CB5A8F" w:rsidR="00956E54" w:rsidRPr="00247F79" w:rsidRDefault="00956E54" w:rsidP="00956E54">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lastRenderedPageBreak/>
        <w:t>Coco is entitled to paid time off to attend antenatal appointments recommended by a doctor, midwife, or health visitor.</w:t>
      </w:r>
    </w:p>
    <w:p w14:paraId="4A192205" w14:textId="195DF48C" w:rsidR="00956E54" w:rsidRPr="00247F79" w:rsidRDefault="00956E54"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As an employer, Charlotte and Madeleine must ensure that pregnant employees are not exposed to any work-related risks that could harm them or their baby. If necessary, adjustments should be made to their working conditions or hours.</w:t>
      </w:r>
    </w:p>
    <w:p w14:paraId="76D9E1F0" w14:textId="10E72D55"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In addition, Coco has the right to return to her job after maternity leave, as well as protection against unfair treatment or dismissal because of her pregnancy or maternity leave</w:t>
      </w:r>
      <w:r w:rsidR="004C4537" w:rsidRPr="00247F79">
        <w:rPr>
          <w:rFonts w:asciiTheme="minorHAnsi" w:hAnsiTheme="minorHAnsi" w:cstheme="minorHAnsi"/>
        </w:rPr>
        <w:t xml:space="preserve"> (ACAS, 2024e).</w:t>
      </w:r>
    </w:p>
    <w:p w14:paraId="1FBDA721" w14:textId="0BD76D5B"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As for paternity rights, fathers/partners can take up to two weeks of paternity leave to support the mother or care for the baby. They may also be eligible for statutory paternity pay</w:t>
      </w:r>
      <w:r w:rsidR="00A258EB" w:rsidRPr="00247F79">
        <w:rPr>
          <w:rFonts w:asciiTheme="minorHAnsi" w:hAnsiTheme="minorHAnsi" w:cstheme="minorHAnsi"/>
        </w:rPr>
        <w:t xml:space="preserve"> depending on their length of service prior to the </w:t>
      </w:r>
      <w:r w:rsidR="00A86C74" w:rsidRPr="00247F79">
        <w:rPr>
          <w:rFonts w:asciiTheme="minorHAnsi" w:hAnsiTheme="minorHAnsi" w:cstheme="minorHAnsi"/>
        </w:rPr>
        <w:t>15-week</w:t>
      </w:r>
      <w:r w:rsidR="00A258EB" w:rsidRPr="00247F79">
        <w:rPr>
          <w:rFonts w:asciiTheme="minorHAnsi" w:hAnsiTheme="minorHAnsi" w:cstheme="minorHAnsi"/>
        </w:rPr>
        <w:t xml:space="preserve"> qualifying period</w:t>
      </w:r>
      <w:r w:rsidRPr="00247F79">
        <w:rPr>
          <w:rFonts w:asciiTheme="minorHAnsi" w:hAnsiTheme="minorHAnsi" w:cstheme="minorHAnsi"/>
        </w:rPr>
        <w:t xml:space="preserve">. </w:t>
      </w:r>
      <w:r w:rsidR="00A258EB" w:rsidRPr="00247F79">
        <w:rPr>
          <w:rFonts w:asciiTheme="minorHAnsi" w:hAnsiTheme="minorHAnsi" w:cstheme="minorHAnsi"/>
        </w:rPr>
        <w:t>From April 2024, new legislation states that Fathers can now take 2 weeks paid paternity leave</w:t>
      </w:r>
      <w:r w:rsidR="00A86C74" w:rsidRPr="00247F79">
        <w:rPr>
          <w:rFonts w:asciiTheme="minorHAnsi" w:hAnsiTheme="minorHAnsi" w:cstheme="minorHAnsi"/>
        </w:rPr>
        <w:t xml:space="preserve"> at any time in the first 52 weeks after the birth or adoption of their child. These weeks do not need to be consecutive</w:t>
      </w:r>
      <w:r w:rsidR="004C4537" w:rsidRPr="00247F79">
        <w:rPr>
          <w:rFonts w:asciiTheme="minorHAnsi" w:hAnsiTheme="minorHAnsi" w:cstheme="minorHAnsi"/>
        </w:rPr>
        <w:t xml:space="preserve"> (GOV, 2024b).</w:t>
      </w:r>
    </w:p>
    <w:p w14:paraId="49C1690A" w14:textId="77777777" w:rsidR="00DB2696"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Regarding adoption rights, employees who adopt a child have similar rights to those who have biological children, including statutory adoption leave and pay.</w:t>
      </w:r>
    </w:p>
    <w:p w14:paraId="0A099203" w14:textId="0F8B72E9" w:rsidR="009431F7" w:rsidRPr="00247F79" w:rsidRDefault="00DB2696" w:rsidP="00DB2696">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It is important for Charlotte and Madeleine to be aware of these rights and make sure they support Coco during this important time in her life. It is also crucial to ensure compliance with maternity, paternity, and adoption laws to avoid any legal issues or discrimination claims.</w:t>
      </w:r>
    </w:p>
    <w:p w14:paraId="439AB1DF" w14:textId="77777777" w:rsidR="00DE2AA4" w:rsidRPr="00247F79" w:rsidRDefault="00DE2AA4" w:rsidP="00DB2696">
      <w:pPr>
        <w:pStyle w:val="NormalWeb"/>
        <w:spacing w:before="105" w:beforeAutospacing="0" w:after="0" w:afterAutospacing="0"/>
        <w:rPr>
          <w:rFonts w:asciiTheme="minorHAnsi" w:hAnsiTheme="minorHAnsi" w:cstheme="minorHAnsi"/>
        </w:rPr>
      </w:pPr>
    </w:p>
    <w:p w14:paraId="21B0DCE5" w14:textId="19C73359" w:rsidR="00956E54" w:rsidRPr="00247F79" w:rsidRDefault="00ED5E90" w:rsidP="00DB2696">
      <w:pPr>
        <w:pStyle w:val="NormalWeb"/>
        <w:spacing w:before="105" w:beforeAutospacing="0" w:after="0" w:afterAutospacing="0"/>
        <w:rPr>
          <w:rFonts w:asciiTheme="minorHAnsi" w:hAnsiTheme="minorHAnsi" w:cstheme="minorHAnsi"/>
          <w:b/>
          <w:bCs/>
          <w:u w:val="single"/>
        </w:rPr>
      </w:pPr>
      <w:r w:rsidRPr="00247F79">
        <w:rPr>
          <w:rFonts w:asciiTheme="minorHAnsi" w:hAnsiTheme="minorHAnsi" w:cstheme="minorHAnsi"/>
          <w:b/>
          <w:bCs/>
          <w:u w:val="single"/>
        </w:rPr>
        <w:t xml:space="preserve">Flexible Working </w:t>
      </w:r>
      <w:r w:rsidR="00956E54" w:rsidRPr="00247F79">
        <w:rPr>
          <w:rFonts w:asciiTheme="minorHAnsi" w:hAnsiTheme="minorHAnsi" w:cstheme="minorHAnsi"/>
          <w:b/>
          <w:bCs/>
          <w:u w:val="single"/>
        </w:rPr>
        <w:t>(AC 4.4)</w:t>
      </w:r>
    </w:p>
    <w:p w14:paraId="272CE6A6" w14:textId="77777777" w:rsidR="00956E54" w:rsidRPr="00247F79" w:rsidRDefault="00956E54" w:rsidP="00DB2696">
      <w:pPr>
        <w:pStyle w:val="NormalWeb"/>
        <w:spacing w:before="105" w:beforeAutospacing="0" w:after="0" w:afterAutospacing="0"/>
        <w:rPr>
          <w:rFonts w:asciiTheme="minorHAnsi" w:hAnsiTheme="minorHAnsi" w:cstheme="minorHAnsi"/>
        </w:rPr>
      </w:pPr>
    </w:p>
    <w:p w14:paraId="48A91BDB" w14:textId="0230B5D2" w:rsidR="00A561C6" w:rsidRPr="00247F79" w:rsidRDefault="00956E54" w:rsidP="00A561C6">
      <w:pPr>
        <w:pStyle w:val="NormalWeb"/>
        <w:spacing w:before="0" w:beforeAutospacing="0" w:after="375" w:afterAutospacing="0"/>
        <w:textAlignment w:val="baseline"/>
        <w:rPr>
          <w:rFonts w:asciiTheme="minorHAnsi" w:hAnsiTheme="minorHAnsi" w:cstheme="minorHAnsi"/>
          <w:color w:val="000000"/>
        </w:rPr>
      </w:pPr>
      <w:r w:rsidRPr="00247F79">
        <w:rPr>
          <w:rFonts w:asciiTheme="minorHAnsi" w:hAnsiTheme="minorHAnsi" w:cstheme="minorHAnsi"/>
        </w:rPr>
        <w:t xml:space="preserve">It is important for Charlotte and Madeleine to understand that denying Chelsea's flexible working request without a valid reason could be potentially discriminatory and could lead to legal repercussions. Under the UK's flexible working regulations, employees have the legal right to request flexible working arrangements for any reason, </w:t>
      </w:r>
      <w:r w:rsidR="00A561C6" w:rsidRPr="00247F79">
        <w:rPr>
          <w:rFonts w:asciiTheme="minorHAnsi" w:hAnsiTheme="minorHAnsi" w:cstheme="minorHAnsi"/>
        </w:rPr>
        <w:t>and they can request this from day 1 of their employment. Employees are also able to make a flexible working request twice in any 12 month period</w:t>
      </w:r>
      <w:r w:rsidR="00D16772" w:rsidRPr="00247F79">
        <w:rPr>
          <w:rFonts w:asciiTheme="minorHAnsi" w:hAnsiTheme="minorHAnsi" w:cstheme="minorHAnsi"/>
        </w:rPr>
        <w:t xml:space="preserve"> (Jackson, 2024). </w:t>
      </w:r>
      <w:r w:rsidRPr="00247F79">
        <w:rPr>
          <w:rFonts w:asciiTheme="minorHAnsi" w:hAnsiTheme="minorHAnsi" w:cstheme="minorHAnsi"/>
        </w:rPr>
        <w:t xml:space="preserve">Employers are required to consider these requests in a reasonable manner and can only refuse them if there are valid business reasons for doing so. </w:t>
      </w:r>
      <w:r w:rsidR="00A561C6" w:rsidRPr="00247F79">
        <w:rPr>
          <w:rFonts w:asciiTheme="minorHAnsi" w:hAnsiTheme="minorHAnsi" w:cstheme="minorHAnsi"/>
          <w:color w:val="000000"/>
        </w:rPr>
        <w:t>A decision to reject a request must be for one or more of the following business reasons which are set out in the Employment Rights Act 1996:</w:t>
      </w:r>
    </w:p>
    <w:p w14:paraId="1A9E6D83" w14:textId="6F24B384"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T</w:t>
      </w:r>
      <w:r w:rsidR="00A561C6" w:rsidRPr="00247F79">
        <w:rPr>
          <w:rFonts w:eastAsia="Times New Roman" w:cstheme="minorHAnsi"/>
          <w:color w:val="000000"/>
          <w:sz w:val="24"/>
          <w:szCs w:val="24"/>
          <w:lang w:eastAsia="en-GB"/>
        </w:rPr>
        <w:t>he burden of additional costs</w:t>
      </w:r>
    </w:p>
    <w:p w14:paraId="4ADC02F8" w14:textId="3D0A7E9F"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A</w:t>
      </w:r>
      <w:r w:rsidR="00A561C6" w:rsidRPr="00247F79">
        <w:rPr>
          <w:rFonts w:eastAsia="Times New Roman" w:cstheme="minorHAnsi"/>
          <w:color w:val="000000"/>
          <w:sz w:val="24"/>
          <w:szCs w:val="24"/>
          <w:lang w:eastAsia="en-GB"/>
        </w:rPr>
        <w:t>n inability to reorganise work amongst existing staff</w:t>
      </w:r>
    </w:p>
    <w:p w14:paraId="756ACFC3" w14:textId="19281872"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A</w:t>
      </w:r>
      <w:r w:rsidR="00A561C6" w:rsidRPr="00247F79">
        <w:rPr>
          <w:rFonts w:eastAsia="Times New Roman" w:cstheme="minorHAnsi"/>
          <w:color w:val="000000"/>
          <w:sz w:val="24"/>
          <w:szCs w:val="24"/>
          <w:lang w:eastAsia="en-GB"/>
        </w:rPr>
        <w:t>n inability to recruit additional staff</w:t>
      </w:r>
    </w:p>
    <w:p w14:paraId="1DB16CB8" w14:textId="2436AD3E"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A</w:t>
      </w:r>
      <w:r w:rsidR="00A561C6" w:rsidRPr="00247F79">
        <w:rPr>
          <w:rFonts w:eastAsia="Times New Roman" w:cstheme="minorHAnsi"/>
          <w:color w:val="000000"/>
          <w:sz w:val="24"/>
          <w:szCs w:val="24"/>
          <w:lang w:eastAsia="en-GB"/>
        </w:rPr>
        <w:t xml:space="preserve"> detrimental impact on quality</w:t>
      </w:r>
    </w:p>
    <w:p w14:paraId="3AA49281" w14:textId="1730D7FC"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A</w:t>
      </w:r>
      <w:r w:rsidR="00A561C6" w:rsidRPr="00247F79">
        <w:rPr>
          <w:rFonts w:eastAsia="Times New Roman" w:cstheme="minorHAnsi"/>
          <w:color w:val="000000"/>
          <w:sz w:val="24"/>
          <w:szCs w:val="24"/>
          <w:lang w:eastAsia="en-GB"/>
        </w:rPr>
        <w:t xml:space="preserve"> detrimental impact on performance</w:t>
      </w:r>
    </w:p>
    <w:p w14:paraId="56953987" w14:textId="25FB8F0B"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A</w:t>
      </w:r>
      <w:r w:rsidR="00A561C6" w:rsidRPr="00247F79">
        <w:rPr>
          <w:rFonts w:eastAsia="Times New Roman" w:cstheme="minorHAnsi"/>
          <w:color w:val="000000"/>
          <w:sz w:val="24"/>
          <w:szCs w:val="24"/>
          <w:lang w:eastAsia="en-GB"/>
        </w:rPr>
        <w:t xml:space="preserve"> detrimental effect on ability to meet customer demand</w:t>
      </w:r>
    </w:p>
    <w:p w14:paraId="35CCC1A4" w14:textId="5210D109" w:rsidR="00A561C6"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I</w:t>
      </w:r>
      <w:r w:rsidR="00A561C6" w:rsidRPr="00247F79">
        <w:rPr>
          <w:rFonts w:eastAsia="Times New Roman" w:cstheme="minorHAnsi"/>
          <w:color w:val="000000"/>
          <w:sz w:val="24"/>
          <w:szCs w:val="24"/>
          <w:lang w:eastAsia="en-GB"/>
        </w:rPr>
        <w:t>nsufficient work available for the periods the employee proposes to work</w:t>
      </w:r>
    </w:p>
    <w:p w14:paraId="181BDBA7" w14:textId="5346E41A" w:rsidR="00956E54" w:rsidRPr="00247F79" w:rsidRDefault="00FB0BC3" w:rsidP="00A561C6">
      <w:pPr>
        <w:numPr>
          <w:ilvl w:val="0"/>
          <w:numId w:val="8"/>
        </w:numPr>
        <w:spacing w:after="0" w:line="240" w:lineRule="auto"/>
        <w:ind w:left="1170"/>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P</w:t>
      </w:r>
      <w:r w:rsidR="00A561C6" w:rsidRPr="00247F79">
        <w:rPr>
          <w:rFonts w:eastAsia="Times New Roman" w:cstheme="minorHAnsi"/>
          <w:color w:val="000000"/>
          <w:sz w:val="24"/>
          <w:szCs w:val="24"/>
          <w:lang w:eastAsia="en-GB"/>
        </w:rPr>
        <w:t>lanned structural changes to the employer's business</w:t>
      </w:r>
      <w:r w:rsidR="00853957" w:rsidRPr="00247F79">
        <w:rPr>
          <w:rFonts w:eastAsia="Times New Roman" w:cstheme="minorHAnsi"/>
          <w:color w:val="000000"/>
          <w:sz w:val="24"/>
          <w:szCs w:val="24"/>
          <w:lang w:eastAsia="en-GB"/>
        </w:rPr>
        <w:t xml:space="preserve"> (McCartney, 2024)</w:t>
      </w:r>
    </w:p>
    <w:p w14:paraId="43CE7D54" w14:textId="3B8E4EFD" w:rsidR="00A561C6" w:rsidRPr="00247F79" w:rsidRDefault="00A561C6" w:rsidP="00A561C6">
      <w:pPr>
        <w:spacing w:after="0" w:line="240" w:lineRule="auto"/>
        <w:textAlignment w:val="baseline"/>
        <w:rPr>
          <w:rFonts w:eastAsia="Times New Roman" w:cstheme="minorHAnsi"/>
          <w:color w:val="000000"/>
          <w:sz w:val="24"/>
          <w:szCs w:val="24"/>
          <w:lang w:eastAsia="en-GB"/>
        </w:rPr>
      </w:pPr>
    </w:p>
    <w:p w14:paraId="07626902" w14:textId="4B48D7E7" w:rsidR="00A561C6" w:rsidRPr="00247F79" w:rsidRDefault="00A561C6" w:rsidP="00A561C6">
      <w:pPr>
        <w:spacing w:after="0" w:line="240" w:lineRule="auto"/>
        <w:textAlignment w:val="baseline"/>
        <w:rPr>
          <w:rFonts w:eastAsia="Times New Roman" w:cstheme="minorHAnsi"/>
          <w:color w:val="000000"/>
          <w:sz w:val="24"/>
          <w:szCs w:val="24"/>
          <w:lang w:eastAsia="en-GB"/>
        </w:rPr>
      </w:pPr>
      <w:r w:rsidRPr="00247F79">
        <w:rPr>
          <w:rFonts w:eastAsia="Times New Roman" w:cstheme="minorHAnsi"/>
          <w:color w:val="000000"/>
          <w:sz w:val="24"/>
          <w:szCs w:val="24"/>
          <w:lang w:eastAsia="en-GB"/>
        </w:rPr>
        <w:t>The employer has to let the employee know their decision within 2 months.</w:t>
      </w:r>
    </w:p>
    <w:p w14:paraId="7FC6585A" w14:textId="77777777" w:rsidR="00956E54" w:rsidRPr="00247F79" w:rsidRDefault="00956E54" w:rsidP="00956E54">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lastRenderedPageBreak/>
        <w:t>By flat out denying Chelsea's request and telling her to leave if she doesn't like it, Peachy Desserts Ltd may be in violation of the law and could face potential claims of discrimination or unfair treatment. It is important for Charlotte and Madeleine to handle this situation in a more professional and constructive manner.</w:t>
      </w:r>
    </w:p>
    <w:p w14:paraId="773867DB" w14:textId="77777777" w:rsidR="00956E54" w:rsidRPr="00247F79" w:rsidRDefault="00956E54" w:rsidP="00956E54">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Instead, they should talk to Chelsea and discuss her reasons for wanting to work part-time. They should consider her request carefully and try to find a suitable compromise that works for both Chelsea and the business. If there are genuine business reasons for denying the request, they should clearly explain these reasons to Chelsea and explore alternative arrangements that could accommodate her needs.</w:t>
      </w:r>
    </w:p>
    <w:p w14:paraId="49F543CE" w14:textId="5C38716D" w:rsidR="00956E54" w:rsidRPr="00247F79" w:rsidRDefault="00956E54" w:rsidP="00956E54">
      <w:pPr>
        <w:pStyle w:val="NormalWeb"/>
        <w:spacing w:before="105" w:beforeAutospacing="0" w:after="0" w:afterAutospacing="0"/>
        <w:rPr>
          <w:rFonts w:asciiTheme="minorHAnsi" w:hAnsiTheme="minorHAnsi" w:cstheme="minorHAnsi"/>
        </w:rPr>
      </w:pPr>
      <w:r w:rsidRPr="00247F79">
        <w:rPr>
          <w:rFonts w:asciiTheme="minorHAnsi" w:hAnsiTheme="minorHAnsi" w:cstheme="minorHAnsi"/>
        </w:rPr>
        <w:t>Ultimately, it is important for Charlotte and Madeleine to approach this situation with empathy and understanding, and to comply with the flexible working regulations to avoid potential legal risks</w:t>
      </w:r>
      <w:r w:rsidR="00FB0BC3" w:rsidRPr="00247F79">
        <w:rPr>
          <w:rFonts w:asciiTheme="minorHAnsi" w:hAnsiTheme="minorHAnsi" w:cstheme="minorHAnsi"/>
        </w:rPr>
        <w:t xml:space="preserve"> (Tait, 2023).</w:t>
      </w:r>
    </w:p>
    <w:bookmarkEnd w:id="20"/>
    <w:p w14:paraId="11D9577B" w14:textId="77777777" w:rsidR="00956E54" w:rsidRPr="00CF48FE" w:rsidRDefault="00956E54" w:rsidP="00DB2696">
      <w:pPr>
        <w:pStyle w:val="NormalWeb"/>
        <w:spacing w:before="105" w:beforeAutospacing="0" w:after="0" w:afterAutospacing="0"/>
        <w:rPr>
          <w:rFonts w:asciiTheme="minorHAnsi" w:hAnsiTheme="minorHAnsi" w:cstheme="minorHAnsi"/>
        </w:rPr>
      </w:pPr>
    </w:p>
    <w:p w14:paraId="72A73D4A" w14:textId="77777777" w:rsidR="009F21E5" w:rsidRDefault="009F21E5" w:rsidP="009F21E5">
      <w:pPr>
        <w:pStyle w:val="NormalWeb"/>
        <w:jc w:val="center"/>
        <w:rPr>
          <w:rFonts w:asciiTheme="minorHAnsi" w:hAnsiTheme="minorHAnsi" w:cstheme="minorHAnsi"/>
          <w:b/>
          <w:bCs/>
          <w:u w:val="single"/>
        </w:rPr>
      </w:pPr>
    </w:p>
    <w:p w14:paraId="07A09196" w14:textId="77777777" w:rsidR="009F21E5" w:rsidRDefault="009F21E5" w:rsidP="009F21E5">
      <w:pPr>
        <w:pStyle w:val="NormalWeb"/>
        <w:jc w:val="center"/>
        <w:rPr>
          <w:rFonts w:asciiTheme="minorHAnsi" w:hAnsiTheme="minorHAnsi" w:cstheme="minorHAnsi"/>
          <w:b/>
          <w:bCs/>
          <w:u w:val="single"/>
        </w:rPr>
      </w:pPr>
    </w:p>
    <w:p w14:paraId="673088FA" w14:textId="77777777" w:rsidR="009F21E5" w:rsidRDefault="009F21E5" w:rsidP="009F21E5">
      <w:pPr>
        <w:pStyle w:val="NormalWeb"/>
        <w:jc w:val="center"/>
        <w:rPr>
          <w:rFonts w:asciiTheme="minorHAnsi" w:hAnsiTheme="minorHAnsi" w:cstheme="minorHAnsi"/>
          <w:b/>
          <w:bCs/>
          <w:u w:val="single"/>
        </w:rPr>
      </w:pPr>
    </w:p>
    <w:p w14:paraId="4BA3D9F2" w14:textId="77777777" w:rsidR="009F21E5" w:rsidRDefault="009F21E5" w:rsidP="009F21E5">
      <w:pPr>
        <w:pStyle w:val="NormalWeb"/>
        <w:jc w:val="center"/>
        <w:rPr>
          <w:rFonts w:asciiTheme="minorHAnsi" w:hAnsiTheme="minorHAnsi" w:cstheme="minorHAnsi"/>
          <w:b/>
          <w:bCs/>
          <w:u w:val="single"/>
        </w:rPr>
      </w:pPr>
    </w:p>
    <w:p w14:paraId="09857824" w14:textId="77777777" w:rsidR="009F21E5" w:rsidRDefault="009F21E5" w:rsidP="009F21E5">
      <w:pPr>
        <w:pStyle w:val="NormalWeb"/>
        <w:jc w:val="center"/>
        <w:rPr>
          <w:rFonts w:asciiTheme="minorHAnsi" w:hAnsiTheme="minorHAnsi" w:cstheme="minorHAnsi"/>
          <w:b/>
          <w:bCs/>
          <w:u w:val="single"/>
        </w:rPr>
      </w:pPr>
    </w:p>
    <w:p w14:paraId="2B99A9E8" w14:textId="77777777" w:rsidR="009F21E5" w:rsidRDefault="009F21E5" w:rsidP="009F21E5">
      <w:pPr>
        <w:pStyle w:val="NormalWeb"/>
        <w:jc w:val="center"/>
        <w:rPr>
          <w:rFonts w:asciiTheme="minorHAnsi" w:hAnsiTheme="minorHAnsi" w:cstheme="minorHAnsi"/>
          <w:b/>
          <w:bCs/>
          <w:u w:val="single"/>
        </w:rPr>
      </w:pPr>
    </w:p>
    <w:p w14:paraId="4E820D5C" w14:textId="77777777" w:rsidR="009F21E5" w:rsidRDefault="009F21E5" w:rsidP="009F21E5">
      <w:pPr>
        <w:pStyle w:val="NormalWeb"/>
        <w:jc w:val="center"/>
        <w:rPr>
          <w:rFonts w:asciiTheme="minorHAnsi" w:hAnsiTheme="minorHAnsi" w:cstheme="minorHAnsi"/>
          <w:b/>
          <w:bCs/>
          <w:u w:val="single"/>
        </w:rPr>
      </w:pPr>
    </w:p>
    <w:p w14:paraId="433261EF" w14:textId="77777777" w:rsidR="009F21E5" w:rsidRDefault="009F21E5" w:rsidP="009F21E5">
      <w:pPr>
        <w:pStyle w:val="NormalWeb"/>
        <w:jc w:val="center"/>
        <w:rPr>
          <w:rFonts w:asciiTheme="minorHAnsi" w:hAnsiTheme="minorHAnsi" w:cstheme="minorHAnsi"/>
          <w:b/>
          <w:bCs/>
          <w:u w:val="single"/>
        </w:rPr>
      </w:pPr>
    </w:p>
    <w:p w14:paraId="07E4FA50" w14:textId="77777777" w:rsidR="009F21E5" w:rsidRDefault="009F21E5" w:rsidP="009F21E5">
      <w:pPr>
        <w:pStyle w:val="NormalWeb"/>
        <w:jc w:val="center"/>
        <w:rPr>
          <w:rFonts w:asciiTheme="minorHAnsi" w:hAnsiTheme="minorHAnsi" w:cstheme="minorHAnsi"/>
          <w:b/>
          <w:bCs/>
          <w:u w:val="single"/>
        </w:rPr>
      </w:pPr>
    </w:p>
    <w:p w14:paraId="63CA2BD6" w14:textId="77777777" w:rsidR="009F21E5" w:rsidRDefault="009F21E5" w:rsidP="009F21E5">
      <w:pPr>
        <w:pStyle w:val="NormalWeb"/>
        <w:jc w:val="center"/>
        <w:rPr>
          <w:rFonts w:asciiTheme="minorHAnsi" w:hAnsiTheme="minorHAnsi" w:cstheme="minorHAnsi"/>
          <w:b/>
          <w:bCs/>
          <w:u w:val="single"/>
        </w:rPr>
      </w:pPr>
    </w:p>
    <w:p w14:paraId="58102DEF" w14:textId="77777777" w:rsidR="009F21E5" w:rsidRDefault="009F21E5" w:rsidP="009F21E5">
      <w:pPr>
        <w:pStyle w:val="NormalWeb"/>
        <w:jc w:val="center"/>
        <w:rPr>
          <w:rFonts w:asciiTheme="minorHAnsi" w:hAnsiTheme="minorHAnsi" w:cstheme="minorHAnsi"/>
          <w:b/>
          <w:bCs/>
          <w:u w:val="single"/>
        </w:rPr>
      </w:pPr>
    </w:p>
    <w:p w14:paraId="60E20110" w14:textId="77777777" w:rsidR="009F21E5" w:rsidRDefault="009F21E5" w:rsidP="009F21E5">
      <w:pPr>
        <w:pStyle w:val="NormalWeb"/>
        <w:jc w:val="center"/>
        <w:rPr>
          <w:rFonts w:asciiTheme="minorHAnsi" w:hAnsiTheme="minorHAnsi" w:cstheme="minorHAnsi"/>
          <w:b/>
          <w:bCs/>
          <w:u w:val="single"/>
        </w:rPr>
      </w:pPr>
    </w:p>
    <w:p w14:paraId="5FCBF23C" w14:textId="77777777" w:rsidR="009F21E5" w:rsidRDefault="009F21E5" w:rsidP="009F21E5">
      <w:pPr>
        <w:pStyle w:val="NormalWeb"/>
        <w:jc w:val="center"/>
        <w:rPr>
          <w:rFonts w:asciiTheme="minorHAnsi" w:hAnsiTheme="minorHAnsi" w:cstheme="minorHAnsi"/>
          <w:b/>
          <w:bCs/>
          <w:u w:val="single"/>
        </w:rPr>
      </w:pPr>
    </w:p>
    <w:p w14:paraId="067E9F41" w14:textId="77777777" w:rsidR="009F21E5" w:rsidRDefault="009F21E5" w:rsidP="009F21E5">
      <w:pPr>
        <w:pStyle w:val="NormalWeb"/>
        <w:jc w:val="center"/>
        <w:rPr>
          <w:rFonts w:asciiTheme="minorHAnsi" w:hAnsiTheme="minorHAnsi" w:cstheme="minorHAnsi"/>
          <w:b/>
          <w:bCs/>
          <w:u w:val="single"/>
        </w:rPr>
      </w:pPr>
    </w:p>
    <w:p w14:paraId="7B893682" w14:textId="77777777" w:rsidR="009F21E5" w:rsidRDefault="009F21E5" w:rsidP="009F21E5">
      <w:pPr>
        <w:pStyle w:val="NormalWeb"/>
        <w:jc w:val="center"/>
        <w:rPr>
          <w:rFonts w:asciiTheme="minorHAnsi" w:hAnsiTheme="minorHAnsi" w:cstheme="minorHAnsi"/>
          <w:b/>
          <w:bCs/>
          <w:u w:val="single"/>
        </w:rPr>
      </w:pPr>
    </w:p>
    <w:p w14:paraId="5DE2216A" w14:textId="77777777" w:rsidR="009F21E5" w:rsidRDefault="009F21E5" w:rsidP="009F21E5">
      <w:pPr>
        <w:pStyle w:val="NormalWeb"/>
        <w:jc w:val="center"/>
        <w:rPr>
          <w:rFonts w:asciiTheme="minorHAnsi" w:hAnsiTheme="minorHAnsi" w:cstheme="minorHAnsi"/>
          <w:b/>
          <w:bCs/>
          <w:u w:val="single"/>
        </w:rPr>
      </w:pPr>
    </w:p>
    <w:p w14:paraId="00E836AC" w14:textId="77777777" w:rsidR="009F21E5" w:rsidRDefault="009F21E5" w:rsidP="009F21E5">
      <w:pPr>
        <w:pStyle w:val="NormalWeb"/>
        <w:jc w:val="center"/>
        <w:rPr>
          <w:rFonts w:asciiTheme="minorHAnsi" w:hAnsiTheme="minorHAnsi" w:cstheme="minorHAnsi"/>
          <w:b/>
          <w:bCs/>
          <w:u w:val="single"/>
        </w:rPr>
      </w:pPr>
    </w:p>
    <w:p w14:paraId="1CBCBC47" w14:textId="77777777" w:rsidR="009F21E5" w:rsidRDefault="009F21E5" w:rsidP="009F21E5">
      <w:pPr>
        <w:pStyle w:val="NormalWeb"/>
        <w:jc w:val="center"/>
        <w:rPr>
          <w:rFonts w:asciiTheme="minorHAnsi" w:hAnsiTheme="minorHAnsi" w:cstheme="minorHAnsi"/>
          <w:b/>
          <w:bCs/>
          <w:u w:val="single"/>
        </w:rPr>
      </w:pPr>
    </w:p>
    <w:p w14:paraId="0546AE1C" w14:textId="1CA8F267" w:rsidR="009F21E5" w:rsidRPr="00E76D61" w:rsidRDefault="009F21E5" w:rsidP="008603B2">
      <w:pPr>
        <w:pStyle w:val="NormalWeb"/>
        <w:ind w:left="2880" w:firstLine="720"/>
        <w:rPr>
          <w:rFonts w:asciiTheme="minorHAnsi" w:hAnsiTheme="minorHAnsi" w:cstheme="minorHAnsi"/>
          <w:b/>
          <w:bCs/>
          <w:u w:val="single"/>
        </w:rPr>
      </w:pPr>
      <w:r w:rsidRPr="00E76D61">
        <w:rPr>
          <w:rFonts w:asciiTheme="minorHAnsi" w:hAnsiTheme="minorHAnsi" w:cstheme="minorHAnsi"/>
          <w:b/>
          <w:bCs/>
          <w:u w:val="single"/>
        </w:rPr>
        <w:t>Reference List</w:t>
      </w:r>
    </w:p>
    <w:p w14:paraId="0392125C"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(2018) </w:t>
      </w:r>
      <w:r w:rsidRPr="00561930">
        <w:rPr>
          <w:rFonts w:asciiTheme="minorHAnsi" w:hAnsiTheme="minorHAnsi" w:cstheme="minorHAnsi"/>
          <w:i/>
          <w:iCs/>
        </w:rPr>
        <w:t>Settlement agreements</w:t>
      </w:r>
      <w:r w:rsidRPr="00561930">
        <w:rPr>
          <w:rFonts w:asciiTheme="minorHAnsi" w:hAnsiTheme="minorHAnsi" w:cstheme="minorHAnsi"/>
        </w:rPr>
        <w:t xml:space="preserve">. ACAS Available at: </w:t>
      </w:r>
      <w:hyperlink r:id="rId7" w:history="1">
        <w:r w:rsidRPr="00561930">
          <w:rPr>
            <w:rStyle w:val="Hyperlink"/>
            <w:rFonts w:asciiTheme="minorHAnsi" w:hAnsiTheme="minorHAnsi" w:cstheme="minorHAnsi"/>
          </w:rPr>
          <w:t>https://www.acas.org.uk/sites/default/files/2021-03/settlement-agreements.pdf</w:t>
        </w:r>
      </w:hyperlink>
      <w:r w:rsidRPr="00561930">
        <w:rPr>
          <w:rFonts w:asciiTheme="minorHAnsi" w:hAnsiTheme="minorHAnsi" w:cstheme="minorHAnsi"/>
        </w:rPr>
        <w:t xml:space="preserve"> (Accessed: 30 April 2024). </w:t>
      </w:r>
    </w:p>
    <w:p w14:paraId="15D71104" w14:textId="77777777" w:rsidR="009F21E5"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(2021)</w:t>
      </w:r>
      <w:r w:rsidRPr="00561930">
        <w:rPr>
          <w:rFonts w:asciiTheme="minorHAnsi" w:hAnsiTheme="minorHAnsi" w:cstheme="minorHAnsi"/>
          <w:i/>
          <w:iCs/>
        </w:rPr>
        <w:t xml:space="preserve"> What a </w:t>
      </w:r>
      <w:proofErr w:type="spellStart"/>
      <w:r w:rsidRPr="00561930">
        <w:rPr>
          <w:rFonts w:asciiTheme="minorHAnsi" w:hAnsiTheme="minorHAnsi" w:cstheme="minorHAnsi"/>
          <w:i/>
          <w:iCs/>
        </w:rPr>
        <w:t>tupe</w:t>
      </w:r>
      <w:proofErr w:type="spellEnd"/>
      <w:r w:rsidRPr="00561930">
        <w:rPr>
          <w:rFonts w:asciiTheme="minorHAnsi" w:hAnsiTheme="minorHAnsi" w:cstheme="minorHAnsi"/>
          <w:i/>
          <w:iCs/>
        </w:rPr>
        <w:t xml:space="preserve"> transfer is - </w:t>
      </w:r>
      <w:proofErr w:type="spellStart"/>
      <w:r w:rsidRPr="00561930">
        <w:rPr>
          <w:rFonts w:asciiTheme="minorHAnsi" w:hAnsiTheme="minorHAnsi" w:cstheme="minorHAnsi"/>
          <w:i/>
          <w:iCs/>
        </w:rPr>
        <w:t>tupe</w:t>
      </w:r>
      <w:proofErr w:type="spellEnd"/>
      <w:r w:rsidRPr="00561930">
        <w:rPr>
          <w:rFonts w:asciiTheme="minorHAnsi" w:hAnsiTheme="minorHAnsi" w:cstheme="minorHAnsi"/>
          <w:i/>
          <w:iCs/>
        </w:rPr>
        <w:t>: Employee rights</w:t>
      </w:r>
      <w:r w:rsidRPr="00561930">
        <w:rPr>
          <w:rFonts w:asciiTheme="minorHAnsi" w:hAnsiTheme="minorHAnsi" w:cstheme="minorHAnsi"/>
        </w:rPr>
        <w:t xml:space="preserve">. ACAS. Available at: </w:t>
      </w:r>
      <w:hyperlink r:id="rId8" w:history="1">
        <w:r w:rsidRPr="00561930">
          <w:rPr>
            <w:rStyle w:val="Hyperlink"/>
            <w:rFonts w:asciiTheme="minorHAnsi" w:hAnsiTheme="minorHAnsi" w:cstheme="minorHAnsi"/>
          </w:rPr>
          <w:t>https://www.acas.org.uk/employee-rights-during-a-tupe-transfer</w:t>
        </w:r>
      </w:hyperlink>
      <w:r w:rsidRPr="00561930">
        <w:rPr>
          <w:rFonts w:asciiTheme="minorHAnsi" w:hAnsiTheme="minorHAnsi" w:cstheme="minorHAnsi"/>
        </w:rPr>
        <w:t xml:space="preserve">  (Accessed: 30 April 2024). </w:t>
      </w:r>
    </w:p>
    <w:p w14:paraId="62DA1E5B" w14:textId="7EA44DCD" w:rsidR="00421E00" w:rsidRPr="00421E00" w:rsidRDefault="00421E00" w:rsidP="00421E00">
      <w:pPr>
        <w:rPr>
          <w:color w:val="FF0000"/>
          <w:sz w:val="24"/>
          <w:szCs w:val="24"/>
        </w:rPr>
      </w:pPr>
      <w:r w:rsidRPr="00421E00">
        <w:rPr>
          <w:color w:val="FF0000"/>
          <w:sz w:val="24"/>
          <w:szCs w:val="24"/>
        </w:rPr>
        <w:t xml:space="preserve">ACAS (2022) </w:t>
      </w:r>
      <w:r w:rsidRPr="00421E00">
        <w:rPr>
          <w:i/>
          <w:iCs/>
          <w:color w:val="FF0000"/>
          <w:sz w:val="24"/>
          <w:szCs w:val="24"/>
        </w:rPr>
        <w:t>If you want to make a claim - early conciliation</w:t>
      </w:r>
      <w:r w:rsidRPr="00421E00">
        <w:rPr>
          <w:color w:val="FF0000"/>
          <w:sz w:val="24"/>
          <w:szCs w:val="24"/>
        </w:rPr>
        <w:t xml:space="preserve">.  ACAS. Available at: </w:t>
      </w:r>
      <w:hyperlink r:id="rId9" w:history="1">
        <w:r w:rsidRPr="00421E00">
          <w:rPr>
            <w:rStyle w:val="Hyperlink"/>
            <w:color w:val="FF0000"/>
            <w:sz w:val="24"/>
            <w:szCs w:val="24"/>
          </w:rPr>
          <w:t>https://www.acas.org.uk/early-conciliation</w:t>
        </w:r>
      </w:hyperlink>
      <w:r w:rsidRPr="00421E00">
        <w:rPr>
          <w:color w:val="FF0000"/>
          <w:sz w:val="24"/>
          <w:szCs w:val="24"/>
        </w:rPr>
        <w:t xml:space="preserve">  (Accessed: 31 July 2024). </w:t>
      </w:r>
    </w:p>
    <w:p w14:paraId="76B485C4"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(2023)</w:t>
      </w:r>
      <w:r w:rsidRPr="00561930">
        <w:rPr>
          <w:rFonts w:asciiTheme="minorHAnsi" w:hAnsiTheme="minorHAnsi" w:cstheme="minorHAnsi"/>
          <w:i/>
          <w:iCs/>
        </w:rPr>
        <w:t xml:space="preserve">  Discrimination and the Equality Act 2010 - discrimination at work</w:t>
      </w:r>
      <w:r w:rsidRPr="00561930">
        <w:rPr>
          <w:rFonts w:asciiTheme="minorHAnsi" w:hAnsiTheme="minorHAnsi" w:cstheme="minorHAnsi"/>
        </w:rPr>
        <w:t xml:space="preserve">. ACAS. Available at: </w:t>
      </w:r>
      <w:hyperlink r:id="rId10" w:history="1">
        <w:r w:rsidRPr="00561930">
          <w:rPr>
            <w:rStyle w:val="Hyperlink"/>
            <w:rFonts w:asciiTheme="minorHAnsi" w:hAnsiTheme="minorHAnsi" w:cstheme="minorHAnsi"/>
          </w:rPr>
          <w:t>https://www.acas.org.uk/discrimination-and-the-law</w:t>
        </w:r>
      </w:hyperlink>
      <w:r w:rsidRPr="00561930">
        <w:rPr>
          <w:rFonts w:asciiTheme="minorHAnsi" w:hAnsiTheme="minorHAnsi" w:cstheme="minorHAnsi"/>
        </w:rPr>
        <w:t xml:space="preserve"> (Accessed: 30 April 2024). </w:t>
      </w:r>
    </w:p>
    <w:p w14:paraId="067C9CB4"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(2024)</w:t>
      </w:r>
      <w:r>
        <w:rPr>
          <w:rFonts w:asciiTheme="minorHAnsi" w:hAnsiTheme="minorHAnsi" w:cstheme="minorHAnsi"/>
          <w:i/>
          <w:iCs/>
        </w:rPr>
        <w:t xml:space="preserve"> </w:t>
      </w:r>
      <w:r w:rsidRPr="00561930">
        <w:rPr>
          <w:rFonts w:asciiTheme="minorHAnsi" w:hAnsiTheme="minorHAnsi" w:cstheme="minorHAnsi"/>
          <w:i/>
          <w:iCs/>
        </w:rPr>
        <w:t xml:space="preserve"> Equal pay and the law</w:t>
      </w:r>
      <w:r w:rsidRPr="00561930">
        <w:rPr>
          <w:rFonts w:asciiTheme="minorHAnsi" w:hAnsiTheme="minorHAnsi" w:cstheme="minorHAnsi"/>
        </w:rPr>
        <w:t xml:space="preserve">. ACAS. Available at: </w:t>
      </w:r>
      <w:hyperlink r:id="rId11" w:history="1">
        <w:r w:rsidRPr="00561930">
          <w:rPr>
            <w:rStyle w:val="Hyperlink"/>
            <w:rFonts w:asciiTheme="minorHAnsi" w:hAnsiTheme="minorHAnsi" w:cstheme="minorHAnsi"/>
          </w:rPr>
          <w:t>https://www.acas.org.uk/equal-pay/equal-pay-law</w:t>
        </w:r>
      </w:hyperlink>
      <w:r w:rsidRPr="00561930">
        <w:rPr>
          <w:rFonts w:asciiTheme="minorHAnsi" w:hAnsiTheme="minorHAnsi" w:cstheme="minorHAnsi"/>
        </w:rPr>
        <w:t xml:space="preserve">  (Accessed: 30 April 2024). </w:t>
      </w:r>
    </w:p>
    <w:p w14:paraId="75945976"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(2024b)</w:t>
      </w:r>
      <w:r w:rsidRPr="00561930">
        <w:rPr>
          <w:rFonts w:asciiTheme="minorHAnsi" w:hAnsiTheme="minorHAnsi" w:cstheme="minorHAnsi"/>
          <w:i/>
          <w:iCs/>
        </w:rPr>
        <w:t xml:space="preserve"> When redundancy can happen - your rights during redundancy</w:t>
      </w:r>
      <w:r w:rsidRPr="00561930">
        <w:rPr>
          <w:rFonts w:asciiTheme="minorHAnsi" w:hAnsiTheme="minorHAnsi" w:cstheme="minorHAnsi"/>
        </w:rPr>
        <w:t xml:space="preserve">. </w:t>
      </w:r>
      <w:r>
        <w:rPr>
          <w:rFonts w:asciiTheme="minorHAnsi" w:hAnsiTheme="minorHAnsi" w:cstheme="minorHAnsi"/>
        </w:rPr>
        <w:t>ACAS</w:t>
      </w:r>
      <w:r w:rsidRPr="00561930">
        <w:rPr>
          <w:rFonts w:asciiTheme="minorHAnsi" w:hAnsiTheme="minorHAnsi" w:cstheme="minorHAnsi"/>
        </w:rPr>
        <w:t xml:space="preserve">. Available at: </w:t>
      </w:r>
      <w:hyperlink r:id="rId12" w:history="1">
        <w:r w:rsidRPr="00561930">
          <w:rPr>
            <w:rStyle w:val="Hyperlink"/>
            <w:rFonts w:asciiTheme="minorHAnsi" w:hAnsiTheme="minorHAnsi" w:cstheme="minorHAnsi"/>
          </w:rPr>
          <w:t>https://www.acas.org.uk/your-rights-during-redundancy</w:t>
        </w:r>
      </w:hyperlink>
      <w:r w:rsidRPr="00561930">
        <w:rPr>
          <w:rFonts w:asciiTheme="minorHAnsi" w:hAnsiTheme="minorHAnsi" w:cstheme="minorHAnsi"/>
        </w:rPr>
        <w:t xml:space="preserve">  (Accessed: 30 April 2024). </w:t>
      </w:r>
    </w:p>
    <w:p w14:paraId="57390D49"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(2024c) </w:t>
      </w:r>
      <w:r w:rsidRPr="00561930">
        <w:rPr>
          <w:rFonts w:asciiTheme="minorHAnsi" w:hAnsiTheme="minorHAnsi" w:cstheme="minorHAnsi"/>
          <w:i/>
          <w:iCs/>
        </w:rPr>
        <w:t>What is the minimum wage - national minimum wage</w:t>
      </w:r>
      <w:r w:rsidRPr="00561930">
        <w:rPr>
          <w:rFonts w:asciiTheme="minorHAnsi" w:hAnsiTheme="minorHAnsi" w:cstheme="minorHAnsi"/>
        </w:rPr>
        <w:t>. A</w:t>
      </w:r>
      <w:r>
        <w:rPr>
          <w:rFonts w:asciiTheme="minorHAnsi" w:hAnsiTheme="minorHAnsi" w:cstheme="minorHAnsi"/>
        </w:rPr>
        <w:t>CAS</w:t>
      </w:r>
      <w:r w:rsidRPr="00561930">
        <w:rPr>
          <w:rFonts w:asciiTheme="minorHAnsi" w:hAnsiTheme="minorHAnsi" w:cstheme="minorHAnsi"/>
        </w:rPr>
        <w:t xml:space="preserve">. Available at: </w:t>
      </w:r>
      <w:hyperlink r:id="rId13" w:history="1">
        <w:r w:rsidRPr="00561930">
          <w:rPr>
            <w:rStyle w:val="Hyperlink"/>
            <w:rFonts w:asciiTheme="minorHAnsi" w:hAnsiTheme="minorHAnsi" w:cstheme="minorHAnsi"/>
          </w:rPr>
          <w:t>https://www.acas.org.uk/national-minimum-wage-entitlement</w:t>
        </w:r>
      </w:hyperlink>
      <w:r w:rsidRPr="00561930">
        <w:rPr>
          <w:rFonts w:asciiTheme="minorHAnsi" w:hAnsiTheme="minorHAnsi" w:cstheme="minorHAnsi"/>
        </w:rPr>
        <w:t xml:space="preserve">  (Accessed: 30 April 2024). </w:t>
      </w:r>
    </w:p>
    <w:p w14:paraId="42BF8874"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(2024d)</w:t>
      </w:r>
      <w:r w:rsidRPr="00561930">
        <w:rPr>
          <w:rFonts w:asciiTheme="minorHAnsi" w:hAnsiTheme="minorHAnsi" w:cstheme="minorHAnsi"/>
          <w:i/>
          <w:iCs/>
        </w:rPr>
        <w:t xml:space="preserve"> Payslips</w:t>
      </w:r>
      <w:r w:rsidRPr="00561930">
        <w:rPr>
          <w:rFonts w:asciiTheme="minorHAnsi" w:hAnsiTheme="minorHAnsi" w:cstheme="minorHAnsi"/>
        </w:rPr>
        <w:t xml:space="preserve"> (2024) A</w:t>
      </w:r>
      <w:r>
        <w:rPr>
          <w:rFonts w:asciiTheme="minorHAnsi" w:hAnsiTheme="minorHAnsi" w:cstheme="minorHAnsi"/>
        </w:rPr>
        <w:t>CAS</w:t>
      </w:r>
      <w:r w:rsidRPr="00561930">
        <w:rPr>
          <w:rFonts w:asciiTheme="minorHAnsi" w:hAnsiTheme="minorHAnsi" w:cstheme="minorHAnsi"/>
        </w:rPr>
        <w:t xml:space="preserve">. Available at: </w:t>
      </w:r>
      <w:hyperlink r:id="rId14" w:history="1">
        <w:r w:rsidRPr="00561930">
          <w:rPr>
            <w:rStyle w:val="Hyperlink"/>
            <w:rFonts w:asciiTheme="minorHAnsi" w:hAnsiTheme="minorHAnsi" w:cstheme="minorHAnsi"/>
          </w:rPr>
          <w:t>https://www.acas.org.uk/payslips</w:t>
        </w:r>
      </w:hyperlink>
      <w:r w:rsidRPr="00561930">
        <w:rPr>
          <w:rFonts w:asciiTheme="minorHAnsi" w:hAnsiTheme="minorHAnsi" w:cstheme="minorHAnsi"/>
        </w:rPr>
        <w:t xml:space="preserve">  (Accessed: 30 April 2024). </w:t>
      </w:r>
    </w:p>
    <w:p w14:paraId="48E2A94D"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ACAS</w:t>
      </w:r>
      <w:r>
        <w:rPr>
          <w:rFonts w:asciiTheme="minorHAnsi" w:hAnsiTheme="minorHAnsi" w:cstheme="minorHAnsi"/>
        </w:rPr>
        <w:t>.</w:t>
      </w:r>
      <w:r w:rsidRPr="00561930">
        <w:rPr>
          <w:rFonts w:asciiTheme="minorHAnsi" w:hAnsiTheme="minorHAnsi" w:cstheme="minorHAnsi"/>
        </w:rPr>
        <w:t xml:space="preserve"> (2024e)</w:t>
      </w:r>
      <w:r w:rsidRPr="00561930">
        <w:rPr>
          <w:rFonts w:asciiTheme="minorHAnsi" w:hAnsiTheme="minorHAnsi" w:cstheme="minorHAnsi"/>
          <w:i/>
          <w:iCs/>
        </w:rPr>
        <w:t xml:space="preserve"> Pay - maternity leave and pay</w:t>
      </w:r>
      <w:r w:rsidRPr="00561930">
        <w:rPr>
          <w:rFonts w:asciiTheme="minorHAnsi" w:hAnsiTheme="minorHAnsi" w:cstheme="minorHAnsi"/>
        </w:rPr>
        <w:t>. A</w:t>
      </w:r>
      <w:r>
        <w:rPr>
          <w:rFonts w:asciiTheme="minorHAnsi" w:hAnsiTheme="minorHAnsi" w:cstheme="minorHAnsi"/>
        </w:rPr>
        <w:t>CAS</w:t>
      </w:r>
      <w:r w:rsidRPr="00561930">
        <w:rPr>
          <w:rFonts w:asciiTheme="minorHAnsi" w:hAnsiTheme="minorHAnsi" w:cstheme="minorHAnsi"/>
        </w:rPr>
        <w:t xml:space="preserve">. Available at: </w:t>
      </w:r>
      <w:hyperlink r:id="rId15" w:history="1">
        <w:r w:rsidRPr="00561930">
          <w:rPr>
            <w:rStyle w:val="Hyperlink"/>
            <w:rFonts w:asciiTheme="minorHAnsi" w:hAnsiTheme="minorHAnsi" w:cstheme="minorHAnsi"/>
          </w:rPr>
          <w:t>https://www.acas.org.uk/your-maternity-leave-pay-and-other-rights/working-out-maternity-pay</w:t>
        </w:r>
      </w:hyperlink>
      <w:r w:rsidRPr="00561930">
        <w:rPr>
          <w:rFonts w:asciiTheme="minorHAnsi" w:hAnsiTheme="minorHAnsi" w:cstheme="minorHAnsi"/>
        </w:rPr>
        <w:t xml:space="preserve">  (Accessed: 30 April 2024). </w:t>
      </w:r>
    </w:p>
    <w:p w14:paraId="3A85BCAD"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Ali, L. (2022) </w:t>
      </w:r>
      <w:r w:rsidRPr="00561930">
        <w:rPr>
          <w:rFonts w:asciiTheme="minorHAnsi" w:hAnsiTheme="minorHAnsi" w:cstheme="minorHAnsi"/>
          <w:i/>
          <w:iCs/>
        </w:rPr>
        <w:t>Equality, diversity and inclusion in the workplace: Factsheets</w:t>
      </w:r>
      <w:r w:rsidRPr="00561930">
        <w:rPr>
          <w:rFonts w:asciiTheme="minorHAnsi" w:hAnsiTheme="minorHAnsi" w:cstheme="minorHAnsi"/>
        </w:rPr>
        <w:t xml:space="preserve">. CIPD. Available at: </w:t>
      </w:r>
      <w:hyperlink r:id="rId16" w:history="1">
        <w:r w:rsidRPr="00561930">
          <w:rPr>
            <w:rStyle w:val="Hyperlink"/>
            <w:rFonts w:asciiTheme="minorHAnsi" w:hAnsiTheme="minorHAnsi" w:cstheme="minorHAnsi"/>
          </w:rPr>
          <w:t>https://www.cipd.org/uk/knowledge/factsheets/diversity-factsheet/</w:t>
        </w:r>
      </w:hyperlink>
      <w:r w:rsidRPr="00561930">
        <w:rPr>
          <w:rFonts w:asciiTheme="minorHAnsi" w:hAnsiTheme="minorHAnsi" w:cstheme="minorHAnsi"/>
        </w:rPr>
        <w:t xml:space="preserve">   (Accessed: 30 April 2024). </w:t>
      </w:r>
    </w:p>
    <w:p w14:paraId="37A3FA30"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CIPD</w:t>
      </w:r>
      <w:r>
        <w:rPr>
          <w:rFonts w:asciiTheme="minorHAnsi" w:hAnsiTheme="minorHAnsi" w:cstheme="minorHAnsi"/>
        </w:rPr>
        <w:t>.</w:t>
      </w:r>
      <w:r w:rsidRPr="00561930">
        <w:rPr>
          <w:rFonts w:asciiTheme="minorHAnsi" w:hAnsiTheme="minorHAnsi" w:cstheme="minorHAnsi"/>
        </w:rPr>
        <w:t xml:space="preserve"> (2023a)</w:t>
      </w:r>
      <w:r w:rsidRPr="00561930">
        <w:rPr>
          <w:rFonts w:asciiTheme="minorHAnsi" w:hAnsiTheme="minorHAnsi" w:cstheme="minorHAnsi"/>
          <w:i/>
          <w:iCs/>
        </w:rPr>
        <w:t xml:space="preserve"> Employment status, rights and regulation</w:t>
      </w:r>
      <w:r w:rsidRPr="00561930">
        <w:rPr>
          <w:rFonts w:asciiTheme="minorHAnsi" w:hAnsiTheme="minorHAnsi" w:cstheme="minorHAnsi"/>
        </w:rPr>
        <w:t xml:space="preserve">. CIPD. Available at: </w:t>
      </w:r>
      <w:hyperlink r:id="rId17" w:history="1">
        <w:r w:rsidRPr="00561930">
          <w:rPr>
            <w:rStyle w:val="Hyperlink"/>
            <w:rFonts w:asciiTheme="minorHAnsi" w:hAnsiTheme="minorHAnsi" w:cstheme="minorHAnsi"/>
          </w:rPr>
          <w:t>https://www.cipd.org/uk/views-and-insights/cipd-viewpoint/employment-status-rights/</w:t>
        </w:r>
      </w:hyperlink>
      <w:r w:rsidRPr="00561930">
        <w:rPr>
          <w:rFonts w:asciiTheme="minorHAnsi" w:hAnsiTheme="minorHAnsi" w:cstheme="minorHAnsi"/>
        </w:rPr>
        <w:t xml:space="preserve">  (Accessed: 30 April 2024). </w:t>
      </w:r>
    </w:p>
    <w:p w14:paraId="28C1C5E7"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lastRenderedPageBreak/>
        <w:t>CIPD</w:t>
      </w:r>
      <w:r>
        <w:rPr>
          <w:rFonts w:asciiTheme="minorHAnsi" w:hAnsiTheme="minorHAnsi" w:cstheme="minorHAnsi"/>
        </w:rPr>
        <w:t>.</w:t>
      </w:r>
      <w:r w:rsidRPr="00561930">
        <w:rPr>
          <w:rFonts w:asciiTheme="minorHAnsi" w:hAnsiTheme="minorHAnsi" w:cstheme="minorHAnsi"/>
        </w:rPr>
        <w:t xml:space="preserve"> (2023b)</w:t>
      </w:r>
      <w:r w:rsidRPr="00561930">
        <w:rPr>
          <w:rFonts w:asciiTheme="minorHAnsi" w:hAnsiTheme="minorHAnsi" w:cstheme="minorHAnsi"/>
          <w:i/>
          <w:iCs/>
        </w:rPr>
        <w:t xml:space="preserve"> Recruitment law guidance</w:t>
      </w:r>
      <w:r w:rsidRPr="00561930">
        <w:rPr>
          <w:rFonts w:asciiTheme="minorHAnsi" w:hAnsiTheme="minorHAnsi" w:cstheme="minorHAnsi"/>
        </w:rPr>
        <w:t xml:space="preserve">. CIPD. Available at: </w:t>
      </w:r>
      <w:hyperlink r:id="rId18" w:history="1">
        <w:r w:rsidRPr="00561930">
          <w:rPr>
            <w:rStyle w:val="Hyperlink"/>
            <w:rFonts w:asciiTheme="minorHAnsi" w:hAnsiTheme="minorHAnsi" w:cstheme="minorHAnsi"/>
          </w:rPr>
          <w:t>https://www.cipd.org/uk/knowledge/employment-law/recruitment/</w:t>
        </w:r>
      </w:hyperlink>
      <w:r w:rsidRPr="00561930">
        <w:rPr>
          <w:rFonts w:asciiTheme="minorHAnsi" w:hAnsiTheme="minorHAnsi" w:cstheme="minorHAnsi"/>
        </w:rPr>
        <w:t xml:space="preserve">  (Accessed: 30 April 2024). </w:t>
      </w:r>
    </w:p>
    <w:p w14:paraId="2CD1E6D1"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CIPD</w:t>
      </w:r>
      <w:r>
        <w:rPr>
          <w:rFonts w:asciiTheme="minorHAnsi" w:hAnsiTheme="minorHAnsi" w:cstheme="minorHAnsi"/>
        </w:rPr>
        <w:t>.</w:t>
      </w:r>
      <w:r w:rsidRPr="00561930">
        <w:rPr>
          <w:rFonts w:asciiTheme="minorHAnsi" w:hAnsiTheme="minorHAnsi" w:cstheme="minorHAnsi"/>
        </w:rPr>
        <w:t xml:space="preserve"> (2024a) </w:t>
      </w:r>
      <w:r w:rsidRPr="00561930">
        <w:rPr>
          <w:rFonts w:asciiTheme="minorHAnsi" w:hAnsiTheme="minorHAnsi" w:cstheme="minorHAnsi"/>
          <w:i/>
          <w:iCs/>
        </w:rPr>
        <w:t>Working Time: UK employment law</w:t>
      </w:r>
      <w:r w:rsidRPr="00561930">
        <w:rPr>
          <w:rFonts w:asciiTheme="minorHAnsi" w:hAnsiTheme="minorHAnsi" w:cstheme="minorHAnsi"/>
        </w:rPr>
        <w:t xml:space="preserve"> (2024). CIPD. Available at: </w:t>
      </w:r>
      <w:hyperlink r:id="rId19" w:anchor=":~:text=The%20Working%20Time%20Regulations%201998,the%20right%20to%20paid%20leave" w:history="1">
        <w:r w:rsidRPr="00561930">
          <w:rPr>
            <w:rStyle w:val="Hyperlink"/>
            <w:rFonts w:asciiTheme="minorHAnsi" w:hAnsiTheme="minorHAnsi" w:cstheme="minorHAnsi"/>
          </w:rPr>
          <w:t>https://www.cipd.org/uk/knowledge/employment-law/working-time/#:~:text=The%20Working%20Time%20Regulations%201998,the%20right%20to%20paid%20leave</w:t>
        </w:r>
      </w:hyperlink>
      <w:r w:rsidRPr="00561930">
        <w:rPr>
          <w:rFonts w:asciiTheme="minorHAnsi" w:hAnsiTheme="minorHAnsi" w:cstheme="minorHAnsi"/>
        </w:rPr>
        <w:t xml:space="preserve">  (Accessed: 30 April 2024). </w:t>
      </w:r>
    </w:p>
    <w:p w14:paraId="0B90A6BD"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CIPD</w:t>
      </w:r>
      <w:r>
        <w:rPr>
          <w:rFonts w:asciiTheme="minorHAnsi" w:hAnsiTheme="minorHAnsi" w:cstheme="minorHAnsi"/>
        </w:rPr>
        <w:t>.</w:t>
      </w:r>
      <w:r w:rsidRPr="00561930">
        <w:rPr>
          <w:rFonts w:asciiTheme="minorHAnsi" w:hAnsiTheme="minorHAnsi" w:cstheme="minorHAnsi"/>
        </w:rPr>
        <w:t xml:space="preserve"> (2024b)</w:t>
      </w:r>
      <w:r w:rsidRPr="00561930">
        <w:rPr>
          <w:rFonts w:asciiTheme="minorHAnsi" w:hAnsiTheme="minorHAnsi" w:cstheme="minorHAnsi"/>
          <w:i/>
          <w:iCs/>
        </w:rPr>
        <w:t xml:space="preserve"> Information on equal pay</w:t>
      </w:r>
      <w:r w:rsidRPr="00561930">
        <w:rPr>
          <w:rFonts w:asciiTheme="minorHAnsi" w:hAnsiTheme="minorHAnsi" w:cstheme="minorHAnsi"/>
        </w:rPr>
        <w:t xml:space="preserve">. CIPD. Available at: </w:t>
      </w:r>
      <w:hyperlink r:id="rId20" w:history="1">
        <w:r w:rsidRPr="00561930">
          <w:rPr>
            <w:rStyle w:val="Hyperlink"/>
            <w:rFonts w:asciiTheme="minorHAnsi" w:hAnsiTheme="minorHAnsi" w:cstheme="minorHAnsi"/>
          </w:rPr>
          <w:t>https://www.cipd.org/uk/knowledge/employment-law/equal-pay/</w:t>
        </w:r>
      </w:hyperlink>
      <w:r w:rsidRPr="00561930">
        <w:rPr>
          <w:rFonts w:asciiTheme="minorHAnsi" w:hAnsiTheme="minorHAnsi" w:cstheme="minorHAnsi"/>
        </w:rPr>
        <w:t xml:space="preserve">  (Accessed: 30 April 2024). </w:t>
      </w:r>
    </w:p>
    <w:p w14:paraId="475946B9" w14:textId="77777777" w:rsidR="009F21E5"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CIPD</w:t>
      </w:r>
      <w:r>
        <w:rPr>
          <w:rFonts w:asciiTheme="minorHAnsi" w:hAnsiTheme="minorHAnsi" w:cstheme="minorHAnsi"/>
        </w:rPr>
        <w:t>.</w:t>
      </w:r>
      <w:r w:rsidRPr="00561930">
        <w:rPr>
          <w:rFonts w:asciiTheme="minorHAnsi" w:hAnsiTheme="minorHAnsi" w:cstheme="minorHAnsi"/>
        </w:rPr>
        <w:t xml:space="preserve"> (2024c)</w:t>
      </w:r>
      <w:r w:rsidRPr="00561930">
        <w:rPr>
          <w:rFonts w:asciiTheme="minorHAnsi" w:hAnsiTheme="minorHAnsi" w:cstheme="minorHAnsi"/>
          <w:i/>
          <w:iCs/>
        </w:rPr>
        <w:t xml:space="preserve"> Working Time: UK employment law</w:t>
      </w:r>
      <w:r w:rsidRPr="00561930">
        <w:rPr>
          <w:rFonts w:asciiTheme="minorHAnsi" w:hAnsiTheme="minorHAnsi" w:cstheme="minorHAnsi"/>
        </w:rPr>
        <w:t xml:space="preserve">. CIPD. Available at: </w:t>
      </w:r>
      <w:hyperlink r:id="rId21" w:history="1">
        <w:r w:rsidRPr="00561930">
          <w:rPr>
            <w:rStyle w:val="Hyperlink"/>
            <w:rFonts w:asciiTheme="minorHAnsi" w:hAnsiTheme="minorHAnsi" w:cstheme="minorHAnsi"/>
          </w:rPr>
          <w:t>https://www.cipd.org/uk/knowledge/employment-law/working-time/</w:t>
        </w:r>
      </w:hyperlink>
      <w:r w:rsidRPr="00561930">
        <w:rPr>
          <w:rFonts w:asciiTheme="minorHAnsi" w:hAnsiTheme="minorHAnsi" w:cstheme="minorHAnsi"/>
        </w:rPr>
        <w:t xml:space="preserve">  (Accessed: 30 April 2024). </w:t>
      </w:r>
    </w:p>
    <w:p w14:paraId="5B532D8B" w14:textId="6C7A9980" w:rsidR="00421E00" w:rsidRPr="00421E00" w:rsidRDefault="00421E00" w:rsidP="00421E00">
      <w:pPr>
        <w:rPr>
          <w:color w:val="FF0000"/>
          <w:sz w:val="24"/>
          <w:szCs w:val="24"/>
        </w:rPr>
      </w:pPr>
      <w:r w:rsidRPr="00421E00">
        <w:rPr>
          <w:color w:val="FF0000"/>
          <w:sz w:val="24"/>
          <w:szCs w:val="24"/>
        </w:rPr>
        <w:t>CIPD Inform (2024</w:t>
      </w:r>
      <w:r>
        <w:rPr>
          <w:color w:val="FF0000"/>
          <w:sz w:val="24"/>
          <w:szCs w:val="24"/>
        </w:rPr>
        <w:t>d</w:t>
      </w:r>
      <w:r w:rsidRPr="00421E00">
        <w:rPr>
          <w:color w:val="FF0000"/>
          <w:sz w:val="24"/>
          <w:szCs w:val="24"/>
        </w:rPr>
        <w:t xml:space="preserve">) </w:t>
      </w:r>
      <w:r w:rsidRPr="00421E00">
        <w:rPr>
          <w:i/>
          <w:iCs/>
          <w:color w:val="FF0000"/>
          <w:sz w:val="24"/>
          <w:szCs w:val="24"/>
        </w:rPr>
        <w:t xml:space="preserve">Case law.  </w:t>
      </w:r>
      <w:r w:rsidRPr="00421E00">
        <w:rPr>
          <w:color w:val="FF0000"/>
          <w:sz w:val="24"/>
          <w:szCs w:val="24"/>
        </w:rPr>
        <w:t xml:space="preserve">CIPD HR-inform. Available at: </w:t>
      </w:r>
      <w:hyperlink r:id="rId22" w:history="1">
        <w:r w:rsidRPr="00421E00">
          <w:rPr>
            <w:rStyle w:val="Hyperlink"/>
            <w:color w:val="FF0000"/>
            <w:sz w:val="24"/>
            <w:szCs w:val="24"/>
          </w:rPr>
          <w:t>https://www.hr-inform.co.uk/case-law</w:t>
        </w:r>
      </w:hyperlink>
      <w:r w:rsidRPr="00421E00">
        <w:rPr>
          <w:color w:val="FF0000"/>
          <w:sz w:val="24"/>
          <w:szCs w:val="24"/>
        </w:rPr>
        <w:t xml:space="preserve">  (Accessed: 31 July 2024). </w:t>
      </w:r>
    </w:p>
    <w:p w14:paraId="46FB0B89"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Croner</w:t>
      </w:r>
      <w:r>
        <w:rPr>
          <w:rFonts w:asciiTheme="minorHAnsi" w:hAnsiTheme="minorHAnsi" w:cstheme="minorHAnsi"/>
        </w:rPr>
        <w:t>.</w:t>
      </w:r>
      <w:r w:rsidRPr="00561930">
        <w:rPr>
          <w:rFonts w:asciiTheme="minorHAnsi" w:hAnsiTheme="minorHAnsi" w:cstheme="minorHAnsi"/>
        </w:rPr>
        <w:t xml:space="preserve"> (2024a) </w:t>
      </w:r>
      <w:r w:rsidRPr="00561930">
        <w:rPr>
          <w:rFonts w:asciiTheme="minorHAnsi" w:hAnsiTheme="minorHAnsi" w:cstheme="minorHAnsi"/>
          <w:i/>
          <w:iCs/>
        </w:rPr>
        <w:t>Health and Safety at Work Act 1974</w:t>
      </w:r>
      <w:r w:rsidRPr="00561930">
        <w:rPr>
          <w:rFonts w:asciiTheme="minorHAnsi" w:hAnsiTheme="minorHAnsi" w:cstheme="minorHAnsi"/>
        </w:rPr>
        <w:t xml:space="preserve">. </w:t>
      </w:r>
      <w:r>
        <w:rPr>
          <w:rFonts w:asciiTheme="minorHAnsi" w:hAnsiTheme="minorHAnsi" w:cstheme="minorHAnsi"/>
        </w:rPr>
        <w:t xml:space="preserve">Croner. </w:t>
      </w:r>
      <w:r w:rsidRPr="00561930">
        <w:rPr>
          <w:rFonts w:asciiTheme="minorHAnsi" w:hAnsiTheme="minorHAnsi" w:cstheme="minorHAnsi"/>
        </w:rPr>
        <w:t xml:space="preserve">Available at: </w:t>
      </w:r>
      <w:hyperlink r:id="rId23" w:history="1">
        <w:r w:rsidRPr="00561930">
          <w:rPr>
            <w:rStyle w:val="Hyperlink"/>
            <w:rFonts w:asciiTheme="minorHAnsi" w:hAnsiTheme="minorHAnsi" w:cstheme="minorHAnsi"/>
          </w:rPr>
          <w:t>https://app.croneri.co.uk/topics/health-and-safety-work-etc-act-1974/indepth</w:t>
        </w:r>
      </w:hyperlink>
      <w:r w:rsidRPr="00561930">
        <w:rPr>
          <w:rFonts w:asciiTheme="minorHAnsi" w:hAnsiTheme="minorHAnsi" w:cstheme="minorHAnsi"/>
        </w:rPr>
        <w:t xml:space="preserve">  (Accessed: 30 April 2024). </w:t>
      </w:r>
    </w:p>
    <w:p w14:paraId="27F668ED"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Croner</w:t>
      </w:r>
      <w:r>
        <w:rPr>
          <w:rFonts w:asciiTheme="minorHAnsi" w:hAnsiTheme="minorHAnsi" w:cstheme="minorHAnsi"/>
        </w:rPr>
        <w:t>.</w:t>
      </w:r>
      <w:r w:rsidRPr="00561930">
        <w:rPr>
          <w:rFonts w:asciiTheme="minorHAnsi" w:hAnsiTheme="minorHAnsi" w:cstheme="minorHAnsi"/>
        </w:rPr>
        <w:t xml:space="preserve"> (2024b)</w:t>
      </w:r>
      <w:r w:rsidRPr="00561930">
        <w:rPr>
          <w:rFonts w:asciiTheme="minorHAnsi" w:hAnsiTheme="minorHAnsi" w:cstheme="minorHAnsi"/>
          <w:i/>
          <w:iCs/>
        </w:rPr>
        <w:t xml:space="preserve"> Resolving disputes through tribunals and other methods: In-depth.  </w:t>
      </w:r>
      <w:r w:rsidRPr="00561930">
        <w:rPr>
          <w:rFonts w:asciiTheme="minorHAnsi" w:hAnsiTheme="minorHAnsi" w:cstheme="minorHAnsi"/>
        </w:rPr>
        <w:t xml:space="preserve">Croner-I. Available at: </w:t>
      </w:r>
      <w:hyperlink r:id="rId24" w:history="1">
        <w:r w:rsidRPr="00561930">
          <w:rPr>
            <w:rStyle w:val="Hyperlink"/>
            <w:rFonts w:asciiTheme="minorHAnsi" w:hAnsiTheme="minorHAnsi" w:cstheme="minorHAnsi"/>
          </w:rPr>
          <w:t>https://app.croneri.co.uk/topics/resolving-disputes-through-tribunals-and-other-methods/indepth</w:t>
        </w:r>
      </w:hyperlink>
      <w:r w:rsidRPr="00561930">
        <w:rPr>
          <w:rFonts w:asciiTheme="minorHAnsi" w:hAnsiTheme="minorHAnsi" w:cstheme="minorHAnsi"/>
        </w:rPr>
        <w:t xml:space="preserve">  (Accessed: 30 April 2024). </w:t>
      </w:r>
    </w:p>
    <w:p w14:paraId="332423FD" w14:textId="77777777" w:rsidR="009F21E5"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GOV</w:t>
      </w:r>
      <w:r>
        <w:rPr>
          <w:rFonts w:asciiTheme="minorHAnsi" w:hAnsiTheme="minorHAnsi" w:cstheme="minorHAnsi"/>
        </w:rPr>
        <w:t>.</w:t>
      </w:r>
      <w:r w:rsidRPr="00561930">
        <w:rPr>
          <w:rFonts w:asciiTheme="minorHAnsi" w:hAnsiTheme="minorHAnsi" w:cstheme="minorHAnsi"/>
        </w:rPr>
        <w:t xml:space="preserve"> (1996)</w:t>
      </w:r>
      <w:r w:rsidRPr="00561930">
        <w:rPr>
          <w:rFonts w:asciiTheme="minorHAnsi" w:hAnsiTheme="minorHAnsi" w:cstheme="minorHAnsi"/>
          <w:i/>
          <w:iCs/>
        </w:rPr>
        <w:t xml:space="preserve"> Employment rights act 1996</w:t>
      </w:r>
      <w:r w:rsidRPr="00561930">
        <w:rPr>
          <w:rFonts w:asciiTheme="minorHAnsi" w:hAnsiTheme="minorHAnsi" w:cstheme="minorHAnsi"/>
        </w:rPr>
        <w:t>. Legislation.gov.uk. GOV</w:t>
      </w:r>
      <w:r>
        <w:rPr>
          <w:rFonts w:asciiTheme="minorHAnsi" w:hAnsiTheme="minorHAnsi" w:cstheme="minorHAnsi"/>
        </w:rPr>
        <w:t>.UK</w:t>
      </w:r>
      <w:r w:rsidRPr="00561930">
        <w:rPr>
          <w:rFonts w:asciiTheme="minorHAnsi" w:hAnsiTheme="minorHAnsi" w:cstheme="minorHAnsi"/>
        </w:rPr>
        <w:t xml:space="preserve">. Available at: </w:t>
      </w:r>
      <w:hyperlink r:id="rId25" w:history="1">
        <w:r w:rsidRPr="00561930">
          <w:rPr>
            <w:rStyle w:val="Hyperlink"/>
            <w:rFonts w:asciiTheme="minorHAnsi" w:hAnsiTheme="minorHAnsi" w:cstheme="minorHAnsi"/>
          </w:rPr>
          <w:t>https://www.legislation.gov.uk/ukpga/1996/18/contents</w:t>
        </w:r>
      </w:hyperlink>
      <w:r w:rsidRPr="00561930">
        <w:rPr>
          <w:rFonts w:asciiTheme="minorHAnsi" w:hAnsiTheme="minorHAnsi" w:cstheme="minorHAnsi"/>
        </w:rPr>
        <w:t xml:space="preserve">  (Accessed: 30 April 2024).</w:t>
      </w:r>
    </w:p>
    <w:p w14:paraId="7C24FCD7" w14:textId="1C545038" w:rsidR="00421E00" w:rsidRPr="00421E00" w:rsidRDefault="00421E00" w:rsidP="00421E00">
      <w:pPr>
        <w:rPr>
          <w:color w:val="FF0000"/>
          <w:sz w:val="24"/>
          <w:szCs w:val="24"/>
        </w:rPr>
      </w:pPr>
      <w:r w:rsidRPr="00421E00">
        <w:rPr>
          <w:color w:val="FF0000"/>
          <w:sz w:val="24"/>
          <w:szCs w:val="24"/>
        </w:rPr>
        <w:t xml:space="preserve">GOV (2014) </w:t>
      </w:r>
      <w:r w:rsidRPr="00421E00">
        <w:rPr>
          <w:i/>
          <w:iCs/>
          <w:color w:val="FF0000"/>
          <w:sz w:val="24"/>
          <w:szCs w:val="24"/>
        </w:rPr>
        <w:t>Making staff redundant</w:t>
      </w:r>
      <w:r w:rsidRPr="00421E00">
        <w:rPr>
          <w:color w:val="FF0000"/>
          <w:sz w:val="24"/>
          <w:szCs w:val="24"/>
        </w:rPr>
        <w:t xml:space="preserve">. GOV.UK. Available at: </w:t>
      </w:r>
      <w:hyperlink r:id="rId26" w:history="1">
        <w:r w:rsidRPr="00421E00">
          <w:rPr>
            <w:rStyle w:val="Hyperlink"/>
            <w:color w:val="FF0000"/>
            <w:sz w:val="24"/>
            <w:szCs w:val="24"/>
          </w:rPr>
          <w:t>https://www.gov.uk/staff-redundant/redundancy-pay</w:t>
        </w:r>
      </w:hyperlink>
      <w:r w:rsidRPr="00421E00">
        <w:rPr>
          <w:color w:val="FF0000"/>
          <w:sz w:val="24"/>
          <w:szCs w:val="24"/>
        </w:rPr>
        <w:t xml:space="preserve">  (Accessed: 31 July 2024). </w:t>
      </w:r>
    </w:p>
    <w:p w14:paraId="0C857D3A"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GOV</w:t>
      </w:r>
      <w:r>
        <w:rPr>
          <w:rFonts w:asciiTheme="minorHAnsi" w:hAnsiTheme="minorHAnsi" w:cstheme="minorHAnsi"/>
        </w:rPr>
        <w:t>.</w:t>
      </w:r>
      <w:r w:rsidRPr="00561930">
        <w:rPr>
          <w:rFonts w:asciiTheme="minorHAnsi" w:hAnsiTheme="minorHAnsi" w:cstheme="minorHAnsi"/>
        </w:rPr>
        <w:t xml:space="preserve"> (2015) </w:t>
      </w:r>
      <w:r w:rsidRPr="00561930">
        <w:rPr>
          <w:rFonts w:asciiTheme="minorHAnsi" w:hAnsiTheme="minorHAnsi" w:cstheme="minorHAnsi"/>
          <w:i/>
          <w:iCs/>
        </w:rPr>
        <w:t>Maximum Weekly working hours</w:t>
      </w:r>
      <w:r w:rsidRPr="00561930">
        <w:rPr>
          <w:rFonts w:asciiTheme="minorHAnsi" w:hAnsiTheme="minorHAnsi" w:cstheme="minorHAnsi"/>
        </w:rPr>
        <w:t xml:space="preserve">, GOV.UK. Available at: </w:t>
      </w:r>
      <w:hyperlink r:id="rId27" w:history="1">
        <w:r w:rsidRPr="00561930">
          <w:rPr>
            <w:rStyle w:val="Hyperlink"/>
            <w:rFonts w:asciiTheme="minorHAnsi" w:hAnsiTheme="minorHAnsi" w:cstheme="minorHAnsi"/>
          </w:rPr>
          <w:t>https://www.gov.uk/maximum-weekly-working-hours/calculating-your-working-hours</w:t>
        </w:r>
      </w:hyperlink>
      <w:r w:rsidRPr="00561930">
        <w:rPr>
          <w:rFonts w:asciiTheme="minorHAnsi" w:hAnsiTheme="minorHAnsi" w:cstheme="minorHAnsi"/>
        </w:rPr>
        <w:t xml:space="preserve">  (Accessed: 30 April 2024). </w:t>
      </w:r>
    </w:p>
    <w:p w14:paraId="7821C527"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GOV</w:t>
      </w:r>
      <w:r>
        <w:rPr>
          <w:rFonts w:asciiTheme="minorHAnsi" w:hAnsiTheme="minorHAnsi" w:cstheme="minorHAnsi"/>
        </w:rPr>
        <w:t>.</w:t>
      </w:r>
      <w:r w:rsidRPr="00561930">
        <w:rPr>
          <w:rFonts w:asciiTheme="minorHAnsi" w:hAnsiTheme="minorHAnsi" w:cstheme="minorHAnsi"/>
        </w:rPr>
        <w:t xml:space="preserve"> (2024a)</w:t>
      </w:r>
      <w:r w:rsidRPr="00561930">
        <w:rPr>
          <w:rFonts w:asciiTheme="minorHAnsi" w:hAnsiTheme="minorHAnsi" w:cstheme="minorHAnsi"/>
          <w:i/>
          <w:iCs/>
        </w:rPr>
        <w:t xml:space="preserve"> National minimum wage: Policy on enforcement, prosecutions and naming employers who break National Minimum Wage Law</w:t>
      </w:r>
      <w:r w:rsidRPr="00561930">
        <w:rPr>
          <w:rFonts w:asciiTheme="minorHAnsi" w:hAnsiTheme="minorHAnsi" w:cstheme="minorHAnsi"/>
        </w:rPr>
        <w:t>. GOV</w:t>
      </w:r>
      <w:r>
        <w:rPr>
          <w:rFonts w:asciiTheme="minorHAnsi" w:hAnsiTheme="minorHAnsi" w:cstheme="minorHAnsi"/>
        </w:rPr>
        <w:t>.UK</w:t>
      </w:r>
      <w:r w:rsidRPr="00561930">
        <w:rPr>
          <w:rFonts w:asciiTheme="minorHAnsi" w:hAnsiTheme="minorHAnsi" w:cstheme="minorHAnsi"/>
        </w:rPr>
        <w:t xml:space="preserve">. Available at: </w:t>
      </w:r>
      <w:hyperlink r:id="rId28" w:anchor=":~:text=The%20National%20Minimum%20Wage%20Act,or%20the%20National%20Living%20Wage" w:history="1">
        <w:r w:rsidRPr="00561930">
          <w:rPr>
            <w:rStyle w:val="Hyperlink"/>
            <w:rFonts w:asciiTheme="minorHAnsi" w:hAnsiTheme="minorHAnsi" w:cstheme="minorHAnsi"/>
          </w:rPr>
          <w:t>https://www.gov.uk/government/publications/enforcing-national-minimum-wage-law/national-minimum-wage-policy-on-enforcement-prosecutions-and-naming-employers-who-break-national-minimum-wage-law#:~:text=The%20National%20Minimum%20Wage%20Act,or%20the%20National%20Living%20Wage</w:t>
        </w:r>
      </w:hyperlink>
      <w:r w:rsidRPr="00561930">
        <w:rPr>
          <w:rFonts w:asciiTheme="minorHAnsi" w:hAnsiTheme="minorHAnsi" w:cstheme="minorHAnsi"/>
        </w:rPr>
        <w:t xml:space="preserve">  (Accessed: 30 April 2024). </w:t>
      </w:r>
    </w:p>
    <w:p w14:paraId="42955404"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lastRenderedPageBreak/>
        <w:t>GOV</w:t>
      </w:r>
      <w:r>
        <w:rPr>
          <w:rFonts w:asciiTheme="minorHAnsi" w:hAnsiTheme="minorHAnsi" w:cstheme="minorHAnsi"/>
        </w:rPr>
        <w:t>.</w:t>
      </w:r>
      <w:r w:rsidRPr="00561930">
        <w:rPr>
          <w:rFonts w:asciiTheme="minorHAnsi" w:hAnsiTheme="minorHAnsi" w:cstheme="minorHAnsi"/>
        </w:rPr>
        <w:t xml:space="preserve"> (2024b) </w:t>
      </w:r>
      <w:r w:rsidRPr="00561930">
        <w:rPr>
          <w:rFonts w:asciiTheme="minorHAnsi" w:hAnsiTheme="minorHAnsi" w:cstheme="minorHAnsi"/>
          <w:i/>
          <w:iCs/>
        </w:rPr>
        <w:t>Paternity pay and leave</w:t>
      </w:r>
      <w:r w:rsidRPr="00561930">
        <w:rPr>
          <w:rFonts w:asciiTheme="minorHAnsi" w:hAnsiTheme="minorHAnsi" w:cstheme="minorHAnsi"/>
        </w:rPr>
        <w:t xml:space="preserve">. GOV.UK. Available at: </w:t>
      </w:r>
      <w:hyperlink r:id="rId29" w:history="1">
        <w:r w:rsidRPr="00561930">
          <w:rPr>
            <w:rStyle w:val="Hyperlink"/>
            <w:rFonts w:asciiTheme="minorHAnsi" w:hAnsiTheme="minorHAnsi" w:cstheme="minorHAnsi"/>
          </w:rPr>
          <w:t>https://www.gov.uk/paternity-pay-leave</w:t>
        </w:r>
      </w:hyperlink>
      <w:r w:rsidRPr="00561930">
        <w:rPr>
          <w:rFonts w:asciiTheme="minorHAnsi" w:hAnsiTheme="minorHAnsi" w:cstheme="minorHAnsi"/>
        </w:rPr>
        <w:t xml:space="preserve">  (Accessed: 30 April 2024). </w:t>
      </w:r>
    </w:p>
    <w:p w14:paraId="75C4F830"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Government Equalities Office</w:t>
      </w:r>
      <w:r>
        <w:rPr>
          <w:rFonts w:asciiTheme="minorHAnsi" w:hAnsiTheme="minorHAnsi" w:cstheme="minorHAnsi"/>
        </w:rPr>
        <w:t>.</w:t>
      </w:r>
      <w:r w:rsidRPr="00561930">
        <w:rPr>
          <w:rFonts w:asciiTheme="minorHAnsi" w:hAnsiTheme="minorHAnsi" w:cstheme="minorHAnsi"/>
        </w:rPr>
        <w:t xml:space="preserve"> (2013) </w:t>
      </w:r>
      <w:r w:rsidRPr="00561930">
        <w:rPr>
          <w:rFonts w:asciiTheme="minorHAnsi" w:hAnsiTheme="minorHAnsi" w:cstheme="minorHAnsi"/>
          <w:i/>
          <w:iCs/>
        </w:rPr>
        <w:t>The Equality Act 2010</w:t>
      </w:r>
      <w:r w:rsidRPr="00561930">
        <w:rPr>
          <w:rFonts w:asciiTheme="minorHAnsi" w:hAnsiTheme="minorHAnsi" w:cstheme="minorHAnsi"/>
        </w:rPr>
        <w:t xml:space="preserve">. </w:t>
      </w:r>
      <w:r>
        <w:rPr>
          <w:rFonts w:asciiTheme="minorHAnsi" w:hAnsiTheme="minorHAnsi" w:cstheme="minorHAnsi"/>
        </w:rPr>
        <w:t xml:space="preserve">GOV.UK. </w:t>
      </w:r>
      <w:r w:rsidRPr="00561930">
        <w:rPr>
          <w:rFonts w:asciiTheme="minorHAnsi" w:hAnsiTheme="minorHAnsi" w:cstheme="minorHAnsi"/>
        </w:rPr>
        <w:t xml:space="preserve">Available at: </w:t>
      </w:r>
      <w:hyperlink r:id="rId30" w:anchor=":~:text=The%20Equality%20Act%202010%20legally,strengthening%20protection%20in%20some%20situations" w:history="1">
        <w:r w:rsidRPr="00561930">
          <w:rPr>
            <w:rStyle w:val="Hyperlink"/>
            <w:rFonts w:asciiTheme="minorHAnsi" w:hAnsiTheme="minorHAnsi" w:cstheme="minorHAnsi"/>
          </w:rPr>
          <w:t>https://www.gov.uk/guidance/equality-act-2010-guidance#:~:text=The%20Equality%20Act%202010%20legally,strengthening%20protection%20in%20some%20situations</w:t>
        </w:r>
      </w:hyperlink>
      <w:r w:rsidRPr="00561930">
        <w:rPr>
          <w:rFonts w:asciiTheme="minorHAnsi" w:hAnsiTheme="minorHAnsi" w:cstheme="minorHAnsi"/>
        </w:rPr>
        <w:t xml:space="preserve">  (Accessed: 30 April 2024). </w:t>
      </w:r>
    </w:p>
    <w:p w14:paraId="2072485E"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Government Equalities Office</w:t>
      </w:r>
      <w:r>
        <w:rPr>
          <w:rFonts w:asciiTheme="minorHAnsi" w:hAnsiTheme="minorHAnsi" w:cstheme="minorHAnsi"/>
        </w:rPr>
        <w:t>.</w:t>
      </w:r>
      <w:r w:rsidRPr="00561930">
        <w:rPr>
          <w:rFonts w:asciiTheme="minorHAnsi" w:hAnsiTheme="minorHAnsi" w:cstheme="minorHAnsi"/>
        </w:rPr>
        <w:t xml:space="preserve"> (2016) </w:t>
      </w:r>
      <w:r w:rsidRPr="00561930">
        <w:rPr>
          <w:rFonts w:asciiTheme="minorHAnsi" w:hAnsiTheme="minorHAnsi" w:cstheme="minorHAnsi"/>
          <w:i/>
          <w:iCs/>
        </w:rPr>
        <w:t>UK gender pay gap</w:t>
      </w:r>
      <w:r w:rsidRPr="00561930">
        <w:rPr>
          <w:rFonts w:asciiTheme="minorHAnsi" w:hAnsiTheme="minorHAnsi" w:cstheme="minorHAnsi"/>
        </w:rPr>
        <w:t xml:space="preserve">. GOV.UK. Available at: </w:t>
      </w:r>
      <w:hyperlink r:id="rId31" w:history="1">
        <w:r w:rsidRPr="00561930">
          <w:rPr>
            <w:rStyle w:val="Hyperlink"/>
            <w:rFonts w:asciiTheme="minorHAnsi" w:hAnsiTheme="minorHAnsi" w:cstheme="minorHAnsi"/>
          </w:rPr>
          <w:t>https://www.gov.uk/government/news/uk-gender-pay-gap</w:t>
        </w:r>
      </w:hyperlink>
      <w:r w:rsidRPr="00561930">
        <w:rPr>
          <w:rFonts w:asciiTheme="minorHAnsi" w:hAnsiTheme="minorHAnsi" w:cstheme="minorHAnsi"/>
        </w:rPr>
        <w:t xml:space="preserve">  (Accessed: 30 April 2024). </w:t>
      </w:r>
    </w:p>
    <w:p w14:paraId="5B4F0C99"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Jackson, I. (2024) </w:t>
      </w:r>
      <w:r w:rsidRPr="00561930">
        <w:rPr>
          <w:rFonts w:asciiTheme="minorHAnsi" w:hAnsiTheme="minorHAnsi" w:cstheme="minorHAnsi"/>
          <w:i/>
          <w:iCs/>
        </w:rPr>
        <w:t>New Flexible Working Laws: An employer’s guide</w:t>
      </w:r>
      <w:r w:rsidRPr="00561930">
        <w:rPr>
          <w:rFonts w:asciiTheme="minorHAnsi" w:hAnsiTheme="minorHAnsi" w:cstheme="minorHAnsi"/>
        </w:rPr>
        <w:t xml:space="preserve">. People Management. Available at: </w:t>
      </w:r>
      <w:hyperlink r:id="rId32" w:history="1">
        <w:r w:rsidRPr="00561930">
          <w:rPr>
            <w:rStyle w:val="Hyperlink"/>
            <w:rFonts w:asciiTheme="minorHAnsi" w:hAnsiTheme="minorHAnsi" w:cstheme="minorHAnsi"/>
          </w:rPr>
          <w:t>https://www.peoplemanagement.co.uk/article/1856168/new-flexible-working-laws-employers-guide</w:t>
        </w:r>
      </w:hyperlink>
      <w:r w:rsidRPr="00561930">
        <w:rPr>
          <w:rFonts w:asciiTheme="minorHAnsi" w:hAnsiTheme="minorHAnsi" w:cstheme="minorHAnsi"/>
        </w:rPr>
        <w:t xml:space="preserve">  (Accessed: 30 April 2024). </w:t>
      </w:r>
    </w:p>
    <w:p w14:paraId="02A32A3E"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Mahesan, M. (2023) </w:t>
      </w:r>
      <w:r w:rsidRPr="00561930">
        <w:rPr>
          <w:rFonts w:asciiTheme="minorHAnsi" w:hAnsiTheme="minorHAnsi" w:cstheme="minorHAnsi"/>
          <w:i/>
          <w:iCs/>
        </w:rPr>
        <w:t>Recruitment and candidate selection: What is the law?</w:t>
      </w:r>
      <w:r>
        <w:rPr>
          <w:rFonts w:asciiTheme="minorHAnsi" w:hAnsiTheme="minorHAnsi" w:cstheme="minorHAnsi"/>
        </w:rPr>
        <w:t xml:space="preserve"> </w:t>
      </w:r>
      <w:proofErr w:type="spellStart"/>
      <w:r w:rsidRPr="00561930">
        <w:rPr>
          <w:rFonts w:asciiTheme="minorHAnsi" w:hAnsiTheme="minorHAnsi" w:cstheme="minorHAnsi"/>
        </w:rPr>
        <w:t>Girlings</w:t>
      </w:r>
      <w:proofErr w:type="spellEnd"/>
      <w:r w:rsidRPr="00561930">
        <w:rPr>
          <w:rFonts w:asciiTheme="minorHAnsi" w:hAnsiTheme="minorHAnsi" w:cstheme="minorHAnsi"/>
        </w:rPr>
        <w:t xml:space="preserve"> Solicitors. Available at: </w:t>
      </w:r>
      <w:hyperlink r:id="rId33" w:history="1">
        <w:r w:rsidRPr="00561930">
          <w:rPr>
            <w:rStyle w:val="Hyperlink"/>
            <w:rFonts w:asciiTheme="minorHAnsi" w:hAnsiTheme="minorHAnsi" w:cstheme="minorHAnsi"/>
          </w:rPr>
          <w:t>https://www.girlings.com/latest/recruitment-and-candidate-selection-what-is-the-law</w:t>
        </w:r>
      </w:hyperlink>
      <w:r w:rsidRPr="00561930">
        <w:rPr>
          <w:rFonts w:asciiTheme="minorHAnsi" w:hAnsiTheme="minorHAnsi" w:cstheme="minorHAnsi"/>
        </w:rPr>
        <w:t xml:space="preserve">  (Accessed: 30 April 2024). </w:t>
      </w:r>
    </w:p>
    <w:p w14:paraId="48984C23" w14:textId="77777777" w:rsidR="009F21E5" w:rsidRPr="00247F79" w:rsidRDefault="009F21E5" w:rsidP="009F21E5">
      <w:pPr>
        <w:pStyle w:val="NormalWeb"/>
        <w:ind w:left="567" w:hanging="567"/>
        <w:rPr>
          <w:rFonts w:asciiTheme="minorHAnsi" w:hAnsiTheme="minorHAnsi" w:cstheme="minorHAnsi"/>
          <w:strike/>
        </w:rPr>
      </w:pPr>
      <w:proofErr w:type="spellStart"/>
      <w:r w:rsidRPr="00247F79">
        <w:rPr>
          <w:rFonts w:asciiTheme="minorHAnsi" w:hAnsiTheme="minorHAnsi" w:cstheme="minorHAnsi"/>
          <w:strike/>
        </w:rPr>
        <w:t>McAnea</w:t>
      </w:r>
      <w:proofErr w:type="spellEnd"/>
      <w:r w:rsidRPr="00247F79">
        <w:rPr>
          <w:rFonts w:asciiTheme="minorHAnsi" w:hAnsiTheme="minorHAnsi" w:cstheme="minorHAnsi"/>
          <w:strike/>
        </w:rPr>
        <w:t xml:space="preserve">, C. (2023) </w:t>
      </w:r>
      <w:r w:rsidRPr="00247F79">
        <w:rPr>
          <w:rFonts w:asciiTheme="minorHAnsi" w:hAnsiTheme="minorHAnsi" w:cstheme="minorHAnsi"/>
          <w:i/>
          <w:iCs/>
          <w:strike/>
        </w:rPr>
        <w:t>Knowledge base: Equal pay: Pay</w:t>
      </w:r>
      <w:r w:rsidRPr="00247F79">
        <w:rPr>
          <w:rFonts w:asciiTheme="minorHAnsi" w:hAnsiTheme="minorHAnsi" w:cstheme="minorHAnsi"/>
          <w:strike/>
        </w:rPr>
        <w:t xml:space="preserve">. UNISON National. Available at: </w:t>
      </w:r>
      <w:hyperlink r:id="rId34" w:history="1">
        <w:r w:rsidRPr="00247F79">
          <w:rPr>
            <w:rStyle w:val="Hyperlink"/>
            <w:rFonts w:asciiTheme="minorHAnsi" w:hAnsiTheme="minorHAnsi" w:cstheme="minorHAnsi"/>
            <w:strike/>
          </w:rPr>
          <w:t>https://www.unison.org.uk/get-help/knowledge/pay/equal-pay/</w:t>
        </w:r>
      </w:hyperlink>
      <w:r w:rsidRPr="00247F79">
        <w:rPr>
          <w:rFonts w:asciiTheme="minorHAnsi" w:hAnsiTheme="minorHAnsi" w:cstheme="minorHAnsi"/>
          <w:strike/>
        </w:rPr>
        <w:t xml:space="preserve">  (Accessed: 30 April 2024). </w:t>
      </w:r>
    </w:p>
    <w:p w14:paraId="15ADBCBA"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McCartney, C. (2024) </w:t>
      </w:r>
      <w:r w:rsidRPr="00561930">
        <w:rPr>
          <w:rFonts w:asciiTheme="minorHAnsi" w:hAnsiTheme="minorHAnsi" w:cstheme="minorHAnsi"/>
          <w:i/>
          <w:iCs/>
        </w:rPr>
        <w:t>Flexible working practices: Factsheets</w:t>
      </w:r>
      <w:r w:rsidRPr="00561930">
        <w:rPr>
          <w:rFonts w:asciiTheme="minorHAnsi" w:hAnsiTheme="minorHAnsi" w:cstheme="minorHAnsi"/>
        </w:rPr>
        <w:t xml:space="preserve">. CIPD. Available at: </w:t>
      </w:r>
      <w:hyperlink r:id="rId35" w:history="1">
        <w:r w:rsidRPr="00561930">
          <w:rPr>
            <w:rStyle w:val="Hyperlink"/>
            <w:rFonts w:asciiTheme="minorHAnsi" w:hAnsiTheme="minorHAnsi" w:cstheme="minorHAnsi"/>
          </w:rPr>
          <w:t>https://www.cipd.org/uk/knowledge/factsheets/flexible-working-factsheet/</w:t>
        </w:r>
      </w:hyperlink>
      <w:r w:rsidRPr="00561930">
        <w:rPr>
          <w:rFonts w:asciiTheme="minorHAnsi" w:hAnsiTheme="minorHAnsi" w:cstheme="minorHAnsi"/>
        </w:rPr>
        <w:t xml:space="preserve">  (Accessed: 30 April 2024). </w:t>
      </w:r>
    </w:p>
    <w:p w14:paraId="452DE62A"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Morris, A. (2023) </w:t>
      </w:r>
      <w:r w:rsidRPr="00561930">
        <w:rPr>
          <w:rFonts w:asciiTheme="minorHAnsi" w:hAnsiTheme="minorHAnsi" w:cstheme="minorHAnsi"/>
          <w:i/>
          <w:iCs/>
        </w:rPr>
        <w:t>Unfair dismissal guide for employers</w:t>
      </w:r>
      <w:r w:rsidRPr="00561930">
        <w:rPr>
          <w:rFonts w:asciiTheme="minorHAnsi" w:hAnsiTheme="minorHAnsi" w:cstheme="minorHAnsi"/>
        </w:rPr>
        <w:t xml:space="preserve">. </w:t>
      </w:r>
      <w:proofErr w:type="spellStart"/>
      <w:r w:rsidRPr="00561930">
        <w:rPr>
          <w:rFonts w:asciiTheme="minorHAnsi" w:hAnsiTheme="minorHAnsi" w:cstheme="minorHAnsi"/>
        </w:rPr>
        <w:t>DavidsonMorri</w:t>
      </w:r>
      <w:r w:rsidRPr="00561930">
        <w:rPr>
          <w:rFonts w:asciiTheme="minorHAnsi" w:hAnsiTheme="minorHAnsi" w:cstheme="minorHAnsi"/>
          <w:i/>
          <w:iCs/>
        </w:rPr>
        <w:t>s</w:t>
      </w:r>
      <w:proofErr w:type="spellEnd"/>
      <w:r w:rsidRPr="00561930">
        <w:rPr>
          <w:rFonts w:asciiTheme="minorHAnsi" w:hAnsiTheme="minorHAnsi" w:cstheme="minorHAnsi"/>
        </w:rPr>
        <w:t xml:space="preserve">. Available at: </w:t>
      </w:r>
      <w:hyperlink r:id="rId36" w:history="1">
        <w:r w:rsidRPr="00561930">
          <w:rPr>
            <w:rStyle w:val="Hyperlink"/>
            <w:rFonts w:asciiTheme="minorHAnsi" w:hAnsiTheme="minorHAnsi" w:cstheme="minorHAnsi"/>
          </w:rPr>
          <w:t>https://www.davidsonmorris.com/unfair-dismissal/</w:t>
        </w:r>
      </w:hyperlink>
      <w:r w:rsidRPr="00561930">
        <w:rPr>
          <w:rFonts w:asciiTheme="minorHAnsi" w:hAnsiTheme="minorHAnsi" w:cstheme="minorHAnsi"/>
        </w:rPr>
        <w:t xml:space="preserve">  (Accessed: 30 April 2024). </w:t>
      </w:r>
    </w:p>
    <w:p w14:paraId="0CE3B4C0" w14:textId="77777777" w:rsidR="009F21E5"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Rawlinson, T. (2024) </w:t>
      </w:r>
      <w:r w:rsidRPr="00561930">
        <w:rPr>
          <w:rFonts w:asciiTheme="minorHAnsi" w:hAnsiTheme="minorHAnsi" w:cstheme="minorHAnsi"/>
          <w:i/>
          <w:iCs/>
        </w:rPr>
        <w:t>Working Time Regulations: The ultimate guide</w:t>
      </w:r>
      <w:r w:rsidRPr="00561930">
        <w:rPr>
          <w:rFonts w:asciiTheme="minorHAnsi" w:hAnsiTheme="minorHAnsi" w:cstheme="minorHAnsi"/>
        </w:rPr>
        <w:t xml:space="preserve">. Factorial. Available at: </w:t>
      </w:r>
      <w:hyperlink r:id="rId37" w:history="1">
        <w:r w:rsidRPr="00561930">
          <w:rPr>
            <w:rStyle w:val="Hyperlink"/>
            <w:rFonts w:asciiTheme="minorHAnsi" w:hAnsiTheme="minorHAnsi" w:cstheme="minorHAnsi"/>
          </w:rPr>
          <w:t>https://factorialhr.co.uk/blog/working-time-regulations/</w:t>
        </w:r>
      </w:hyperlink>
      <w:r w:rsidRPr="00561930">
        <w:rPr>
          <w:rFonts w:asciiTheme="minorHAnsi" w:hAnsiTheme="minorHAnsi" w:cstheme="minorHAnsi"/>
        </w:rPr>
        <w:t xml:space="preserve">  (Accessed: 30 April 2024). </w:t>
      </w:r>
    </w:p>
    <w:p w14:paraId="1D4B14E5" w14:textId="53D96822" w:rsidR="00247F79" w:rsidRPr="00247F79" w:rsidRDefault="00247F79" w:rsidP="00247F79">
      <w:pPr>
        <w:pStyle w:val="NormalWeb"/>
        <w:ind w:left="567" w:hanging="567"/>
        <w:rPr>
          <w:rFonts w:asciiTheme="minorHAnsi" w:hAnsiTheme="minorHAnsi" w:cstheme="minorHAnsi"/>
          <w:color w:val="FF0000"/>
        </w:rPr>
      </w:pPr>
      <w:proofErr w:type="spellStart"/>
      <w:r w:rsidRPr="00247F79">
        <w:rPr>
          <w:rFonts w:asciiTheme="minorHAnsi" w:hAnsiTheme="minorHAnsi" w:cstheme="minorHAnsi"/>
          <w:color w:val="FF0000"/>
        </w:rPr>
        <w:t>Stoimenidi</w:t>
      </w:r>
      <w:proofErr w:type="spellEnd"/>
      <w:r w:rsidRPr="00247F79">
        <w:rPr>
          <w:rFonts w:asciiTheme="minorHAnsi" w:hAnsiTheme="minorHAnsi" w:cstheme="minorHAnsi"/>
          <w:color w:val="FF0000"/>
        </w:rPr>
        <w:t xml:space="preserve">, D. (2023) </w:t>
      </w:r>
      <w:r w:rsidRPr="00247F79">
        <w:rPr>
          <w:rFonts w:asciiTheme="minorHAnsi" w:hAnsiTheme="minorHAnsi" w:cstheme="minorHAnsi"/>
          <w:i/>
          <w:iCs/>
          <w:color w:val="FF0000"/>
        </w:rPr>
        <w:t>Cot3 or settlement agreement? spot the differences.</w:t>
      </w:r>
      <w:r w:rsidRPr="00247F79">
        <w:rPr>
          <w:rFonts w:asciiTheme="minorHAnsi" w:hAnsiTheme="minorHAnsi" w:cstheme="minorHAnsi"/>
          <w:color w:val="FF0000"/>
        </w:rPr>
        <w:t xml:space="preserve"> Lewis Silkin. Available at: </w:t>
      </w:r>
      <w:hyperlink r:id="rId38" w:history="1">
        <w:r w:rsidRPr="00247F79">
          <w:rPr>
            <w:rStyle w:val="Hyperlink"/>
            <w:rFonts w:asciiTheme="minorHAnsi" w:hAnsiTheme="minorHAnsi" w:cstheme="minorHAnsi"/>
            <w:color w:val="FF0000"/>
          </w:rPr>
          <w:t>https://www.lewissilkin.com/en/insights/cot3-or-settlement-agreement-spot-the-differences</w:t>
        </w:r>
      </w:hyperlink>
      <w:r w:rsidRPr="00247F79">
        <w:rPr>
          <w:rFonts w:asciiTheme="minorHAnsi" w:hAnsiTheme="minorHAnsi" w:cstheme="minorHAnsi"/>
          <w:color w:val="FF0000"/>
        </w:rPr>
        <w:t xml:space="preserve">  (Accessed: 04 July 2024). </w:t>
      </w:r>
    </w:p>
    <w:p w14:paraId="1699D4E9" w14:textId="77777777" w:rsidR="009F21E5" w:rsidRPr="00561930" w:rsidRDefault="009F21E5" w:rsidP="009F21E5">
      <w:pPr>
        <w:pStyle w:val="NormalWeb"/>
        <w:ind w:left="567" w:hanging="567"/>
        <w:rPr>
          <w:rFonts w:asciiTheme="minorHAnsi" w:hAnsiTheme="minorHAnsi" w:cstheme="minorHAnsi"/>
        </w:rPr>
      </w:pPr>
      <w:proofErr w:type="spellStart"/>
      <w:r w:rsidRPr="00561930">
        <w:rPr>
          <w:rFonts w:asciiTheme="minorHAnsi" w:hAnsiTheme="minorHAnsi" w:cstheme="minorHAnsi"/>
        </w:rPr>
        <w:t>Suff</w:t>
      </w:r>
      <w:proofErr w:type="spellEnd"/>
      <w:r w:rsidRPr="00561930">
        <w:rPr>
          <w:rFonts w:asciiTheme="minorHAnsi" w:hAnsiTheme="minorHAnsi" w:cstheme="minorHAnsi"/>
        </w:rPr>
        <w:t xml:space="preserve">, R. (2023) </w:t>
      </w:r>
      <w:r w:rsidRPr="00561930">
        <w:rPr>
          <w:rFonts w:asciiTheme="minorHAnsi" w:hAnsiTheme="minorHAnsi" w:cstheme="minorHAnsi"/>
          <w:i/>
          <w:iCs/>
        </w:rPr>
        <w:t>Transfer of undertakings (TUPE): Factsheets</w:t>
      </w:r>
      <w:r w:rsidRPr="00561930">
        <w:rPr>
          <w:rFonts w:asciiTheme="minorHAnsi" w:hAnsiTheme="minorHAnsi" w:cstheme="minorHAnsi"/>
        </w:rPr>
        <w:t xml:space="preserve">. CIPD. Available at: </w:t>
      </w:r>
      <w:hyperlink r:id="rId39" w:history="1">
        <w:r w:rsidRPr="00561930">
          <w:rPr>
            <w:rStyle w:val="Hyperlink"/>
            <w:rFonts w:asciiTheme="minorHAnsi" w:hAnsiTheme="minorHAnsi" w:cstheme="minorHAnsi"/>
          </w:rPr>
          <w:t>https://www.cipd.org/uk/knowledge/factsheets/tupe-factsheet/</w:t>
        </w:r>
      </w:hyperlink>
      <w:r w:rsidRPr="00561930">
        <w:rPr>
          <w:rFonts w:asciiTheme="minorHAnsi" w:hAnsiTheme="minorHAnsi" w:cstheme="minorHAnsi"/>
        </w:rPr>
        <w:t xml:space="preserve">  (Accessed: 30 April 2024). </w:t>
      </w:r>
    </w:p>
    <w:p w14:paraId="2689BA19" w14:textId="77777777" w:rsidR="009F21E5" w:rsidRPr="00247F79" w:rsidRDefault="009F21E5" w:rsidP="009F21E5">
      <w:pPr>
        <w:pStyle w:val="NormalWeb"/>
        <w:ind w:left="567" w:hanging="567"/>
        <w:rPr>
          <w:rFonts w:asciiTheme="minorHAnsi" w:hAnsiTheme="minorHAnsi" w:cstheme="minorHAnsi"/>
          <w:strike/>
        </w:rPr>
      </w:pPr>
      <w:proofErr w:type="spellStart"/>
      <w:r w:rsidRPr="00247F79">
        <w:rPr>
          <w:rFonts w:asciiTheme="minorHAnsi" w:hAnsiTheme="minorHAnsi" w:cstheme="minorHAnsi"/>
          <w:strike/>
        </w:rPr>
        <w:t>Suff</w:t>
      </w:r>
      <w:proofErr w:type="spellEnd"/>
      <w:r w:rsidRPr="00247F79">
        <w:rPr>
          <w:rFonts w:asciiTheme="minorHAnsi" w:hAnsiTheme="minorHAnsi" w:cstheme="minorHAnsi"/>
          <w:strike/>
        </w:rPr>
        <w:t xml:space="preserve">, R. and Ayling, L. (2023) </w:t>
      </w:r>
      <w:r w:rsidRPr="00247F79">
        <w:rPr>
          <w:rFonts w:asciiTheme="minorHAnsi" w:hAnsiTheme="minorHAnsi" w:cstheme="minorHAnsi"/>
          <w:i/>
          <w:iCs/>
          <w:strike/>
        </w:rPr>
        <w:t>Employment tribunals: Factsheets</w:t>
      </w:r>
      <w:r w:rsidRPr="00247F79">
        <w:rPr>
          <w:rFonts w:asciiTheme="minorHAnsi" w:hAnsiTheme="minorHAnsi" w:cstheme="minorHAnsi"/>
          <w:strike/>
        </w:rPr>
        <w:t xml:space="preserve">. CIPD. Available at: </w:t>
      </w:r>
      <w:hyperlink r:id="rId40" w:history="1">
        <w:r w:rsidRPr="00247F79">
          <w:rPr>
            <w:rStyle w:val="Hyperlink"/>
            <w:rFonts w:asciiTheme="minorHAnsi" w:hAnsiTheme="minorHAnsi" w:cstheme="minorHAnsi"/>
            <w:strike/>
          </w:rPr>
          <w:t>https://www.cipd.org/uk/knowledge/factsheets/tribunals-factsheet/</w:t>
        </w:r>
      </w:hyperlink>
      <w:r w:rsidRPr="00247F79">
        <w:rPr>
          <w:rFonts w:asciiTheme="minorHAnsi" w:hAnsiTheme="minorHAnsi" w:cstheme="minorHAnsi"/>
          <w:strike/>
        </w:rPr>
        <w:t xml:space="preserve">  (Accessed: 30 April 2024). </w:t>
      </w:r>
    </w:p>
    <w:p w14:paraId="0CB5278E"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Tait, J. (2023) </w:t>
      </w:r>
      <w:r w:rsidRPr="00561930">
        <w:rPr>
          <w:rFonts w:asciiTheme="minorHAnsi" w:hAnsiTheme="minorHAnsi" w:cstheme="minorHAnsi"/>
          <w:i/>
          <w:iCs/>
        </w:rPr>
        <w:t>Legal considerations when managing flexible working requests</w:t>
      </w:r>
      <w:r w:rsidRPr="00561930">
        <w:rPr>
          <w:rFonts w:asciiTheme="minorHAnsi" w:hAnsiTheme="minorHAnsi" w:cstheme="minorHAnsi"/>
        </w:rPr>
        <w:t xml:space="preserve">. People Management. Available at: </w:t>
      </w:r>
      <w:hyperlink r:id="rId41" w:history="1">
        <w:r w:rsidRPr="00561930">
          <w:rPr>
            <w:rStyle w:val="Hyperlink"/>
            <w:rFonts w:asciiTheme="minorHAnsi" w:hAnsiTheme="minorHAnsi" w:cstheme="minorHAnsi"/>
          </w:rPr>
          <w:t>https://www.peoplemanagement.co.uk/article/1819495/legal-considerations-when-managing-flexible-working-requests</w:t>
        </w:r>
      </w:hyperlink>
      <w:r w:rsidRPr="00561930">
        <w:rPr>
          <w:rFonts w:asciiTheme="minorHAnsi" w:hAnsiTheme="minorHAnsi" w:cstheme="minorHAnsi"/>
        </w:rPr>
        <w:t xml:space="preserve">  (Accessed: 30 April 2024). </w:t>
      </w:r>
    </w:p>
    <w:p w14:paraId="1CBB173A" w14:textId="77777777" w:rsidR="009F21E5" w:rsidRPr="00561930" w:rsidRDefault="009F21E5" w:rsidP="009F21E5">
      <w:pPr>
        <w:pStyle w:val="NormalWeb"/>
        <w:ind w:left="567" w:hanging="567"/>
        <w:rPr>
          <w:rFonts w:asciiTheme="minorHAnsi" w:hAnsiTheme="minorHAnsi" w:cstheme="minorHAnsi"/>
        </w:rPr>
      </w:pPr>
      <w:r w:rsidRPr="00561930">
        <w:rPr>
          <w:rFonts w:asciiTheme="minorHAnsi" w:hAnsiTheme="minorHAnsi" w:cstheme="minorHAnsi"/>
        </w:rPr>
        <w:t xml:space="preserve">Taylor, S. (2023) </w:t>
      </w:r>
      <w:r w:rsidRPr="00561930">
        <w:rPr>
          <w:rFonts w:asciiTheme="minorHAnsi" w:hAnsiTheme="minorHAnsi" w:cstheme="minorHAnsi"/>
          <w:i/>
          <w:iCs/>
        </w:rPr>
        <w:t>Employment law in the UK: The court system</w:t>
      </w:r>
      <w:r w:rsidRPr="00561930">
        <w:rPr>
          <w:rFonts w:asciiTheme="minorHAnsi" w:hAnsiTheme="minorHAnsi" w:cstheme="minorHAnsi"/>
        </w:rPr>
        <w:t xml:space="preserve">. CIPD. Available at: </w:t>
      </w:r>
      <w:hyperlink r:id="rId42" w:history="1">
        <w:r w:rsidRPr="003B66D4">
          <w:rPr>
            <w:rStyle w:val="Hyperlink"/>
            <w:rFonts w:asciiTheme="minorHAnsi" w:hAnsiTheme="minorHAnsi" w:cstheme="minorHAnsi"/>
          </w:rPr>
          <w:t>https://www.cipd.org/uk/knowledge/factsheets/uk-court-system-factsheet/</w:t>
        </w:r>
      </w:hyperlink>
      <w:r>
        <w:rPr>
          <w:rFonts w:asciiTheme="minorHAnsi" w:hAnsiTheme="minorHAnsi" w:cstheme="minorHAnsi"/>
        </w:rPr>
        <w:t xml:space="preserve"> </w:t>
      </w:r>
      <w:r w:rsidRPr="00561930">
        <w:rPr>
          <w:rFonts w:asciiTheme="minorHAnsi" w:hAnsiTheme="minorHAnsi" w:cstheme="minorHAnsi"/>
        </w:rPr>
        <w:t xml:space="preserve"> (Accessed: 30 April 2024). </w:t>
      </w:r>
    </w:p>
    <w:p w14:paraId="5076DF17" w14:textId="77777777" w:rsidR="009F21E5" w:rsidRDefault="009F21E5" w:rsidP="009F21E5">
      <w:pPr>
        <w:pStyle w:val="NormalWeb"/>
        <w:ind w:left="567" w:hanging="567"/>
      </w:pPr>
    </w:p>
    <w:p w14:paraId="7B595915" w14:textId="29CF35BF" w:rsidR="009F21E5" w:rsidRDefault="00B753B0" w:rsidP="009F21E5">
      <w:pPr>
        <w:pStyle w:val="NormalWeb"/>
        <w:ind w:left="567" w:hanging="567"/>
        <w:rPr>
          <w:rFonts w:asciiTheme="minorHAnsi" w:hAnsiTheme="minorHAnsi" w:cstheme="minorHAnsi"/>
          <w:b/>
          <w:bCs/>
          <w:strike/>
        </w:rPr>
      </w:pPr>
      <w:r w:rsidRPr="008603B2">
        <w:rPr>
          <w:rFonts w:asciiTheme="minorHAnsi" w:hAnsiTheme="minorHAnsi" w:cstheme="minorHAnsi"/>
          <w:b/>
          <w:bCs/>
          <w:strike/>
        </w:rPr>
        <w:t>4051</w:t>
      </w:r>
      <w:r w:rsidR="009F21E5" w:rsidRPr="008603B2">
        <w:rPr>
          <w:rFonts w:asciiTheme="minorHAnsi" w:hAnsiTheme="minorHAnsi" w:cstheme="minorHAnsi"/>
          <w:b/>
          <w:bCs/>
          <w:strike/>
        </w:rPr>
        <w:t xml:space="preserve"> Word Count</w:t>
      </w:r>
    </w:p>
    <w:p w14:paraId="3E7437AB" w14:textId="767F939D" w:rsidR="008603B2" w:rsidRDefault="008603B2" w:rsidP="009F21E5">
      <w:pPr>
        <w:pStyle w:val="NormalWeb"/>
        <w:ind w:left="567" w:hanging="567"/>
        <w:rPr>
          <w:rFonts w:asciiTheme="minorHAnsi" w:hAnsiTheme="minorHAnsi" w:cstheme="minorHAnsi"/>
          <w:b/>
          <w:bCs/>
          <w:strike/>
        </w:rPr>
      </w:pPr>
      <w:r w:rsidRPr="00421E00">
        <w:rPr>
          <w:rFonts w:asciiTheme="minorHAnsi" w:hAnsiTheme="minorHAnsi" w:cstheme="minorHAnsi"/>
          <w:b/>
          <w:bCs/>
          <w:strike/>
        </w:rPr>
        <w:t>3826 Word Count</w:t>
      </w:r>
    </w:p>
    <w:p w14:paraId="579A2865" w14:textId="2454A019" w:rsidR="00421E00" w:rsidRPr="00421E00" w:rsidRDefault="00421E00" w:rsidP="009F21E5">
      <w:pPr>
        <w:pStyle w:val="NormalWeb"/>
        <w:ind w:left="567" w:hanging="567"/>
        <w:rPr>
          <w:rFonts w:asciiTheme="minorHAnsi" w:hAnsiTheme="minorHAnsi" w:cstheme="minorHAnsi"/>
          <w:b/>
          <w:bCs/>
          <w:color w:val="FF0000"/>
        </w:rPr>
      </w:pPr>
      <w:r w:rsidRPr="00421E00">
        <w:rPr>
          <w:rFonts w:asciiTheme="minorHAnsi" w:hAnsiTheme="minorHAnsi" w:cstheme="minorHAnsi"/>
          <w:b/>
          <w:bCs/>
          <w:color w:val="FF0000"/>
        </w:rPr>
        <w:t>3969 Word Count</w:t>
      </w:r>
    </w:p>
    <w:p w14:paraId="3C818586" w14:textId="77777777" w:rsidR="00DB2696" w:rsidRPr="00CF48FE" w:rsidRDefault="00DB2696" w:rsidP="00103C38">
      <w:pPr>
        <w:pStyle w:val="NormalWeb"/>
        <w:spacing w:before="105" w:beforeAutospacing="0" w:after="0" w:afterAutospacing="0"/>
        <w:rPr>
          <w:rFonts w:asciiTheme="minorHAnsi" w:hAnsiTheme="minorHAnsi" w:cstheme="minorHAnsi"/>
        </w:rPr>
      </w:pPr>
    </w:p>
    <w:sectPr w:rsidR="00DB2696" w:rsidRPr="00CF48FE">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1319F" w14:textId="77777777" w:rsidR="00E62F07" w:rsidRDefault="00E62F07" w:rsidP="009E0471">
      <w:pPr>
        <w:spacing w:after="0" w:line="240" w:lineRule="auto"/>
      </w:pPr>
      <w:r>
        <w:separator/>
      </w:r>
    </w:p>
  </w:endnote>
  <w:endnote w:type="continuationSeparator" w:id="0">
    <w:p w14:paraId="20E24F96" w14:textId="77777777" w:rsidR="00E62F07" w:rsidRDefault="00E62F07" w:rsidP="009E0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192804"/>
      <w:docPartObj>
        <w:docPartGallery w:val="Page Numbers (Bottom of Page)"/>
        <w:docPartUnique/>
      </w:docPartObj>
    </w:sdtPr>
    <w:sdtContent>
      <w:p w14:paraId="28E9D6FF" w14:textId="38358CAC" w:rsidR="009E0471" w:rsidRDefault="009E0471">
        <w:pPr>
          <w:pStyle w:val="Footer"/>
          <w:jc w:val="right"/>
        </w:pPr>
        <w:r>
          <w:fldChar w:fldCharType="begin"/>
        </w:r>
        <w:r>
          <w:instrText>PAGE   \* MERGEFORMAT</w:instrText>
        </w:r>
        <w:r>
          <w:fldChar w:fldCharType="separate"/>
        </w:r>
        <w:r>
          <w:t>2</w:t>
        </w:r>
        <w:r>
          <w:fldChar w:fldCharType="end"/>
        </w:r>
      </w:p>
    </w:sdtContent>
  </w:sdt>
  <w:p w14:paraId="390985B7" w14:textId="77777777" w:rsidR="009E0471" w:rsidRDefault="009E0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FE9D5" w14:textId="77777777" w:rsidR="00E62F07" w:rsidRDefault="00E62F07" w:rsidP="009E0471">
      <w:pPr>
        <w:spacing w:after="0" w:line="240" w:lineRule="auto"/>
      </w:pPr>
      <w:r>
        <w:separator/>
      </w:r>
    </w:p>
  </w:footnote>
  <w:footnote w:type="continuationSeparator" w:id="0">
    <w:p w14:paraId="52A1631F" w14:textId="77777777" w:rsidR="00E62F07" w:rsidRDefault="00E62F07" w:rsidP="009E04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62B0D"/>
    <w:multiLevelType w:val="multilevel"/>
    <w:tmpl w:val="83C20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145836"/>
    <w:multiLevelType w:val="multilevel"/>
    <w:tmpl w:val="B89CB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77E64"/>
    <w:multiLevelType w:val="multilevel"/>
    <w:tmpl w:val="1FA44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083650"/>
    <w:multiLevelType w:val="multilevel"/>
    <w:tmpl w:val="BA3E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E4101A"/>
    <w:multiLevelType w:val="multilevel"/>
    <w:tmpl w:val="F5E61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0E211F"/>
    <w:multiLevelType w:val="multilevel"/>
    <w:tmpl w:val="CD1C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A3116C"/>
    <w:multiLevelType w:val="multilevel"/>
    <w:tmpl w:val="4468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EC0745"/>
    <w:multiLevelType w:val="hybridMultilevel"/>
    <w:tmpl w:val="3A0E9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757C00"/>
    <w:multiLevelType w:val="multilevel"/>
    <w:tmpl w:val="B082F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219327">
    <w:abstractNumId w:val="4"/>
  </w:num>
  <w:num w:numId="2" w16cid:durableId="1414471085">
    <w:abstractNumId w:val="0"/>
  </w:num>
  <w:num w:numId="3" w16cid:durableId="563368640">
    <w:abstractNumId w:val="3"/>
  </w:num>
  <w:num w:numId="4" w16cid:durableId="1662932021">
    <w:abstractNumId w:val="8"/>
  </w:num>
  <w:num w:numId="5" w16cid:durableId="1498839214">
    <w:abstractNumId w:val="2"/>
  </w:num>
  <w:num w:numId="6" w16cid:durableId="379524123">
    <w:abstractNumId w:val="1"/>
  </w:num>
  <w:num w:numId="7" w16cid:durableId="811754612">
    <w:abstractNumId w:val="6"/>
  </w:num>
  <w:num w:numId="8" w16cid:durableId="1499424103">
    <w:abstractNumId w:val="5"/>
  </w:num>
  <w:num w:numId="9" w16cid:durableId="14037211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86E"/>
    <w:rsid w:val="00027AF1"/>
    <w:rsid w:val="00103C38"/>
    <w:rsid w:val="00153ED8"/>
    <w:rsid w:val="0017568B"/>
    <w:rsid w:val="00202E39"/>
    <w:rsid w:val="002323F5"/>
    <w:rsid w:val="00241AD3"/>
    <w:rsid w:val="00247F79"/>
    <w:rsid w:val="00254297"/>
    <w:rsid w:val="00292961"/>
    <w:rsid w:val="002C6A9B"/>
    <w:rsid w:val="002E4E9D"/>
    <w:rsid w:val="0030422E"/>
    <w:rsid w:val="00323FDE"/>
    <w:rsid w:val="00351726"/>
    <w:rsid w:val="003524D5"/>
    <w:rsid w:val="0036551D"/>
    <w:rsid w:val="003A01F9"/>
    <w:rsid w:val="003B3D47"/>
    <w:rsid w:val="00421E00"/>
    <w:rsid w:val="004551D4"/>
    <w:rsid w:val="00487C83"/>
    <w:rsid w:val="004C4537"/>
    <w:rsid w:val="004E3982"/>
    <w:rsid w:val="004F4A3D"/>
    <w:rsid w:val="00574F64"/>
    <w:rsid w:val="005C6342"/>
    <w:rsid w:val="005D4C3A"/>
    <w:rsid w:val="005E74B4"/>
    <w:rsid w:val="00682C65"/>
    <w:rsid w:val="006C1640"/>
    <w:rsid w:val="006E2249"/>
    <w:rsid w:val="007014C6"/>
    <w:rsid w:val="007160FD"/>
    <w:rsid w:val="00786033"/>
    <w:rsid w:val="007A0732"/>
    <w:rsid w:val="007B77E8"/>
    <w:rsid w:val="00820657"/>
    <w:rsid w:val="00833F4C"/>
    <w:rsid w:val="00853957"/>
    <w:rsid w:val="008603B2"/>
    <w:rsid w:val="0086060E"/>
    <w:rsid w:val="008D5FEA"/>
    <w:rsid w:val="00914C5E"/>
    <w:rsid w:val="009431F7"/>
    <w:rsid w:val="00956E54"/>
    <w:rsid w:val="009E0471"/>
    <w:rsid w:val="009F21E5"/>
    <w:rsid w:val="00A173CF"/>
    <w:rsid w:val="00A258EB"/>
    <w:rsid w:val="00A32A95"/>
    <w:rsid w:val="00A330AB"/>
    <w:rsid w:val="00A561C6"/>
    <w:rsid w:val="00A86C74"/>
    <w:rsid w:val="00AA125E"/>
    <w:rsid w:val="00AC3676"/>
    <w:rsid w:val="00B62260"/>
    <w:rsid w:val="00B753B0"/>
    <w:rsid w:val="00B769E1"/>
    <w:rsid w:val="00BA0F4F"/>
    <w:rsid w:val="00C4661E"/>
    <w:rsid w:val="00C817EE"/>
    <w:rsid w:val="00CF48FE"/>
    <w:rsid w:val="00D16772"/>
    <w:rsid w:val="00D5399C"/>
    <w:rsid w:val="00D91402"/>
    <w:rsid w:val="00DB2696"/>
    <w:rsid w:val="00DB725A"/>
    <w:rsid w:val="00DD386E"/>
    <w:rsid w:val="00DD6459"/>
    <w:rsid w:val="00DE2AA4"/>
    <w:rsid w:val="00E62F07"/>
    <w:rsid w:val="00ED5E90"/>
    <w:rsid w:val="00F05BA9"/>
    <w:rsid w:val="00F21F7E"/>
    <w:rsid w:val="00F71BB0"/>
    <w:rsid w:val="00FB0BC3"/>
    <w:rsid w:val="00FD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9E79"/>
  <w15:chartTrackingRefBased/>
  <w15:docId w15:val="{944C2C3E-C689-4073-B793-2BD3CF0D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86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D386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D386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D386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D386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D3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86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D386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D386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D386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D386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D3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86E"/>
    <w:rPr>
      <w:rFonts w:eastAsiaTheme="majorEastAsia" w:cstheme="majorBidi"/>
      <w:color w:val="272727" w:themeColor="text1" w:themeTint="D8"/>
    </w:rPr>
  </w:style>
  <w:style w:type="paragraph" w:styleId="Title">
    <w:name w:val="Title"/>
    <w:basedOn w:val="Normal"/>
    <w:next w:val="Normal"/>
    <w:link w:val="TitleChar"/>
    <w:uiPriority w:val="10"/>
    <w:qFormat/>
    <w:rsid w:val="00DD3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8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8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386E"/>
    <w:rPr>
      <w:i/>
      <w:iCs/>
      <w:color w:val="404040" w:themeColor="text1" w:themeTint="BF"/>
    </w:rPr>
  </w:style>
  <w:style w:type="paragraph" w:styleId="ListParagraph">
    <w:name w:val="List Paragraph"/>
    <w:basedOn w:val="Normal"/>
    <w:uiPriority w:val="34"/>
    <w:qFormat/>
    <w:rsid w:val="00DD386E"/>
    <w:pPr>
      <w:ind w:left="720"/>
      <w:contextualSpacing/>
    </w:pPr>
  </w:style>
  <w:style w:type="character" w:styleId="IntenseEmphasis">
    <w:name w:val="Intense Emphasis"/>
    <w:basedOn w:val="DefaultParagraphFont"/>
    <w:uiPriority w:val="21"/>
    <w:qFormat/>
    <w:rsid w:val="00DD386E"/>
    <w:rPr>
      <w:i/>
      <w:iCs/>
      <w:color w:val="365F91" w:themeColor="accent1" w:themeShade="BF"/>
    </w:rPr>
  </w:style>
  <w:style w:type="paragraph" w:styleId="IntenseQuote">
    <w:name w:val="Intense Quote"/>
    <w:basedOn w:val="Normal"/>
    <w:next w:val="Normal"/>
    <w:link w:val="IntenseQuoteChar"/>
    <w:uiPriority w:val="30"/>
    <w:qFormat/>
    <w:rsid w:val="00DD386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D386E"/>
    <w:rPr>
      <w:i/>
      <w:iCs/>
      <w:color w:val="365F91" w:themeColor="accent1" w:themeShade="BF"/>
    </w:rPr>
  </w:style>
  <w:style w:type="character" w:styleId="IntenseReference">
    <w:name w:val="Intense Reference"/>
    <w:basedOn w:val="DefaultParagraphFont"/>
    <w:uiPriority w:val="32"/>
    <w:qFormat/>
    <w:rsid w:val="00DD386E"/>
    <w:rPr>
      <w:b/>
      <w:bCs/>
      <w:smallCaps/>
      <w:color w:val="365F91" w:themeColor="accent1" w:themeShade="BF"/>
      <w:spacing w:val="5"/>
    </w:rPr>
  </w:style>
  <w:style w:type="paragraph" w:styleId="NormalWeb">
    <w:name w:val="Normal (Web)"/>
    <w:basedOn w:val="Normal"/>
    <w:uiPriority w:val="99"/>
    <w:unhideWhenUsed/>
    <w:rsid w:val="00DD3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E0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471"/>
  </w:style>
  <w:style w:type="paragraph" w:styleId="Footer">
    <w:name w:val="footer"/>
    <w:basedOn w:val="Normal"/>
    <w:link w:val="FooterChar"/>
    <w:uiPriority w:val="99"/>
    <w:unhideWhenUsed/>
    <w:rsid w:val="009E0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471"/>
  </w:style>
  <w:style w:type="character" w:styleId="Hyperlink">
    <w:name w:val="Hyperlink"/>
    <w:basedOn w:val="DefaultParagraphFont"/>
    <w:uiPriority w:val="99"/>
    <w:unhideWhenUsed/>
    <w:rsid w:val="009F21E5"/>
    <w:rPr>
      <w:color w:val="0000FF" w:themeColor="hyperlink"/>
      <w:u w:val="single"/>
    </w:rPr>
  </w:style>
  <w:style w:type="character" w:styleId="FollowedHyperlink">
    <w:name w:val="FollowedHyperlink"/>
    <w:basedOn w:val="DefaultParagraphFont"/>
    <w:uiPriority w:val="99"/>
    <w:semiHidden/>
    <w:unhideWhenUsed/>
    <w:rsid w:val="00F21F7E"/>
    <w:rPr>
      <w:color w:val="800080" w:themeColor="followedHyperlink"/>
      <w:u w:val="single"/>
    </w:rPr>
  </w:style>
  <w:style w:type="character" w:styleId="UnresolvedMention">
    <w:name w:val="Unresolved Mention"/>
    <w:basedOn w:val="DefaultParagraphFont"/>
    <w:uiPriority w:val="99"/>
    <w:semiHidden/>
    <w:unhideWhenUsed/>
    <w:rsid w:val="00247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3660">
      <w:bodyDiv w:val="1"/>
      <w:marLeft w:val="0"/>
      <w:marRight w:val="0"/>
      <w:marTop w:val="0"/>
      <w:marBottom w:val="0"/>
      <w:divBdr>
        <w:top w:val="none" w:sz="0" w:space="0" w:color="auto"/>
        <w:left w:val="none" w:sz="0" w:space="0" w:color="auto"/>
        <w:bottom w:val="none" w:sz="0" w:space="0" w:color="auto"/>
        <w:right w:val="none" w:sz="0" w:space="0" w:color="auto"/>
      </w:divBdr>
    </w:div>
    <w:div w:id="100927453">
      <w:bodyDiv w:val="1"/>
      <w:marLeft w:val="0"/>
      <w:marRight w:val="0"/>
      <w:marTop w:val="0"/>
      <w:marBottom w:val="0"/>
      <w:divBdr>
        <w:top w:val="none" w:sz="0" w:space="0" w:color="auto"/>
        <w:left w:val="none" w:sz="0" w:space="0" w:color="auto"/>
        <w:bottom w:val="none" w:sz="0" w:space="0" w:color="auto"/>
        <w:right w:val="none" w:sz="0" w:space="0" w:color="auto"/>
      </w:divBdr>
    </w:div>
    <w:div w:id="174539035">
      <w:bodyDiv w:val="1"/>
      <w:marLeft w:val="0"/>
      <w:marRight w:val="0"/>
      <w:marTop w:val="0"/>
      <w:marBottom w:val="0"/>
      <w:divBdr>
        <w:top w:val="none" w:sz="0" w:space="0" w:color="auto"/>
        <w:left w:val="none" w:sz="0" w:space="0" w:color="auto"/>
        <w:bottom w:val="none" w:sz="0" w:space="0" w:color="auto"/>
        <w:right w:val="none" w:sz="0" w:space="0" w:color="auto"/>
      </w:divBdr>
    </w:div>
    <w:div w:id="183635176">
      <w:bodyDiv w:val="1"/>
      <w:marLeft w:val="0"/>
      <w:marRight w:val="0"/>
      <w:marTop w:val="0"/>
      <w:marBottom w:val="0"/>
      <w:divBdr>
        <w:top w:val="none" w:sz="0" w:space="0" w:color="auto"/>
        <w:left w:val="none" w:sz="0" w:space="0" w:color="auto"/>
        <w:bottom w:val="none" w:sz="0" w:space="0" w:color="auto"/>
        <w:right w:val="none" w:sz="0" w:space="0" w:color="auto"/>
      </w:divBdr>
    </w:div>
    <w:div w:id="368994884">
      <w:bodyDiv w:val="1"/>
      <w:marLeft w:val="0"/>
      <w:marRight w:val="0"/>
      <w:marTop w:val="0"/>
      <w:marBottom w:val="0"/>
      <w:divBdr>
        <w:top w:val="none" w:sz="0" w:space="0" w:color="auto"/>
        <w:left w:val="none" w:sz="0" w:space="0" w:color="auto"/>
        <w:bottom w:val="none" w:sz="0" w:space="0" w:color="auto"/>
        <w:right w:val="none" w:sz="0" w:space="0" w:color="auto"/>
      </w:divBdr>
    </w:div>
    <w:div w:id="757096675">
      <w:bodyDiv w:val="1"/>
      <w:marLeft w:val="0"/>
      <w:marRight w:val="0"/>
      <w:marTop w:val="0"/>
      <w:marBottom w:val="0"/>
      <w:divBdr>
        <w:top w:val="none" w:sz="0" w:space="0" w:color="auto"/>
        <w:left w:val="none" w:sz="0" w:space="0" w:color="auto"/>
        <w:bottom w:val="none" w:sz="0" w:space="0" w:color="auto"/>
        <w:right w:val="none" w:sz="0" w:space="0" w:color="auto"/>
      </w:divBdr>
    </w:div>
    <w:div w:id="770467976">
      <w:bodyDiv w:val="1"/>
      <w:marLeft w:val="0"/>
      <w:marRight w:val="0"/>
      <w:marTop w:val="0"/>
      <w:marBottom w:val="0"/>
      <w:divBdr>
        <w:top w:val="none" w:sz="0" w:space="0" w:color="auto"/>
        <w:left w:val="none" w:sz="0" w:space="0" w:color="auto"/>
        <w:bottom w:val="none" w:sz="0" w:space="0" w:color="auto"/>
        <w:right w:val="none" w:sz="0" w:space="0" w:color="auto"/>
      </w:divBdr>
    </w:div>
    <w:div w:id="782306092">
      <w:bodyDiv w:val="1"/>
      <w:marLeft w:val="0"/>
      <w:marRight w:val="0"/>
      <w:marTop w:val="0"/>
      <w:marBottom w:val="0"/>
      <w:divBdr>
        <w:top w:val="none" w:sz="0" w:space="0" w:color="auto"/>
        <w:left w:val="none" w:sz="0" w:space="0" w:color="auto"/>
        <w:bottom w:val="none" w:sz="0" w:space="0" w:color="auto"/>
        <w:right w:val="none" w:sz="0" w:space="0" w:color="auto"/>
      </w:divBdr>
    </w:div>
    <w:div w:id="908733779">
      <w:bodyDiv w:val="1"/>
      <w:marLeft w:val="0"/>
      <w:marRight w:val="0"/>
      <w:marTop w:val="0"/>
      <w:marBottom w:val="0"/>
      <w:divBdr>
        <w:top w:val="none" w:sz="0" w:space="0" w:color="auto"/>
        <w:left w:val="none" w:sz="0" w:space="0" w:color="auto"/>
        <w:bottom w:val="none" w:sz="0" w:space="0" w:color="auto"/>
        <w:right w:val="none" w:sz="0" w:space="0" w:color="auto"/>
      </w:divBdr>
    </w:div>
    <w:div w:id="919799578">
      <w:bodyDiv w:val="1"/>
      <w:marLeft w:val="0"/>
      <w:marRight w:val="0"/>
      <w:marTop w:val="0"/>
      <w:marBottom w:val="0"/>
      <w:divBdr>
        <w:top w:val="none" w:sz="0" w:space="0" w:color="auto"/>
        <w:left w:val="none" w:sz="0" w:space="0" w:color="auto"/>
        <w:bottom w:val="none" w:sz="0" w:space="0" w:color="auto"/>
        <w:right w:val="none" w:sz="0" w:space="0" w:color="auto"/>
      </w:divBdr>
    </w:div>
    <w:div w:id="936596522">
      <w:bodyDiv w:val="1"/>
      <w:marLeft w:val="0"/>
      <w:marRight w:val="0"/>
      <w:marTop w:val="0"/>
      <w:marBottom w:val="0"/>
      <w:divBdr>
        <w:top w:val="none" w:sz="0" w:space="0" w:color="auto"/>
        <w:left w:val="none" w:sz="0" w:space="0" w:color="auto"/>
        <w:bottom w:val="none" w:sz="0" w:space="0" w:color="auto"/>
        <w:right w:val="none" w:sz="0" w:space="0" w:color="auto"/>
      </w:divBdr>
    </w:div>
    <w:div w:id="942565613">
      <w:bodyDiv w:val="1"/>
      <w:marLeft w:val="0"/>
      <w:marRight w:val="0"/>
      <w:marTop w:val="0"/>
      <w:marBottom w:val="0"/>
      <w:divBdr>
        <w:top w:val="none" w:sz="0" w:space="0" w:color="auto"/>
        <w:left w:val="none" w:sz="0" w:space="0" w:color="auto"/>
        <w:bottom w:val="none" w:sz="0" w:space="0" w:color="auto"/>
        <w:right w:val="none" w:sz="0" w:space="0" w:color="auto"/>
      </w:divBdr>
    </w:div>
    <w:div w:id="978262860">
      <w:bodyDiv w:val="1"/>
      <w:marLeft w:val="0"/>
      <w:marRight w:val="0"/>
      <w:marTop w:val="0"/>
      <w:marBottom w:val="0"/>
      <w:divBdr>
        <w:top w:val="none" w:sz="0" w:space="0" w:color="auto"/>
        <w:left w:val="none" w:sz="0" w:space="0" w:color="auto"/>
        <w:bottom w:val="none" w:sz="0" w:space="0" w:color="auto"/>
        <w:right w:val="none" w:sz="0" w:space="0" w:color="auto"/>
      </w:divBdr>
    </w:div>
    <w:div w:id="1105347508">
      <w:bodyDiv w:val="1"/>
      <w:marLeft w:val="0"/>
      <w:marRight w:val="0"/>
      <w:marTop w:val="0"/>
      <w:marBottom w:val="0"/>
      <w:divBdr>
        <w:top w:val="none" w:sz="0" w:space="0" w:color="auto"/>
        <w:left w:val="none" w:sz="0" w:space="0" w:color="auto"/>
        <w:bottom w:val="none" w:sz="0" w:space="0" w:color="auto"/>
        <w:right w:val="none" w:sz="0" w:space="0" w:color="auto"/>
      </w:divBdr>
    </w:div>
    <w:div w:id="1127429854">
      <w:bodyDiv w:val="1"/>
      <w:marLeft w:val="0"/>
      <w:marRight w:val="0"/>
      <w:marTop w:val="0"/>
      <w:marBottom w:val="0"/>
      <w:divBdr>
        <w:top w:val="none" w:sz="0" w:space="0" w:color="auto"/>
        <w:left w:val="none" w:sz="0" w:space="0" w:color="auto"/>
        <w:bottom w:val="none" w:sz="0" w:space="0" w:color="auto"/>
        <w:right w:val="none" w:sz="0" w:space="0" w:color="auto"/>
      </w:divBdr>
    </w:div>
    <w:div w:id="1256745312">
      <w:bodyDiv w:val="1"/>
      <w:marLeft w:val="0"/>
      <w:marRight w:val="0"/>
      <w:marTop w:val="0"/>
      <w:marBottom w:val="0"/>
      <w:divBdr>
        <w:top w:val="none" w:sz="0" w:space="0" w:color="auto"/>
        <w:left w:val="none" w:sz="0" w:space="0" w:color="auto"/>
        <w:bottom w:val="none" w:sz="0" w:space="0" w:color="auto"/>
        <w:right w:val="none" w:sz="0" w:space="0" w:color="auto"/>
      </w:divBdr>
    </w:div>
    <w:div w:id="1279950646">
      <w:bodyDiv w:val="1"/>
      <w:marLeft w:val="0"/>
      <w:marRight w:val="0"/>
      <w:marTop w:val="0"/>
      <w:marBottom w:val="0"/>
      <w:divBdr>
        <w:top w:val="none" w:sz="0" w:space="0" w:color="auto"/>
        <w:left w:val="none" w:sz="0" w:space="0" w:color="auto"/>
        <w:bottom w:val="none" w:sz="0" w:space="0" w:color="auto"/>
        <w:right w:val="none" w:sz="0" w:space="0" w:color="auto"/>
      </w:divBdr>
    </w:div>
    <w:div w:id="1452671845">
      <w:bodyDiv w:val="1"/>
      <w:marLeft w:val="0"/>
      <w:marRight w:val="0"/>
      <w:marTop w:val="0"/>
      <w:marBottom w:val="0"/>
      <w:divBdr>
        <w:top w:val="none" w:sz="0" w:space="0" w:color="auto"/>
        <w:left w:val="none" w:sz="0" w:space="0" w:color="auto"/>
        <w:bottom w:val="none" w:sz="0" w:space="0" w:color="auto"/>
        <w:right w:val="none" w:sz="0" w:space="0" w:color="auto"/>
      </w:divBdr>
    </w:div>
    <w:div w:id="1462307002">
      <w:bodyDiv w:val="1"/>
      <w:marLeft w:val="0"/>
      <w:marRight w:val="0"/>
      <w:marTop w:val="0"/>
      <w:marBottom w:val="0"/>
      <w:divBdr>
        <w:top w:val="none" w:sz="0" w:space="0" w:color="auto"/>
        <w:left w:val="none" w:sz="0" w:space="0" w:color="auto"/>
        <w:bottom w:val="none" w:sz="0" w:space="0" w:color="auto"/>
        <w:right w:val="none" w:sz="0" w:space="0" w:color="auto"/>
      </w:divBdr>
    </w:div>
    <w:div w:id="1472211507">
      <w:bodyDiv w:val="1"/>
      <w:marLeft w:val="0"/>
      <w:marRight w:val="0"/>
      <w:marTop w:val="0"/>
      <w:marBottom w:val="0"/>
      <w:divBdr>
        <w:top w:val="none" w:sz="0" w:space="0" w:color="auto"/>
        <w:left w:val="none" w:sz="0" w:space="0" w:color="auto"/>
        <w:bottom w:val="none" w:sz="0" w:space="0" w:color="auto"/>
        <w:right w:val="none" w:sz="0" w:space="0" w:color="auto"/>
      </w:divBdr>
    </w:div>
    <w:div w:id="1594896643">
      <w:bodyDiv w:val="1"/>
      <w:marLeft w:val="0"/>
      <w:marRight w:val="0"/>
      <w:marTop w:val="0"/>
      <w:marBottom w:val="0"/>
      <w:divBdr>
        <w:top w:val="none" w:sz="0" w:space="0" w:color="auto"/>
        <w:left w:val="none" w:sz="0" w:space="0" w:color="auto"/>
        <w:bottom w:val="none" w:sz="0" w:space="0" w:color="auto"/>
        <w:right w:val="none" w:sz="0" w:space="0" w:color="auto"/>
      </w:divBdr>
    </w:div>
    <w:div w:id="1624769123">
      <w:bodyDiv w:val="1"/>
      <w:marLeft w:val="0"/>
      <w:marRight w:val="0"/>
      <w:marTop w:val="0"/>
      <w:marBottom w:val="0"/>
      <w:divBdr>
        <w:top w:val="none" w:sz="0" w:space="0" w:color="auto"/>
        <w:left w:val="none" w:sz="0" w:space="0" w:color="auto"/>
        <w:bottom w:val="none" w:sz="0" w:space="0" w:color="auto"/>
        <w:right w:val="none" w:sz="0" w:space="0" w:color="auto"/>
      </w:divBdr>
    </w:div>
    <w:div w:id="1636066020">
      <w:bodyDiv w:val="1"/>
      <w:marLeft w:val="0"/>
      <w:marRight w:val="0"/>
      <w:marTop w:val="0"/>
      <w:marBottom w:val="0"/>
      <w:divBdr>
        <w:top w:val="none" w:sz="0" w:space="0" w:color="auto"/>
        <w:left w:val="none" w:sz="0" w:space="0" w:color="auto"/>
        <w:bottom w:val="none" w:sz="0" w:space="0" w:color="auto"/>
        <w:right w:val="none" w:sz="0" w:space="0" w:color="auto"/>
      </w:divBdr>
    </w:div>
    <w:div w:id="1644430045">
      <w:bodyDiv w:val="1"/>
      <w:marLeft w:val="0"/>
      <w:marRight w:val="0"/>
      <w:marTop w:val="0"/>
      <w:marBottom w:val="0"/>
      <w:divBdr>
        <w:top w:val="none" w:sz="0" w:space="0" w:color="auto"/>
        <w:left w:val="none" w:sz="0" w:space="0" w:color="auto"/>
        <w:bottom w:val="none" w:sz="0" w:space="0" w:color="auto"/>
        <w:right w:val="none" w:sz="0" w:space="0" w:color="auto"/>
      </w:divBdr>
    </w:div>
    <w:div w:id="1845976300">
      <w:bodyDiv w:val="1"/>
      <w:marLeft w:val="0"/>
      <w:marRight w:val="0"/>
      <w:marTop w:val="0"/>
      <w:marBottom w:val="0"/>
      <w:divBdr>
        <w:top w:val="none" w:sz="0" w:space="0" w:color="auto"/>
        <w:left w:val="none" w:sz="0" w:space="0" w:color="auto"/>
        <w:bottom w:val="none" w:sz="0" w:space="0" w:color="auto"/>
        <w:right w:val="none" w:sz="0" w:space="0" w:color="auto"/>
      </w:divBdr>
    </w:div>
    <w:div w:id="1925871483">
      <w:bodyDiv w:val="1"/>
      <w:marLeft w:val="0"/>
      <w:marRight w:val="0"/>
      <w:marTop w:val="0"/>
      <w:marBottom w:val="0"/>
      <w:divBdr>
        <w:top w:val="none" w:sz="0" w:space="0" w:color="auto"/>
        <w:left w:val="none" w:sz="0" w:space="0" w:color="auto"/>
        <w:bottom w:val="none" w:sz="0" w:space="0" w:color="auto"/>
        <w:right w:val="none" w:sz="0" w:space="0" w:color="auto"/>
      </w:divBdr>
    </w:div>
    <w:div w:id="1930234711">
      <w:bodyDiv w:val="1"/>
      <w:marLeft w:val="0"/>
      <w:marRight w:val="0"/>
      <w:marTop w:val="0"/>
      <w:marBottom w:val="0"/>
      <w:divBdr>
        <w:top w:val="none" w:sz="0" w:space="0" w:color="auto"/>
        <w:left w:val="none" w:sz="0" w:space="0" w:color="auto"/>
        <w:bottom w:val="none" w:sz="0" w:space="0" w:color="auto"/>
        <w:right w:val="none" w:sz="0" w:space="0" w:color="auto"/>
      </w:divBdr>
    </w:div>
    <w:div w:id="1992099022">
      <w:bodyDiv w:val="1"/>
      <w:marLeft w:val="0"/>
      <w:marRight w:val="0"/>
      <w:marTop w:val="0"/>
      <w:marBottom w:val="0"/>
      <w:divBdr>
        <w:top w:val="none" w:sz="0" w:space="0" w:color="auto"/>
        <w:left w:val="none" w:sz="0" w:space="0" w:color="auto"/>
        <w:bottom w:val="none" w:sz="0" w:space="0" w:color="auto"/>
        <w:right w:val="none" w:sz="0" w:space="0" w:color="auto"/>
      </w:divBdr>
    </w:div>
    <w:div w:id="2026442359">
      <w:bodyDiv w:val="1"/>
      <w:marLeft w:val="0"/>
      <w:marRight w:val="0"/>
      <w:marTop w:val="0"/>
      <w:marBottom w:val="0"/>
      <w:divBdr>
        <w:top w:val="none" w:sz="0" w:space="0" w:color="auto"/>
        <w:left w:val="none" w:sz="0" w:space="0" w:color="auto"/>
        <w:bottom w:val="none" w:sz="0" w:space="0" w:color="auto"/>
        <w:right w:val="none" w:sz="0" w:space="0" w:color="auto"/>
      </w:divBdr>
    </w:div>
    <w:div w:id="2042657601">
      <w:bodyDiv w:val="1"/>
      <w:marLeft w:val="0"/>
      <w:marRight w:val="0"/>
      <w:marTop w:val="0"/>
      <w:marBottom w:val="0"/>
      <w:divBdr>
        <w:top w:val="none" w:sz="0" w:space="0" w:color="auto"/>
        <w:left w:val="none" w:sz="0" w:space="0" w:color="auto"/>
        <w:bottom w:val="none" w:sz="0" w:space="0" w:color="auto"/>
        <w:right w:val="none" w:sz="0" w:space="0" w:color="auto"/>
      </w:divBdr>
    </w:div>
    <w:div w:id="208372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national-minimum-wage-entitlement" TargetMode="External"/><Relationship Id="rId18" Type="http://schemas.openxmlformats.org/officeDocument/2006/relationships/hyperlink" Target="https://www.cipd.org/uk/knowledge/employment-law/recruitment/" TargetMode="External"/><Relationship Id="rId26" Type="http://schemas.openxmlformats.org/officeDocument/2006/relationships/hyperlink" Target="https://www.gov.uk/staff-redundant/redundancy-pay" TargetMode="External"/><Relationship Id="rId39" Type="http://schemas.openxmlformats.org/officeDocument/2006/relationships/hyperlink" Target="https://www.cipd.org/uk/knowledge/factsheets/tupe-factsheet/" TargetMode="External"/><Relationship Id="rId21" Type="http://schemas.openxmlformats.org/officeDocument/2006/relationships/hyperlink" Target="https://www.cipd.org/uk/knowledge/employment-law/working-time/" TargetMode="External"/><Relationship Id="rId34" Type="http://schemas.openxmlformats.org/officeDocument/2006/relationships/hyperlink" Target="https://www.unison.org.uk/get-help/knowledge/pay/equal-pay/" TargetMode="External"/><Relationship Id="rId42" Type="http://schemas.openxmlformats.org/officeDocument/2006/relationships/hyperlink" Target="https://www.cipd.org/uk/knowledge/factsheets/uk-court-system-factsheet/" TargetMode="External"/><Relationship Id="rId7" Type="http://schemas.openxmlformats.org/officeDocument/2006/relationships/hyperlink" Target="https://www.acas.org.uk/sites/default/files/2021-03/settlement-agreements.pdf" TargetMode="External"/><Relationship Id="rId2" Type="http://schemas.openxmlformats.org/officeDocument/2006/relationships/styles" Target="styles.xml"/><Relationship Id="rId16" Type="http://schemas.openxmlformats.org/officeDocument/2006/relationships/hyperlink" Target="https://www.cipd.org/uk/knowledge/factsheets/diversity-factsheet/" TargetMode="External"/><Relationship Id="rId29" Type="http://schemas.openxmlformats.org/officeDocument/2006/relationships/hyperlink" Target="https://www.gov.uk/paternity-pay-lea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equal-pay/equal-pay-law" TargetMode="External"/><Relationship Id="rId24" Type="http://schemas.openxmlformats.org/officeDocument/2006/relationships/hyperlink" Target="https://app.croneri.co.uk/topics/resolving-disputes-through-tribunals-and-other-methods/indepth" TargetMode="External"/><Relationship Id="rId32" Type="http://schemas.openxmlformats.org/officeDocument/2006/relationships/hyperlink" Target="https://www.peoplemanagement.co.uk/article/1856168/new-flexible-working-laws-employers-guide" TargetMode="External"/><Relationship Id="rId37" Type="http://schemas.openxmlformats.org/officeDocument/2006/relationships/hyperlink" Target="https://factorialhr.co.uk/blog/working-time-regulations/" TargetMode="External"/><Relationship Id="rId40" Type="http://schemas.openxmlformats.org/officeDocument/2006/relationships/hyperlink" Target="https://www.cipd.org/uk/knowledge/factsheets/tribunals-factsheet/"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cas.org.uk/your-maternity-leave-pay-and-other-rights/working-out-maternity-pay" TargetMode="External"/><Relationship Id="rId23" Type="http://schemas.openxmlformats.org/officeDocument/2006/relationships/hyperlink" Target="https://app.croneri.co.uk/topics/health-and-safety-work-etc-act-1974/indepth" TargetMode="External"/><Relationship Id="rId28"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36" Type="http://schemas.openxmlformats.org/officeDocument/2006/relationships/hyperlink" Target="https://www.davidsonmorris.com/unfair-dismissal/" TargetMode="External"/><Relationship Id="rId10" Type="http://schemas.openxmlformats.org/officeDocument/2006/relationships/hyperlink" Target="https://www.acas.org.uk/discrimination-and-the-law" TargetMode="External"/><Relationship Id="rId19" Type="http://schemas.openxmlformats.org/officeDocument/2006/relationships/hyperlink" Target="https://www.cipd.org/uk/knowledge/employment-law/working-time/" TargetMode="External"/><Relationship Id="rId31" Type="http://schemas.openxmlformats.org/officeDocument/2006/relationships/hyperlink" Target="https://www.gov.uk/government/news/uk-gender-pay-ga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early-conciliation" TargetMode="External"/><Relationship Id="rId14" Type="http://schemas.openxmlformats.org/officeDocument/2006/relationships/hyperlink" Target="https://www.acas.org.uk/payslips" TargetMode="External"/><Relationship Id="rId22" Type="http://schemas.openxmlformats.org/officeDocument/2006/relationships/hyperlink" Target="https://www.hr-inform.co.uk/case-law" TargetMode="External"/><Relationship Id="rId27" Type="http://schemas.openxmlformats.org/officeDocument/2006/relationships/hyperlink" Target="https://www.gov.uk/maximum-weekly-working-hours/calculating-your-working-hours" TargetMode="External"/><Relationship Id="rId30" Type="http://schemas.openxmlformats.org/officeDocument/2006/relationships/hyperlink" Target="https://www.gov.uk/guidance/equality-act-2010-guidance" TargetMode="External"/><Relationship Id="rId35" Type="http://schemas.openxmlformats.org/officeDocument/2006/relationships/hyperlink" Target="https://www.cipd.org/uk/knowledge/factsheets/flexible-working-factsheet/" TargetMode="External"/><Relationship Id="rId43" Type="http://schemas.openxmlformats.org/officeDocument/2006/relationships/footer" Target="footer1.xml"/><Relationship Id="rId8" Type="http://schemas.openxmlformats.org/officeDocument/2006/relationships/hyperlink" Target="https://www.acas.org.uk/employee-rights-during-a-tupe-transfer" TargetMode="External"/><Relationship Id="rId3" Type="http://schemas.openxmlformats.org/officeDocument/2006/relationships/settings" Target="settings.xml"/><Relationship Id="rId12" Type="http://schemas.openxmlformats.org/officeDocument/2006/relationships/hyperlink" Target="https://www.acas.org.uk/your-rights-during-redundancy" TargetMode="External"/><Relationship Id="rId17" Type="http://schemas.openxmlformats.org/officeDocument/2006/relationships/hyperlink" Target="https://www.cipd.org/uk/views-and-insights/cipd-viewpoint/employment-status-rights/" TargetMode="External"/><Relationship Id="rId25" Type="http://schemas.openxmlformats.org/officeDocument/2006/relationships/hyperlink" Target="https://www.legislation.gov.uk/ukpga/1996/18/contents" TargetMode="External"/><Relationship Id="rId33" Type="http://schemas.openxmlformats.org/officeDocument/2006/relationships/hyperlink" Target="https://www.girlings.com/latest/recruitment-and-candidate-selection-what-is-the-law" TargetMode="External"/><Relationship Id="rId38" Type="http://schemas.openxmlformats.org/officeDocument/2006/relationships/hyperlink" Target="https://www.lewissilkin.com/en/insights/cot3-or-settlement-agreement-spot-the-differences" TargetMode="External"/><Relationship Id="rId20" Type="http://schemas.openxmlformats.org/officeDocument/2006/relationships/hyperlink" Target="https://www.cipd.org/uk/knowledge/employment-law/equal-pay/" TargetMode="External"/><Relationship Id="rId41" Type="http://schemas.openxmlformats.org/officeDocument/2006/relationships/hyperlink" Target="https://www.peoplemanagement.co.uk/article/1819495/legal-considerations-when-managing-flexible-working-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20</Pages>
  <Words>7630</Words>
  <Characters>43495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Morgan</dc:creator>
  <cp:keywords/>
  <dc:description/>
  <cp:lastModifiedBy>Hannah Morgan</cp:lastModifiedBy>
  <cp:revision>42</cp:revision>
  <dcterms:created xsi:type="dcterms:W3CDTF">2024-04-26T08:59:00Z</dcterms:created>
  <dcterms:modified xsi:type="dcterms:W3CDTF">2024-08-06T13:48:00Z</dcterms:modified>
</cp:coreProperties>
</file>