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224244" w14:textId="77777777" w:rsidR="00B903DA" w:rsidRDefault="00B903DA" w:rsidP="00B903DA">
      <w:pPr>
        <w:jc w:val="center"/>
        <w:rPr>
          <w:rFonts w:eastAsia="宋体"/>
          <w:b/>
          <w:bCs/>
          <w:sz w:val="28"/>
          <w:szCs w:val="28"/>
          <w:lang w:eastAsia="zh-CN"/>
        </w:rPr>
      </w:pPr>
    </w:p>
    <w:p w14:paraId="2E1AEB80" w14:textId="77777777" w:rsidR="00B903DA" w:rsidRDefault="00B903DA" w:rsidP="00B903DA">
      <w:pPr>
        <w:jc w:val="center"/>
        <w:rPr>
          <w:rFonts w:eastAsia="宋体"/>
          <w:b/>
          <w:bCs/>
          <w:sz w:val="28"/>
          <w:szCs w:val="28"/>
          <w:lang w:eastAsia="zh-CN"/>
        </w:rPr>
      </w:pPr>
    </w:p>
    <w:p w14:paraId="1B01EF26" w14:textId="77777777" w:rsidR="00B903DA" w:rsidRDefault="00B903DA" w:rsidP="00B903DA">
      <w:pPr>
        <w:jc w:val="center"/>
        <w:rPr>
          <w:rFonts w:eastAsia="宋体"/>
          <w:b/>
          <w:bCs/>
          <w:sz w:val="28"/>
          <w:szCs w:val="28"/>
          <w:lang w:eastAsia="zh-CN"/>
        </w:rPr>
      </w:pPr>
    </w:p>
    <w:p w14:paraId="1E5A383A" w14:textId="77777777" w:rsidR="00B903DA" w:rsidRDefault="00B903DA" w:rsidP="00B903DA">
      <w:pPr>
        <w:jc w:val="center"/>
        <w:rPr>
          <w:rFonts w:eastAsia="宋体"/>
          <w:b/>
          <w:bCs/>
          <w:sz w:val="28"/>
          <w:szCs w:val="28"/>
          <w:lang w:eastAsia="zh-CN"/>
        </w:rPr>
      </w:pPr>
    </w:p>
    <w:p w14:paraId="5A9BEE1C" w14:textId="77777777" w:rsidR="00B903DA" w:rsidRDefault="00B903DA" w:rsidP="00B903DA">
      <w:pPr>
        <w:jc w:val="center"/>
        <w:rPr>
          <w:rFonts w:eastAsia="宋体"/>
          <w:b/>
          <w:bCs/>
          <w:sz w:val="28"/>
          <w:szCs w:val="28"/>
          <w:lang w:eastAsia="zh-CN"/>
        </w:rPr>
      </w:pPr>
    </w:p>
    <w:p w14:paraId="51800CD7" w14:textId="77777777" w:rsidR="00B903DA" w:rsidRDefault="00B903DA" w:rsidP="00B903DA">
      <w:pPr>
        <w:jc w:val="center"/>
        <w:rPr>
          <w:rFonts w:eastAsia="宋体"/>
          <w:b/>
          <w:bCs/>
          <w:sz w:val="28"/>
          <w:szCs w:val="28"/>
          <w:lang w:eastAsia="zh-CN"/>
        </w:rPr>
      </w:pPr>
    </w:p>
    <w:p w14:paraId="287E0BEE" w14:textId="77777777" w:rsidR="00B903DA" w:rsidRDefault="00B903DA" w:rsidP="00B903DA">
      <w:pPr>
        <w:jc w:val="center"/>
        <w:rPr>
          <w:rFonts w:eastAsia="宋体"/>
          <w:b/>
          <w:bCs/>
          <w:sz w:val="28"/>
          <w:szCs w:val="28"/>
          <w:lang w:eastAsia="zh-CN"/>
        </w:rPr>
      </w:pPr>
    </w:p>
    <w:p w14:paraId="38CB67AB" w14:textId="77777777" w:rsidR="00B903DA" w:rsidRDefault="00B903DA" w:rsidP="00B903DA">
      <w:pPr>
        <w:jc w:val="center"/>
        <w:rPr>
          <w:rFonts w:eastAsia="宋体"/>
          <w:b/>
          <w:bCs/>
          <w:sz w:val="28"/>
          <w:szCs w:val="28"/>
          <w:lang w:eastAsia="zh-CN"/>
        </w:rPr>
      </w:pPr>
    </w:p>
    <w:p w14:paraId="4A0E80F8" w14:textId="77777777" w:rsidR="00B903DA" w:rsidRDefault="00B903DA" w:rsidP="00B903DA">
      <w:pPr>
        <w:jc w:val="center"/>
        <w:rPr>
          <w:rFonts w:eastAsia="宋体"/>
          <w:b/>
          <w:bCs/>
          <w:sz w:val="28"/>
          <w:szCs w:val="28"/>
          <w:lang w:eastAsia="zh-CN"/>
        </w:rPr>
      </w:pPr>
    </w:p>
    <w:p w14:paraId="70CA749D" w14:textId="6E54E628" w:rsidR="00435B93" w:rsidRPr="00B903DA" w:rsidRDefault="00000000" w:rsidP="00B903DA">
      <w:pPr>
        <w:jc w:val="center"/>
        <w:rPr>
          <w:rFonts w:eastAsia="宋体"/>
          <w:b/>
          <w:bCs/>
          <w:sz w:val="28"/>
          <w:szCs w:val="28"/>
          <w:lang w:eastAsia="zh-CN"/>
        </w:rPr>
      </w:pPr>
      <w:r w:rsidRPr="00B903DA">
        <w:rPr>
          <w:b/>
          <w:bCs/>
          <w:sz w:val="28"/>
          <w:szCs w:val="28"/>
        </w:rPr>
        <w:t>Managing Marketing Change at Nike: Future Developments in AI-Driven Personalisation, Omnichannel Experience and Customer Trust</w:t>
      </w:r>
    </w:p>
    <w:p w14:paraId="21E8A28C" w14:textId="77777777" w:rsidR="0084019C" w:rsidRPr="00B903DA" w:rsidRDefault="00000000" w:rsidP="00B903DA">
      <w:pPr>
        <w:jc w:val="center"/>
        <w:rPr>
          <w:b/>
          <w:bCs/>
          <w:sz w:val="28"/>
          <w:szCs w:val="28"/>
        </w:rPr>
      </w:pPr>
      <w:r w:rsidRPr="00B903DA">
        <w:rPr>
          <w:b/>
          <w:bCs/>
          <w:sz w:val="28"/>
          <w:szCs w:val="28"/>
        </w:rPr>
        <w:t>Module: Managing Marketing Change</w:t>
      </w:r>
    </w:p>
    <w:p w14:paraId="22F6229A" w14:textId="77777777" w:rsidR="0084019C" w:rsidRPr="00B903DA" w:rsidRDefault="00000000" w:rsidP="00B903DA">
      <w:pPr>
        <w:jc w:val="center"/>
        <w:rPr>
          <w:b/>
          <w:bCs/>
          <w:sz w:val="28"/>
          <w:szCs w:val="28"/>
        </w:rPr>
      </w:pPr>
      <w:r w:rsidRPr="00B903DA">
        <w:rPr>
          <w:b/>
          <w:bCs/>
          <w:sz w:val="28"/>
          <w:szCs w:val="28"/>
        </w:rPr>
        <w:t xml:space="preserve">Student Name: </w:t>
      </w:r>
      <w:proofErr w:type="spellStart"/>
      <w:r w:rsidRPr="00B903DA">
        <w:rPr>
          <w:b/>
          <w:bCs/>
          <w:sz w:val="28"/>
          <w:szCs w:val="28"/>
        </w:rPr>
        <w:t>Yanmo</w:t>
      </w:r>
      <w:proofErr w:type="spellEnd"/>
      <w:r w:rsidRPr="00B903DA">
        <w:rPr>
          <w:b/>
          <w:bCs/>
          <w:sz w:val="28"/>
          <w:szCs w:val="28"/>
        </w:rPr>
        <w:t xml:space="preserve"> Liu</w:t>
      </w:r>
    </w:p>
    <w:p w14:paraId="579A2039" w14:textId="77777777" w:rsidR="0084019C" w:rsidRPr="00B903DA" w:rsidRDefault="00000000" w:rsidP="00B903DA">
      <w:pPr>
        <w:jc w:val="center"/>
        <w:rPr>
          <w:b/>
          <w:bCs/>
          <w:sz w:val="28"/>
          <w:szCs w:val="28"/>
        </w:rPr>
      </w:pPr>
      <w:r w:rsidRPr="00B903DA">
        <w:rPr>
          <w:b/>
          <w:bCs/>
          <w:sz w:val="28"/>
          <w:szCs w:val="28"/>
        </w:rPr>
        <w:t>Student ID: 2519987</w:t>
      </w:r>
      <w:r w:rsidRPr="00B903DA">
        <w:rPr>
          <w:b/>
          <w:bCs/>
          <w:sz w:val="28"/>
          <w:szCs w:val="28"/>
        </w:rPr>
        <w:br w:type="page"/>
      </w:r>
    </w:p>
    <w:sdt>
      <w:sdtPr>
        <w:rPr>
          <w:rFonts w:ascii="Calibri" w:eastAsia="Calibri" w:hAnsi="Calibri" w:cstheme="minorBidi"/>
          <w:color w:val="auto"/>
          <w:lang w:eastAsia="zh-CN"/>
        </w:rPr>
        <w:id w:val="-1172409578"/>
        <w:docPartObj>
          <w:docPartGallery w:val="Table of Contents"/>
          <w:docPartUnique/>
        </w:docPartObj>
      </w:sdtPr>
      <w:sdtEndPr>
        <w:rPr>
          <w:b w:val="0"/>
          <w:bCs w:val="0"/>
          <w:sz w:val="24"/>
          <w:szCs w:val="22"/>
          <w:lang w:eastAsia="en-US"/>
        </w:rPr>
      </w:sdtEndPr>
      <w:sdtContent>
        <w:p w14:paraId="2A3AF8F6" w14:textId="2677331D" w:rsidR="00DE7E70" w:rsidRPr="001F51E2" w:rsidRDefault="00DE7E70">
          <w:pPr>
            <w:pStyle w:val="TOC"/>
          </w:pPr>
          <w:r w:rsidRPr="001F51E2">
            <w:rPr>
              <w:rFonts w:ascii="宋体" w:eastAsia="宋体" w:hAnsi="宋体" w:hint="eastAsia"/>
              <w:lang w:eastAsia="zh-CN"/>
            </w:rPr>
            <w:t>Contents</w:t>
          </w:r>
        </w:p>
        <w:p w14:paraId="71C01EA4" w14:textId="3AA6D4F5" w:rsidR="00B903DA" w:rsidRDefault="00DE7E70">
          <w:pPr>
            <w:pStyle w:val="TOC1"/>
            <w:tabs>
              <w:tab w:val="right" w:leader="dot" w:pos="9350"/>
            </w:tabs>
            <w:rPr>
              <w:rFonts w:asciiTheme="minorHAnsi" w:eastAsiaTheme="minorEastAsia" w:hAnsiTheme="minorHAnsi" w:hint="eastAsia"/>
              <w:noProof/>
              <w:kern w:val="2"/>
              <w:sz w:val="22"/>
              <w:szCs w:val="24"/>
              <w:lang w:val="en-US" w:eastAsia="zh-CN"/>
              <w14:ligatures w14:val="standardContextual"/>
            </w:rPr>
          </w:pPr>
          <w:r w:rsidRPr="001F51E2">
            <w:fldChar w:fldCharType="begin"/>
          </w:r>
          <w:r w:rsidRPr="001F51E2">
            <w:instrText xml:space="preserve"> TOC \o "1-3" \h \z \u </w:instrText>
          </w:r>
          <w:r w:rsidRPr="001F51E2">
            <w:fldChar w:fldCharType="separate"/>
          </w:r>
          <w:hyperlink w:anchor="_Toc234426931" w:history="1">
            <w:r w:rsidR="00B903DA" w:rsidRPr="00F33678">
              <w:rPr>
                <w:rStyle w:val="aff9"/>
                <w:b/>
                <w:noProof/>
              </w:rPr>
              <w:t>Executive Summary</w:t>
            </w:r>
            <w:r w:rsidR="00B903DA">
              <w:rPr>
                <w:rFonts w:hint="eastAsia"/>
                <w:noProof/>
                <w:webHidden/>
              </w:rPr>
              <w:tab/>
            </w:r>
            <w:r w:rsidR="00B903DA">
              <w:rPr>
                <w:rFonts w:hint="eastAsia"/>
                <w:noProof/>
                <w:webHidden/>
              </w:rPr>
              <w:fldChar w:fldCharType="begin"/>
            </w:r>
            <w:r w:rsidR="00B903DA">
              <w:rPr>
                <w:rFonts w:hint="eastAsia"/>
                <w:noProof/>
                <w:webHidden/>
              </w:rPr>
              <w:instrText xml:space="preserve"> </w:instrText>
            </w:r>
            <w:r w:rsidR="00B903DA">
              <w:rPr>
                <w:noProof/>
                <w:webHidden/>
              </w:rPr>
              <w:instrText>PAGEREF _Toc234426931 \h</w:instrText>
            </w:r>
            <w:r w:rsidR="00B903DA">
              <w:rPr>
                <w:rFonts w:hint="eastAsia"/>
                <w:noProof/>
                <w:webHidden/>
              </w:rPr>
              <w:instrText xml:space="preserve"> </w:instrText>
            </w:r>
            <w:r w:rsidR="00B903DA">
              <w:rPr>
                <w:rFonts w:hint="eastAsia"/>
                <w:noProof/>
                <w:webHidden/>
              </w:rPr>
            </w:r>
            <w:r w:rsidR="00B903DA">
              <w:rPr>
                <w:rFonts w:hint="eastAsia"/>
                <w:noProof/>
                <w:webHidden/>
              </w:rPr>
              <w:fldChar w:fldCharType="separate"/>
            </w:r>
            <w:r w:rsidR="00B903DA">
              <w:rPr>
                <w:noProof/>
                <w:webHidden/>
              </w:rPr>
              <w:t>3</w:t>
            </w:r>
            <w:r w:rsidR="00B903DA">
              <w:rPr>
                <w:rFonts w:hint="eastAsia"/>
                <w:noProof/>
                <w:webHidden/>
              </w:rPr>
              <w:fldChar w:fldCharType="end"/>
            </w:r>
          </w:hyperlink>
        </w:p>
        <w:p w14:paraId="726461E0" w14:textId="389F3035" w:rsidR="00B903DA" w:rsidRDefault="00B903DA">
          <w:pPr>
            <w:pStyle w:val="TOC1"/>
            <w:tabs>
              <w:tab w:val="left" w:pos="420"/>
              <w:tab w:val="right" w:leader="dot" w:pos="9350"/>
            </w:tabs>
            <w:rPr>
              <w:rFonts w:asciiTheme="minorHAnsi" w:eastAsiaTheme="minorEastAsia" w:hAnsiTheme="minorHAnsi" w:hint="eastAsia"/>
              <w:noProof/>
              <w:kern w:val="2"/>
              <w:sz w:val="22"/>
              <w:szCs w:val="24"/>
              <w:lang w:val="en-US" w:eastAsia="zh-CN"/>
              <w14:ligatures w14:val="standardContextual"/>
            </w:rPr>
          </w:pPr>
          <w:hyperlink w:anchor="_Toc234426932" w:history="1">
            <w:r w:rsidRPr="00F33678">
              <w:rPr>
                <w:rStyle w:val="aff9"/>
                <w:rFonts w:eastAsia="宋体"/>
                <w:b/>
                <w:bCs/>
                <w:noProof/>
                <w:lang w:eastAsia="zh-CN"/>
              </w:rPr>
              <w:t>1.</w:t>
            </w:r>
            <w:r>
              <w:rPr>
                <w:rFonts w:asciiTheme="minorHAnsi" w:eastAsiaTheme="minorEastAsia" w:hAnsiTheme="minorHAnsi" w:hint="eastAsia"/>
                <w:noProof/>
                <w:kern w:val="2"/>
                <w:sz w:val="22"/>
                <w:szCs w:val="24"/>
                <w:lang w:val="en-US" w:eastAsia="zh-CN"/>
                <w14:ligatures w14:val="standardContextual"/>
              </w:rPr>
              <w:tab/>
            </w:r>
            <w:r w:rsidRPr="00F33678">
              <w:rPr>
                <w:rStyle w:val="aff9"/>
                <w:rFonts w:eastAsia="宋体"/>
                <w:b/>
                <w:bCs/>
                <w:noProof/>
                <w:lang w:eastAsia="zh-CN"/>
              </w:rPr>
              <w:t>Introduction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_Toc234426932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4</w:t>
            </w:r>
            <w:r>
              <w:rPr>
                <w:rFonts w:hint="eastAsia"/>
                <w:noProof/>
                <w:webHidden/>
              </w:rPr>
              <w:fldChar w:fldCharType="end"/>
            </w:r>
          </w:hyperlink>
        </w:p>
        <w:p w14:paraId="100BC896" w14:textId="4F24E7D1" w:rsidR="00B903DA" w:rsidRDefault="00B903DA">
          <w:pPr>
            <w:pStyle w:val="TOC1"/>
            <w:tabs>
              <w:tab w:val="right" w:leader="dot" w:pos="9350"/>
            </w:tabs>
            <w:rPr>
              <w:rFonts w:asciiTheme="minorHAnsi" w:eastAsiaTheme="minorEastAsia" w:hAnsiTheme="minorHAnsi" w:hint="eastAsia"/>
              <w:noProof/>
              <w:kern w:val="2"/>
              <w:sz w:val="22"/>
              <w:szCs w:val="24"/>
              <w:lang w:val="en-US" w:eastAsia="zh-CN"/>
              <w14:ligatures w14:val="standardContextual"/>
            </w:rPr>
          </w:pPr>
          <w:hyperlink w:anchor="_Toc234426933" w:history="1">
            <w:r w:rsidRPr="00F33678">
              <w:rPr>
                <w:rStyle w:val="aff9"/>
                <w:noProof/>
              </w:rPr>
              <w:t>2. Main Findings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_Toc234426933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5</w:t>
            </w:r>
            <w:r>
              <w:rPr>
                <w:rFonts w:hint="eastAsia"/>
                <w:noProof/>
                <w:webHidden/>
              </w:rPr>
              <w:fldChar w:fldCharType="end"/>
            </w:r>
          </w:hyperlink>
        </w:p>
        <w:p w14:paraId="2F1ADFDC" w14:textId="4749AA47" w:rsidR="00B903DA" w:rsidRDefault="00B903DA">
          <w:pPr>
            <w:pStyle w:val="TOC2"/>
            <w:tabs>
              <w:tab w:val="right" w:leader="dot" w:pos="9350"/>
            </w:tabs>
            <w:ind w:left="480"/>
            <w:rPr>
              <w:rFonts w:asciiTheme="minorHAnsi" w:eastAsiaTheme="minorEastAsia" w:hAnsiTheme="minorHAnsi" w:hint="eastAsia"/>
              <w:noProof/>
              <w:kern w:val="2"/>
              <w:sz w:val="22"/>
              <w:szCs w:val="24"/>
              <w:lang w:val="en-US" w:eastAsia="zh-CN"/>
              <w14:ligatures w14:val="standardContextual"/>
            </w:rPr>
          </w:pPr>
          <w:hyperlink w:anchor="_Toc234426934" w:history="1">
            <w:r w:rsidRPr="00F33678">
              <w:rPr>
                <w:rStyle w:val="aff9"/>
                <w:noProof/>
              </w:rPr>
              <w:t>2.1 Digital Personalisation as a Driver of Marketing Change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_Toc234426934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5</w:t>
            </w:r>
            <w:r>
              <w:rPr>
                <w:rFonts w:hint="eastAsia"/>
                <w:noProof/>
                <w:webHidden/>
              </w:rPr>
              <w:fldChar w:fldCharType="end"/>
            </w:r>
          </w:hyperlink>
        </w:p>
        <w:p w14:paraId="350ACBB2" w14:textId="1E3576D0" w:rsidR="00B903DA" w:rsidRDefault="00B903DA">
          <w:pPr>
            <w:pStyle w:val="TOC2"/>
            <w:tabs>
              <w:tab w:val="right" w:leader="dot" w:pos="9350"/>
            </w:tabs>
            <w:ind w:left="480"/>
            <w:rPr>
              <w:rFonts w:asciiTheme="minorHAnsi" w:eastAsiaTheme="minorEastAsia" w:hAnsiTheme="minorHAnsi" w:hint="eastAsia"/>
              <w:noProof/>
              <w:kern w:val="2"/>
              <w:sz w:val="22"/>
              <w:szCs w:val="24"/>
              <w:lang w:val="en-US" w:eastAsia="zh-CN"/>
              <w14:ligatures w14:val="standardContextual"/>
            </w:rPr>
          </w:pPr>
          <w:hyperlink w:anchor="_Toc234426935" w:history="1">
            <w:r w:rsidRPr="00F33678">
              <w:rPr>
                <w:rStyle w:val="aff9"/>
                <w:noProof/>
              </w:rPr>
              <w:t>2.2 Nike's Current Personalisation Ecosystem, Including Nike By You</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_Toc234426935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6</w:t>
            </w:r>
            <w:r>
              <w:rPr>
                <w:rFonts w:hint="eastAsia"/>
                <w:noProof/>
                <w:webHidden/>
              </w:rPr>
              <w:fldChar w:fldCharType="end"/>
            </w:r>
          </w:hyperlink>
        </w:p>
        <w:p w14:paraId="7A353E28" w14:textId="3AF5CEDA" w:rsidR="00B903DA" w:rsidRDefault="00B903DA">
          <w:pPr>
            <w:pStyle w:val="TOC2"/>
            <w:tabs>
              <w:tab w:val="right" w:leader="dot" w:pos="9350"/>
            </w:tabs>
            <w:ind w:left="480"/>
            <w:rPr>
              <w:rFonts w:asciiTheme="minorHAnsi" w:eastAsiaTheme="minorEastAsia" w:hAnsiTheme="minorHAnsi" w:hint="eastAsia"/>
              <w:noProof/>
              <w:kern w:val="2"/>
              <w:sz w:val="22"/>
              <w:szCs w:val="24"/>
              <w:lang w:val="en-US" w:eastAsia="zh-CN"/>
              <w14:ligatures w14:val="standardContextual"/>
            </w:rPr>
          </w:pPr>
          <w:hyperlink w:anchor="_Toc234426936" w:history="1">
            <w:r w:rsidRPr="00F33678">
              <w:rPr>
                <w:rStyle w:val="aff9"/>
                <w:noProof/>
              </w:rPr>
              <w:t>2.3 Macro, Micro and Competitive Pressures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_Toc234426936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7</w:t>
            </w:r>
            <w:r>
              <w:rPr>
                <w:rFonts w:hint="eastAsia"/>
                <w:noProof/>
                <w:webHidden/>
              </w:rPr>
              <w:fldChar w:fldCharType="end"/>
            </w:r>
          </w:hyperlink>
        </w:p>
        <w:p w14:paraId="679E8435" w14:textId="31CF00ED" w:rsidR="00B903DA" w:rsidRDefault="00B903DA">
          <w:pPr>
            <w:pStyle w:val="TOC2"/>
            <w:tabs>
              <w:tab w:val="right" w:leader="dot" w:pos="9350"/>
            </w:tabs>
            <w:ind w:left="480"/>
            <w:rPr>
              <w:rFonts w:asciiTheme="minorHAnsi" w:eastAsiaTheme="minorEastAsia" w:hAnsiTheme="minorHAnsi" w:hint="eastAsia"/>
              <w:noProof/>
              <w:kern w:val="2"/>
              <w:sz w:val="22"/>
              <w:szCs w:val="24"/>
              <w:lang w:val="en-US" w:eastAsia="zh-CN"/>
              <w14:ligatures w14:val="standardContextual"/>
            </w:rPr>
          </w:pPr>
          <w:hyperlink w:anchor="_Toc234426937" w:history="1">
            <w:r w:rsidRPr="00F33678">
              <w:rPr>
                <w:rStyle w:val="aff9"/>
                <w:noProof/>
              </w:rPr>
              <w:t>2.4 Critical Evaluation of Marketing Activity and Customer Journey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_Toc234426937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8</w:t>
            </w:r>
            <w:r>
              <w:rPr>
                <w:rFonts w:hint="eastAsia"/>
                <w:noProof/>
                <w:webHidden/>
              </w:rPr>
              <w:fldChar w:fldCharType="end"/>
            </w:r>
          </w:hyperlink>
        </w:p>
        <w:p w14:paraId="4742D2E0" w14:textId="16E136D5" w:rsidR="00B903DA" w:rsidRDefault="00B903DA">
          <w:pPr>
            <w:pStyle w:val="TOC2"/>
            <w:tabs>
              <w:tab w:val="right" w:leader="dot" w:pos="9350"/>
            </w:tabs>
            <w:ind w:left="480"/>
            <w:rPr>
              <w:rFonts w:asciiTheme="minorHAnsi" w:eastAsiaTheme="minorEastAsia" w:hAnsiTheme="minorHAnsi" w:hint="eastAsia"/>
              <w:noProof/>
              <w:kern w:val="2"/>
              <w:sz w:val="22"/>
              <w:szCs w:val="24"/>
              <w:lang w:val="en-US" w:eastAsia="zh-CN"/>
              <w14:ligatures w14:val="standardContextual"/>
            </w:rPr>
          </w:pPr>
          <w:hyperlink w:anchor="_Toc234426938" w:history="1">
            <w:r w:rsidRPr="00F33678">
              <w:rPr>
                <w:rStyle w:val="aff9"/>
                <w:noProof/>
              </w:rPr>
              <w:t>2.5 Managing the Organisational Change Required</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_Toc234426938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9</w:t>
            </w:r>
            <w:r>
              <w:rPr>
                <w:rFonts w:hint="eastAsia"/>
                <w:noProof/>
                <w:webHidden/>
              </w:rPr>
              <w:fldChar w:fldCharType="end"/>
            </w:r>
          </w:hyperlink>
        </w:p>
        <w:p w14:paraId="69A0AB3F" w14:textId="219397B2" w:rsidR="00B903DA" w:rsidRDefault="00B903DA">
          <w:pPr>
            <w:pStyle w:val="TOC2"/>
            <w:tabs>
              <w:tab w:val="right" w:leader="dot" w:pos="9350"/>
            </w:tabs>
            <w:ind w:left="480"/>
            <w:rPr>
              <w:rFonts w:asciiTheme="minorHAnsi" w:eastAsiaTheme="minorEastAsia" w:hAnsiTheme="minorHAnsi" w:hint="eastAsia"/>
              <w:noProof/>
              <w:kern w:val="2"/>
              <w:sz w:val="22"/>
              <w:szCs w:val="24"/>
              <w:lang w:val="en-US" w:eastAsia="zh-CN"/>
              <w14:ligatures w14:val="standardContextual"/>
            </w:rPr>
          </w:pPr>
          <w:hyperlink w:anchor="_Toc234426939" w:history="1">
            <w:r w:rsidRPr="00F33678">
              <w:rPr>
                <w:rStyle w:val="aff9"/>
                <w:noProof/>
              </w:rPr>
              <w:t>2.6 Future Developments and Marketing Control</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_Toc234426939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10</w:t>
            </w:r>
            <w:r>
              <w:rPr>
                <w:rFonts w:hint="eastAsia"/>
                <w:noProof/>
                <w:webHidden/>
              </w:rPr>
              <w:fldChar w:fldCharType="end"/>
            </w:r>
          </w:hyperlink>
        </w:p>
        <w:p w14:paraId="53D681DA" w14:textId="4F8088C8" w:rsidR="00B903DA" w:rsidRDefault="00B903DA">
          <w:pPr>
            <w:pStyle w:val="TOC1"/>
            <w:tabs>
              <w:tab w:val="right" w:leader="dot" w:pos="9350"/>
            </w:tabs>
            <w:rPr>
              <w:rFonts w:asciiTheme="minorHAnsi" w:eastAsiaTheme="minorEastAsia" w:hAnsiTheme="minorHAnsi" w:hint="eastAsia"/>
              <w:noProof/>
              <w:kern w:val="2"/>
              <w:sz w:val="22"/>
              <w:szCs w:val="24"/>
              <w:lang w:val="en-US" w:eastAsia="zh-CN"/>
              <w14:ligatures w14:val="standardContextual"/>
            </w:rPr>
          </w:pPr>
          <w:hyperlink w:anchor="_Toc234426940" w:history="1">
            <w:r w:rsidRPr="00F33678">
              <w:rPr>
                <w:rStyle w:val="aff9"/>
                <w:noProof/>
              </w:rPr>
              <w:t>3. Conclusion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_Toc234426940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12</w:t>
            </w:r>
            <w:r>
              <w:rPr>
                <w:rFonts w:hint="eastAsia"/>
                <w:noProof/>
                <w:webHidden/>
              </w:rPr>
              <w:fldChar w:fldCharType="end"/>
            </w:r>
          </w:hyperlink>
        </w:p>
        <w:p w14:paraId="67406C99" w14:textId="1CBFB0BA" w:rsidR="00B903DA" w:rsidRDefault="00B903DA">
          <w:pPr>
            <w:pStyle w:val="TOC1"/>
            <w:tabs>
              <w:tab w:val="right" w:leader="dot" w:pos="9350"/>
            </w:tabs>
            <w:rPr>
              <w:rFonts w:asciiTheme="minorHAnsi" w:eastAsiaTheme="minorEastAsia" w:hAnsiTheme="minorHAnsi" w:hint="eastAsia"/>
              <w:noProof/>
              <w:kern w:val="2"/>
              <w:sz w:val="22"/>
              <w:szCs w:val="24"/>
              <w:lang w:val="en-US" w:eastAsia="zh-CN"/>
              <w14:ligatures w14:val="standardContextual"/>
            </w:rPr>
          </w:pPr>
          <w:hyperlink w:anchor="_Toc234426941" w:history="1">
            <w:r w:rsidRPr="00F33678">
              <w:rPr>
                <w:rStyle w:val="aff9"/>
                <w:noProof/>
              </w:rPr>
              <w:t>4. Recommendations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_Toc234426941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13</w:t>
            </w:r>
            <w:r>
              <w:rPr>
                <w:rFonts w:hint="eastAsia"/>
                <w:noProof/>
                <w:webHidden/>
              </w:rPr>
              <w:fldChar w:fldCharType="end"/>
            </w:r>
          </w:hyperlink>
        </w:p>
        <w:p w14:paraId="2D9312B5" w14:textId="6676B060" w:rsidR="00B903DA" w:rsidRDefault="00B903DA">
          <w:pPr>
            <w:pStyle w:val="TOC2"/>
            <w:tabs>
              <w:tab w:val="right" w:leader="dot" w:pos="9350"/>
            </w:tabs>
            <w:ind w:left="480"/>
            <w:rPr>
              <w:rFonts w:asciiTheme="minorHAnsi" w:eastAsiaTheme="minorEastAsia" w:hAnsiTheme="minorHAnsi" w:hint="eastAsia"/>
              <w:noProof/>
              <w:kern w:val="2"/>
              <w:sz w:val="22"/>
              <w:szCs w:val="24"/>
              <w:lang w:val="en-US" w:eastAsia="zh-CN"/>
              <w14:ligatures w14:val="standardContextual"/>
            </w:rPr>
          </w:pPr>
          <w:hyperlink w:anchor="_Toc234426942" w:history="1">
            <w:r w:rsidRPr="00F33678">
              <w:rPr>
                <w:rStyle w:val="aff9"/>
                <w:noProof/>
              </w:rPr>
              <w:t>4.1 Establish a Cross-Functional Marketing Change Governance Model</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_Toc234426942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13</w:t>
            </w:r>
            <w:r>
              <w:rPr>
                <w:rFonts w:hint="eastAsia"/>
                <w:noProof/>
                <w:webHidden/>
              </w:rPr>
              <w:fldChar w:fldCharType="end"/>
            </w:r>
          </w:hyperlink>
        </w:p>
        <w:p w14:paraId="7E417D85" w14:textId="62C77D99" w:rsidR="00B903DA" w:rsidRDefault="00B903DA">
          <w:pPr>
            <w:pStyle w:val="TOC2"/>
            <w:tabs>
              <w:tab w:val="right" w:leader="dot" w:pos="9350"/>
            </w:tabs>
            <w:ind w:left="480"/>
            <w:rPr>
              <w:rFonts w:asciiTheme="minorHAnsi" w:eastAsiaTheme="minorEastAsia" w:hAnsiTheme="minorHAnsi" w:hint="eastAsia"/>
              <w:noProof/>
              <w:kern w:val="2"/>
              <w:sz w:val="22"/>
              <w:szCs w:val="24"/>
              <w:lang w:val="en-US" w:eastAsia="zh-CN"/>
              <w14:ligatures w14:val="standardContextual"/>
            </w:rPr>
          </w:pPr>
          <w:hyperlink w:anchor="_Toc234426943" w:history="1">
            <w:r w:rsidRPr="00F33678">
              <w:rPr>
                <w:rStyle w:val="aff9"/>
                <w:noProof/>
              </w:rPr>
              <w:t>4.2 Build a Clearer First-Party Data Value Exchange and Privacy-Enhancing Personalisation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_Toc234426943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13</w:t>
            </w:r>
            <w:r>
              <w:rPr>
                <w:rFonts w:hint="eastAsia"/>
                <w:noProof/>
                <w:webHidden/>
              </w:rPr>
              <w:fldChar w:fldCharType="end"/>
            </w:r>
          </w:hyperlink>
        </w:p>
        <w:p w14:paraId="31795A5E" w14:textId="6042A8E3" w:rsidR="00B903DA" w:rsidRDefault="00B903DA">
          <w:pPr>
            <w:pStyle w:val="TOC2"/>
            <w:tabs>
              <w:tab w:val="right" w:leader="dot" w:pos="9350"/>
            </w:tabs>
            <w:ind w:left="480"/>
            <w:rPr>
              <w:rFonts w:asciiTheme="minorHAnsi" w:eastAsiaTheme="minorEastAsia" w:hAnsiTheme="minorHAnsi" w:hint="eastAsia"/>
              <w:noProof/>
              <w:kern w:val="2"/>
              <w:sz w:val="22"/>
              <w:szCs w:val="24"/>
              <w:lang w:val="en-US" w:eastAsia="zh-CN"/>
              <w14:ligatures w14:val="standardContextual"/>
            </w:rPr>
          </w:pPr>
          <w:hyperlink w:anchor="_Toc234426944" w:history="1">
            <w:r w:rsidRPr="00F33678">
              <w:rPr>
                <w:rStyle w:val="aff9"/>
                <w:noProof/>
              </w:rPr>
              <w:t>4.3 Develop Generative AI and Nike By You Co-Creation Pilots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_Toc234426944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14</w:t>
            </w:r>
            <w:r>
              <w:rPr>
                <w:rFonts w:hint="eastAsia"/>
                <w:noProof/>
                <w:webHidden/>
              </w:rPr>
              <w:fldChar w:fldCharType="end"/>
            </w:r>
          </w:hyperlink>
        </w:p>
        <w:p w14:paraId="178C9627" w14:textId="1453FA49" w:rsidR="00B903DA" w:rsidRDefault="00B903DA">
          <w:pPr>
            <w:pStyle w:val="TOC2"/>
            <w:tabs>
              <w:tab w:val="right" w:leader="dot" w:pos="9350"/>
            </w:tabs>
            <w:ind w:left="480"/>
            <w:rPr>
              <w:rFonts w:asciiTheme="minorHAnsi" w:eastAsiaTheme="minorEastAsia" w:hAnsiTheme="minorHAnsi" w:hint="eastAsia"/>
              <w:noProof/>
              <w:kern w:val="2"/>
              <w:sz w:val="22"/>
              <w:szCs w:val="24"/>
              <w:lang w:val="en-US" w:eastAsia="zh-CN"/>
              <w14:ligatures w14:val="standardContextual"/>
            </w:rPr>
          </w:pPr>
          <w:hyperlink w:anchor="_Toc234426945" w:history="1">
            <w:r w:rsidRPr="00F33678">
              <w:rPr>
                <w:rStyle w:val="aff9"/>
                <w:noProof/>
              </w:rPr>
              <w:t>4.4 Turn Apps into Sport-Life-Cycle Journeys, Not Disconnected Campaigns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_Toc234426945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14</w:t>
            </w:r>
            <w:r>
              <w:rPr>
                <w:rFonts w:hint="eastAsia"/>
                <w:noProof/>
                <w:webHidden/>
              </w:rPr>
              <w:fldChar w:fldCharType="end"/>
            </w:r>
          </w:hyperlink>
        </w:p>
        <w:p w14:paraId="07690D05" w14:textId="702C0CED" w:rsidR="00B903DA" w:rsidRDefault="00B903DA">
          <w:pPr>
            <w:pStyle w:val="TOC2"/>
            <w:tabs>
              <w:tab w:val="right" w:leader="dot" w:pos="9350"/>
            </w:tabs>
            <w:ind w:left="480"/>
            <w:rPr>
              <w:rFonts w:asciiTheme="minorHAnsi" w:eastAsiaTheme="minorEastAsia" w:hAnsiTheme="minorHAnsi" w:hint="eastAsia"/>
              <w:noProof/>
              <w:kern w:val="2"/>
              <w:sz w:val="22"/>
              <w:szCs w:val="24"/>
              <w:lang w:val="en-US" w:eastAsia="zh-CN"/>
              <w14:ligatures w14:val="standardContextual"/>
            </w:rPr>
          </w:pPr>
          <w:hyperlink w:anchor="_Toc234426946" w:history="1">
            <w:r w:rsidRPr="00F33678">
              <w:rPr>
                <w:rStyle w:val="aff9"/>
                <w:noProof/>
              </w:rPr>
              <w:t>4.5 Strengthen Omnichannel, AR-Enabled and Measurable Experiences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_Toc234426946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15</w:t>
            </w:r>
            <w:r>
              <w:rPr>
                <w:rFonts w:hint="eastAsia"/>
                <w:noProof/>
                <w:webHidden/>
              </w:rPr>
              <w:fldChar w:fldCharType="end"/>
            </w:r>
          </w:hyperlink>
        </w:p>
        <w:p w14:paraId="64252ACB" w14:textId="3AC1BBB8" w:rsidR="00B903DA" w:rsidRDefault="00B903DA">
          <w:pPr>
            <w:pStyle w:val="TOC1"/>
            <w:tabs>
              <w:tab w:val="right" w:leader="dot" w:pos="9350"/>
            </w:tabs>
            <w:rPr>
              <w:rFonts w:asciiTheme="minorHAnsi" w:eastAsiaTheme="minorEastAsia" w:hAnsiTheme="minorHAnsi" w:hint="eastAsia"/>
              <w:noProof/>
              <w:kern w:val="2"/>
              <w:sz w:val="22"/>
              <w:szCs w:val="24"/>
              <w:lang w:val="en-US" w:eastAsia="zh-CN"/>
              <w14:ligatures w14:val="standardContextual"/>
            </w:rPr>
          </w:pPr>
          <w:hyperlink w:anchor="_Toc234426947" w:history="1">
            <w:r w:rsidRPr="00F33678">
              <w:rPr>
                <w:rStyle w:val="aff9"/>
                <w:noProof/>
              </w:rPr>
              <w:t>References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_Toc234426947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16</w:t>
            </w:r>
            <w:r>
              <w:rPr>
                <w:rFonts w:hint="eastAsia"/>
                <w:noProof/>
                <w:webHidden/>
              </w:rPr>
              <w:fldChar w:fldCharType="end"/>
            </w:r>
          </w:hyperlink>
        </w:p>
        <w:p w14:paraId="00E78D82" w14:textId="28032EFF" w:rsidR="00B903DA" w:rsidRDefault="00B903DA">
          <w:pPr>
            <w:pStyle w:val="TOC1"/>
            <w:tabs>
              <w:tab w:val="right" w:leader="dot" w:pos="9350"/>
            </w:tabs>
            <w:rPr>
              <w:rFonts w:asciiTheme="minorHAnsi" w:eastAsiaTheme="minorEastAsia" w:hAnsiTheme="minorHAnsi" w:hint="eastAsia"/>
              <w:noProof/>
              <w:kern w:val="2"/>
              <w:sz w:val="22"/>
              <w:szCs w:val="24"/>
              <w:lang w:val="en-US" w:eastAsia="zh-CN"/>
              <w14:ligatures w14:val="standardContextual"/>
            </w:rPr>
          </w:pPr>
          <w:hyperlink w:anchor="_Toc234426948" w:history="1">
            <w:r w:rsidRPr="00F33678">
              <w:rPr>
                <w:rStyle w:val="aff9"/>
                <w:noProof/>
              </w:rPr>
              <w:t>Appendices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_Toc234426948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19</w:t>
            </w:r>
            <w:r>
              <w:rPr>
                <w:rFonts w:hint="eastAsia"/>
                <w:noProof/>
                <w:webHidden/>
              </w:rPr>
              <w:fldChar w:fldCharType="end"/>
            </w:r>
          </w:hyperlink>
        </w:p>
        <w:p w14:paraId="4E2C6CF2" w14:textId="2472FFA9" w:rsidR="00B903DA" w:rsidRDefault="00B903DA">
          <w:pPr>
            <w:pStyle w:val="TOC2"/>
            <w:tabs>
              <w:tab w:val="right" w:leader="dot" w:pos="9350"/>
            </w:tabs>
            <w:ind w:left="480"/>
            <w:rPr>
              <w:rFonts w:asciiTheme="minorHAnsi" w:eastAsiaTheme="minorEastAsia" w:hAnsiTheme="minorHAnsi" w:hint="eastAsia"/>
              <w:noProof/>
              <w:kern w:val="2"/>
              <w:sz w:val="22"/>
              <w:szCs w:val="24"/>
              <w:lang w:val="en-US" w:eastAsia="zh-CN"/>
              <w14:ligatures w14:val="standardContextual"/>
            </w:rPr>
          </w:pPr>
          <w:hyperlink w:anchor="_Toc234426949" w:history="1">
            <w:r w:rsidRPr="00F33678">
              <w:rPr>
                <w:rStyle w:val="aff9"/>
                <w:noProof/>
              </w:rPr>
              <w:t>Appendix A: Illustrative Public App-Store Evidence and Limitations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_Toc234426949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19</w:t>
            </w:r>
            <w:r>
              <w:rPr>
                <w:rFonts w:hint="eastAsia"/>
                <w:noProof/>
                <w:webHidden/>
              </w:rPr>
              <w:fldChar w:fldCharType="end"/>
            </w:r>
          </w:hyperlink>
        </w:p>
        <w:p w14:paraId="195C6D03" w14:textId="662716E0" w:rsidR="00B903DA" w:rsidRDefault="00B903DA">
          <w:pPr>
            <w:pStyle w:val="TOC2"/>
            <w:tabs>
              <w:tab w:val="right" w:leader="dot" w:pos="9350"/>
            </w:tabs>
            <w:ind w:left="480"/>
            <w:rPr>
              <w:rFonts w:asciiTheme="minorHAnsi" w:eastAsiaTheme="minorEastAsia" w:hAnsiTheme="minorHAnsi" w:hint="eastAsia"/>
              <w:noProof/>
              <w:kern w:val="2"/>
              <w:sz w:val="22"/>
              <w:szCs w:val="24"/>
              <w:lang w:val="en-US" w:eastAsia="zh-CN"/>
              <w14:ligatures w14:val="standardContextual"/>
            </w:rPr>
          </w:pPr>
          <w:hyperlink w:anchor="_Toc234426950" w:history="1">
            <w:r w:rsidRPr="00F33678">
              <w:rPr>
                <w:rStyle w:val="aff9"/>
                <w:noProof/>
              </w:rPr>
              <w:t>Appendix B: Competitor Benchmark for Personalisation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_Toc234426950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19</w:t>
            </w:r>
            <w:r>
              <w:rPr>
                <w:rFonts w:hint="eastAsia"/>
                <w:noProof/>
                <w:webHidden/>
              </w:rPr>
              <w:fldChar w:fldCharType="end"/>
            </w:r>
          </w:hyperlink>
        </w:p>
        <w:p w14:paraId="09CEDD04" w14:textId="5B4057F1" w:rsidR="00B903DA" w:rsidRDefault="00B903DA">
          <w:pPr>
            <w:pStyle w:val="TOC2"/>
            <w:tabs>
              <w:tab w:val="right" w:leader="dot" w:pos="9350"/>
            </w:tabs>
            <w:ind w:left="480"/>
            <w:rPr>
              <w:rFonts w:asciiTheme="minorHAnsi" w:eastAsiaTheme="minorEastAsia" w:hAnsiTheme="minorHAnsi" w:hint="eastAsia"/>
              <w:noProof/>
              <w:kern w:val="2"/>
              <w:sz w:val="22"/>
              <w:szCs w:val="24"/>
              <w:lang w:val="en-US" w:eastAsia="zh-CN"/>
              <w14:ligatures w14:val="standardContextual"/>
            </w:rPr>
          </w:pPr>
          <w:hyperlink w:anchor="_Toc234426951" w:history="1">
            <w:r w:rsidRPr="00F33678">
              <w:rPr>
                <w:rStyle w:val="aff9"/>
                <w:noProof/>
              </w:rPr>
              <w:t>Appendix C: Implementation Plan and KPI Logic</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_Toc234426951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20</w:t>
            </w:r>
            <w:r>
              <w:rPr>
                <w:rFonts w:hint="eastAsia"/>
                <w:noProof/>
                <w:webHidden/>
              </w:rPr>
              <w:fldChar w:fldCharType="end"/>
            </w:r>
          </w:hyperlink>
        </w:p>
        <w:p w14:paraId="336DD07B" w14:textId="60019C85" w:rsidR="00DE7E70" w:rsidRPr="001F51E2" w:rsidRDefault="00DE7E70">
          <w:r w:rsidRPr="001F51E2">
            <w:rPr>
              <w:b/>
              <w:bCs/>
            </w:rPr>
            <w:fldChar w:fldCharType="end"/>
          </w:r>
        </w:p>
      </w:sdtContent>
    </w:sdt>
    <w:p w14:paraId="422A763E" w14:textId="3A89851C" w:rsidR="00435B93" w:rsidRPr="001F51E2" w:rsidRDefault="00000000" w:rsidP="00DE7E70">
      <w:pPr>
        <w:outlineLvl w:val="0"/>
      </w:pPr>
      <w:r w:rsidRPr="001F51E2">
        <w:br w:type="page"/>
      </w:r>
      <w:bookmarkStart w:id="0" w:name="_Toc234426931"/>
      <w:r w:rsidRPr="001F51E2">
        <w:rPr>
          <w:b/>
          <w:sz w:val="28"/>
        </w:rPr>
        <w:lastRenderedPageBreak/>
        <w:t>Executive Summary</w:t>
      </w:r>
      <w:bookmarkEnd w:id="0"/>
    </w:p>
    <w:p w14:paraId="0982D0C0" w14:textId="2F96399B" w:rsidR="001F51E2" w:rsidRPr="001F51E2" w:rsidRDefault="001F51E2" w:rsidP="001F51E2">
      <w:pPr>
        <w:jc w:val="both"/>
        <w:rPr>
          <w:rFonts w:eastAsia="宋体"/>
          <w:lang w:eastAsia="zh-CN"/>
        </w:rPr>
      </w:pPr>
      <w:r w:rsidRPr="001F51E2">
        <w:t xml:space="preserve">The report is a critical analysis of the Nike personalisation strategy as a marketing change management problem, and not a digital marketing activity. The Nike Membership, the Nike App, SNKRS, Nike Run Club, Nike Training Club and Nike </w:t>
      </w:r>
      <w:proofErr w:type="gramStart"/>
      <w:r w:rsidRPr="001F51E2">
        <w:t>By</w:t>
      </w:r>
      <w:proofErr w:type="gramEnd"/>
      <w:r w:rsidRPr="001F51E2">
        <w:t xml:space="preserve"> You are the pillars of the company. With these resources, the marketing team can collect primary data, develop sports experience and shopping experience and provide the story of the brand with the direct customer interaction. But the issue of strategy is not that Nike does not have enough online channels. It is whether the organisational transformation that is needed to transform those channels into an organisationally credible and future proofed system of customer experiences is possible in Nike.</w:t>
      </w:r>
    </w:p>
    <w:p w14:paraId="5F1F282F" w14:textId="2C2CC666" w:rsidR="001F51E2" w:rsidRPr="001F51E2" w:rsidRDefault="001F51E2" w:rsidP="001F51E2">
      <w:pPr>
        <w:jc w:val="both"/>
        <w:rPr>
          <w:rFonts w:eastAsia="宋体"/>
          <w:lang w:eastAsia="zh-CN"/>
        </w:rPr>
      </w:pPr>
      <w:r w:rsidRPr="001F51E2">
        <w:t>The analysis concludes that the present strategy used by Nike is only partially successful. Its ecosystem is rich, yet it is still prone to fragmented customer journeys, launch-centred engagement, ambiguous data value exchange, privacy issues and limited public evidence of campaign-level performance. The FY2025 results of Nike indicate that there is pressure in digital commerce as the Nike Brand Digital revenue declined by 20 per cent and Nike Direct revenue fell by 13 per cent although demand creation cost increased. This does not demonstrate the failure of personalisation but demonstrates that a digital presence has not safeguarded customer loyalty or commercial momentum.</w:t>
      </w:r>
    </w:p>
    <w:p w14:paraId="57EE0FDA" w14:textId="49558AE2" w:rsidR="00435B93" w:rsidRPr="001F51E2" w:rsidRDefault="001F51E2" w:rsidP="001F51E2">
      <w:pPr>
        <w:jc w:val="both"/>
      </w:pPr>
      <w:r w:rsidRPr="001F51E2">
        <w:t xml:space="preserve">The report hence proposes that Nike should handle digital personalisation as a cross-functional marketing change programme. It must create a more distinct governance model between marketing, data science, legal, product and retail; create privacy-enhancing personalisation; test generative AI and Nike </w:t>
      </w:r>
      <w:proofErr w:type="gramStart"/>
      <w:r w:rsidRPr="001F51E2">
        <w:t>By</w:t>
      </w:r>
      <w:proofErr w:type="gramEnd"/>
      <w:r w:rsidRPr="001F51E2">
        <w:t xml:space="preserve"> You co-creation; restructure app journeys to focus on sport-life-cycle requirements; and create omnichannel, AR-enabled and measurable experiences. The future marketing plan is supposed to shift Nike out of campaign-driven digital activity to experience-driven, privacy-sensitive and AI-driven value creation.</w:t>
      </w:r>
    </w:p>
    <w:p w14:paraId="1A0EFCDA" w14:textId="75FCCDD7" w:rsidR="001F51E2" w:rsidRPr="001F51E2" w:rsidRDefault="00000000" w:rsidP="001F51E2">
      <w:pPr>
        <w:pStyle w:val="ae"/>
        <w:numPr>
          <w:ilvl w:val="0"/>
          <w:numId w:val="11"/>
        </w:numPr>
        <w:ind w:left="357" w:hanging="357"/>
        <w:outlineLvl w:val="0"/>
        <w:rPr>
          <w:rFonts w:eastAsia="宋体"/>
          <w:b/>
          <w:bCs/>
          <w:sz w:val="28"/>
          <w:szCs w:val="28"/>
          <w:lang w:eastAsia="zh-CN"/>
        </w:rPr>
      </w:pPr>
      <w:r w:rsidRPr="001F51E2">
        <w:br w:type="page"/>
      </w:r>
      <w:bookmarkStart w:id="1" w:name="_Toc234426932"/>
      <w:r w:rsidR="001F51E2" w:rsidRPr="001F51E2">
        <w:rPr>
          <w:rFonts w:eastAsia="宋体" w:hint="eastAsia"/>
          <w:b/>
          <w:bCs/>
          <w:sz w:val="28"/>
          <w:szCs w:val="28"/>
          <w:lang w:eastAsia="zh-CN"/>
        </w:rPr>
        <w:lastRenderedPageBreak/>
        <w:t>Introduction</w:t>
      </w:r>
      <w:bookmarkEnd w:id="1"/>
    </w:p>
    <w:p w14:paraId="31D23F41" w14:textId="6C25C40C" w:rsidR="001F51E2" w:rsidRPr="001F51E2" w:rsidRDefault="001F51E2" w:rsidP="001F51E2">
      <w:pPr>
        <w:jc w:val="both"/>
        <w:rPr>
          <w:rFonts w:eastAsia="宋体"/>
          <w:szCs w:val="24"/>
          <w:lang w:eastAsia="zh-CN"/>
        </w:rPr>
      </w:pPr>
      <w:r w:rsidRPr="001F51E2">
        <w:rPr>
          <w:rFonts w:eastAsia="宋体"/>
          <w:szCs w:val="24"/>
          <w:lang w:eastAsia="zh-CN"/>
        </w:rPr>
        <w:t xml:space="preserve">Nike, Inc. is a multinational sportswear company that operates in footwear, apparel, equipment, digital commerce, mobile applications, physical retail and sport communities. In the past, Nike has enjoyed a marketing edge due to its ability to tell stories with emotion, endorse athletes, innovate products and be culturally relevant. The role of the marketing department has changed in the current marketing environment. Consumers now find Nike via Nike.com, the Nike App, SNKRS, Nike Run Club, Nike Training Club, Nike </w:t>
      </w:r>
      <w:proofErr w:type="gramStart"/>
      <w:r w:rsidRPr="001F51E2">
        <w:rPr>
          <w:rFonts w:eastAsia="宋体"/>
          <w:szCs w:val="24"/>
          <w:lang w:eastAsia="zh-CN"/>
        </w:rPr>
        <w:t>By</w:t>
      </w:r>
      <w:proofErr w:type="gramEnd"/>
      <w:r w:rsidRPr="001F51E2">
        <w:rPr>
          <w:rFonts w:eastAsia="宋体"/>
          <w:szCs w:val="24"/>
          <w:lang w:eastAsia="zh-CN"/>
        </w:rPr>
        <w:t xml:space="preserve"> You, social media, paid search, email, retail stores, connected events and post-purchase sport content. This presents a great opportunity for digital personalisation but also a marketing change problem as customer value relies on coordination between platforms, data governance, retail operations and brand communications.</w:t>
      </w:r>
    </w:p>
    <w:p w14:paraId="2395CE5A" w14:textId="7FDEF133" w:rsidR="001F51E2" w:rsidRPr="001F51E2" w:rsidRDefault="001F51E2" w:rsidP="001F51E2">
      <w:pPr>
        <w:jc w:val="both"/>
        <w:rPr>
          <w:rFonts w:eastAsia="宋体"/>
          <w:szCs w:val="24"/>
          <w:lang w:eastAsia="zh-CN"/>
        </w:rPr>
      </w:pPr>
      <w:r w:rsidRPr="001F51E2">
        <w:rPr>
          <w:rFonts w:eastAsia="宋体"/>
          <w:szCs w:val="24"/>
          <w:lang w:eastAsia="zh-CN"/>
        </w:rPr>
        <w:t xml:space="preserve">The report is a critical analysis of the Nike digital personalisation strategy and its </w:t>
      </w:r>
      <w:proofErr w:type="gramStart"/>
      <w:r w:rsidRPr="001F51E2">
        <w:rPr>
          <w:rFonts w:eastAsia="宋体"/>
          <w:szCs w:val="24"/>
          <w:lang w:eastAsia="zh-CN"/>
        </w:rPr>
        <w:t>future prospects</w:t>
      </w:r>
      <w:proofErr w:type="gramEnd"/>
      <w:r w:rsidRPr="001F51E2">
        <w:rPr>
          <w:rFonts w:eastAsia="宋体"/>
          <w:szCs w:val="24"/>
          <w:lang w:eastAsia="zh-CN"/>
        </w:rPr>
        <w:t xml:space="preserve"> based on the theme of the module, Managing Marketing Change. The digital personalisation as the main factor of marketing change is viewed to be so since it would mean that the marketing department of Nike should not be focused on being a campaign-based company but an experience-oriented, data-driven and cross-functional marketer in terms of customer value creation. It also leads to segmentation, targeting, content, product discovery, media, retail service, privacy control and performance. It also results in organisational conflict as marketing, IT, data science, legal, product teams and store operations will have varying interests and risk tolerance.</w:t>
      </w:r>
    </w:p>
    <w:p w14:paraId="12DE927C" w14:textId="26D820A6" w:rsidR="001F51E2" w:rsidRPr="001F51E2" w:rsidRDefault="001F51E2" w:rsidP="001F51E2">
      <w:pPr>
        <w:jc w:val="both"/>
        <w:rPr>
          <w:rFonts w:eastAsia="宋体"/>
          <w:szCs w:val="24"/>
          <w:lang w:eastAsia="zh-CN"/>
        </w:rPr>
      </w:pPr>
      <w:r w:rsidRPr="001F51E2">
        <w:rPr>
          <w:rFonts w:eastAsia="宋体"/>
          <w:szCs w:val="24"/>
          <w:lang w:eastAsia="zh-CN"/>
        </w:rPr>
        <w:t>The problem is of commercial importance. Nike had FY2025 revenue of 46.3 billion, which was reduced by 10 per cent on a reported basis. Nike Direct revenue decreased at the rate of 13 percent and Nike Brand Digital decreased at the rate of 20 percent whereas demand creation cost increased at the rate of 9 percent to 4.7 billion (Nike, Inc., 2025a). The publicly available information cannot validate whether this digital downturn was due to traffic pressure, lower conversion, product mix, discounting, channel strategy or broader consumer demand. However, it shows that the fact that Nike owns digital platforms does not necessarily generate more growth. The marketing department will thus have to deal with personalisation as a change capability rather than an array of app features.</w:t>
      </w:r>
    </w:p>
    <w:p w14:paraId="46421297" w14:textId="7FA66D0B" w:rsidR="001F51E2" w:rsidRPr="001F51E2" w:rsidRDefault="001F51E2" w:rsidP="001F51E2">
      <w:pPr>
        <w:jc w:val="both"/>
        <w:rPr>
          <w:rFonts w:eastAsia="宋体"/>
          <w:szCs w:val="24"/>
          <w:lang w:eastAsia="zh-CN"/>
        </w:rPr>
      </w:pPr>
      <w:r w:rsidRPr="001F51E2">
        <w:rPr>
          <w:rFonts w:eastAsia="宋体"/>
          <w:szCs w:val="24"/>
          <w:lang w:eastAsia="zh-CN"/>
        </w:rPr>
        <w:t xml:space="preserve">The report is based on the application of customer relationship management, STP, marketing mix, customer journey theory, omnichannel retailing, marketing analytics and privacy-by-design in marketing. It can also be used to apply change management principles, i.e., the change model proposed by Kotter (planned change) and the McKinsey 7S approach as a way to assess how Nike may personalise its future activities within the organisational scope (Kotter, 1996; Waterman, Peters and Phillips, 1980; Cameron and Green, 2015). The evidence that will be used to analyse this topic includes the annual report of the company, pages of the official website of the company, information about the app store, competitors, regulatory </w:t>
      </w:r>
      <w:r w:rsidRPr="001F51E2">
        <w:rPr>
          <w:rFonts w:eastAsia="宋体"/>
          <w:szCs w:val="24"/>
          <w:lang w:eastAsia="zh-CN"/>
        </w:rPr>
        <w:lastRenderedPageBreak/>
        <w:t xml:space="preserve">requirements, and research papers. One of the drawbacks is that there are no published internal figures of the company like retention rate of an app, conversion rate of recommendations, lifetime value of customers depending on segments or algorithm performance. Thus, it has been determined that there is no access to the data on the internal performance of the </w:t>
      </w:r>
      <w:proofErr w:type="gramStart"/>
      <w:r w:rsidRPr="001F51E2">
        <w:rPr>
          <w:rFonts w:eastAsia="宋体"/>
          <w:szCs w:val="24"/>
          <w:lang w:eastAsia="zh-CN"/>
        </w:rPr>
        <w:t>firm</w:t>
      </w:r>
      <w:proofErr w:type="gramEnd"/>
      <w:r w:rsidRPr="001F51E2">
        <w:rPr>
          <w:rFonts w:eastAsia="宋体"/>
          <w:szCs w:val="24"/>
          <w:lang w:eastAsia="zh-CN"/>
        </w:rPr>
        <w:t xml:space="preserve"> but the evaluation is made with the use of available evidence and rationality.</w:t>
      </w:r>
    </w:p>
    <w:p w14:paraId="23C2D235" w14:textId="29B183A3" w:rsidR="00435B93" w:rsidRPr="001F51E2" w:rsidRDefault="00B903DA">
      <w:pPr>
        <w:pStyle w:val="1"/>
      </w:pPr>
      <w:bookmarkStart w:id="2" w:name="_Toc234426933"/>
      <w:r>
        <w:rPr>
          <w:rFonts w:ascii="Calibri" w:eastAsia="宋体" w:hAnsi="Calibri" w:hint="eastAsia"/>
          <w:lang w:eastAsia="zh-CN"/>
        </w:rPr>
        <w:t>2.</w:t>
      </w:r>
      <w:r w:rsidR="00000000" w:rsidRPr="001F51E2">
        <w:rPr>
          <w:rFonts w:ascii="Calibri" w:eastAsia="Calibri" w:hAnsi="Calibri"/>
        </w:rPr>
        <w:t xml:space="preserve"> Main Findings</w:t>
      </w:r>
      <w:bookmarkEnd w:id="2"/>
    </w:p>
    <w:p w14:paraId="0407079C" w14:textId="77777777" w:rsidR="00435B93" w:rsidRPr="001F51E2" w:rsidRDefault="00000000">
      <w:pPr>
        <w:pStyle w:val="21"/>
      </w:pPr>
      <w:bookmarkStart w:id="3" w:name="_Toc234426934"/>
      <w:r w:rsidRPr="001F51E2">
        <w:rPr>
          <w:rFonts w:ascii="Calibri" w:eastAsia="Calibri" w:hAnsi="Calibri"/>
        </w:rPr>
        <w:t>2.1 Digital Personalisation as a Driver of Marketing Change</w:t>
      </w:r>
      <w:bookmarkEnd w:id="3"/>
    </w:p>
    <w:p w14:paraId="0B295F63" w14:textId="1ABBB1AD" w:rsidR="001F51E2" w:rsidRPr="001F51E2" w:rsidRDefault="001F51E2" w:rsidP="001F51E2">
      <w:pPr>
        <w:jc w:val="both"/>
        <w:rPr>
          <w:rFonts w:eastAsia="宋体"/>
          <w:lang w:eastAsia="zh-CN"/>
        </w:rPr>
      </w:pPr>
      <w:r>
        <w:t xml:space="preserve">The digital personalisation approach of Nike is a part of the more general transformation in the marketing that used to be product-based and now is customer-experience based. The 2025 Form 10-K report on the consumer services and experience by Nike includes the interactive services and experiences such as the sport-related events, fitness and activity applications, sports and wellness content, online services and retail solutions to improve the experience of consumers (Nike, Inc., 2025b). This indicates that it does not only advertise or sell goods through e-commerce but also market its products. It will also involve data collection, application interaction, community involvement, training assistance and online shopping. As CRM marketers, this is significant since the relationship marketing </w:t>
      </w:r>
      <w:proofErr w:type="gramStart"/>
      <w:r>
        <w:t>has to</w:t>
      </w:r>
      <w:proofErr w:type="gramEnd"/>
      <w:r>
        <w:t xml:space="preserve"> provide benefits to both the organisation and the customer, instead of just generating transactions in the short-term (Payne and Frow, 2005; Kumar and Reinartz, 2016).</w:t>
      </w:r>
    </w:p>
    <w:p w14:paraId="3852B0E6" w14:textId="13C9B064" w:rsidR="001F51E2" w:rsidRPr="001F51E2" w:rsidRDefault="001F51E2" w:rsidP="001F51E2">
      <w:pPr>
        <w:jc w:val="both"/>
        <w:rPr>
          <w:rFonts w:eastAsia="宋体"/>
          <w:lang w:eastAsia="zh-CN"/>
        </w:rPr>
      </w:pPr>
      <w:r>
        <w:t xml:space="preserve">The change in marketing is also cultural. A campaign-based culture of marketing will tend to emphasize seasonal launches, celebrity content, reach and short-term conversion. Customer data, service design and journey orchestration are used by an experience-driven marketing culture to support customers before, during and after purchase. Nike has the ingredients of this shift, but it is hard to make because it needs new skills, systems and decision rights. Marketing teams need to know about AI, privacy, analytics and retail service as well as brand storytelling. Commercial experimentation should be supported by IT and data teams without compromising security. Legal teams </w:t>
      </w:r>
      <w:proofErr w:type="gramStart"/>
      <w:r>
        <w:t>have to</w:t>
      </w:r>
      <w:proofErr w:type="gramEnd"/>
      <w:r>
        <w:t xml:space="preserve"> ensure that privacy is protected without making the experience confusing. Store staff must transform digital insight into useful service rather than view apps as a different online channel.</w:t>
      </w:r>
    </w:p>
    <w:p w14:paraId="23EB0093" w14:textId="575937A7" w:rsidR="00435B93" w:rsidRPr="001F51E2" w:rsidRDefault="001F51E2" w:rsidP="001F51E2">
      <w:pPr>
        <w:jc w:val="both"/>
      </w:pPr>
      <w:r>
        <w:t xml:space="preserve">Consumer expectations enhance the change driver. Digital consumers are familiar with pertinent suggestions, prompt service, adaptable fulfilment and customised content. Meanwhile, personalisation paradox implies that customers can appreciate relevance but will feel uneasy when data collection is perceived to be covert or excessive (Aguirre et al., 2015; Bleier and Eisenbeiss, 2015). This applies particularly to Nike since sport and fitness information can include location, pace, heart rate, workout habits and lifestyle inferences. According to the </w:t>
      </w:r>
      <w:r>
        <w:lastRenderedPageBreak/>
        <w:t xml:space="preserve">privacy policy of Nike, personal information and inferences can be applied to customise and personalise the platform experience (Nike, Inc., 2026b). It is not a technical strategic challenge only. Nike </w:t>
      </w:r>
      <w:proofErr w:type="gramStart"/>
      <w:r>
        <w:t>has to</w:t>
      </w:r>
      <w:proofErr w:type="gramEnd"/>
      <w:r>
        <w:t xml:space="preserve"> make personalisation seem useful, reasonable and manageable.</w:t>
      </w:r>
    </w:p>
    <w:p w14:paraId="0981C0E0" w14:textId="77777777" w:rsidR="00435B93" w:rsidRPr="001F51E2" w:rsidRDefault="00000000">
      <w:pPr>
        <w:pStyle w:val="21"/>
      </w:pPr>
      <w:bookmarkStart w:id="4" w:name="_Toc234426935"/>
      <w:r w:rsidRPr="001F51E2">
        <w:rPr>
          <w:rFonts w:ascii="Calibri" w:eastAsia="Calibri" w:hAnsi="Calibri"/>
        </w:rPr>
        <w:t xml:space="preserve">2.2 Nike's Current Personalisation Ecosystem, Including Nike </w:t>
      </w:r>
      <w:proofErr w:type="gramStart"/>
      <w:r w:rsidRPr="001F51E2">
        <w:rPr>
          <w:rFonts w:ascii="Calibri" w:eastAsia="Calibri" w:hAnsi="Calibri"/>
        </w:rPr>
        <w:t>By</w:t>
      </w:r>
      <w:proofErr w:type="gramEnd"/>
      <w:r w:rsidRPr="001F51E2">
        <w:rPr>
          <w:rFonts w:ascii="Calibri" w:eastAsia="Calibri" w:hAnsi="Calibri"/>
        </w:rPr>
        <w:t xml:space="preserve"> You</w:t>
      </w:r>
      <w:bookmarkEnd w:id="4"/>
    </w:p>
    <w:p w14:paraId="48F3E37B" w14:textId="1A010B9F" w:rsidR="001F51E2" w:rsidRPr="001F51E2" w:rsidRDefault="001F51E2" w:rsidP="001F51E2">
      <w:pPr>
        <w:jc w:val="both"/>
        <w:rPr>
          <w:rFonts w:eastAsia="宋体"/>
          <w:lang w:eastAsia="zh-CN"/>
        </w:rPr>
      </w:pPr>
      <w:r>
        <w:t>Nike is already equipped with a large ecosystem of personalisation. The Nike App can be considered as an application that would lead the user to discover the products and stories, member benefits, and other information related to the product and its features (Apple, 2026a; Google Play, 2026a). SNKRS has sneaker culture, access to new sneakers, special release, news, polls, maps, and store reservations (Nike, Inc., 2026c; Google Play, 2026b). Nike Run Club provides pace, position, distance, height, heart rate and mile splits whereas Nike Training Club provides workouts in strength, endurance, yoga, mobility, recovery and wellness (Nike, Inc., 2026d; Nike, Inc., 2026e). With these two platforms, Nike can reach out beyond marketing into coaching, social and service.</w:t>
      </w:r>
    </w:p>
    <w:p w14:paraId="4B6ADE90" w14:textId="182F8327" w:rsidR="001F51E2" w:rsidRPr="001F51E2" w:rsidRDefault="001F51E2" w:rsidP="001F51E2">
      <w:pPr>
        <w:jc w:val="both"/>
        <w:rPr>
          <w:rFonts w:eastAsia="宋体"/>
          <w:lang w:eastAsia="zh-CN"/>
        </w:rPr>
      </w:pPr>
      <w:r>
        <w:t xml:space="preserve">Nike By You is a form of personalisation that should be given special attention since it is the most direct customer-facing one offered by Nike. According to Nike, Nike </w:t>
      </w:r>
      <w:proofErr w:type="gramStart"/>
      <w:r>
        <w:t>By</w:t>
      </w:r>
      <w:proofErr w:type="gramEnd"/>
      <w:r>
        <w:t xml:space="preserve"> You is a co-creation service that allows customers to design their own shoes through selecting colours, materials, silhouettes and personal IDs (Nike, Inc., 2026f). This is strategically distinct as compared to recommendation-based personalisation whereby the customer not only gets a customised message but also takes an active role in product development. Mass customisation theory states that firms </w:t>
      </w:r>
      <w:proofErr w:type="gramStart"/>
      <w:r>
        <w:t>have the opportunity to</w:t>
      </w:r>
      <w:proofErr w:type="gramEnd"/>
      <w:r>
        <w:t xml:space="preserve"> generate value by integrating individual choice with scalable production systems (Pine, 1993). In the case of Nike, Nike </w:t>
      </w:r>
      <w:proofErr w:type="gramStart"/>
      <w:r>
        <w:t>By</w:t>
      </w:r>
      <w:proofErr w:type="gramEnd"/>
      <w:r>
        <w:t xml:space="preserve"> You helps differentiate, emotionally attach and brand equity </w:t>
      </w:r>
      <w:proofErr w:type="gramStart"/>
      <w:r>
        <w:t>due to the fact that</w:t>
      </w:r>
      <w:proofErr w:type="gramEnd"/>
      <w:r>
        <w:t xml:space="preserve"> the product becomes more personally meaningful (Aaker, 1996; Keller, 2013).</w:t>
      </w:r>
    </w:p>
    <w:p w14:paraId="4F7247F7" w14:textId="35279467" w:rsidR="001F51E2" w:rsidRPr="001F51E2" w:rsidRDefault="001F51E2" w:rsidP="001F51E2">
      <w:pPr>
        <w:jc w:val="both"/>
        <w:rPr>
          <w:rFonts w:eastAsia="宋体"/>
          <w:lang w:eastAsia="zh-CN"/>
        </w:rPr>
      </w:pPr>
      <w:r>
        <w:t xml:space="preserve">But the ecosystem is a weakness as well, it seems that it has more power in the form of platforms than in the form of a journey. A runner can use Nike Run Club, buy something on the Nike App, order by using the Nike </w:t>
      </w:r>
      <w:proofErr w:type="gramStart"/>
      <w:r>
        <w:t>By</w:t>
      </w:r>
      <w:proofErr w:type="gramEnd"/>
      <w:r>
        <w:t xml:space="preserve"> You service, then watch the SNKRS release and purchase at the store but these are not the only points where this company touches the customer and thus there is no clear indication that they are becoming one single touchpoint experience. This is important because the value of marketing analytics is determined when the data is transformed into improved choices and improved results to customers (Wedel and Kannan, 2016). It is not the case of </w:t>
      </w:r>
      <w:proofErr w:type="gramStart"/>
      <w:r>
        <w:t>whether or not</w:t>
      </w:r>
      <w:proofErr w:type="gramEnd"/>
      <w:r>
        <w:t xml:space="preserve"> the data is available in Nike, but whether the marketing team is able to transform the information into some meaningful and actionable response.</w:t>
      </w:r>
    </w:p>
    <w:p w14:paraId="0C51B4EA" w14:textId="58CC799D" w:rsidR="00435B93" w:rsidRPr="001F51E2" w:rsidRDefault="001F51E2" w:rsidP="001F51E2">
      <w:pPr>
        <w:jc w:val="both"/>
      </w:pPr>
      <w:r>
        <w:t xml:space="preserve">There is a moderate amount of information that can be found in the app-store pages. The Nike App on Apple and Google Play are both rated highly with personalisation, membership advantages, and in-store features (Apple, 2026a; Google Play, 2026a). But the reviews which </w:t>
      </w:r>
      <w:r>
        <w:lastRenderedPageBreak/>
        <w:t>have been put out there to the masses also show the areas of pain in terms of stock and filters as well as the need to give more sport-specific instructions. SNKRS has an excellent iOS score, but its Google Play score is less impressive, and it has some customer complaints on the reliability of notifications, fairness of the launch, bots and errors in purchases (Apple, 2026b; Google Play, 2026b). These testimonials cannot be used as representative studies, but they can serve as useful illustrative sources of evidence that the operation pains should not be left unaddressed when personalising.</w:t>
      </w:r>
    </w:p>
    <w:p w14:paraId="35961BE6" w14:textId="77777777" w:rsidR="00435B93" w:rsidRPr="001F51E2" w:rsidRDefault="00000000">
      <w:pPr>
        <w:jc w:val="center"/>
      </w:pPr>
      <w:r w:rsidRPr="001F51E2">
        <w:rPr>
          <w:noProof/>
        </w:rPr>
        <w:drawing>
          <wp:inline distT="0" distB="0" distL="0" distR="0" wp14:anchorId="709C06C9" wp14:editId="2CBD3792">
            <wp:extent cx="5394960" cy="303466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ike_ecosystem_map.png"/>
                    <pic:cNvPicPr/>
                  </pic:nvPicPr>
                  <pic:blipFill>
                    <a:blip r:embed="rId8"/>
                    <a:stretch>
                      <a:fillRect/>
                    </a:stretch>
                  </pic:blipFill>
                  <pic:spPr>
                    <a:xfrm>
                      <a:off x="0" y="0"/>
                      <a:ext cx="5394960" cy="3034665"/>
                    </a:xfrm>
                    <a:prstGeom prst="rect">
                      <a:avLst/>
                    </a:prstGeom>
                  </pic:spPr>
                </pic:pic>
              </a:graphicData>
            </a:graphic>
          </wp:inline>
        </w:drawing>
      </w:r>
    </w:p>
    <w:p w14:paraId="5AB90472" w14:textId="77777777" w:rsidR="00435B93" w:rsidRPr="001F51E2" w:rsidRDefault="00000000">
      <w:pPr>
        <w:spacing w:before="80" w:after="200"/>
        <w:jc w:val="center"/>
      </w:pPr>
      <w:r w:rsidRPr="001F51E2">
        <w:rPr>
          <w:i/>
          <w:sz w:val="22"/>
        </w:rPr>
        <w:t>Figure 1: Nike personalisation ecosystem and change interfaces.</w:t>
      </w:r>
    </w:p>
    <w:p w14:paraId="06EC649B" w14:textId="77777777" w:rsidR="00435B93" w:rsidRPr="001F51E2" w:rsidRDefault="00000000">
      <w:pPr>
        <w:pStyle w:val="21"/>
      </w:pPr>
      <w:bookmarkStart w:id="5" w:name="_Toc234426936"/>
      <w:r w:rsidRPr="001F51E2">
        <w:rPr>
          <w:rFonts w:ascii="Calibri" w:eastAsia="Calibri" w:hAnsi="Calibri"/>
        </w:rPr>
        <w:t>2.3 Macro, Micro and Competitive Pressures</w:t>
      </w:r>
      <w:bookmarkEnd w:id="5"/>
    </w:p>
    <w:p w14:paraId="61617EF5" w14:textId="30CB604F" w:rsidR="001F51E2" w:rsidRPr="001F51E2" w:rsidRDefault="001F51E2" w:rsidP="001F51E2">
      <w:pPr>
        <w:jc w:val="both"/>
        <w:rPr>
          <w:rFonts w:eastAsia="宋体"/>
          <w:lang w:eastAsia="zh-CN"/>
        </w:rPr>
      </w:pPr>
      <w:r>
        <w:t xml:space="preserve">Macro environment is the force behind the change in marketing. The technology of AI, machine learning, AR and data analytics are developing the concept of personalisation. In terms of economics, it will be a less effective way of spending on discretionary, and competition as generic campaigns would not work well. On the social level, there is a growing tendency among customers to anticipate that brands should identify with their sport, taste, values and shopping setting. UK GDPR and more general privacy laws demand legal compliance, transparency, risk analysis and protection of profiling and automatic decision making (European Parliament and Council, 2016; ICO, 2026). These factors make the </w:t>
      </w:r>
      <w:proofErr w:type="gramStart"/>
      <w:r>
        <w:t>future plan</w:t>
      </w:r>
      <w:proofErr w:type="gramEnd"/>
      <w:r>
        <w:t xml:space="preserve"> of Nike to market relevant yet trustworthy.</w:t>
      </w:r>
    </w:p>
    <w:p w14:paraId="4BFA8D4B" w14:textId="7ABEAF3D" w:rsidR="001F51E2" w:rsidRPr="001F51E2" w:rsidRDefault="001F51E2" w:rsidP="001F51E2">
      <w:pPr>
        <w:jc w:val="both"/>
        <w:rPr>
          <w:rFonts w:eastAsia="宋体"/>
          <w:lang w:eastAsia="zh-CN"/>
        </w:rPr>
      </w:pPr>
      <w:r>
        <w:t xml:space="preserve">The microenvironment is also tough. Nike has competitors such as Adidas, Puma, Lululemon, On, Hoka, ASICS and specialist running or athleisure brands. According to the annual report of Nike, the company competes on product innovation, marketing spends, pricing, digital commerce platforms, digital services, consumer experience and customer service (Nike, Inc., </w:t>
      </w:r>
      <w:r>
        <w:lastRenderedPageBreak/>
        <w:t>2025b). Thus, personalisation is not an ornamental online functionality; it is a competitive strength that influences the discovery of products, loyalty, quality and value perception of the service.</w:t>
      </w:r>
    </w:p>
    <w:p w14:paraId="59574152" w14:textId="2B09AA93" w:rsidR="001F51E2" w:rsidRPr="001F51E2" w:rsidRDefault="001F51E2" w:rsidP="001F51E2">
      <w:pPr>
        <w:jc w:val="both"/>
        <w:rPr>
          <w:rFonts w:eastAsia="宋体"/>
          <w:lang w:eastAsia="zh-CN"/>
        </w:rPr>
      </w:pPr>
      <w:r>
        <w:t>Competitor benchmarking provides Nike with a more definite critical anchor. Adidas CONFIRMED has curated drops, insider stories, direct access, member only experiences and verified draw access that directly compete with SNKRS in the launch and sneaker community space (Adidas, 2026). ASICS provides a running shoe finder that assists customers to locate shoes based on their movement, which demonstrates how functional-based guidance can simplify the choice complexity of runners (ASICS, 2026). The Mirror/Studio experience at Lululemon is an example of both the chance and threat of connected fitness: the product tied to the platform, workouts and membership, but the hardware of the Mirror is no longer sold, indicating that digital ecosystems can be costly and exposed when they rely too much on one format (Lululemon Studio, 2026).</w:t>
      </w:r>
    </w:p>
    <w:p w14:paraId="7B2FA267" w14:textId="0371CCC5" w:rsidR="00435B93" w:rsidRPr="001F51E2" w:rsidRDefault="001F51E2" w:rsidP="001F51E2">
      <w:pPr>
        <w:jc w:val="both"/>
      </w:pPr>
      <w:r>
        <w:t xml:space="preserve">According to this benchmark, Nike's strength is its size and breadth of ecosystem, whereas its threat is orchestration. Adidas emphasizes the importance of fair and engaging launch communities; ASICS emphasizes the value of functional product guidance; and Lululemon highlights the risk of over - investing in disconnected hardware or subscription ecosystems. Nike's future development should be </w:t>
      </w:r>
      <w:proofErr w:type="spellStart"/>
      <w:r>
        <w:t>centered</w:t>
      </w:r>
      <w:proofErr w:type="spellEnd"/>
      <w:r>
        <w:t xml:space="preserve"> on integrating apps, stores, product guidance, and data governance around customer journeys instead of adding isolated digital features.</w:t>
      </w:r>
    </w:p>
    <w:p w14:paraId="6D76487E" w14:textId="77777777" w:rsidR="00435B93" w:rsidRPr="001F51E2" w:rsidRDefault="00000000">
      <w:pPr>
        <w:pStyle w:val="21"/>
      </w:pPr>
      <w:bookmarkStart w:id="6" w:name="_Toc234426937"/>
      <w:r w:rsidRPr="001F51E2">
        <w:rPr>
          <w:rFonts w:ascii="Calibri" w:eastAsia="Calibri" w:hAnsi="Calibri"/>
        </w:rPr>
        <w:t>2.4 Critical Evaluation of Marketing Activity and Customer Journey</w:t>
      </w:r>
      <w:bookmarkEnd w:id="6"/>
    </w:p>
    <w:p w14:paraId="078FF8DB" w14:textId="29131373" w:rsidR="001F51E2" w:rsidRPr="001F51E2" w:rsidRDefault="001F51E2" w:rsidP="001F51E2">
      <w:pPr>
        <w:jc w:val="both"/>
        <w:rPr>
          <w:rFonts w:eastAsia="宋体"/>
          <w:lang w:eastAsia="zh-CN"/>
        </w:rPr>
      </w:pPr>
      <w:r>
        <w:t xml:space="preserve">Nike is currently marketing well. It has a good brand and image, Nike as a brand is more than just the product. Nike can be described as the brand of sport, success, culture, identity (Keller, 2013). The company owns its own media, which makes it possible to have direct contact with customers, as opposed to paying money to media agencies or selling through wholesale agents. Thirdly, there are many products in the market, such as the Nike App, SNKRS, NRC, NTC, and Nike </w:t>
      </w:r>
      <w:proofErr w:type="gramStart"/>
      <w:r>
        <w:t>By</w:t>
      </w:r>
      <w:proofErr w:type="gramEnd"/>
      <w:r>
        <w:t xml:space="preserve"> You, etc.</w:t>
      </w:r>
    </w:p>
    <w:p w14:paraId="7C18AF3A" w14:textId="5945693F" w:rsidR="001F51E2" w:rsidRPr="001F51E2" w:rsidRDefault="001F51E2" w:rsidP="001F51E2">
      <w:pPr>
        <w:jc w:val="both"/>
        <w:rPr>
          <w:rFonts w:eastAsia="宋体"/>
          <w:lang w:eastAsia="zh-CN"/>
        </w:rPr>
      </w:pPr>
      <w:r>
        <w:t>In the STP terms, Nike has an opportunity to shift its segmentation approach out of the broad demographic groups into behaviour-based and sport-life-cycle segmentation. A novice runner, marathon runner, gym goer, sneaker collector and parent purchasing children’s trainers can all be customers of Nike, but they require different trips. An entry-level runner might require encouragement, prevention-related information on injuries and advice on basic shoes. Training-plan support, product rotation and race-week suggestions might be required by a marathon runner. A sneaker collector could appreciate heritage narratives, launch transparency and equitable access. This is where customer journey theory comes in handy as experience is developed across pre-purchase, purchase and post-purchase touchpoints instead of one campaign touchpoint (Lemon and Verhoef, 2016).</w:t>
      </w:r>
    </w:p>
    <w:p w14:paraId="61D63A24" w14:textId="39DEEE04" w:rsidR="001F51E2" w:rsidRPr="001F51E2" w:rsidRDefault="001F51E2" w:rsidP="001F51E2">
      <w:pPr>
        <w:jc w:val="both"/>
        <w:rPr>
          <w:rFonts w:eastAsia="宋体"/>
          <w:lang w:eastAsia="zh-CN"/>
        </w:rPr>
      </w:pPr>
      <w:r>
        <w:lastRenderedPageBreak/>
        <w:t xml:space="preserve">The vulnerability is that the marketing activity by Nike still seems to be somewhat launch-focused and product-focused. SNKRS generates hype with limited availability, exclusive entry and surprise releases but visible comments on the app-store demonstrate that fairness in launches, bots, reliability of notifications and purchase mistakes can destroy trust (Apple, 2026b; Google Play, 2026b). On the same note, Nike </w:t>
      </w:r>
      <w:proofErr w:type="gramStart"/>
      <w:r>
        <w:t>By</w:t>
      </w:r>
      <w:proofErr w:type="gramEnd"/>
      <w:r>
        <w:t xml:space="preserve"> You encourages co-creation though it should be better linked to sport information, preference of style and sustainability preferences. When personalisation is primarily applied as a means of driving drops or recommending products, Nike does not maximise its potential to become a sports partner in training, recovery, events, product care and community.</w:t>
      </w:r>
    </w:p>
    <w:p w14:paraId="0BC20DBC" w14:textId="72815EED" w:rsidR="00435B93" w:rsidRPr="001F51E2" w:rsidRDefault="001F51E2" w:rsidP="001F51E2">
      <w:pPr>
        <w:jc w:val="both"/>
        <w:rPr>
          <w:rFonts w:eastAsia="宋体"/>
          <w:lang w:eastAsia="zh-CN"/>
        </w:rPr>
      </w:pPr>
      <w:r>
        <w:t>The financial evidence supports this worry. The decline of the Brand Digital by Nike in FY2025 at 20 per cent and a rise in demand creation cost indicates that digital engagement has not been translated into commercial performance (Nike, Inc., 2025a). It is not possible to prove the cause based on the public data. It could be traffic, conversion, product mix, discounts, consumer demand, channel mix or inventory. But the implication on marketing control is obvious: Nike ought not to evaluate personalisation primarily through clicks, app downloads or campaign reach. It must assess the quality of conversion, repeat purchase, customer lifetime value, app-to-store conversion, full-price sell-through, journey completion, recommendation satisfaction and privacy trust. This would link marketing activity closer to the change outcomes and value creation.</w:t>
      </w:r>
    </w:p>
    <w:p w14:paraId="2E95AFB4" w14:textId="77777777" w:rsidR="00435B93" w:rsidRPr="001F51E2" w:rsidRDefault="00000000">
      <w:pPr>
        <w:pStyle w:val="21"/>
      </w:pPr>
      <w:bookmarkStart w:id="7" w:name="_Toc234426938"/>
      <w:r w:rsidRPr="001F51E2">
        <w:rPr>
          <w:rFonts w:ascii="Calibri" w:eastAsia="Calibri" w:hAnsi="Calibri"/>
        </w:rPr>
        <w:t>2.5 Managing the Organisational Change Required</w:t>
      </w:r>
      <w:bookmarkEnd w:id="7"/>
    </w:p>
    <w:p w14:paraId="212C9D82" w14:textId="3263985D" w:rsidR="001F51E2" w:rsidRPr="001F51E2" w:rsidRDefault="001F51E2" w:rsidP="001F51E2">
      <w:pPr>
        <w:jc w:val="both"/>
        <w:rPr>
          <w:rFonts w:eastAsia="宋体"/>
          <w:lang w:eastAsia="zh-CN"/>
        </w:rPr>
      </w:pPr>
      <w:r>
        <w:t xml:space="preserve">The key issue in this module is that the personalisation strategy of Nike in future is an organisational change programme. It demands structural, systems, skills, culture and power relationships changes. The model by Kotter is applicable since Nike </w:t>
      </w:r>
      <w:proofErr w:type="gramStart"/>
      <w:r>
        <w:t>has to</w:t>
      </w:r>
      <w:proofErr w:type="gramEnd"/>
      <w:r>
        <w:t xml:space="preserve"> establish urgency, create a guiding coalition, formulate a vision, convey the change, eliminate barriers, produce short-term wins and institutionalize new practices (Kotter, 1996). The digital revenue pressure and competitive disruption are what support the urgency. The coalition must involve marketing, data science, legal, IT, retail operations, product merchandising and customer service. In the absence of such a coalition, personalisation will be reduced to a promise of marketing that cannot be implemented operationally.</w:t>
      </w:r>
    </w:p>
    <w:p w14:paraId="5F4B9BA4" w14:textId="729F99B0" w:rsidR="001F51E2" w:rsidRPr="001F51E2" w:rsidRDefault="001F51E2" w:rsidP="001F51E2">
      <w:pPr>
        <w:jc w:val="both"/>
        <w:rPr>
          <w:rFonts w:eastAsia="宋体"/>
          <w:lang w:eastAsia="zh-CN"/>
        </w:rPr>
      </w:pPr>
      <w:r>
        <w:t xml:space="preserve">The 7S model by McKinsey can be used to understand the complexity of this change. The strategy is that Nike should not only make personalisation as a way of selling, but also a value and trust in the customers. Structure implies ownership of customer journeys, data access and channel choice. Consent management, CRM policies, recommendation systems, content delivery, dashboards and escalation process of privacy or fairness are necessary to Systems. AI literacy, interpretation of analytics, training on retail-service and ethics on data. In terms of culture, it would be necessary to change the values and styles of leaders </w:t>
      </w:r>
      <w:proofErr w:type="gramStart"/>
      <w:r>
        <w:t>in order to</w:t>
      </w:r>
      <w:proofErr w:type="gramEnd"/>
      <w:r>
        <w:t xml:space="preserve"> move away </w:t>
      </w:r>
      <w:r>
        <w:lastRenderedPageBreak/>
        <w:t>with campaign-based heroism and create a culture of experience-driven relationships. Employees should have some incentives that will encourage them to work well in their journey and earn trust rather than sales or engagement (Waterman, Peters and Phillips, 1980; Cameron and Green, 2015).</w:t>
      </w:r>
    </w:p>
    <w:p w14:paraId="5304B49F" w14:textId="5B1FEBA2" w:rsidR="001F51E2" w:rsidRPr="001F51E2" w:rsidRDefault="001F51E2" w:rsidP="001F51E2">
      <w:pPr>
        <w:jc w:val="both"/>
        <w:rPr>
          <w:rFonts w:eastAsia="宋体"/>
          <w:lang w:eastAsia="zh-CN"/>
        </w:rPr>
      </w:pPr>
      <w:r>
        <w:t>It is probable to be resistance. When the AI and dashboards are seen as a threat to creative judgement, marketing departments will oppose it. The employees of the retail sector can oppose in case the applications create additional work without enhancing the services. In the absence of clear privacy risks, the experimentation may be limited by the legal department. The marketers can focus on the story telling and commercial results whereas data teams could focus on technical model performance. Personalisation that seems too much or controlling can make customers feel like they are not welcome. Such conflicts do not mean that these are weaknesses of their own; these are natural consequences of the change in marketing. It is the task of the manager to state the decision rights. As an example, the customer value proposition and content logic would be owned by marketing, the model design and testing would be done by data science, the privacy protection would be provided by the legal, the store execution would be controlled by the retail operations and the cross-functional priorities and accountability would be led by the senior management.</w:t>
      </w:r>
    </w:p>
    <w:p w14:paraId="50EF2142" w14:textId="6C48927E" w:rsidR="00435B93" w:rsidRPr="001F51E2" w:rsidRDefault="001F51E2" w:rsidP="001F51E2">
      <w:pPr>
        <w:jc w:val="both"/>
        <w:rPr>
          <w:rFonts w:eastAsia="宋体"/>
          <w:lang w:eastAsia="zh-CN"/>
        </w:rPr>
      </w:pPr>
      <w:r>
        <w:t>Nike is also required to have a planned and emergent change. The digital personalisation can be used to plan the direction but not fully constructed as Kotter does it. Customer behaviour, algorithmic success, privacy standards and platform are changing at a rapid rate. Nike should therefore have an organized structure of governance that will incorporate learning cycles of pilot, measure, learn, adapt and scale. This would imply that marketing department would become a change agent in customer experience instead of being an organisation that merely initiates marketing campaigns.</w:t>
      </w:r>
    </w:p>
    <w:p w14:paraId="00DBC5AF" w14:textId="77777777" w:rsidR="00435B93" w:rsidRPr="001F51E2" w:rsidRDefault="00000000">
      <w:pPr>
        <w:pStyle w:val="21"/>
      </w:pPr>
      <w:bookmarkStart w:id="8" w:name="_Toc234426939"/>
      <w:r w:rsidRPr="001F51E2">
        <w:rPr>
          <w:rFonts w:ascii="Calibri" w:eastAsia="Calibri" w:hAnsi="Calibri"/>
        </w:rPr>
        <w:t>2.6 Future Developments and Marketing Control</w:t>
      </w:r>
      <w:bookmarkEnd w:id="8"/>
    </w:p>
    <w:p w14:paraId="734ACD27" w14:textId="6BC0DD32" w:rsidR="001F51E2" w:rsidRPr="001F51E2" w:rsidRDefault="001F51E2" w:rsidP="001F51E2">
      <w:pPr>
        <w:jc w:val="both"/>
        <w:rPr>
          <w:rFonts w:eastAsia="宋体"/>
          <w:lang w:eastAsia="zh-CN"/>
        </w:rPr>
      </w:pPr>
      <w:r>
        <w:t xml:space="preserve">The marketing strategy of Nike in the future must not be limited to enhancing existing apps. Four developments are especially relevant. To start with, generative AI may assist individualised training programs, product learning, shopping aid, regional content and service chat. When used responsibly, AI might enable a novice runner to learn about shoe options, create a weekly training schedule, or associate Nike </w:t>
      </w:r>
      <w:proofErr w:type="gramStart"/>
      <w:r>
        <w:t>By</w:t>
      </w:r>
      <w:proofErr w:type="gramEnd"/>
      <w:r>
        <w:t xml:space="preserve"> You design decisions with desired sport usage. Nevertheless, AI is not to be considered as a novelty. According to Huang and Rust (2021), AI has the potential to assist marketing research, strategy and action but its value will vary depending on the task and customer situation. Nike ought to thus start with high-value journeys where personalisation addresses a customer issue.</w:t>
      </w:r>
    </w:p>
    <w:p w14:paraId="6DE9A8E9" w14:textId="1A2648F5" w:rsidR="001F51E2" w:rsidRPr="001F51E2" w:rsidRDefault="001F51E2" w:rsidP="001F51E2">
      <w:pPr>
        <w:jc w:val="both"/>
        <w:rPr>
          <w:rFonts w:eastAsia="宋体"/>
          <w:lang w:eastAsia="zh-CN"/>
        </w:rPr>
      </w:pPr>
      <w:r>
        <w:t xml:space="preserve">Second, Nike </w:t>
      </w:r>
      <w:proofErr w:type="gramStart"/>
      <w:r>
        <w:t>By</w:t>
      </w:r>
      <w:proofErr w:type="gramEnd"/>
      <w:r>
        <w:t xml:space="preserve"> You is also able to develop as a co-creation product with the help of AI. Rather than having customers begin with a white canvas, Nike might propose the type of material and </w:t>
      </w:r>
      <w:r>
        <w:lastRenderedPageBreak/>
        <w:t>colour schemes and functionality that would be required in relation to the style, usage and purchase history. This will minimize decision fatigue and still give the customer freedom. It would also connect mass customisation to relationship marketing since the record of the design made by the customer could be used to recommend him or her again, repair his or her design, invite him or her to an event (Pine, 1993; Kumar and Reinartz, 2016).</w:t>
      </w:r>
    </w:p>
    <w:p w14:paraId="3BAEF919" w14:textId="4520E60D" w:rsidR="001F51E2" w:rsidRPr="001F51E2" w:rsidRDefault="001F51E2" w:rsidP="001F51E2">
      <w:pPr>
        <w:jc w:val="both"/>
        <w:rPr>
          <w:rFonts w:eastAsia="宋体"/>
          <w:lang w:eastAsia="zh-CN"/>
        </w:rPr>
      </w:pPr>
      <w:r>
        <w:t>Thirdly, omnichannel personalisation can be supported by AR and virtual try-on. SNKRS already explains the launch experiences that can potentially employ geo-located events, scannable AR targets and interactive discovery (Google Play, 2026b). More generally, AR has the potential to minimize uncertainty concerning fit, styling and product use in case it is linked with store inventory and expert advice. Studies of augmented reality indicate that immersive digital experiences may increase service value when they decrease uncertainty and enhance the sense of control of customers (Hilken et al., 2017). In the case of Nike, the chance is to connect AR try-on, store pick-up, Nike Experts and personalised sport guidance as opposed to employing AR as a promotional effect only.</w:t>
      </w:r>
    </w:p>
    <w:p w14:paraId="36011F4C" w14:textId="4DCD2799" w:rsidR="001F51E2" w:rsidRPr="001F51E2" w:rsidRDefault="001F51E2" w:rsidP="001F51E2">
      <w:pPr>
        <w:jc w:val="both"/>
        <w:rPr>
          <w:rFonts w:eastAsia="宋体"/>
          <w:lang w:eastAsia="zh-CN"/>
        </w:rPr>
      </w:pPr>
      <w:r>
        <w:t>Fourthly, future identity-based personalisation may be supported by. SWOOSH and gaming-related experiences. The update on the. SWOOSH of Nike explains that in-game wearables can be connected to game accounts and open physical apparel or footwear in real life (Nike Virtual Studios, 2024). This is to be done with caution as Web3 and gaming communities are volatile and hard to scale. However, it provides Nike with a path forward to integrate digital identity, community, sport culture and exclusive access to products. This should not be used as a substitute to mainstream app and retail journeys but instead as an experimental learning space by the marketing department.</w:t>
      </w:r>
    </w:p>
    <w:p w14:paraId="322BC825" w14:textId="641A8085" w:rsidR="00435B93" w:rsidRPr="001F51E2" w:rsidRDefault="001F51E2" w:rsidP="001F51E2">
      <w:pPr>
        <w:jc w:val="both"/>
        <w:rPr>
          <w:rFonts w:eastAsia="宋体"/>
          <w:lang w:eastAsia="zh-CN"/>
        </w:rPr>
      </w:pPr>
      <w:r>
        <w:t>These future developments make privacy-enhancing personalisation more important. Nike shouldn't just rely on gathering more raw data. GDPR principles like data minimisation and transparency indicate that organisations should collect and process data in a proportionate and explainable manner (European Parliament and Council, 2016; ICO, 2026). Privacy-enhancing technologies such as aggregated analytics and federated learning could enable Nike to improve recommendations while decreasing unnecessary exposure of personal data (</w:t>
      </w:r>
      <w:proofErr w:type="spellStart"/>
      <w:r>
        <w:t>Kairouz</w:t>
      </w:r>
      <w:proofErr w:type="spellEnd"/>
      <w:r>
        <w:t xml:space="preserve"> et al., 2021). Marketing control should include a dashboard that balances commercial value, experience quality and trust outcomes.</w:t>
      </w:r>
    </w:p>
    <w:p w14:paraId="54AA0437" w14:textId="77777777" w:rsidR="00435B93" w:rsidRPr="001F51E2" w:rsidRDefault="00000000">
      <w:pPr>
        <w:jc w:val="center"/>
      </w:pPr>
      <w:r w:rsidRPr="001F51E2">
        <w:rPr>
          <w:noProof/>
        </w:rPr>
        <w:lastRenderedPageBreak/>
        <w:drawing>
          <wp:inline distT="0" distB="0" distL="0" distR="0" wp14:anchorId="72099AE7" wp14:editId="758878F7">
            <wp:extent cx="5394960" cy="303466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ike_governance_dashboard.png"/>
                    <pic:cNvPicPr/>
                  </pic:nvPicPr>
                  <pic:blipFill>
                    <a:blip r:embed="rId9"/>
                    <a:stretch>
                      <a:fillRect/>
                    </a:stretch>
                  </pic:blipFill>
                  <pic:spPr>
                    <a:xfrm>
                      <a:off x="0" y="0"/>
                      <a:ext cx="5394960" cy="3034665"/>
                    </a:xfrm>
                    <a:prstGeom prst="rect">
                      <a:avLst/>
                    </a:prstGeom>
                  </pic:spPr>
                </pic:pic>
              </a:graphicData>
            </a:graphic>
          </wp:inline>
        </w:drawing>
      </w:r>
    </w:p>
    <w:p w14:paraId="1970847B" w14:textId="77777777" w:rsidR="00435B93" w:rsidRPr="001F51E2" w:rsidRDefault="00000000">
      <w:pPr>
        <w:spacing w:before="80" w:after="200"/>
        <w:jc w:val="center"/>
      </w:pPr>
      <w:r w:rsidRPr="001F51E2">
        <w:rPr>
          <w:i/>
          <w:sz w:val="22"/>
        </w:rPr>
        <w:t>Figure 2: Proposed dashboard balancing commercial, experience and trust outcomes.</w:t>
      </w:r>
    </w:p>
    <w:p w14:paraId="0C9715A3" w14:textId="77777777" w:rsidR="00435B93" w:rsidRPr="001F51E2" w:rsidRDefault="00000000">
      <w:pPr>
        <w:pStyle w:val="1"/>
      </w:pPr>
      <w:bookmarkStart w:id="9" w:name="_Toc234426940"/>
      <w:r w:rsidRPr="001F51E2">
        <w:rPr>
          <w:rFonts w:ascii="Calibri" w:eastAsia="Calibri" w:hAnsi="Calibri"/>
        </w:rPr>
        <w:t>3. Conclusion</w:t>
      </w:r>
      <w:bookmarkEnd w:id="9"/>
    </w:p>
    <w:p w14:paraId="48F0D568" w14:textId="0133AE78" w:rsidR="007D2B1C" w:rsidRPr="007D2B1C" w:rsidRDefault="007D2B1C" w:rsidP="007D2B1C">
      <w:pPr>
        <w:jc w:val="both"/>
        <w:rPr>
          <w:rFonts w:eastAsia="宋体"/>
          <w:lang w:eastAsia="zh-CN"/>
        </w:rPr>
      </w:pPr>
      <w:r>
        <w:t xml:space="preserve">Nike has a solid basis of its digital personalisation strategy, though it is not yet an entirely developed marketing change capability. Nike Membership, the Nike App, SNKRS, Nike Run Club, Nike Training Club and Nike </w:t>
      </w:r>
      <w:proofErr w:type="gramStart"/>
      <w:r>
        <w:t>By</w:t>
      </w:r>
      <w:proofErr w:type="gramEnd"/>
      <w:r>
        <w:t xml:space="preserve"> You are some of the richest digital ecosystems in global sportswear offered by the company. Through these platforms, Nike can develop direct relationships, collect first-party data, personalise product discovery, facilitate training and connect communities of sports. The main weakness however is that the ecosystem at Nike seems to be more powerful as a set of platforms than as a complete customer journey which is trusted and measurable.</w:t>
      </w:r>
    </w:p>
    <w:p w14:paraId="28C44706" w14:textId="601194E8" w:rsidR="007D2B1C" w:rsidRPr="007D2B1C" w:rsidRDefault="007D2B1C" w:rsidP="007D2B1C">
      <w:pPr>
        <w:jc w:val="both"/>
        <w:rPr>
          <w:rFonts w:eastAsia="宋体"/>
          <w:lang w:eastAsia="zh-CN"/>
        </w:rPr>
      </w:pPr>
      <w:r>
        <w:t>The second weakness is organisational. The marketing of digital personalisation needs to be done in IT, data science, legal, retail operations, product and customer service. However, the present-day evidence of the people does not demonstrate a clear model of governance on how these responsibilities are coordinated. When Nike views personalisation as a digital attribute instead of a controlled change process, it might find it difficult to fit creative marketing, algorithmic decision-making, privacy protections and store implementation.</w:t>
      </w:r>
    </w:p>
    <w:p w14:paraId="5AC2EB21" w14:textId="13B1FD74" w:rsidR="007D2B1C" w:rsidRPr="007D2B1C" w:rsidRDefault="007D2B1C" w:rsidP="007D2B1C">
      <w:pPr>
        <w:jc w:val="both"/>
        <w:rPr>
          <w:rFonts w:eastAsia="宋体"/>
          <w:lang w:eastAsia="zh-CN"/>
        </w:rPr>
      </w:pPr>
      <w:r>
        <w:t xml:space="preserve">The third disadvantage is the readiness in future. Nike has artificial intelligence, application, personalisation and social assets but this strategy does not seem to be very far from advertising of products and product launch hype. The marketing evolution will need to focus on generative AI, co-creation with Nike </w:t>
      </w:r>
      <w:proofErr w:type="gramStart"/>
      <w:r>
        <w:t>By</w:t>
      </w:r>
      <w:proofErr w:type="gramEnd"/>
      <w:r>
        <w:t xml:space="preserve"> You </w:t>
      </w:r>
      <w:proofErr w:type="gramStart"/>
      <w:r>
        <w:t>through the use of</w:t>
      </w:r>
      <w:proofErr w:type="gramEnd"/>
      <w:r>
        <w:t xml:space="preserve"> AI, AR or virtual try-on, SWOOSH-related digital identity, privacy analytics. These trends must not be followed because they are new. They ought to address individual issues of customers and enhance the sport-life-cycle processes.</w:t>
      </w:r>
    </w:p>
    <w:p w14:paraId="34D20197" w14:textId="02C32F54" w:rsidR="00435B93" w:rsidRPr="007D2B1C" w:rsidRDefault="007D2B1C" w:rsidP="007D2B1C">
      <w:pPr>
        <w:jc w:val="both"/>
        <w:rPr>
          <w:rFonts w:eastAsia="宋体"/>
          <w:lang w:eastAsia="zh-CN"/>
        </w:rPr>
      </w:pPr>
      <w:r>
        <w:lastRenderedPageBreak/>
        <w:t>The fourth weakness is evidence and measurement. The digital decline of Nike in FY2025 does not confirm that personalisation has failed, but it demonstrates that the success can be measured only by digital reach and platform ownership. Evidence on app-stores also indicates that notification, stock, fairness and purchase-flow issues may undermine customer trust. Thus, the future marketing strategy of Nike should shift to experience-based marketing change, which is based on governance, privacy-by-design and a balanced performance dashboard instead of campaign-driven digital activity.</w:t>
      </w:r>
    </w:p>
    <w:p w14:paraId="7793C09D" w14:textId="77777777" w:rsidR="00435B93" w:rsidRPr="001F51E2" w:rsidRDefault="00000000">
      <w:pPr>
        <w:pStyle w:val="1"/>
      </w:pPr>
      <w:bookmarkStart w:id="10" w:name="_Toc234426941"/>
      <w:r w:rsidRPr="001F51E2">
        <w:rPr>
          <w:rFonts w:ascii="Calibri" w:eastAsia="Calibri" w:hAnsi="Calibri"/>
        </w:rPr>
        <w:t>4. Recommendations</w:t>
      </w:r>
      <w:bookmarkEnd w:id="10"/>
    </w:p>
    <w:p w14:paraId="7A51412A" w14:textId="77777777" w:rsidR="00435B93" w:rsidRPr="001F51E2" w:rsidRDefault="00000000">
      <w:pPr>
        <w:pStyle w:val="21"/>
      </w:pPr>
      <w:bookmarkStart w:id="11" w:name="_Toc234426942"/>
      <w:r w:rsidRPr="001F51E2">
        <w:rPr>
          <w:rFonts w:ascii="Calibri" w:eastAsia="Calibri" w:hAnsi="Calibri"/>
        </w:rPr>
        <w:t>4.1 Establish a Cross-Functional Marketing Change Governance Model</w:t>
      </w:r>
      <w:bookmarkEnd w:id="11"/>
    </w:p>
    <w:p w14:paraId="20BE1A2D" w14:textId="209D621D" w:rsidR="007D2B1C" w:rsidRPr="007D2B1C" w:rsidRDefault="007D2B1C" w:rsidP="007D2B1C">
      <w:pPr>
        <w:jc w:val="both"/>
        <w:rPr>
          <w:rFonts w:eastAsia="宋体"/>
          <w:lang w:eastAsia="zh-CN"/>
        </w:rPr>
      </w:pPr>
      <w:r>
        <w:t>The company should make the personalisation of AI as an official marketing programme. Marketing, data science, IT, legal, retail operations and merchandising and customer service are to be included in a cross-functional steering group. The marketing needs to own the value proposition of the customer, the logic of the journey and the voice of the brand; the team of data must have the model testing and the quality of the data; the privacy and consent protection is to be owned by the legal department; the store execution must be owned by the retail operations and trade-offs between short term sales and long term trust can be resolved at the top level. This is a direct solution to the conclusion where the process was broken down into pieces, and the accountability was not clear. A possible realistic path of implementation will be to start with a pilot project that lasts 12 months with runners and sneaker customers and then after 3 months of its success in terms of trust and business results, it will expand on a larger scale.</w:t>
      </w:r>
    </w:p>
    <w:p w14:paraId="547EC371" w14:textId="37FF0398" w:rsidR="00435B93" w:rsidRPr="007D2B1C" w:rsidRDefault="007D2B1C" w:rsidP="007D2B1C">
      <w:pPr>
        <w:jc w:val="both"/>
        <w:rPr>
          <w:rFonts w:eastAsia="宋体"/>
          <w:lang w:eastAsia="zh-CN"/>
        </w:rPr>
      </w:pPr>
      <w:r>
        <w:t>Kotter can be used as a model to implement the roll-out: Nike can leverage on the digital revenue to create an urgency, form a coalition of people who are in favour of the change, and then present the personalisation vision to them, eliminate the channel between the customer and the company, and then use the first successes like app-to-store conversion or notification opt-outs (Kotter, 1996). Nevertheless, Nike should also rely on emergent learning since the behaviour of customers will not remain the same in future as well as AI performance (Cameron and Green, 2015).</w:t>
      </w:r>
    </w:p>
    <w:p w14:paraId="1E1C9B06" w14:textId="77777777" w:rsidR="00435B93" w:rsidRPr="001F51E2" w:rsidRDefault="00000000">
      <w:pPr>
        <w:pStyle w:val="21"/>
      </w:pPr>
      <w:bookmarkStart w:id="12" w:name="_Toc234426943"/>
      <w:r w:rsidRPr="001F51E2">
        <w:rPr>
          <w:rFonts w:ascii="Calibri" w:eastAsia="Calibri" w:hAnsi="Calibri"/>
        </w:rPr>
        <w:t>4.2 Build a Clearer First-Party Data Value Exchange and Privacy-Enhancing Personalisation</w:t>
      </w:r>
      <w:bookmarkEnd w:id="12"/>
    </w:p>
    <w:p w14:paraId="3FBFCA71" w14:textId="26B5FDA6" w:rsidR="007D2B1C" w:rsidRPr="007D2B1C" w:rsidRDefault="007D2B1C" w:rsidP="007D2B1C">
      <w:pPr>
        <w:jc w:val="both"/>
        <w:rPr>
          <w:rFonts w:eastAsia="宋体"/>
          <w:lang w:eastAsia="zh-CN"/>
        </w:rPr>
      </w:pPr>
      <w:r>
        <w:t xml:space="preserve">Nike needs to revamp its membership onboarding and preference centre so that customers can easily understand what data is being collected, what benefit they are getting and how they can manage personalisation. This should include simple explanations for fitness data, location-based services, product recommendations, inferences and automated profiling. The aim is to </w:t>
      </w:r>
      <w:r>
        <w:lastRenderedPageBreak/>
        <w:t>make privacy part of the customer experience, not a legal afterthought. This is possible since Nike already has member accounts, app infrastructure and privacy policies; the change is primarily about better communication, design and governance.</w:t>
      </w:r>
    </w:p>
    <w:p w14:paraId="5B9487FF" w14:textId="3BC618FC" w:rsidR="00435B93" w:rsidRPr="007D2B1C" w:rsidRDefault="007D2B1C" w:rsidP="007D2B1C">
      <w:pPr>
        <w:jc w:val="both"/>
        <w:rPr>
          <w:rFonts w:eastAsia="宋体"/>
          <w:lang w:eastAsia="zh-CN"/>
        </w:rPr>
      </w:pPr>
      <w:r>
        <w:t>Nike must also have privacy enhancing analytics. In the case of less risky applications, it is possible to use aggregated data or learn on the device. When the sports and location information are more sensitive, Nike should not be too much inquisitive about the details that they can provide the customer with. The suggestion made is aimed at solving the paradox of personalisation as well as GDPR principle of transparency, fairness and minimization of data (Aguirre et al., 2015; European Parliament and Council, 2016; Martin and Murphy, 2017).</w:t>
      </w:r>
    </w:p>
    <w:p w14:paraId="6C321DDF" w14:textId="77777777" w:rsidR="00435B93" w:rsidRPr="001F51E2" w:rsidRDefault="00000000">
      <w:pPr>
        <w:pStyle w:val="21"/>
      </w:pPr>
      <w:bookmarkStart w:id="13" w:name="_Toc234426944"/>
      <w:r w:rsidRPr="001F51E2">
        <w:rPr>
          <w:rFonts w:ascii="Calibri" w:eastAsia="Calibri" w:hAnsi="Calibri"/>
        </w:rPr>
        <w:t xml:space="preserve">4.3 Develop Generative AI and Nike </w:t>
      </w:r>
      <w:proofErr w:type="gramStart"/>
      <w:r w:rsidRPr="001F51E2">
        <w:rPr>
          <w:rFonts w:ascii="Calibri" w:eastAsia="Calibri" w:hAnsi="Calibri"/>
        </w:rPr>
        <w:t>By</w:t>
      </w:r>
      <w:proofErr w:type="gramEnd"/>
      <w:r w:rsidRPr="001F51E2">
        <w:rPr>
          <w:rFonts w:ascii="Calibri" w:eastAsia="Calibri" w:hAnsi="Calibri"/>
        </w:rPr>
        <w:t xml:space="preserve"> You Co-Creation Pilots</w:t>
      </w:r>
      <w:bookmarkEnd w:id="13"/>
    </w:p>
    <w:p w14:paraId="46D63B30" w14:textId="571C4141" w:rsidR="007D2B1C" w:rsidRPr="007D2B1C" w:rsidRDefault="007D2B1C" w:rsidP="007D2B1C">
      <w:pPr>
        <w:jc w:val="both"/>
        <w:rPr>
          <w:rFonts w:eastAsia="宋体"/>
          <w:lang w:eastAsia="zh-CN"/>
        </w:rPr>
      </w:pPr>
      <w:r>
        <w:t xml:space="preserve">Nike must focus on the generative AI experiments that will produce useful results instead of a general content mass. The best pilot would be to use Nike </w:t>
      </w:r>
      <w:proofErr w:type="gramStart"/>
      <w:r>
        <w:t>By</w:t>
      </w:r>
      <w:proofErr w:type="gramEnd"/>
      <w:r>
        <w:t xml:space="preserve"> You as a co-creation with the help of AI. The customers might get suggestions in designing their products according to their intended usage, preferences in style, favourite athletes, previous experiences and the sustainability options but still have the final say. Another possible experiment would be to train novice runners using AI technology, where they are given advice about shoes, recovery, local running events, etc., </w:t>
      </w:r>
      <w:proofErr w:type="gramStart"/>
      <w:r>
        <w:t>in order to</w:t>
      </w:r>
      <w:proofErr w:type="gramEnd"/>
      <w:r>
        <w:t xml:space="preserve"> provide them with product knowledge and training in the Nike Run Club.</w:t>
      </w:r>
    </w:p>
    <w:p w14:paraId="72486E50" w14:textId="3DC4318B" w:rsidR="00435B93" w:rsidRPr="007D2B1C" w:rsidRDefault="007D2B1C" w:rsidP="007D2B1C">
      <w:pPr>
        <w:jc w:val="both"/>
        <w:rPr>
          <w:rFonts w:eastAsia="宋体"/>
          <w:lang w:eastAsia="zh-CN"/>
        </w:rPr>
      </w:pPr>
      <w:r>
        <w:t xml:space="preserve">These pilots must be restricted, open and tested before it is implemented. The indicators that are to be considered should be the completion rate, customer satisfaction, repeat purchase, return rate, opt-out of privacy, and the customers have been able to know why a recommendation has been provided. The proposal does not require an investment in a completely new platform as it already relies on the co-creation service of Nike, and this would not be unrealistic. It also makes Nike </w:t>
      </w:r>
      <w:proofErr w:type="gramStart"/>
      <w:r>
        <w:t>By</w:t>
      </w:r>
      <w:proofErr w:type="gramEnd"/>
      <w:r>
        <w:t xml:space="preserve"> You more effective since it is not being used much in the logic of digital personalisation in the report.</w:t>
      </w:r>
    </w:p>
    <w:p w14:paraId="5FBCDB36" w14:textId="77777777" w:rsidR="00435B93" w:rsidRPr="001F51E2" w:rsidRDefault="00000000">
      <w:pPr>
        <w:pStyle w:val="21"/>
      </w:pPr>
      <w:bookmarkStart w:id="14" w:name="_Toc234426945"/>
      <w:r w:rsidRPr="001F51E2">
        <w:rPr>
          <w:rFonts w:ascii="Calibri" w:eastAsia="Calibri" w:hAnsi="Calibri"/>
        </w:rPr>
        <w:t>4.4 Turn Apps into Sport-Life-Cycle Journeys, Not Disconnected Campaigns</w:t>
      </w:r>
      <w:bookmarkEnd w:id="14"/>
    </w:p>
    <w:p w14:paraId="618CD326" w14:textId="6EDD598F" w:rsidR="007D2B1C" w:rsidRPr="007D2B1C" w:rsidRDefault="007D2B1C" w:rsidP="007D2B1C">
      <w:pPr>
        <w:jc w:val="both"/>
        <w:rPr>
          <w:rFonts w:eastAsia="宋体"/>
          <w:lang w:eastAsia="zh-CN"/>
        </w:rPr>
      </w:pPr>
      <w:r>
        <w:t>Nike must create a sport-life-cycle journey. In the case of runners, it will be about onboarding, 5K training, footwear, first race and so on. The gym can also be offered to set goals, workout routine, clothing advice, recovery and wellbeing. It would have to be transparent in its product launch, fair access, stories, local events and after-sales services to sneaker consumers. This would make personalisation more beneficial as opposed to discounts or drops.</w:t>
      </w:r>
    </w:p>
    <w:p w14:paraId="0E3FBA1B" w14:textId="728D3BC8" w:rsidR="00435B93" w:rsidRPr="007D2B1C" w:rsidRDefault="007D2B1C" w:rsidP="007D2B1C">
      <w:pPr>
        <w:jc w:val="both"/>
        <w:rPr>
          <w:rFonts w:eastAsia="宋体"/>
          <w:lang w:eastAsia="zh-CN"/>
        </w:rPr>
      </w:pPr>
      <w:r>
        <w:t xml:space="preserve">Change should be championed by journey owners within marketing. Each journey owner could collaborate with data, content, product and retail teams to ensure messages, recommendations, store services and member benefits join up. This directly addresses the criticism that Nikes </w:t>
      </w:r>
      <w:r>
        <w:lastRenderedPageBreak/>
        <w:t>ecosystem is fragmented. It also accords with customer journey theory, where value is created over time rather than at a single conversion point (Lemon and Verhoef, 2016).</w:t>
      </w:r>
    </w:p>
    <w:p w14:paraId="3DD35EC6" w14:textId="77777777" w:rsidR="00435B93" w:rsidRPr="001F51E2" w:rsidRDefault="00000000">
      <w:pPr>
        <w:pStyle w:val="21"/>
      </w:pPr>
      <w:bookmarkStart w:id="15" w:name="_Toc234426946"/>
      <w:r w:rsidRPr="001F51E2">
        <w:rPr>
          <w:rFonts w:ascii="Calibri" w:eastAsia="Calibri" w:hAnsi="Calibri"/>
        </w:rPr>
        <w:t>4.5 Strengthen Omnichannel, AR-Enabled and Measurable Experiences</w:t>
      </w:r>
      <w:bookmarkEnd w:id="15"/>
    </w:p>
    <w:p w14:paraId="641210D1" w14:textId="211A5C7A" w:rsidR="007D2B1C" w:rsidRPr="007D2B1C" w:rsidRDefault="007D2B1C" w:rsidP="007D2B1C">
      <w:pPr>
        <w:jc w:val="both"/>
        <w:rPr>
          <w:rFonts w:eastAsia="宋体"/>
          <w:lang w:eastAsia="zh-CN"/>
        </w:rPr>
      </w:pPr>
      <w:r>
        <w:t>Nike must also create an omnichannel personalisation of the digital insight and store experience, as well as AR. Practically speaking, the customer is to be able to get a recommendation on the Nike App and check the local stores, then either via AR or professional help, assess how it fits and looks, order it online and have it delivered to his/her home or in-store, after which he/she would receive some post-purchase training or care material. This is already possible with SNKRS store reservation and scanning at the store using the Nike App, therefore, this suggestion can be considered realistic (Nike, Inc., 2026c; Apple, 2026a).</w:t>
      </w:r>
    </w:p>
    <w:p w14:paraId="7FBBB882" w14:textId="50089678" w:rsidR="00435B93" w:rsidRPr="007D2B1C" w:rsidRDefault="007D2B1C" w:rsidP="007D2B1C">
      <w:pPr>
        <w:jc w:val="both"/>
        <w:rPr>
          <w:rFonts w:eastAsia="宋体"/>
          <w:lang w:eastAsia="zh-CN"/>
        </w:rPr>
      </w:pPr>
      <w:r>
        <w:t>Lastly, Nike can introduce the personalisation dashboard of governance. The commercial metrics will be in terms of conversion rate, repeat purchase, customer lifetime value, full price sell through and app to store sell through. It is important to measure experience by measuring the relevance of recommendations, retention of the application, completion of the journey, opt out of notification and AR try on satisfaction. The measures of trust would involve the clarity of consent, the complaints of privacy, the requests to delete data, the review of the model-bias and the understanding of customers of the personalisation. This would bring about a quantifiable future marketing growth, and it would also assist the marketing department to demonstrate its role towards the organisation at large.</w:t>
      </w:r>
    </w:p>
    <w:p w14:paraId="5FA23E99" w14:textId="77777777" w:rsidR="00435B93" w:rsidRPr="001F51E2" w:rsidRDefault="00000000">
      <w:r w:rsidRPr="001F51E2">
        <w:br w:type="page"/>
      </w:r>
    </w:p>
    <w:p w14:paraId="6E4858A8" w14:textId="77777777" w:rsidR="00435B93" w:rsidRPr="001F51E2" w:rsidRDefault="00000000">
      <w:pPr>
        <w:pStyle w:val="1"/>
      </w:pPr>
      <w:bookmarkStart w:id="16" w:name="_Toc234426947"/>
      <w:r w:rsidRPr="001F51E2">
        <w:rPr>
          <w:rFonts w:ascii="Calibri" w:eastAsia="Calibri" w:hAnsi="Calibri"/>
        </w:rPr>
        <w:lastRenderedPageBreak/>
        <w:t>References</w:t>
      </w:r>
      <w:bookmarkEnd w:id="16"/>
    </w:p>
    <w:p w14:paraId="687E2681" w14:textId="77777777" w:rsidR="00435B93" w:rsidRPr="001F51E2" w:rsidRDefault="00000000">
      <w:pPr>
        <w:spacing w:after="60" w:line="240" w:lineRule="auto"/>
        <w:ind w:left="283" w:hanging="283"/>
      </w:pPr>
      <w:r w:rsidRPr="001F51E2">
        <w:t>Aaker, D.A. (1996) Building Strong Brands. New York: Free Press.</w:t>
      </w:r>
    </w:p>
    <w:p w14:paraId="4A981E45" w14:textId="77777777" w:rsidR="00435B93" w:rsidRPr="001F51E2" w:rsidRDefault="00000000">
      <w:pPr>
        <w:spacing w:after="60" w:line="240" w:lineRule="auto"/>
        <w:ind w:left="283" w:hanging="283"/>
      </w:pPr>
      <w:r w:rsidRPr="001F51E2">
        <w:t>Adidas (2026) CONFIRMED | Sneakers &amp; more. Available at: https://apps.apple.com/us/app/confirmed-sneakers-more/id1508115448 (Accessed: 29 June 2026).</w:t>
      </w:r>
    </w:p>
    <w:p w14:paraId="48CE1D20" w14:textId="77777777" w:rsidR="00435B93" w:rsidRPr="001F51E2" w:rsidRDefault="00000000">
      <w:pPr>
        <w:spacing w:after="60" w:line="240" w:lineRule="auto"/>
        <w:ind w:left="283" w:hanging="283"/>
      </w:pPr>
      <w:r w:rsidRPr="001F51E2">
        <w:t xml:space="preserve">Aguirre, E., Mahr, D., Grewal, D., de Ruyter, K. and </w:t>
      </w:r>
      <w:proofErr w:type="spellStart"/>
      <w:r w:rsidRPr="001F51E2">
        <w:t>Wetzels</w:t>
      </w:r>
      <w:proofErr w:type="spellEnd"/>
      <w:r w:rsidRPr="001F51E2">
        <w:t>, M. (2015) 'Unravelling the personalisation paradox: The effect of information collection and trust-building strategies on online advertisement effectiveness', Journal of Retailing, 91(1), pp. 34-49. https://doi.org/10.1016/j.jretai.2014.09.005.</w:t>
      </w:r>
    </w:p>
    <w:p w14:paraId="26402939" w14:textId="77777777" w:rsidR="00435B93" w:rsidRPr="001F51E2" w:rsidRDefault="00000000">
      <w:pPr>
        <w:spacing w:after="60" w:line="240" w:lineRule="auto"/>
        <w:ind w:left="283" w:hanging="283"/>
      </w:pPr>
      <w:r w:rsidRPr="001F51E2">
        <w:t>Apple (2026a) Nike: Engineered for Athletes App. Available at: https://apps.apple.com/gb/app/nike-engineered-for-athletes/id1095459556 (Accessed: 29 June 2026).</w:t>
      </w:r>
    </w:p>
    <w:p w14:paraId="067A25F5" w14:textId="77777777" w:rsidR="00435B93" w:rsidRPr="001F51E2" w:rsidRDefault="00000000">
      <w:pPr>
        <w:spacing w:after="60" w:line="240" w:lineRule="auto"/>
        <w:ind w:left="283" w:hanging="283"/>
      </w:pPr>
      <w:r w:rsidRPr="001F51E2">
        <w:t>Apple (2026b) Nike SNKRS: Sneakers &amp; Apparel App. Available at: https://apps.apple.com/us/app/nike-snkrs-sneakers-apparel/id911130812 (Accessed: 29 June 2026).</w:t>
      </w:r>
    </w:p>
    <w:p w14:paraId="170EEEF7" w14:textId="77777777" w:rsidR="00435B93" w:rsidRPr="001F51E2" w:rsidRDefault="00000000">
      <w:pPr>
        <w:spacing w:after="60" w:line="240" w:lineRule="auto"/>
        <w:ind w:left="283" w:hanging="283"/>
      </w:pPr>
      <w:r w:rsidRPr="001F51E2">
        <w:t>ASICS (2026) ASICS Running Shoe Finder. Available at: https://www.asics.com/gb/en-gb/running-shoe-finder/ (Accessed: 29 June 2026).</w:t>
      </w:r>
    </w:p>
    <w:p w14:paraId="32F22DBB" w14:textId="77777777" w:rsidR="00435B93" w:rsidRPr="001F51E2" w:rsidRDefault="00000000">
      <w:pPr>
        <w:spacing w:after="60" w:line="240" w:lineRule="auto"/>
        <w:ind w:left="283" w:hanging="283"/>
      </w:pPr>
      <w:r w:rsidRPr="001F51E2">
        <w:t>Bleier, A. and Eisenbeiss, M. (2015) 'Personalized online advertising effectiveness: The interplay of what, when, and where', Marketing Science, 34(5), pp. 669-688. https://doi.org/10.1287/mksc.2015.0930.</w:t>
      </w:r>
    </w:p>
    <w:p w14:paraId="0FD13B06" w14:textId="77777777" w:rsidR="00435B93" w:rsidRPr="001F51E2" w:rsidRDefault="00000000">
      <w:pPr>
        <w:spacing w:after="60" w:line="240" w:lineRule="auto"/>
        <w:ind w:left="283" w:hanging="283"/>
      </w:pPr>
      <w:r w:rsidRPr="001F51E2">
        <w:t xml:space="preserve">Cameron, E. and Green, M. (2015) Making Sense of Change Management: A Complete Guide to the Models, Tools and Techniques of Organisational Change. 4th </w:t>
      </w:r>
      <w:proofErr w:type="spellStart"/>
      <w:r w:rsidRPr="001F51E2">
        <w:t>edn</w:t>
      </w:r>
      <w:proofErr w:type="spellEnd"/>
      <w:r w:rsidRPr="001F51E2">
        <w:t>. London: Kogan Page.</w:t>
      </w:r>
    </w:p>
    <w:p w14:paraId="68D211B8" w14:textId="77777777" w:rsidR="00435B93" w:rsidRPr="001F51E2" w:rsidRDefault="00000000">
      <w:pPr>
        <w:spacing w:after="60" w:line="240" w:lineRule="auto"/>
        <w:ind w:left="283" w:hanging="283"/>
      </w:pPr>
      <w:r w:rsidRPr="001F51E2">
        <w:t xml:space="preserve">Chaffey, D. and Ellis-Chadwick, F. (2022) Digital Marketing: Strategy, Implementation and Practice. 8th </w:t>
      </w:r>
      <w:proofErr w:type="spellStart"/>
      <w:r w:rsidRPr="001F51E2">
        <w:t>edn</w:t>
      </w:r>
      <w:proofErr w:type="spellEnd"/>
      <w:r w:rsidRPr="001F51E2">
        <w:t>. Harlow: Pearson.</w:t>
      </w:r>
    </w:p>
    <w:p w14:paraId="5DFEB70E" w14:textId="77777777" w:rsidR="00435B93" w:rsidRPr="001F51E2" w:rsidRDefault="00000000">
      <w:pPr>
        <w:spacing w:after="60" w:line="240" w:lineRule="auto"/>
        <w:ind w:left="283" w:hanging="283"/>
      </w:pPr>
      <w:r w:rsidRPr="001F51E2">
        <w:t xml:space="preserve">Davenport, T., Guha, A., Grewal, D. and </w:t>
      </w:r>
      <w:proofErr w:type="spellStart"/>
      <w:r w:rsidRPr="001F51E2">
        <w:t>Bressgott</w:t>
      </w:r>
      <w:proofErr w:type="spellEnd"/>
      <w:r w:rsidRPr="001F51E2">
        <w:t>, T. (2020) 'How artificial intelligence will change the future of marketing', Journal of the Academy of Marketing Science, 48(1), pp. 24-42. https://doi.org/10.1007/s11747-019-00696-0.</w:t>
      </w:r>
    </w:p>
    <w:p w14:paraId="0FC16D8E" w14:textId="77777777" w:rsidR="00435B93" w:rsidRPr="001F51E2" w:rsidRDefault="00000000">
      <w:pPr>
        <w:spacing w:after="60" w:line="240" w:lineRule="auto"/>
        <w:ind w:left="283" w:hanging="283"/>
      </w:pPr>
      <w:r w:rsidRPr="001F51E2">
        <w:t>European Parliament and Council (2016) Regulation (EU) 2016/679: General Data Protection Regulation. Brussels: Official Journal of the European Union. Available at: https://eur-lex.europa.eu/eli/reg/2016/679/oj/eng (Accessed: 29 June 2026).</w:t>
      </w:r>
    </w:p>
    <w:p w14:paraId="0A948F6B" w14:textId="77777777" w:rsidR="00435B93" w:rsidRPr="001F51E2" w:rsidRDefault="00000000">
      <w:pPr>
        <w:spacing w:after="60" w:line="240" w:lineRule="auto"/>
        <w:ind w:left="283" w:hanging="283"/>
      </w:pPr>
      <w:r w:rsidRPr="001F51E2">
        <w:t xml:space="preserve">Fill, C. and Turnbull, S. (2019) Marketing Communications: Touchpoints, Sharing and Disruption. 8th </w:t>
      </w:r>
      <w:proofErr w:type="spellStart"/>
      <w:r w:rsidRPr="001F51E2">
        <w:t>edn</w:t>
      </w:r>
      <w:proofErr w:type="spellEnd"/>
      <w:r w:rsidRPr="001F51E2">
        <w:t>. Harlow: Pearson.</w:t>
      </w:r>
    </w:p>
    <w:p w14:paraId="004EC382" w14:textId="77777777" w:rsidR="00435B93" w:rsidRPr="001F51E2" w:rsidRDefault="00000000">
      <w:pPr>
        <w:spacing w:after="60" w:line="240" w:lineRule="auto"/>
        <w:ind w:left="283" w:hanging="283"/>
      </w:pPr>
      <w:r w:rsidRPr="001F51E2">
        <w:t>Google Play (2026a) Nike: Engineered for Athletes. Available at: https://play.google.com/store/apps/details?id=com.nike.omega (Accessed: 29 June 2026).</w:t>
      </w:r>
    </w:p>
    <w:p w14:paraId="68AEF837" w14:textId="77777777" w:rsidR="00435B93" w:rsidRPr="001F51E2" w:rsidRDefault="00000000">
      <w:pPr>
        <w:spacing w:after="60" w:line="240" w:lineRule="auto"/>
        <w:ind w:left="283" w:hanging="283"/>
      </w:pPr>
      <w:r w:rsidRPr="001F51E2">
        <w:t>Google Play (2026b) Nike SNKRS: Shoes &amp; Streetwear. Available at: https://play.google.com/store/apps/details?id=com.nike.snkrs (Accessed: 29 June 2026).</w:t>
      </w:r>
    </w:p>
    <w:p w14:paraId="1B753358" w14:textId="77777777" w:rsidR="00435B93" w:rsidRPr="001F51E2" w:rsidRDefault="00000000">
      <w:pPr>
        <w:spacing w:after="60" w:line="240" w:lineRule="auto"/>
        <w:ind w:left="283" w:hanging="283"/>
      </w:pPr>
      <w:r w:rsidRPr="001F51E2">
        <w:t xml:space="preserve">Grewal, D., Roggeveen, A.L. and </w:t>
      </w:r>
      <w:proofErr w:type="spellStart"/>
      <w:r w:rsidRPr="001F51E2">
        <w:t>Nordfalt</w:t>
      </w:r>
      <w:proofErr w:type="spellEnd"/>
      <w:r w:rsidRPr="001F51E2">
        <w:t>, J. (2017) 'The future of retailing', Journal of Retailing, 93(1), pp. 1-6. https://doi.org/10.1016/j.jretai.2016.12.008.</w:t>
      </w:r>
    </w:p>
    <w:p w14:paraId="7A3F8544" w14:textId="77777777" w:rsidR="00435B93" w:rsidRPr="001F51E2" w:rsidRDefault="00000000">
      <w:pPr>
        <w:spacing w:after="60" w:line="240" w:lineRule="auto"/>
        <w:ind w:left="283" w:hanging="283"/>
      </w:pPr>
      <w:r w:rsidRPr="001F51E2">
        <w:t xml:space="preserve">Hilken, T., de Ruyter, K., Chylinski, M., Mahr, D. and Keeling, D.I. (2017) 'Augmenting the eye of the beholder: exploring the strategic potential of augmented reality to enhance online </w:t>
      </w:r>
      <w:r w:rsidRPr="001F51E2">
        <w:lastRenderedPageBreak/>
        <w:t>service experiences', Journal of the Academy of Marketing Science, 45, pp. 884-905. https://doi.org/10.1007/s11747-017-0541-x.</w:t>
      </w:r>
    </w:p>
    <w:p w14:paraId="71E87AC9" w14:textId="77777777" w:rsidR="00435B93" w:rsidRPr="001F51E2" w:rsidRDefault="00000000">
      <w:pPr>
        <w:spacing w:after="60" w:line="240" w:lineRule="auto"/>
        <w:ind w:left="283" w:hanging="283"/>
      </w:pPr>
      <w:r w:rsidRPr="001F51E2">
        <w:t>Huang, M.-H. and Rust, R.T. (2021) 'A strategic framework for artificial intelligence in marketing', Journal of the Academy of Marketing Science, 49(1), pp. 30-50. https://doi.org/10.1007/s11747-020-00749-9.</w:t>
      </w:r>
    </w:p>
    <w:p w14:paraId="7EBB5F3C" w14:textId="77777777" w:rsidR="00435B93" w:rsidRPr="001F51E2" w:rsidRDefault="00000000">
      <w:pPr>
        <w:spacing w:after="60" w:line="240" w:lineRule="auto"/>
        <w:ind w:left="283" w:hanging="283"/>
      </w:pPr>
      <w:r w:rsidRPr="001F51E2">
        <w:t>Information Commissioner's Office (ICO) (2026) Rights related to automated decision-making including profiling. Available at: https://ico.org.uk/for-organisations/uk-gdpr-guidance-and-resources/individual-rights/individual-rights/rights-related-to-automated-decision-making-including-profiling/ (Accessed: 29 June 2026).</w:t>
      </w:r>
    </w:p>
    <w:p w14:paraId="7541887D" w14:textId="77777777" w:rsidR="00435B93" w:rsidRPr="001F51E2" w:rsidRDefault="00000000">
      <w:pPr>
        <w:spacing w:after="60" w:line="240" w:lineRule="auto"/>
        <w:ind w:left="283" w:hanging="283"/>
      </w:pPr>
      <w:r w:rsidRPr="001F51E2">
        <w:t>Kairouz, P. et al. (2021) 'Advances and open problems in federated learning', Foundations and Trends in Machine Learning, 14(1-2), pp. 1-210. https://doi.org/10.1561/2200000083.</w:t>
      </w:r>
    </w:p>
    <w:p w14:paraId="6E1E21D0" w14:textId="77777777" w:rsidR="00435B93" w:rsidRPr="001F51E2" w:rsidRDefault="00000000">
      <w:pPr>
        <w:spacing w:after="60" w:line="240" w:lineRule="auto"/>
        <w:ind w:left="283" w:hanging="283"/>
      </w:pPr>
      <w:r w:rsidRPr="001F51E2">
        <w:t xml:space="preserve">Keller, K.L. (2013) Strategic Brand Management: Building, Measuring, and Managing Brand Equity. 4th </w:t>
      </w:r>
      <w:proofErr w:type="spellStart"/>
      <w:r w:rsidRPr="001F51E2">
        <w:t>edn</w:t>
      </w:r>
      <w:proofErr w:type="spellEnd"/>
      <w:r w:rsidRPr="001F51E2">
        <w:t>. Harlow: Pearson.</w:t>
      </w:r>
    </w:p>
    <w:p w14:paraId="150412E4" w14:textId="77777777" w:rsidR="00435B93" w:rsidRPr="001F51E2" w:rsidRDefault="00000000">
      <w:pPr>
        <w:spacing w:after="60" w:line="240" w:lineRule="auto"/>
        <w:ind w:left="283" w:hanging="283"/>
      </w:pPr>
      <w:r w:rsidRPr="001F51E2">
        <w:t xml:space="preserve">Kotler, P., Keller, K.L. and Chernev, A. (2022) Marketing Management. 16th </w:t>
      </w:r>
      <w:proofErr w:type="spellStart"/>
      <w:r w:rsidRPr="001F51E2">
        <w:t>edn</w:t>
      </w:r>
      <w:proofErr w:type="spellEnd"/>
      <w:r w:rsidRPr="001F51E2">
        <w:t>. Harlow: Pearson.</w:t>
      </w:r>
    </w:p>
    <w:p w14:paraId="58555EB6" w14:textId="77777777" w:rsidR="00435B93" w:rsidRPr="001F51E2" w:rsidRDefault="00000000">
      <w:pPr>
        <w:spacing w:after="60" w:line="240" w:lineRule="auto"/>
        <w:ind w:left="283" w:hanging="283"/>
      </w:pPr>
      <w:r w:rsidRPr="001F51E2">
        <w:t>Kotter, J.P. (1996) Leading Change. Boston: Harvard Business School Press.</w:t>
      </w:r>
    </w:p>
    <w:p w14:paraId="5E1F5A8F" w14:textId="77777777" w:rsidR="00435B93" w:rsidRPr="001F51E2" w:rsidRDefault="00000000">
      <w:pPr>
        <w:spacing w:after="60" w:line="240" w:lineRule="auto"/>
        <w:ind w:left="283" w:hanging="283"/>
      </w:pPr>
      <w:r w:rsidRPr="001F51E2">
        <w:t xml:space="preserve">Kumar, V. and Reinartz, W. (2016) Customer Relationship Management: Concept, Strategy, and Tools. 3rd </w:t>
      </w:r>
      <w:proofErr w:type="spellStart"/>
      <w:r w:rsidRPr="001F51E2">
        <w:t>edn</w:t>
      </w:r>
      <w:proofErr w:type="spellEnd"/>
      <w:r w:rsidRPr="001F51E2">
        <w:t>. Berlin: Springer. https://doi.org/10.1007/978-3-662-55381-7.</w:t>
      </w:r>
    </w:p>
    <w:p w14:paraId="73E2161C" w14:textId="77777777" w:rsidR="00435B93" w:rsidRPr="001F51E2" w:rsidRDefault="00000000">
      <w:pPr>
        <w:spacing w:after="60" w:line="240" w:lineRule="auto"/>
        <w:ind w:left="283" w:hanging="283"/>
      </w:pPr>
      <w:r w:rsidRPr="001F51E2">
        <w:t>Lemon, K.N. and Verhoef, P.C. (2016) 'Understanding customer experience throughout the customer journey', Journal of Marketing, 80(6), pp. 69-96. https://doi.org/10.1509/jm.15.0420.</w:t>
      </w:r>
    </w:p>
    <w:p w14:paraId="43771B2B" w14:textId="77777777" w:rsidR="00435B93" w:rsidRPr="001F51E2" w:rsidRDefault="00000000">
      <w:pPr>
        <w:spacing w:after="60" w:line="240" w:lineRule="auto"/>
        <w:ind w:left="283" w:hanging="283"/>
      </w:pPr>
      <w:r w:rsidRPr="001F51E2">
        <w:t>Lululemon Studio (2026) lululemon Studio, formerly MIRROR. Available at: https://www.mirror.co/ (Accessed: 29 June 2026).</w:t>
      </w:r>
    </w:p>
    <w:p w14:paraId="4B5A2925" w14:textId="77777777" w:rsidR="00435B93" w:rsidRPr="001F51E2" w:rsidRDefault="00000000">
      <w:pPr>
        <w:spacing w:after="60" w:line="240" w:lineRule="auto"/>
        <w:ind w:left="283" w:hanging="283"/>
      </w:pPr>
      <w:r w:rsidRPr="001F51E2">
        <w:t>Martin, K.D. and Murphy, P.E. (2017) 'The role of data privacy in marketing', Journal of the Academy of Marketing Science, 45(2), pp. 135-155. https://doi.org/10.1007/s11747-016-0495-4.</w:t>
      </w:r>
    </w:p>
    <w:p w14:paraId="5CE95931" w14:textId="77777777" w:rsidR="00435B93" w:rsidRPr="001F51E2" w:rsidRDefault="00000000">
      <w:pPr>
        <w:spacing w:after="60" w:line="240" w:lineRule="auto"/>
        <w:ind w:left="283" w:hanging="283"/>
      </w:pPr>
      <w:r w:rsidRPr="001F51E2">
        <w:t>Nike, Inc. (2025a) NIKE, Inc. reports fiscal 2025 fourth quarter and full year results. Available at: https://investors.nike.com/investors/news-events-and-reports/investor-news/investor-news-details/2025/NIKE-Inc--Reports-Fiscal-2025-Fourth-Quarter-and-Full-Year-Results/default.aspx (Accessed: 29 June 2026).</w:t>
      </w:r>
    </w:p>
    <w:p w14:paraId="7F0F8417" w14:textId="77777777" w:rsidR="00435B93" w:rsidRPr="001F51E2" w:rsidRDefault="00000000">
      <w:pPr>
        <w:spacing w:after="60" w:line="240" w:lineRule="auto"/>
        <w:ind w:left="283" w:hanging="283"/>
      </w:pPr>
      <w:r w:rsidRPr="001F51E2">
        <w:t>Nike, Inc. (2025b) Form 10-K Annual Report 2025. Available at: https://s1.q4cdn.com/806093406/files/doc_financials/2025/ar/Nike-Inc-2025_10K.pdf (Accessed: 29 June 2026).</w:t>
      </w:r>
    </w:p>
    <w:p w14:paraId="114B57A6" w14:textId="77777777" w:rsidR="00435B93" w:rsidRPr="001F51E2" w:rsidRDefault="00000000">
      <w:pPr>
        <w:spacing w:after="60" w:line="240" w:lineRule="auto"/>
        <w:ind w:left="283" w:hanging="283"/>
      </w:pPr>
      <w:r w:rsidRPr="001F51E2">
        <w:t>Nike, Inc. (2026a) Nike App. Available at: https://www.nike.com/gb/nike-app (Accessed: 29 June 2026).</w:t>
      </w:r>
    </w:p>
    <w:p w14:paraId="126E475C" w14:textId="77777777" w:rsidR="00435B93" w:rsidRPr="001F51E2" w:rsidRDefault="00000000">
      <w:pPr>
        <w:spacing w:after="60" w:line="240" w:lineRule="auto"/>
        <w:ind w:left="283" w:hanging="283"/>
      </w:pPr>
      <w:r w:rsidRPr="001F51E2">
        <w:t>Nike, Inc. (2026b) Nike Privacy Policy. Available at: https://agreementservice.svs.nike.com/rest/agreement?agreementType=privacyPolicy&amp;country=US&amp;language=en&amp;requestType=redirect&amp;uxId=com.nike.commerce.nikedotcom.web (Accessed: 29 June 2026).</w:t>
      </w:r>
    </w:p>
    <w:p w14:paraId="2BB455E9" w14:textId="77777777" w:rsidR="00435B93" w:rsidRPr="001F51E2" w:rsidRDefault="00000000">
      <w:pPr>
        <w:spacing w:after="60" w:line="240" w:lineRule="auto"/>
        <w:ind w:left="283" w:hanging="283"/>
      </w:pPr>
      <w:r w:rsidRPr="001F51E2">
        <w:t>Nike, Inc. (2026c) Nike SNKRS App. Available at: https://www.nike.com/gb/snkrs-app (Accessed: 29 June 2026).</w:t>
      </w:r>
    </w:p>
    <w:p w14:paraId="40509C0B" w14:textId="77777777" w:rsidR="00435B93" w:rsidRPr="001F51E2" w:rsidRDefault="00000000">
      <w:pPr>
        <w:spacing w:after="60" w:line="240" w:lineRule="auto"/>
        <w:ind w:left="283" w:hanging="283"/>
      </w:pPr>
      <w:r w:rsidRPr="001F51E2">
        <w:lastRenderedPageBreak/>
        <w:t>Nike, Inc. (2026d) Nike Run Club App. Available at: https://www.nike.com/nrc-app (Accessed: 29 June 2026).</w:t>
      </w:r>
    </w:p>
    <w:p w14:paraId="6F7F2803" w14:textId="77777777" w:rsidR="00435B93" w:rsidRPr="001F51E2" w:rsidRDefault="00000000">
      <w:pPr>
        <w:spacing w:after="60" w:line="240" w:lineRule="auto"/>
        <w:ind w:left="283" w:hanging="283"/>
      </w:pPr>
      <w:r w:rsidRPr="001F51E2">
        <w:t>Nike, Inc. (2026e) Nike Training Club App. Available at: https://www.nike.com/ntc-app (Accessed: 29 June 2026).</w:t>
      </w:r>
    </w:p>
    <w:p w14:paraId="7C2EE902" w14:textId="77777777" w:rsidR="00435B93" w:rsidRPr="001F51E2" w:rsidRDefault="00000000">
      <w:pPr>
        <w:spacing w:after="60" w:line="240" w:lineRule="auto"/>
        <w:ind w:left="283" w:hanging="283"/>
      </w:pPr>
      <w:r w:rsidRPr="001F51E2">
        <w:t xml:space="preserve">Nike, Inc. (2026f) Nike </w:t>
      </w:r>
      <w:proofErr w:type="gramStart"/>
      <w:r w:rsidRPr="001F51E2">
        <w:t>By</w:t>
      </w:r>
      <w:proofErr w:type="gramEnd"/>
      <w:r w:rsidRPr="001F51E2">
        <w:t xml:space="preserve"> You Custom Shoes. Available at: https://www.nike.com/gb/nike-by-you (Accessed: 29 June 2026).</w:t>
      </w:r>
    </w:p>
    <w:p w14:paraId="2EADDD8D" w14:textId="77777777" w:rsidR="00435B93" w:rsidRPr="001F51E2" w:rsidRDefault="00000000">
      <w:pPr>
        <w:spacing w:after="60" w:line="240" w:lineRule="auto"/>
        <w:ind w:left="283" w:hanging="283"/>
      </w:pPr>
      <w:r w:rsidRPr="001F51E2">
        <w:t xml:space="preserve">Nike Virtual Studios (2024) An update on the future </w:t>
      </w:r>
      <w:proofErr w:type="gramStart"/>
      <w:r w:rsidRPr="001F51E2">
        <w:t>of .SWOOSH</w:t>
      </w:r>
      <w:proofErr w:type="gramEnd"/>
      <w:r w:rsidRPr="001F51E2">
        <w:t>. Available at: https://blog.swoosh.nike/an-update-on-the-future-of-swoosh-ef582788987c (Accessed: 29 June 2026).</w:t>
      </w:r>
    </w:p>
    <w:p w14:paraId="5F192C62" w14:textId="77777777" w:rsidR="00435B93" w:rsidRPr="001F51E2" w:rsidRDefault="00000000">
      <w:pPr>
        <w:spacing w:after="60" w:line="240" w:lineRule="auto"/>
        <w:ind w:left="283" w:hanging="283"/>
      </w:pPr>
      <w:r w:rsidRPr="001F51E2">
        <w:t>Payne, A. and Frow, P. (2005) 'A strategic framework for customer relationship management', Journal of Marketing, 69(4), pp. 167-176. https://doi.org/10.1509/jmkg.2005.69.4.167.</w:t>
      </w:r>
    </w:p>
    <w:p w14:paraId="63C89459" w14:textId="77777777" w:rsidR="00435B93" w:rsidRPr="001F51E2" w:rsidRDefault="00000000">
      <w:pPr>
        <w:spacing w:after="60" w:line="240" w:lineRule="auto"/>
        <w:ind w:left="283" w:hanging="283"/>
      </w:pPr>
      <w:r w:rsidRPr="001F51E2">
        <w:t>Pine, B.J. (1993) Mass Customization: The New Frontier in Business Competition. Boston: Harvard Business School Press.</w:t>
      </w:r>
    </w:p>
    <w:p w14:paraId="20F017FD" w14:textId="77777777" w:rsidR="00435B93" w:rsidRPr="001F51E2" w:rsidRDefault="00000000">
      <w:pPr>
        <w:spacing w:after="60" w:line="240" w:lineRule="auto"/>
        <w:ind w:left="283" w:hanging="283"/>
      </w:pPr>
      <w:r w:rsidRPr="001F51E2">
        <w:t>Verhoef, P.C., Kannan, P.K. and Inman, J.J. (2015) 'From multi-channel retailing to omni-channel retailing: Introduction to the special issue on multi-channel retailing', Journal of Retailing, 91(2), pp. 174-181. https://doi.org/10.1016/j.jretai.2015.02.005.</w:t>
      </w:r>
    </w:p>
    <w:p w14:paraId="35D50FD7" w14:textId="77777777" w:rsidR="00435B93" w:rsidRPr="001F51E2" w:rsidRDefault="00000000">
      <w:pPr>
        <w:spacing w:after="60" w:line="240" w:lineRule="auto"/>
        <w:ind w:left="283" w:hanging="283"/>
      </w:pPr>
      <w:r w:rsidRPr="001F51E2">
        <w:t>Waterman, R.H., Peters, T.J. and Phillips, J.R. (1980) 'Structure is not organization', Business Horizons, 23(3), pp. 14-26. https://doi.org/10.1016/0007-6813(80)90027-0.</w:t>
      </w:r>
    </w:p>
    <w:p w14:paraId="49CD7728" w14:textId="77777777" w:rsidR="00435B93" w:rsidRPr="001F51E2" w:rsidRDefault="00000000">
      <w:pPr>
        <w:spacing w:after="60" w:line="240" w:lineRule="auto"/>
        <w:ind w:left="283" w:hanging="283"/>
      </w:pPr>
      <w:r w:rsidRPr="001F51E2">
        <w:t>Wedel, M. and Kannan, P.K. (2016) 'Marketing analytics for data-rich environments', Journal of Marketing, 80(6), pp. 97-121. https://doi.org/10.1509/jm.15.0413.</w:t>
      </w:r>
    </w:p>
    <w:p w14:paraId="6A612161" w14:textId="77777777" w:rsidR="00435B93" w:rsidRPr="001F51E2" w:rsidRDefault="00000000">
      <w:r w:rsidRPr="001F51E2">
        <w:br w:type="page"/>
      </w:r>
    </w:p>
    <w:p w14:paraId="2B4A7D00" w14:textId="77777777" w:rsidR="00435B93" w:rsidRPr="001F51E2" w:rsidRDefault="00000000">
      <w:pPr>
        <w:pStyle w:val="1"/>
      </w:pPr>
      <w:bookmarkStart w:id="17" w:name="_Toc234426948"/>
      <w:r w:rsidRPr="001F51E2">
        <w:rPr>
          <w:rFonts w:ascii="Calibri" w:eastAsia="Calibri" w:hAnsi="Calibri"/>
        </w:rPr>
        <w:lastRenderedPageBreak/>
        <w:t>Appendices</w:t>
      </w:r>
      <w:bookmarkEnd w:id="17"/>
    </w:p>
    <w:p w14:paraId="63AA3F04" w14:textId="77777777" w:rsidR="00435B93" w:rsidRPr="001F51E2" w:rsidRDefault="00000000">
      <w:pPr>
        <w:pStyle w:val="21"/>
      </w:pPr>
      <w:bookmarkStart w:id="18" w:name="_Toc234426949"/>
      <w:r w:rsidRPr="001F51E2">
        <w:rPr>
          <w:rFonts w:ascii="Calibri" w:eastAsia="Calibri" w:hAnsi="Calibri"/>
        </w:rPr>
        <w:t>Appendix A: Illustrative Public App-Store Evidence and Limitations</w:t>
      </w:r>
      <w:bookmarkEnd w:id="18"/>
    </w:p>
    <w:tbl>
      <w:tblPr>
        <w:tblStyle w:val="aff1"/>
        <w:tblW w:w="0" w:type="auto"/>
        <w:jc w:val="center"/>
        <w:tblBorders>
          <w:top w:val="single" w:sz="6" w:space="0" w:color="BFBFBF"/>
          <w:left w:val="single" w:sz="6" w:space="0" w:color="BFBFBF"/>
          <w:bottom w:val="single" w:sz="6" w:space="0" w:color="BFBFBF"/>
          <w:right w:val="single" w:sz="6" w:space="0" w:color="BFBFBF"/>
          <w:insideH w:val="single" w:sz="6" w:space="0" w:color="BFBFBF"/>
          <w:insideV w:val="single" w:sz="6" w:space="0" w:color="BFBFBF"/>
        </w:tblBorders>
        <w:tblLook w:val="04A0" w:firstRow="1" w:lastRow="0" w:firstColumn="1" w:lastColumn="0" w:noHBand="0" w:noVBand="1"/>
      </w:tblPr>
      <w:tblGrid>
        <w:gridCol w:w="1800"/>
        <w:gridCol w:w="2376"/>
        <w:gridCol w:w="2520"/>
        <w:gridCol w:w="2088"/>
      </w:tblGrid>
      <w:tr w:rsidR="00435B93" w:rsidRPr="001F51E2" w14:paraId="43D465D2" w14:textId="77777777" w:rsidTr="00DE7E70">
        <w:trPr>
          <w:tblHeader/>
          <w:jc w:val="center"/>
        </w:trPr>
        <w:tc>
          <w:tcPr>
            <w:tcW w:w="1800" w:type="dxa"/>
          </w:tcPr>
          <w:p w14:paraId="15406A60" w14:textId="77777777" w:rsidR="00435B93" w:rsidRPr="001F51E2" w:rsidRDefault="00000000">
            <w:pPr>
              <w:spacing w:after="40"/>
            </w:pPr>
            <w:r w:rsidRPr="001F51E2">
              <w:rPr>
                <w:b/>
                <w:sz w:val="19"/>
              </w:rPr>
              <w:t>Evidence source</w:t>
            </w:r>
          </w:p>
        </w:tc>
        <w:tc>
          <w:tcPr>
            <w:tcW w:w="2376" w:type="dxa"/>
          </w:tcPr>
          <w:p w14:paraId="633DAA42" w14:textId="77777777" w:rsidR="00435B93" w:rsidRPr="001F51E2" w:rsidRDefault="00000000">
            <w:pPr>
              <w:spacing w:after="40"/>
            </w:pPr>
            <w:r w:rsidRPr="001F51E2">
              <w:rPr>
                <w:b/>
                <w:sz w:val="19"/>
              </w:rPr>
              <w:t>Indicative insight</w:t>
            </w:r>
          </w:p>
        </w:tc>
        <w:tc>
          <w:tcPr>
            <w:tcW w:w="2520" w:type="dxa"/>
          </w:tcPr>
          <w:p w14:paraId="4FB98775" w14:textId="77777777" w:rsidR="00435B93" w:rsidRPr="001F51E2" w:rsidRDefault="00000000">
            <w:pPr>
              <w:spacing w:after="40"/>
            </w:pPr>
            <w:r w:rsidRPr="001F51E2">
              <w:rPr>
                <w:b/>
                <w:sz w:val="19"/>
              </w:rPr>
              <w:t>How it supports the analysis</w:t>
            </w:r>
          </w:p>
        </w:tc>
        <w:tc>
          <w:tcPr>
            <w:tcW w:w="2088" w:type="dxa"/>
          </w:tcPr>
          <w:p w14:paraId="1B8E7969" w14:textId="77777777" w:rsidR="00435B93" w:rsidRPr="001F51E2" w:rsidRDefault="00000000">
            <w:pPr>
              <w:spacing w:after="40"/>
            </w:pPr>
            <w:r w:rsidRPr="001F51E2">
              <w:rPr>
                <w:b/>
                <w:sz w:val="19"/>
              </w:rPr>
              <w:t>Limitation</w:t>
            </w:r>
          </w:p>
        </w:tc>
      </w:tr>
      <w:tr w:rsidR="00435B93" w:rsidRPr="001F51E2" w14:paraId="6C580EB4" w14:textId="77777777">
        <w:trPr>
          <w:jc w:val="center"/>
        </w:trPr>
        <w:tc>
          <w:tcPr>
            <w:tcW w:w="1800" w:type="dxa"/>
          </w:tcPr>
          <w:p w14:paraId="4652F75D" w14:textId="77777777" w:rsidR="00435B93" w:rsidRPr="001F51E2" w:rsidRDefault="00000000">
            <w:pPr>
              <w:spacing w:after="40"/>
            </w:pPr>
            <w:r w:rsidRPr="001F51E2">
              <w:rPr>
                <w:sz w:val="19"/>
              </w:rPr>
              <w:t>Nike App, Apple and Google Play</w:t>
            </w:r>
          </w:p>
        </w:tc>
        <w:tc>
          <w:tcPr>
            <w:tcW w:w="2376" w:type="dxa"/>
          </w:tcPr>
          <w:p w14:paraId="77E88EF6" w14:textId="77777777" w:rsidR="00435B93" w:rsidRPr="001F51E2" w:rsidRDefault="00000000">
            <w:pPr>
              <w:spacing w:after="40"/>
            </w:pPr>
            <w:r w:rsidRPr="001F51E2">
              <w:rPr>
                <w:sz w:val="19"/>
              </w:rPr>
              <w:t xml:space="preserve">High ratings and descriptions of member rewards, personalised recommendations, Nike </w:t>
            </w:r>
            <w:proofErr w:type="gramStart"/>
            <w:r w:rsidRPr="001F51E2">
              <w:rPr>
                <w:sz w:val="19"/>
              </w:rPr>
              <w:t>By</w:t>
            </w:r>
            <w:proofErr w:type="gramEnd"/>
            <w:r w:rsidRPr="001F51E2">
              <w:rPr>
                <w:sz w:val="19"/>
              </w:rPr>
              <w:t xml:space="preserve"> You and in-store tools.</w:t>
            </w:r>
          </w:p>
        </w:tc>
        <w:tc>
          <w:tcPr>
            <w:tcW w:w="2520" w:type="dxa"/>
          </w:tcPr>
          <w:p w14:paraId="2FC16DF4" w14:textId="77777777" w:rsidR="00435B93" w:rsidRPr="001F51E2" w:rsidRDefault="00000000">
            <w:pPr>
              <w:spacing w:after="40"/>
            </w:pPr>
            <w:r w:rsidRPr="001F51E2">
              <w:rPr>
                <w:sz w:val="19"/>
              </w:rPr>
              <w:t>Supports the view that Nike has strong digital foundations.</w:t>
            </w:r>
          </w:p>
        </w:tc>
        <w:tc>
          <w:tcPr>
            <w:tcW w:w="2088" w:type="dxa"/>
          </w:tcPr>
          <w:p w14:paraId="2AA3E369" w14:textId="77777777" w:rsidR="00435B93" w:rsidRPr="001F51E2" w:rsidRDefault="00000000">
            <w:pPr>
              <w:spacing w:after="40"/>
            </w:pPr>
            <w:r w:rsidRPr="001F51E2">
              <w:rPr>
                <w:sz w:val="19"/>
              </w:rPr>
              <w:t>Ratings do not prove campaign ROI or long-term loyalty.</w:t>
            </w:r>
          </w:p>
        </w:tc>
      </w:tr>
      <w:tr w:rsidR="00435B93" w:rsidRPr="001F51E2" w14:paraId="282D5D5B" w14:textId="77777777">
        <w:trPr>
          <w:jc w:val="center"/>
        </w:trPr>
        <w:tc>
          <w:tcPr>
            <w:tcW w:w="1800" w:type="dxa"/>
          </w:tcPr>
          <w:p w14:paraId="09390E3F" w14:textId="77777777" w:rsidR="00435B93" w:rsidRPr="001F51E2" w:rsidRDefault="00000000">
            <w:pPr>
              <w:spacing w:after="40"/>
            </w:pPr>
            <w:r w:rsidRPr="001F51E2">
              <w:rPr>
                <w:sz w:val="19"/>
              </w:rPr>
              <w:t>Nike App visible reviews</w:t>
            </w:r>
          </w:p>
        </w:tc>
        <w:tc>
          <w:tcPr>
            <w:tcW w:w="2376" w:type="dxa"/>
          </w:tcPr>
          <w:p w14:paraId="6CE44E4A" w14:textId="77777777" w:rsidR="00435B93" w:rsidRPr="001F51E2" w:rsidRDefault="00000000">
            <w:pPr>
              <w:spacing w:after="40"/>
            </w:pPr>
            <w:r w:rsidRPr="001F51E2">
              <w:rPr>
                <w:sz w:val="19"/>
              </w:rPr>
              <w:t>Publicly visible comments include both appreciation of suggestions/customisation and concerns around stock, filters and size availability.</w:t>
            </w:r>
          </w:p>
        </w:tc>
        <w:tc>
          <w:tcPr>
            <w:tcW w:w="2520" w:type="dxa"/>
          </w:tcPr>
          <w:p w14:paraId="0D9C710F" w14:textId="77777777" w:rsidR="00435B93" w:rsidRPr="001F51E2" w:rsidRDefault="00000000">
            <w:pPr>
              <w:spacing w:after="40"/>
            </w:pPr>
            <w:r w:rsidRPr="001F51E2">
              <w:rPr>
                <w:sz w:val="19"/>
              </w:rPr>
              <w:t>Supports the argument that relevance and product discovery need improvement.</w:t>
            </w:r>
          </w:p>
        </w:tc>
        <w:tc>
          <w:tcPr>
            <w:tcW w:w="2088" w:type="dxa"/>
          </w:tcPr>
          <w:p w14:paraId="45AA0FCF" w14:textId="77777777" w:rsidR="00435B93" w:rsidRPr="001F51E2" w:rsidRDefault="00000000">
            <w:pPr>
              <w:spacing w:after="40"/>
            </w:pPr>
            <w:r w:rsidRPr="001F51E2">
              <w:rPr>
                <w:sz w:val="19"/>
              </w:rPr>
              <w:t>Reviews are selective and not a representative sample.</w:t>
            </w:r>
          </w:p>
        </w:tc>
      </w:tr>
      <w:tr w:rsidR="00435B93" w:rsidRPr="001F51E2" w14:paraId="58ADB722" w14:textId="77777777">
        <w:trPr>
          <w:jc w:val="center"/>
        </w:trPr>
        <w:tc>
          <w:tcPr>
            <w:tcW w:w="1800" w:type="dxa"/>
          </w:tcPr>
          <w:p w14:paraId="6F6327C6" w14:textId="77777777" w:rsidR="00435B93" w:rsidRPr="001F51E2" w:rsidRDefault="00000000">
            <w:pPr>
              <w:spacing w:after="40"/>
            </w:pPr>
            <w:r w:rsidRPr="001F51E2">
              <w:rPr>
                <w:sz w:val="19"/>
              </w:rPr>
              <w:t>SNKRS, Apple and Google Play</w:t>
            </w:r>
          </w:p>
        </w:tc>
        <w:tc>
          <w:tcPr>
            <w:tcW w:w="2376" w:type="dxa"/>
          </w:tcPr>
          <w:p w14:paraId="49F9CE37" w14:textId="77777777" w:rsidR="00435B93" w:rsidRPr="001F51E2" w:rsidRDefault="00000000">
            <w:pPr>
              <w:spacing w:after="40"/>
            </w:pPr>
            <w:r w:rsidRPr="001F51E2">
              <w:rPr>
                <w:sz w:val="19"/>
              </w:rPr>
              <w:t>SNKRS is positioned around drops, launch access, maps, stories and community.</w:t>
            </w:r>
          </w:p>
        </w:tc>
        <w:tc>
          <w:tcPr>
            <w:tcW w:w="2520" w:type="dxa"/>
          </w:tcPr>
          <w:p w14:paraId="0F68F46B" w14:textId="77777777" w:rsidR="00435B93" w:rsidRPr="001F51E2" w:rsidRDefault="00000000">
            <w:pPr>
              <w:spacing w:after="40"/>
            </w:pPr>
            <w:r w:rsidRPr="001F51E2">
              <w:rPr>
                <w:sz w:val="19"/>
              </w:rPr>
              <w:t>Supports the claim that launch-based engagement is central.</w:t>
            </w:r>
          </w:p>
        </w:tc>
        <w:tc>
          <w:tcPr>
            <w:tcW w:w="2088" w:type="dxa"/>
          </w:tcPr>
          <w:p w14:paraId="48755794" w14:textId="77777777" w:rsidR="00435B93" w:rsidRPr="001F51E2" w:rsidRDefault="00000000">
            <w:pPr>
              <w:spacing w:after="40"/>
            </w:pPr>
            <w:r w:rsidRPr="001F51E2">
              <w:rPr>
                <w:sz w:val="19"/>
              </w:rPr>
              <w:t>App descriptions are promotional and do not show internal performance.</w:t>
            </w:r>
          </w:p>
        </w:tc>
      </w:tr>
      <w:tr w:rsidR="00435B93" w:rsidRPr="001F51E2" w14:paraId="5752EEDD" w14:textId="77777777">
        <w:trPr>
          <w:jc w:val="center"/>
        </w:trPr>
        <w:tc>
          <w:tcPr>
            <w:tcW w:w="1800" w:type="dxa"/>
          </w:tcPr>
          <w:p w14:paraId="1B57828C" w14:textId="77777777" w:rsidR="00435B93" w:rsidRPr="001F51E2" w:rsidRDefault="00000000">
            <w:pPr>
              <w:spacing w:after="40"/>
            </w:pPr>
            <w:r w:rsidRPr="001F51E2">
              <w:rPr>
                <w:sz w:val="19"/>
              </w:rPr>
              <w:t>SNKRS visible reviews</w:t>
            </w:r>
          </w:p>
        </w:tc>
        <w:tc>
          <w:tcPr>
            <w:tcW w:w="2376" w:type="dxa"/>
          </w:tcPr>
          <w:p w14:paraId="0737FD9E" w14:textId="77777777" w:rsidR="00435B93" w:rsidRPr="001F51E2" w:rsidRDefault="00000000">
            <w:pPr>
              <w:spacing w:after="40"/>
            </w:pPr>
            <w:r w:rsidRPr="001F51E2">
              <w:rPr>
                <w:sz w:val="19"/>
              </w:rPr>
              <w:t>Publicly visible comments raise concerns around bots, notifications, fairness and purchase failures.</w:t>
            </w:r>
          </w:p>
        </w:tc>
        <w:tc>
          <w:tcPr>
            <w:tcW w:w="2520" w:type="dxa"/>
          </w:tcPr>
          <w:p w14:paraId="0A095830" w14:textId="77777777" w:rsidR="00435B93" w:rsidRPr="001F51E2" w:rsidRDefault="00000000">
            <w:pPr>
              <w:spacing w:after="40"/>
            </w:pPr>
            <w:r w:rsidRPr="001F51E2">
              <w:rPr>
                <w:sz w:val="19"/>
              </w:rPr>
              <w:t>Supports the need for trust, fairness and operational reliability in personalisation.</w:t>
            </w:r>
          </w:p>
        </w:tc>
        <w:tc>
          <w:tcPr>
            <w:tcW w:w="2088" w:type="dxa"/>
          </w:tcPr>
          <w:p w14:paraId="2388EF59" w14:textId="77777777" w:rsidR="00435B93" w:rsidRPr="001F51E2" w:rsidRDefault="00000000">
            <w:pPr>
              <w:spacing w:after="40"/>
            </w:pPr>
            <w:r w:rsidRPr="001F51E2">
              <w:rPr>
                <w:sz w:val="19"/>
              </w:rPr>
              <w:t>Used only as illustrative evidence; no statistical sampling was conducted.</w:t>
            </w:r>
          </w:p>
        </w:tc>
      </w:tr>
    </w:tbl>
    <w:p w14:paraId="23A283B5" w14:textId="77777777" w:rsidR="00435B93" w:rsidRPr="001F51E2" w:rsidRDefault="00435B93"/>
    <w:p w14:paraId="2CA36E0D" w14:textId="77777777" w:rsidR="00435B93" w:rsidRPr="001F51E2" w:rsidRDefault="00000000">
      <w:pPr>
        <w:pStyle w:val="21"/>
      </w:pPr>
      <w:bookmarkStart w:id="19" w:name="_Toc234426950"/>
      <w:r w:rsidRPr="001F51E2">
        <w:rPr>
          <w:rFonts w:ascii="Calibri" w:eastAsia="Calibri" w:hAnsi="Calibri"/>
        </w:rPr>
        <w:t>Appendix B: Competitor Benchmark for Personalisation</w:t>
      </w:r>
      <w:bookmarkEnd w:id="19"/>
    </w:p>
    <w:tbl>
      <w:tblPr>
        <w:tblStyle w:val="aff1"/>
        <w:tblW w:w="0" w:type="auto"/>
        <w:jc w:val="center"/>
        <w:tblBorders>
          <w:top w:val="single" w:sz="6" w:space="0" w:color="BFBFBF"/>
          <w:left w:val="single" w:sz="6" w:space="0" w:color="BFBFBF"/>
          <w:bottom w:val="single" w:sz="6" w:space="0" w:color="BFBFBF"/>
          <w:right w:val="single" w:sz="6" w:space="0" w:color="BFBFBF"/>
          <w:insideH w:val="single" w:sz="6" w:space="0" w:color="BFBFBF"/>
          <w:insideV w:val="single" w:sz="6" w:space="0" w:color="BFBFBF"/>
        </w:tblBorders>
        <w:tblLook w:val="04A0" w:firstRow="1" w:lastRow="0" w:firstColumn="1" w:lastColumn="0" w:noHBand="0" w:noVBand="1"/>
      </w:tblPr>
      <w:tblGrid>
        <w:gridCol w:w="1800"/>
        <w:gridCol w:w="3671"/>
        <w:gridCol w:w="3384"/>
      </w:tblGrid>
      <w:tr w:rsidR="00435B93" w:rsidRPr="001F51E2" w14:paraId="1066ADB0" w14:textId="77777777" w:rsidTr="00DE7E70">
        <w:trPr>
          <w:tblHeader/>
          <w:jc w:val="center"/>
        </w:trPr>
        <w:tc>
          <w:tcPr>
            <w:tcW w:w="1800" w:type="dxa"/>
          </w:tcPr>
          <w:p w14:paraId="14C1C483" w14:textId="77777777" w:rsidR="00435B93" w:rsidRPr="001F51E2" w:rsidRDefault="00000000">
            <w:pPr>
              <w:spacing w:after="40"/>
            </w:pPr>
            <w:r w:rsidRPr="001F51E2">
              <w:rPr>
                <w:b/>
                <w:sz w:val="19"/>
              </w:rPr>
              <w:t>Brand</w:t>
            </w:r>
          </w:p>
        </w:tc>
        <w:tc>
          <w:tcPr>
            <w:tcW w:w="3671" w:type="dxa"/>
          </w:tcPr>
          <w:p w14:paraId="689C9C9F" w14:textId="77777777" w:rsidR="00435B93" w:rsidRPr="001F51E2" w:rsidRDefault="00000000">
            <w:pPr>
              <w:spacing w:after="40"/>
            </w:pPr>
            <w:r w:rsidRPr="001F51E2">
              <w:rPr>
                <w:b/>
                <w:sz w:val="19"/>
              </w:rPr>
              <w:t>Relevant practice</w:t>
            </w:r>
          </w:p>
        </w:tc>
        <w:tc>
          <w:tcPr>
            <w:tcW w:w="3384" w:type="dxa"/>
          </w:tcPr>
          <w:p w14:paraId="5B316118" w14:textId="77777777" w:rsidR="00435B93" w:rsidRPr="001F51E2" w:rsidRDefault="00000000">
            <w:pPr>
              <w:spacing w:after="40"/>
            </w:pPr>
            <w:r w:rsidRPr="001F51E2">
              <w:rPr>
                <w:b/>
                <w:sz w:val="19"/>
              </w:rPr>
              <w:t>Implication for Nike</w:t>
            </w:r>
          </w:p>
        </w:tc>
      </w:tr>
      <w:tr w:rsidR="00435B93" w:rsidRPr="001F51E2" w14:paraId="50772338" w14:textId="77777777">
        <w:trPr>
          <w:jc w:val="center"/>
        </w:trPr>
        <w:tc>
          <w:tcPr>
            <w:tcW w:w="1800" w:type="dxa"/>
          </w:tcPr>
          <w:p w14:paraId="4E21F5DB" w14:textId="77777777" w:rsidR="00435B93" w:rsidRPr="001F51E2" w:rsidRDefault="00000000">
            <w:pPr>
              <w:spacing w:after="40"/>
            </w:pPr>
            <w:r w:rsidRPr="001F51E2">
              <w:rPr>
                <w:sz w:val="19"/>
              </w:rPr>
              <w:t>Adidas CONFIRMED</w:t>
            </w:r>
          </w:p>
        </w:tc>
        <w:tc>
          <w:tcPr>
            <w:tcW w:w="3671" w:type="dxa"/>
          </w:tcPr>
          <w:p w14:paraId="07E19FE3" w14:textId="77777777" w:rsidR="00435B93" w:rsidRPr="001F51E2" w:rsidRDefault="00000000">
            <w:pPr>
              <w:spacing w:after="40"/>
            </w:pPr>
            <w:r w:rsidRPr="001F51E2">
              <w:rPr>
                <w:sz w:val="19"/>
              </w:rPr>
              <w:t>Curated drops, insider stories, member-only access, verified draw access and experiences.</w:t>
            </w:r>
          </w:p>
        </w:tc>
        <w:tc>
          <w:tcPr>
            <w:tcW w:w="3384" w:type="dxa"/>
          </w:tcPr>
          <w:p w14:paraId="75BF8C52" w14:textId="77777777" w:rsidR="00435B93" w:rsidRPr="001F51E2" w:rsidRDefault="00000000">
            <w:pPr>
              <w:spacing w:after="40"/>
            </w:pPr>
            <w:r w:rsidRPr="001F51E2">
              <w:rPr>
                <w:sz w:val="19"/>
              </w:rPr>
              <w:t>Nike SNKRS should strengthen fairness, community and long-term value beyond scarcity.</w:t>
            </w:r>
          </w:p>
        </w:tc>
      </w:tr>
      <w:tr w:rsidR="00435B93" w:rsidRPr="001F51E2" w14:paraId="61FD04D1" w14:textId="77777777">
        <w:trPr>
          <w:jc w:val="center"/>
        </w:trPr>
        <w:tc>
          <w:tcPr>
            <w:tcW w:w="1800" w:type="dxa"/>
          </w:tcPr>
          <w:p w14:paraId="058EF7E2" w14:textId="77777777" w:rsidR="00435B93" w:rsidRPr="001F51E2" w:rsidRDefault="00000000">
            <w:pPr>
              <w:spacing w:after="40"/>
            </w:pPr>
            <w:r w:rsidRPr="001F51E2">
              <w:rPr>
                <w:sz w:val="19"/>
              </w:rPr>
              <w:t>ASICS</w:t>
            </w:r>
          </w:p>
        </w:tc>
        <w:tc>
          <w:tcPr>
            <w:tcW w:w="3671" w:type="dxa"/>
          </w:tcPr>
          <w:p w14:paraId="58C85917" w14:textId="77777777" w:rsidR="00435B93" w:rsidRPr="001F51E2" w:rsidRDefault="00000000">
            <w:pPr>
              <w:spacing w:after="40"/>
            </w:pPr>
            <w:r w:rsidRPr="001F51E2">
              <w:rPr>
                <w:sz w:val="19"/>
              </w:rPr>
              <w:t>Running Shoe Finder helps customers find shoes that fit how they move.</w:t>
            </w:r>
          </w:p>
        </w:tc>
        <w:tc>
          <w:tcPr>
            <w:tcW w:w="3384" w:type="dxa"/>
          </w:tcPr>
          <w:p w14:paraId="190EA5D8" w14:textId="77777777" w:rsidR="00435B93" w:rsidRPr="001F51E2" w:rsidRDefault="00000000">
            <w:pPr>
              <w:spacing w:after="40"/>
            </w:pPr>
            <w:r w:rsidRPr="001F51E2">
              <w:rPr>
                <w:sz w:val="19"/>
              </w:rPr>
              <w:t>Nike can link NRC data and Nike Experts to clearer functional product guidance.</w:t>
            </w:r>
          </w:p>
        </w:tc>
      </w:tr>
      <w:tr w:rsidR="00435B93" w:rsidRPr="001F51E2" w14:paraId="19081C7F" w14:textId="77777777">
        <w:trPr>
          <w:jc w:val="center"/>
        </w:trPr>
        <w:tc>
          <w:tcPr>
            <w:tcW w:w="1800" w:type="dxa"/>
          </w:tcPr>
          <w:p w14:paraId="42AEAC5A" w14:textId="77777777" w:rsidR="00435B93" w:rsidRPr="001F51E2" w:rsidRDefault="00000000">
            <w:pPr>
              <w:spacing w:after="40"/>
            </w:pPr>
            <w:r w:rsidRPr="001F51E2">
              <w:rPr>
                <w:sz w:val="19"/>
              </w:rPr>
              <w:t>Lululemon Studio/Mirror</w:t>
            </w:r>
          </w:p>
        </w:tc>
        <w:tc>
          <w:tcPr>
            <w:tcW w:w="3671" w:type="dxa"/>
          </w:tcPr>
          <w:p w14:paraId="4216DE26" w14:textId="77777777" w:rsidR="00435B93" w:rsidRPr="001F51E2" w:rsidRDefault="00000000">
            <w:pPr>
              <w:spacing w:after="40"/>
            </w:pPr>
            <w:r w:rsidRPr="001F51E2">
              <w:rPr>
                <w:sz w:val="19"/>
              </w:rPr>
              <w:t>Connected fitness and membership model, but Mirror hardware is no longer available for purchase.</w:t>
            </w:r>
          </w:p>
        </w:tc>
        <w:tc>
          <w:tcPr>
            <w:tcW w:w="3384" w:type="dxa"/>
          </w:tcPr>
          <w:p w14:paraId="02552F66" w14:textId="77777777" w:rsidR="00435B93" w:rsidRPr="001F51E2" w:rsidRDefault="00000000">
            <w:pPr>
              <w:spacing w:after="40"/>
            </w:pPr>
            <w:r w:rsidRPr="001F51E2">
              <w:rPr>
                <w:sz w:val="19"/>
              </w:rPr>
              <w:t>Nike should avoid over-dependence on one hardware or subscription format and focus on platform integration.</w:t>
            </w:r>
          </w:p>
        </w:tc>
      </w:tr>
      <w:tr w:rsidR="00435B93" w:rsidRPr="001F51E2" w14:paraId="7C4B3BFF" w14:textId="77777777">
        <w:trPr>
          <w:jc w:val="center"/>
        </w:trPr>
        <w:tc>
          <w:tcPr>
            <w:tcW w:w="1800" w:type="dxa"/>
          </w:tcPr>
          <w:p w14:paraId="6739EFB4" w14:textId="77777777" w:rsidR="00435B93" w:rsidRPr="001F51E2" w:rsidRDefault="00000000">
            <w:pPr>
              <w:spacing w:after="40"/>
            </w:pPr>
            <w:r w:rsidRPr="001F51E2">
              <w:rPr>
                <w:sz w:val="19"/>
              </w:rPr>
              <w:t>Nike</w:t>
            </w:r>
          </w:p>
        </w:tc>
        <w:tc>
          <w:tcPr>
            <w:tcW w:w="3671" w:type="dxa"/>
          </w:tcPr>
          <w:p w14:paraId="34ADCCBE" w14:textId="77777777" w:rsidR="00435B93" w:rsidRPr="001F51E2" w:rsidRDefault="00000000">
            <w:pPr>
              <w:spacing w:after="40"/>
            </w:pPr>
            <w:r w:rsidRPr="001F51E2">
              <w:rPr>
                <w:sz w:val="19"/>
              </w:rPr>
              <w:t xml:space="preserve">Broad ecosystem: Nike App, SNKRS, NRC, NTC, Nike </w:t>
            </w:r>
            <w:proofErr w:type="gramStart"/>
            <w:r w:rsidRPr="001F51E2">
              <w:rPr>
                <w:sz w:val="19"/>
              </w:rPr>
              <w:t>By</w:t>
            </w:r>
            <w:proofErr w:type="gramEnd"/>
            <w:r w:rsidRPr="001F51E2">
              <w:rPr>
                <w:sz w:val="19"/>
              </w:rPr>
              <w:t xml:space="preserve"> You, stores </w:t>
            </w:r>
            <w:proofErr w:type="gramStart"/>
            <w:r w:rsidRPr="001F51E2">
              <w:rPr>
                <w:sz w:val="19"/>
              </w:rPr>
              <w:t>and .SWOOSH</w:t>
            </w:r>
            <w:proofErr w:type="gramEnd"/>
            <w:r w:rsidRPr="001F51E2">
              <w:rPr>
                <w:sz w:val="19"/>
              </w:rPr>
              <w:t>.</w:t>
            </w:r>
          </w:p>
        </w:tc>
        <w:tc>
          <w:tcPr>
            <w:tcW w:w="3384" w:type="dxa"/>
          </w:tcPr>
          <w:p w14:paraId="0A9474A3" w14:textId="77777777" w:rsidR="00435B93" w:rsidRPr="001F51E2" w:rsidRDefault="00000000">
            <w:pPr>
              <w:spacing w:after="40"/>
            </w:pPr>
            <w:r w:rsidRPr="001F51E2">
              <w:rPr>
                <w:sz w:val="19"/>
              </w:rPr>
              <w:t>Nike has greater breadth, but must improve orchestration, governance and trust.</w:t>
            </w:r>
          </w:p>
        </w:tc>
      </w:tr>
    </w:tbl>
    <w:p w14:paraId="6D499AF9" w14:textId="77777777" w:rsidR="00435B93" w:rsidRPr="001F51E2" w:rsidRDefault="00435B93"/>
    <w:p w14:paraId="3BCB2DAE" w14:textId="77777777" w:rsidR="00435B93" w:rsidRPr="001F51E2" w:rsidRDefault="00000000">
      <w:r w:rsidRPr="001F51E2">
        <w:br w:type="page"/>
      </w:r>
    </w:p>
    <w:p w14:paraId="7CA44359" w14:textId="77777777" w:rsidR="00435B93" w:rsidRPr="001F51E2" w:rsidRDefault="00000000">
      <w:pPr>
        <w:pStyle w:val="21"/>
      </w:pPr>
      <w:bookmarkStart w:id="20" w:name="_Toc234426951"/>
      <w:r w:rsidRPr="001F51E2">
        <w:rPr>
          <w:rFonts w:ascii="Calibri" w:eastAsia="Calibri" w:hAnsi="Calibri"/>
        </w:rPr>
        <w:lastRenderedPageBreak/>
        <w:t>Appendix C: Implementation Plan and KPI Logic</w:t>
      </w:r>
      <w:bookmarkEnd w:id="20"/>
    </w:p>
    <w:tbl>
      <w:tblPr>
        <w:tblStyle w:val="aff1"/>
        <w:tblW w:w="0" w:type="auto"/>
        <w:jc w:val="center"/>
        <w:tblBorders>
          <w:top w:val="single" w:sz="6" w:space="0" w:color="BFBFBF"/>
          <w:left w:val="single" w:sz="6" w:space="0" w:color="BFBFBF"/>
          <w:bottom w:val="single" w:sz="6" w:space="0" w:color="BFBFBF"/>
          <w:right w:val="single" w:sz="6" w:space="0" w:color="BFBFBF"/>
          <w:insideH w:val="single" w:sz="6" w:space="0" w:color="BFBFBF"/>
          <w:insideV w:val="single" w:sz="6" w:space="0" w:color="BFBFBF"/>
        </w:tblBorders>
        <w:tblLook w:val="04A0" w:firstRow="1" w:lastRow="0" w:firstColumn="1" w:lastColumn="0" w:noHBand="0" w:noVBand="1"/>
      </w:tblPr>
      <w:tblGrid>
        <w:gridCol w:w="1440"/>
        <w:gridCol w:w="3168"/>
        <w:gridCol w:w="2376"/>
        <w:gridCol w:w="2520"/>
      </w:tblGrid>
      <w:tr w:rsidR="00435B93" w:rsidRPr="001F51E2" w14:paraId="26F552A2" w14:textId="77777777" w:rsidTr="00DE7E70">
        <w:trPr>
          <w:tblHeader/>
          <w:jc w:val="center"/>
        </w:trPr>
        <w:tc>
          <w:tcPr>
            <w:tcW w:w="1440" w:type="dxa"/>
          </w:tcPr>
          <w:p w14:paraId="44B8B70D" w14:textId="77777777" w:rsidR="00435B93" w:rsidRPr="001F51E2" w:rsidRDefault="00000000">
            <w:pPr>
              <w:spacing w:after="40"/>
            </w:pPr>
            <w:r w:rsidRPr="001F51E2">
              <w:rPr>
                <w:b/>
                <w:sz w:val="19"/>
              </w:rPr>
              <w:t>Phase</w:t>
            </w:r>
          </w:p>
        </w:tc>
        <w:tc>
          <w:tcPr>
            <w:tcW w:w="3168" w:type="dxa"/>
          </w:tcPr>
          <w:p w14:paraId="7D53422A" w14:textId="77777777" w:rsidR="00435B93" w:rsidRPr="001F51E2" w:rsidRDefault="00000000">
            <w:pPr>
              <w:spacing w:after="40"/>
            </w:pPr>
            <w:r w:rsidRPr="001F51E2">
              <w:rPr>
                <w:b/>
                <w:sz w:val="19"/>
              </w:rPr>
              <w:t>Action</w:t>
            </w:r>
          </w:p>
        </w:tc>
        <w:tc>
          <w:tcPr>
            <w:tcW w:w="2376" w:type="dxa"/>
          </w:tcPr>
          <w:p w14:paraId="7E1E3A4B" w14:textId="77777777" w:rsidR="00435B93" w:rsidRPr="001F51E2" w:rsidRDefault="00000000">
            <w:pPr>
              <w:spacing w:after="40"/>
            </w:pPr>
            <w:r w:rsidRPr="001F51E2">
              <w:rPr>
                <w:b/>
                <w:sz w:val="19"/>
              </w:rPr>
              <w:t>Lead teams</w:t>
            </w:r>
          </w:p>
        </w:tc>
        <w:tc>
          <w:tcPr>
            <w:tcW w:w="2520" w:type="dxa"/>
          </w:tcPr>
          <w:p w14:paraId="68AF44F5" w14:textId="77777777" w:rsidR="00435B93" w:rsidRPr="001F51E2" w:rsidRDefault="00000000">
            <w:pPr>
              <w:spacing w:after="40"/>
            </w:pPr>
            <w:r w:rsidRPr="001F51E2">
              <w:rPr>
                <w:b/>
                <w:sz w:val="19"/>
              </w:rPr>
              <w:t>Example KPIs</w:t>
            </w:r>
          </w:p>
        </w:tc>
      </w:tr>
      <w:tr w:rsidR="00435B93" w:rsidRPr="001F51E2" w14:paraId="394B67D6" w14:textId="77777777">
        <w:trPr>
          <w:jc w:val="center"/>
        </w:trPr>
        <w:tc>
          <w:tcPr>
            <w:tcW w:w="1440" w:type="dxa"/>
          </w:tcPr>
          <w:p w14:paraId="2C6FCC59" w14:textId="77777777" w:rsidR="00435B93" w:rsidRPr="001F51E2" w:rsidRDefault="00000000">
            <w:pPr>
              <w:spacing w:after="40"/>
            </w:pPr>
            <w:r w:rsidRPr="001F51E2">
              <w:rPr>
                <w:sz w:val="19"/>
              </w:rPr>
              <w:t>0-3 months</w:t>
            </w:r>
          </w:p>
        </w:tc>
        <w:tc>
          <w:tcPr>
            <w:tcW w:w="3168" w:type="dxa"/>
          </w:tcPr>
          <w:p w14:paraId="57FF2E59" w14:textId="77777777" w:rsidR="00435B93" w:rsidRPr="001F51E2" w:rsidRDefault="00000000">
            <w:pPr>
              <w:spacing w:after="40"/>
            </w:pPr>
            <w:r w:rsidRPr="001F51E2">
              <w:rPr>
                <w:sz w:val="19"/>
              </w:rPr>
              <w:t>Map current journeys and create personalisation governance group.</w:t>
            </w:r>
          </w:p>
        </w:tc>
        <w:tc>
          <w:tcPr>
            <w:tcW w:w="2376" w:type="dxa"/>
          </w:tcPr>
          <w:p w14:paraId="73A1F920" w14:textId="77777777" w:rsidR="00435B93" w:rsidRPr="001F51E2" w:rsidRDefault="00000000">
            <w:pPr>
              <w:spacing w:after="40"/>
            </w:pPr>
            <w:r w:rsidRPr="001F51E2">
              <w:rPr>
                <w:sz w:val="19"/>
              </w:rPr>
              <w:t>Marketing, data, legal, retail operations</w:t>
            </w:r>
          </w:p>
        </w:tc>
        <w:tc>
          <w:tcPr>
            <w:tcW w:w="2520" w:type="dxa"/>
          </w:tcPr>
          <w:p w14:paraId="27DF36F0" w14:textId="77777777" w:rsidR="00435B93" w:rsidRPr="001F51E2" w:rsidRDefault="00000000">
            <w:pPr>
              <w:spacing w:after="40"/>
            </w:pPr>
            <w:r w:rsidRPr="001F51E2">
              <w:rPr>
                <w:sz w:val="19"/>
              </w:rPr>
              <w:t>Journey map completed; decision-rights agreed; privacy risks identified.</w:t>
            </w:r>
          </w:p>
        </w:tc>
      </w:tr>
      <w:tr w:rsidR="00435B93" w:rsidRPr="001F51E2" w14:paraId="6523CB8A" w14:textId="77777777">
        <w:trPr>
          <w:jc w:val="center"/>
        </w:trPr>
        <w:tc>
          <w:tcPr>
            <w:tcW w:w="1440" w:type="dxa"/>
          </w:tcPr>
          <w:p w14:paraId="1CDB3DA2" w14:textId="77777777" w:rsidR="00435B93" w:rsidRPr="001F51E2" w:rsidRDefault="00000000">
            <w:pPr>
              <w:spacing w:after="40"/>
            </w:pPr>
            <w:r w:rsidRPr="001F51E2">
              <w:rPr>
                <w:sz w:val="19"/>
              </w:rPr>
              <w:t>3-6 months</w:t>
            </w:r>
          </w:p>
        </w:tc>
        <w:tc>
          <w:tcPr>
            <w:tcW w:w="3168" w:type="dxa"/>
          </w:tcPr>
          <w:p w14:paraId="21D82EDE" w14:textId="77777777" w:rsidR="00435B93" w:rsidRPr="001F51E2" w:rsidRDefault="00000000">
            <w:pPr>
              <w:spacing w:after="40"/>
            </w:pPr>
            <w:r w:rsidRPr="001F51E2">
              <w:rPr>
                <w:sz w:val="19"/>
              </w:rPr>
              <w:t>Pilot clearer consent/value exchange and running journey personalisation.</w:t>
            </w:r>
          </w:p>
        </w:tc>
        <w:tc>
          <w:tcPr>
            <w:tcW w:w="2376" w:type="dxa"/>
          </w:tcPr>
          <w:p w14:paraId="7D8ACB45" w14:textId="77777777" w:rsidR="00435B93" w:rsidRPr="001F51E2" w:rsidRDefault="00000000">
            <w:pPr>
              <w:spacing w:after="40"/>
            </w:pPr>
            <w:r w:rsidRPr="001F51E2">
              <w:rPr>
                <w:sz w:val="19"/>
              </w:rPr>
              <w:t>Marketing, UX, legal, NRC, data</w:t>
            </w:r>
          </w:p>
        </w:tc>
        <w:tc>
          <w:tcPr>
            <w:tcW w:w="2520" w:type="dxa"/>
          </w:tcPr>
          <w:p w14:paraId="50A500FD" w14:textId="77777777" w:rsidR="00435B93" w:rsidRPr="001F51E2" w:rsidRDefault="00000000">
            <w:pPr>
              <w:spacing w:after="40"/>
            </w:pPr>
            <w:r w:rsidRPr="001F51E2">
              <w:rPr>
                <w:sz w:val="19"/>
              </w:rPr>
              <w:t>Consent comprehension; opt-out rate; journey completion; recommendation satisfaction.</w:t>
            </w:r>
          </w:p>
        </w:tc>
      </w:tr>
      <w:tr w:rsidR="00435B93" w:rsidRPr="001F51E2" w14:paraId="79445C19" w14:textId="77777777">
        <w:trPr>
          <w:jc w:val="center"/>
        </w:trPr>
        <w:tc>
          <w:tcPr>
            <w:tcW w:w="1440" w:type="dxa"/>
          </w:tcPr>
          <w:p w14:paraId="294460F9" w14:textId="77777777" w:rsidR="00435B93" w:rsidRPr="001F51E2" w:rsidRDefault="00000000">
            <w:pPr>
              <w:spacing w:after="40"/>
            </w:pPr>
            <w:r w:rsidRPr="001F51E2">
              <w:rPr>
                <w:sz w:val="19"/>
              </w:rPr>
              <w:t>6-9 months</w:t>
            </w:r>
          </w:p>
        </w:tc>
        <w:tc>
          <w:tcPr>
            <w:tcW w:w="3168" w:type="dxa"/>
          </w:tcPr>
          <w:p w14:paraId="3F490341" w14:textId="77777777" w:rsidR="00435B93" w:rsidRPr="001F51E2" w:rsidRDefault="00000000">
            <w:pPr>
              <w:spacing w:after="40"/>
            </w:pPr>
            <w:r w:rsidRPr="001F51E2">
              <w:rPr>
                <w:sz w:val="19"/>
              </w:rPr>
              <w:t xml:space="preserve">Launch Nike </w:t>
            </w:r>
            <w:proofErr w:type="gramStart"/>
            <w:r w:rsidRPr="001F51E2">
              <w:rPr>
                <w:sz w:val="19"/>
              </w:rPr>
              <w:t>By</w:t>
            </w:r>
            <w:proofErr w:type="gramEnd"/>
            <w:r w:rsidRPr="001F51E2">
              <w:rPr>
                <w:sz w:val="19"/>
              </w:rPr>
              <w:t xml:space="preserve"> You AI co-creation pilot and AR/store service test.</w:t>
            </w:r>
          </w:p>
        </w:tc>
        <w:tc>
          <w:tcPr>
            <w:tcW w:w="2376" w:type="dxa"/>
          </w:tcPr>
          <w:p w14:paraId="6F0EA36F" w14:textId="77777777" w:rsidR="00435B93" w:rsidRPr="001F51E2" w:rsidRDefault="00000000">
            <w:pPr>
              <w:spacing w:after="40"/>
            </w:pPr>
            <w:r w:rsidRPr="001F51E2">
              <w:rPr>
                <w:sz w:val="19"/>
              </w:rPr>
              <w:t>Marketing, product, IT, stores</w:t>
            </w:r>
          </w:p>
        </w:tc>
        <w:tc>
          <w:tcPr>
            <w:tcW w:w="2520" w:type="dxa"/>
          </w:tcPr>
          <w:p w14:paraId="1FA0DCD3" w14:textId="77777777" w:rsidR="00435B93" w:rsidRPr="001F51E2" w:rsidRDefault="00000000">
            <w:pPr>
              <w:spacing w:after="40"/>
            </w:pPr>
            <w:r w:rsidRPr="001F51E2">
              <w:rPr>
                <w:sz w:val="19"/>
              </w:rPr>
              <w:t>Completion rate; store pick-up conversion; return rate; customer satisfaction.</w:t>
            </w:r>
          </w:p>
        </w:tc>
      </w:tr>
      <w:tr w:rsidR="00435B93" w:rsidRPr="001F51E2" w14:paraId="00F8E09E" w14:textId="77777777">
        <w:trPr>
          <w:jc w:val="center"/>
        </w:trPr>
        <w:tc>
          <w:tcPr>
            <w:tcW w:w="1440" w:type="dxa"/>
          </w:tcPr>
          <w:p w14:paraId="4E8E15EE" w14:textId="77777777" w:rsidR="00435B93" w:rsidRPr="001F51E2" w:rsidRDefault="00000000">
            <w:pPr>
              <w:spacing w:after="40"/>
            </w:pPr>
            <w:r w:rsidRPr="001F51E2">
              <w:rPr>
                <w:sz w:val="19"/>
              </w:rPr>
              <w:t>9-12 months</w:t>
            </w:r>
          </w:p>
        </w:tc>
        <w:tc>
          <w:tcPr>
            <w:tcW w:w="3168" w:type="dxa"/>
          </w:tcPr>
          <w:p w14:paraId="3BEC2633" w14:textId="77777777" w:rsidR="00435B93" w:rsidRPr="001F51E2" w:rsidRDefault="00000000">
            <w:pPr>
              <w:spacing w:after="40"/>
            </w:pPr>
            <w:r w:rsidRPr="001F51E2">
              <w:rPr>
                <w:sz w:val="19"/>
              </w:rPr>
              <w:t>Scale successful pilots and review dashboard quarterly.</w:t>
            </w:r>
          </w:p>
        </w:tc>
        <w:tc>
          <w:tcPr>
            <w:tcW w:w="2376" w:type="dxa"/>
          </w:tcPr>
          <w:p w14:paraId="6D824B17" w14:textId="77777777" w:rsidR="00435B93" w:rsidRPr="001F51E2" w:rsidRDefault="00000000">
            <w:pPr>
              <w:spacing w:after="40"/>
            </w:pPr>
            <w:r w:rsidRPr="001F51E2">
              <w:rPr>
                <w:sz w:val="19"/>
              </w:rPr>
              <w:t>Senior leadership and all journey owners</w:t>
            </w:r>
          </w:p>
        </w:tc>
        <w:tc>
          <w:tcPr>
            <w:tcW w:w="2520" w:type="dxa"/>
          </w:tcPr>
          <w:p w14:paraId="3A87A605" w14:textId="77777777" w:rsidR="00435B93" w:rsidRPr="001F51E2" w:rsidRDefault="00000000">
            <w:pPr>
              <w:spacing w:after="40"/>
            </w:pPr>
            <w:r w:rsidRPr="001F51E2">
              <w:rPr>
                <w:sz w:val="19"/>
              </w:rPr>
              <w:t>Repeat purchase; CLV; app-to-store conversion; privacy complaints; full-price sell-through.</w:t>
            </w:r>
          </w:p>
        </w:tc>
      </w:tr>
    </w:tbl>
    <w:p w14:paraId="26CC8152" w14:textId="77777777" w:rsidR="0084019C" w:rsidRPr="00DE7E70" w:rsidRDefault="0084019C">
      <w:pPr>
        <w:rPr>
          <w:rFonts w:eastAsia="宋体"/>
          <w:lang w:eastAsia="zh-CN"/>
        </w:rPr>
      </w:pPr>
    </w:p>
    <w:sectPr w:rsidR="0084019C" w:rsidRPr="00DE7E70" w:rsidSect="00034616">
      <w:footerReference w:type="default" r:id="rId10"/>
      <w:pgSz w:w="12240" w:h="15840"/>
      <w:pgMar w:top="1440" w:right="1440" w:bottom="1440" w:left="1440" w:header="709" w:footer="709"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1B05A5" w14:textId="77777777" w:rsidR="007A355C" w:rsidRPr="001F51E2" w:rsidRDefault="007A355C">
      <w:pPr>
        <w:spacing w:after="0" w:line="240" w:lineRule="auto"/>
      </w:pPr>
      <w:r w:rsidRPr="001F51E2">
        <w:separator/>
      </w:r>
    </w:p>
  </w:endnote>
  <w:endnote w:type="continuationSeparator" w:id="0">
    <w:p w14:paraId="557A0A9D" w14:textId="77777777" w:rsidR="007A355C" w:rsidRPr="001F51E2" w:rsidRDefault="007A355C">
      <w:pPr>
        <w:spacing w:after="0" w:line="240" w:lineRule="auto"/>
      </w:pPr>
      <w:r w:rsidRPr="001F51E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宋体">
    <w:altName w:val="SimSun"/>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23962C" w14:textId="77777777" w:rsidR="00435B93" w:rsidRPr="001F51E2" w:rsidRDefault="00000000">
    <w:pPr>
      <w:pStyle w:val="a7"/>
      <w:jc w:val="center"/>
    </w:pPr>
    <w:r w:rsidRPr="001F51E2">
      <w:rPr>
        <w:sz w:val="20"/>
      </w:rPr>
      <w:fldChar w:fldCharType="begin"/>
    </w:r>
    <w:r w:rsidRPr="001F51E2">
      <w:rPr>
        <w:sz w:val="20"/>
      </w:rPr>
      <w:instrText>PAGE</w:instrText>
    </w:r>
    <w:r w:rsidRPr="001F51E2">
      <w:rPr>
        <w:sz w:val="20"/>
      </w:rPr>
      <w:fldChar w:fldCharType="separate"/>
    </w:r>
    <w:r w:rsidR="009F00D5" w:rsidRPr="001F51E2">
      <w:rPr>
        <w:sz w:val="20"/>
      </w:rPr>
      <w:t>1</w:t>
    </w:r>
    <w:r w:rsidRPr="001F51E2">
      <w:rPr>
        <w:sz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EF2B98" w14:textId="77777777" w:rsidR="007A355C" w:rsidRPr="001F51E2" w:rsidRDefault="007A355C">
      <w:pPr>
        <w:spacing w:after="0" w:line="240" w:lineRule="auto"/>
      </w:pPr>
      <w:r w:rsidRPr="001F51E2">
        <w:separator/>
      </w:r>
    </w:p>
  </w:footnote>
  <w:footnote w:type="continuationSeparator" w:id="0">
    <w:p w14:paraId="18FBD8D4" w14:textId="77777777" w:rsidR="007A355C" w:rsidRPr="001F51E2" w:rsidRDefault="007A355C">
      <w:pPr>
        <w:spacing w:after="0" w:line="240" w:lineRule="auto"/>
      </w:pPr>
      <w:r w:rsidRPr="001F51E2">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30"/>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20"/>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a"/>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a0"/>
      <w:lvlText w:val=""/>
      <w:lvlJc w:val="left"/>
      <w:pPr>
        <w:tabs>
          <w:tab w:val="num" w:pos="360"/>
        </w:tabs>
        <w:ind w:left="360" w:hanging="360"/>
      </w:pPr>
      <w:rPr>
        <w:rFonts w:ascii="Symbol" w:hAnsi="Symbol" w:hint="default"/>
      </w:rPr>
    </w:lvl>
  </w:abstractNum>
  <w:abstractNum w:abstractNumId="9" w15:restartNumberingAfterBreak="0">
    <w:nsid w:val="51F60214"/>
    <w:multiLevelType w:val="hybridMultilevel"/>
    <w:tmpl w:val="93524FBE"/>
    <w:lvl w:ilvl="0" w:tplc="EECC8A78">
      <w:start w:val="1"/>
      <w:numFmt w:val="decimal"/>
      <w:lvlText w:val="%1."/>
      <w:lvlJc w:val="left"/>
      <w:pPr>
        <w:ind w:left="360" w:hanging="360"/>
      </w:pPr>
      <w:rPr>
        <w:rFonts w:eastAsia="Calibri"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0" w15:restartNumberingAfterBreak="0">
    <w:nsid w:val="6B667402"/>
    <w:multiLevelType w:val="hybridMultilevel"/>
    <w:tmpl w:val="EFAAE350"/>
    <w:lvl w:ilvl="0" w:tplc="9BCC55A4">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945763853">
    <w:abstractNumId w:val="8"/>
  </w:num>
  <w:num w:numId="2" w16cid:durableId="1441677842">
    <w:abstractNumId w:val="6"/>
  </w:num>
  <w:num w:numId="3" w16cid:durableId="102307125">
    <w:abstractNumId w:val="5"/>
  </w:num>
  <w:num w:numId="4" w16cid:durableId="194119211">
    <w:abstractNumId w:val="4"/>
  </w:num>
  <w:num w:numId="5" w16cid:durableId="362482509">
    <w:abstractNumId w:val="7"/>
  </w:num>
  <w:num w:numId="6" w16cid:durableId="194201459">
    <w:abstractNumId w:val="3"/>
  </w:num>
  <w:num w:numId="7" w16cid:durableId="832912202">
    <w:abstractNumId w:val="2"/>
  </w:num>
  <w:num w:numId="8" w16cid:durableId="791559720">
    <w:abstractNumId w:val="1"/>
  </w:num>
  <w:num w:numId="9" w16cid:durableId="1899589013">
    <w:abstractNumId w:val="0"/>
  </w:num>
  <w:num w:numId="10" w16cid:durableId="1805268678">
    <w:abstractNumId w:val="9"/>
  </w:num>
  <w:num w:numId="11" w16cid:durableId="211366910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bordersDoNotSurroundHeader/>
  <w:bordersDoNotSurroundFooter/>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52476"/>
    <w:rsid w:val="0006063C"/>
    <w:rsid w:val="0015074B"/>
    <w:rsid w:val="001976F7"/>
    <w:rsid w:val="001E0030"/>
    <w:rsid w:val="001F51E2"/>
    <w:rsid w:val="00240E6B"/>
    <w:rsid w:val="0029639D"/>
    <w:rsid w:val="00326F90"/>
    <w:rsid w:val="00435B93"/>
    <w:rsid w:val="004A1FEE"/>
    <w:rsid w:val="006B737A"/>
    <w:rsid w:val="007A355C"/>
    <w:rsid w:val="007D2B1C"/>
    <w:rsid w:val="0084019C"/>
    <w:rsid w:val="009F00D5"/>
    <w:rsid w:val="00AA1D8D"/>
    <w:rsid w:val="00B47730"/>
    <w:rsid w:val="00B903DA"/>
    <w:rsid w:val="00CB0664"/>
    <w:rsid w:val="00DE7E70"/>
    <w:rsid w:val="00F60BCC"/>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20A11F26"/>
  <w14:defaultImageDpi w14:val="300"/>
  <w15:docId w15:val="{1CE06FF8-9091-4277-AAF9-45F7F65EA4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1">
    <w:name w:val="Normal"/>
    <w:qFormat/>
    <w:rsid w:val="00FC693F"/>
    <w:pPr>
      <w:spacing w:after="120"/>
    </w:pPr>
    <w:rPr>
      <w:rFonts w:ascii="Calibri" w:eastAsia="Calibri" w:hAnsi="Calibri"/>
      <w:sz w:val="24"/>
      <w:lang w:val="en-GB"/>
    </w:rPr>
  </w:style>
  <w:style w:type="paragraph" w:styleId="1">
    <w:name w:val="heading 1"/>
    <w:basedOn w:val="a1"/>
    <w:next w:val="a1"/>
    <w:link w:val="10"/>
    <w:uiPriority w:val="9"/>
    <w:qFormat/>
    <w:rsid w:val="00FC693F"/>
    <w:pPr>
      <w:keepNext/>
      <w:keepLines/>
      <w:spacing w:before="240"/>
      <w:outlineLvl w:val="0"/>
    </w:pPr>
    <w:rPr>
      <w:rFonts w:asciiTheme="majorHAnsi" w:eastAsiaTheme="majorEastAsia" w:hAnsiTheme="majorHAnsi" w:cstheme="majorBidi"/>
      <w:b/>
      <w:bCs/>
      <w:color w:val="000000"/>
      <w:sz w:val="28"/>
      <w:szCs w:val="28"/>
    </w:rPr>
  </w:style>
  <w:style w:type="paragraph" w:styleId="21">
    <w:name w:val="heading 2"/>
    <w:basedOn w:val="a1"/>
    <w:next w:val="a1"/>
    <w:link w:val="22"/>
    <w:uiPriority w:val="9"/>
    <w:unhideWhenUsed/>
    <w:qFormat/>
    <w:rsid w:val="00FC693F"/>
    <w:pPr>
      <w:keepNext/>
      <w:keepLines/>
      <w:spacing w:before="200"/>
      <w:outlineLvl w:val="1"/>
    </w:pPr>
    <w:rPr>
      <w:rFonts w:asciiTheme="majorHAnsi" w:eastAsiaTheme="majorEastAsia" w:hAnsiTheme="majorHAnsi" w:cstheme="majorBidi"/>
      <w:b/>
      <w:bCs/>
      <w:color w:val="000000"/>
      <w:sz w:val="28"/>
      <w:szCs w:val="26"/>
    </w:rPr>
  </w:style>
  <w:style w:type="paragraph" w:styleId="31">
    <w:name w:val="heading 3"/>
    <w:basedOn w:val="a1"/>
    <w:next w:val="a1"/>
    <w:link w:val="32"/>
    <w:uiPriority w:val="9"/>
    <w:unhideWhenUsed/>
    <w:qFormat/>
    <w:rsid w:val="00FC693F"/>
    <w:pPr>
      <w:keepLines/>
      <w:spacing w:before="200" w:after="0"/>
      <w:outlineLvl w:val="2"/>
    </w:pPr>
    <w:rPr>
      <w:rFonts w:asciiTheme="majorHAnsi" w:eastAsiaTheme="majorEastAsia" w:hAnsiTheme="majorHAnsi" w:cstheme="majorBidi"/>
      <w:b/>
      <w:bCs/>
      <w:color w:val="000000"/>
    </w:rPr>
  </w:style>
  <w:style w:type="paragraph" w:styleId="4">
    <w:name w:val="heading 4"/>
    <w:basedOn w:val="a1"/>
    <w:next w:val="a1"/>
    <w:link w:val="40"/>
    <w:uiPriority w:val="9"/>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5">
    <w:name w:val="heading 5"/>
    <w:basedOn w:val="a1"/>
    <w:next w:val="a1"/>
    <w:link w:val="50"/>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6">
    <w:name w:val="heading 6"/>
    <w:basedOn w:val="a1"/>
    <w:next w:val="a1"/>
    <w:link w:val="60"/>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7">
    <w:name w:val="heading 7"/>
    <w:basedOn w:val="a1"/>
    <w:next w:val="a1"/>
    <w:link w:val="70"/>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8">
    <w:name w:val="heading 8"/>
    <w:basedOn w:val="a1"/>
    <w:next w:val="a1"/>
    <w:link w:val="80"/>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9">
    <w:name w:val="heading 9"/>
    <w:basedOn w:val="a1"/>
    <w:next w:val="a1"/>
    <w:link w:val="90"/>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a2">
    <w:name w:val="Default Paragraph Font"/>
    <w:uiPriority w:val="1"/>
    <w:semiHidden/>
    <w:unhideWhenUsed/>
  </w:style>
  <w:style w:type="table" w:default="1" w:styleId="a3">
    <w:name w:val="Normal Table"/>
    <w:uiPriority w:val="99"/>
    <w:semiHidden/>
    <w:unhideWhenUsed/>
    <w:tblPr>
      <w:tblInd w:w="0" w:type="dxa"/>
      <w:tblCellMar>
        <w:top w:w="0" w:type="dxa"/>
        <w:left w:w="108" w:type="dxa"/>
        <w:bottom w:w="0" w:type="dxa"/>
        <w:right w:w="108" w:type="dxa"/>
      </w:tblCellMar>
    </w:tblPr>
  </w:style>
  <w:style w:type="numbering" w:default="1" w:styleId="a4">
    <w:name w:val="No List"/>
    <w:uiPriority w:val="99"/>
    <w:semiHidden/>
    <w:unhideWhenUsed/>
  </w:style>
  <w:style w:type="paragraph" w:styleId="a5">
    <w:name w:val="header"/>
    <w:basedOn w:val="a1"/>
    <w:link w:val="a6"/>
    <w:uiPriority w:val="99"/>
    <w:unhideWhenUsed/>
    <w:rsid w:val="00E618BF"/>
    <w:pPr>
      <w:tabs>
        <w:tab w:val="center" w:pos="4680"/>
        <w:tab w:val="right" w:pos="9360"/>
      </w:tabs>
      <w:spacing w:after="0" w:line="240" w:lineRule="auto"/>
    </w:pPr>
  </w:style>
  <w:style w:type="character" w:customStyle="1" w:styleId="a6">
    <w:name w:val="页眉 字符"/>
    <w:basedOn w:val="a2"/>
    <w:link w:val="a5"/>
    <w:uiPriority w:val="99"/>
    <w:rsid w:val="00E618BF"/>
  </w:style>
  <w:style w:type="paragraph" w:styleId="a7">
    <w:name w:val="footer"/>
    <w:basedOn w:val="a1"/>
    <w:link w:val="a8"/>
    <w:uiPriority w:val="99"/>
    <w:unhideWhenUsed/>
    <w:rsid w:val="00E618BF"/>
    <w:pPr>
      <w:tabs>
        <w:tab w:val="center" w:pos="4680"/>
        <w:tab w:val="right" w:pos="9360"/>
      </w:tabs>
      <w:spacing w:after="0" w:line="240" w:lineRule="auto"/>
    </w:pPr>
  </w:style>
  <w:style w:type="character" w:customStyle="1" w:styleId="a8">
    <w:name w:val="页脚 字符"/>
    <w:basedOn w:val="a2"/>
    <w:link w:val="a7"/>
    <w:uiPriority w:val="99"/>
    <w:rsid w:val="00E618BF"/>
  </w:style>
  <w:style w:type="paragraph" w:styleId="a9">
    <w:name w:val="No Spacing"/>
    <w:uiPriority w:val="1"/>
    <w:qFormat/>
    <w:rsid w:val="00FC693F"/>
    <w:pPr>
      <w:spacing w:after="0" w:line="240" w:lineRule="auto"/>
    </w:pPr>
  </w:style>
  <w:style w:type="character" w:customStyle="1" w:styleId="10">
    <w:name w:val="标题 1 字符"/>
    <w:basedOn w:val="a2"/>
    <w:link w:val="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22">
    <w:name w:val="标题 2 字符"/>
    <w:basedOn w:val="a2"/>
    <w:link w:val="21"/>
    <w:uiPriority w:val="9"/>
    <w:rsid w:val="00FC693F"/>
    <w:rPr>
      <w:rFonts w:asciiTheme="majorHAnsi" w:eastAsiaTheme="majorEastAsia" w:hAnsiTheme="majorHAnsi" w:cstheme="majorBidi"/>
      <w:b/>
      <w:bCs/>
      <w:color w:val="4F81BD" w:themeColor="accent1"/>
      <w:sz w:val="26"/>
      <w:szCs w:val="26"/>
    </w:rPr>
  </w:style>
  <w:style w:type="character" w:customStyle="1" w:styleId="32">
    <w:name w:val="标题 3 字符"/>
    <w:basedOn w:val="a2"/>
    <w:link w:val="31"/>
    <w:uiPriority w:val="9"/>
    <w:rsid w:val="00FC693F"/>
    <w:rPr>
      <w:rFonts w:asciiTheme="majorHAnsi" w:eastAsiaTheme="majorEastAsia" w:hAnsiTheme="majorHAnsi" w:cstheme="majorBidi"/>
      <w:b/>
      <w:bCs/>
      <w:color w:val="4F81BD" w:themeColor="accent1"/>
    </w:rPr>
  </w:style>
  <w:style w:type="paragraph" w:styleId="aa">
    <w:name w:val="Title"/>
    <w:basedOn w:val="a1"/>
    <w:next w:val="a1"/>
    <w:link w:val="ab"/>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b/>
      <w:color w:val="17365D" w:themeColor="text2" w:themeShade="BF"/>
      <w:spacing w:val="5"/>
      <w:kern w:val="28"/>
      <w:sz w:val="32"/>
      <w:szCs w:val="52"/>
    </w:rPr>
  </w:style>
  <w:style w:type="character" w:customStyle="1" w:styleId="ab">
    <w:name w:val="标题 字符"/>
    <w:basedOn w:val="a2"/>
    <w:link w:val="aa"/>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ac">
    <w:name w:val="Subtitle"/>
    <w:basedOn w:val="a1"/>
    <w:next w:val="a1"/>
    <w:link w:val="ad"/>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ad">
    <w:name w:val="副标题 字符"/>
    <w:basedOn w:val="a2"/>
    <w:link w:val="ac"/>
    <w:uiPriority w:val="11"/>
    <w:rsid w:val="00FC693F"/>
    <w:rPr>
      <w:rFonts w:asciiTheme="majorHAnsi" w:eastAsiaTheme="majorEastAsia" w:hAnsiTheme="majorHAnsi" w:cstheme="majorBidi"/>
      <w:i/>
      <w:iCs/>
      <w:color w:val="4F81BD" w:themeColor="accent1"/>
      <w:spacing w:val="15"/>
      <w:sz w:val="24"/>
      <w:szCs w:val="24"/>
    </w:rPr>
  </w:style>
  <w:style w:type="paragraph" w:styleId="ae">
    <w:name w:val="List Paragraph"/>
    <w:basedOn w:val="a1"/>
    <w:uiPriority w:val="34"/>
    <w:qFormat/>
    <w:rsid w:val="00FC693F"/>
    <w:pPr>
      <w:ind w:left="720"/>
      <w:contextualSpacing/>
    </w:pPr>
  </w:style>
  <w:style w:type="paragraph" w:styleId="af">
    <w:name w:val="Body Text"/>
    <w:basedOn w:val="a1"/>
    <w:link w:val="af0"/>
    <w:uiPriority w:val="99"/>
    <w:unhideWhenUsed/>
    <w:rsid w:val="00AA1D8D"/>
  </w:style>
  <w:style w:type="character" w:customStyle="1" w:styleId="af0">
    <w:name w:val="正文文本 字符"/>
    <w:basedOn w:val="a2"/>
    <w:link w:val="af"/>
    <w:uiPriority w:val="99"/>
    <w:rsid w:val="00AA1D8D"/>
  </w:style>
  <w:style w:type="paragraph" w:styleId="23">
    <w:name w:val="Body Text 2"/>
    <w:basedOn w:val="a1"/>
    <w:link w:val="24"/>
    <w:uiPriority w:val="99"/>
    <w:unhideWhenUsed/>
    <w:rsid w:val="00AA1D8D"/>
    <w:pPr>
      <w:spacing w:line="480" w:lineRule="auto"/>
    </w:pPr>
  </w:style>
  <w:style w:type="character" w:customStyle="1" w:styleId="24">
    <w:name w:val="正文文本 2 字符"/>
    <w:basedOn w:val="a2"/>
    <w:link w:val="23"/>
    <w:uiPriority w:val="99"/>
    <w:rsid w:val="00AA1D8D"/>
  </w:style>
  <w:style w:type="paragraph" w:styleId="33">
    <w:name w:val="Body Text 3"/>
    <w:basedOn w:val="a1"/>
    <w:link w:val="34"/>
    <w:uiPriority w:val="99"/>
    <w:unhideWhenUsed/>
    <w:rsid w:val="00AA1D8D"/>
    <w:rPr>
      <w:sz w:val="16"/>
      <w:szCs w:val="16"/>
    </w:rPr>
  </w:style>
  <w:style w:type="character" w:customStyle="1" w:styleId="34">
    <w:name w:val="正文文本 3 字符"/>
    <w:basedOn w:val="a2"/>
    <w:link w:val="33"/>
    <w:uiPriority w:val="99"/>
    <w:rsid w:val="00AA1D8D"/>
    <w:rPr>
      <w:sz w:val="16"/>
      <w:szCs w:val="16"/>
    </w:rPr>
  </w:style>
  <w:style w:type="paragraph" w:styleId="af1">
    <w:name w:val="List"/>
    <w:basedOn w:val="a1"/>
    <w:uiPriority w:val="99"/>
    <w:unhideWhenUsed/>
    <w:rsid w:val="00AA1D8D"/>
    <w:pPr>
      <w:ind w:left="360" w:hanging="360"/>
      <w:contextualSpacing/>
    </w:pPr>
  </w:style>
  <w:style w:type="paragraph" w:styleId="25">
    <w:name w:val="List 2"/>
    <w:basedOn w:val="a1"/>
    <w:uiPriority w:val="99"/>
    <w:unhideWhenUsed/>
    <w:rsid w:val="00326F90"/>
    <w:pPr>
      <w:ind w:left="720" w:hanging="360"/>
      <w:contextualSpacing/>
    </w:pPr>
  </w:style>
  <w:style w:type="paragraph" w:styleId="35">
    <w:name w:val="List 3"/>
    <w:basedOn w:val="a1"/>
    <w:uiPriority w:val="99"/>
    <w:unhideWhenUsed/>
    <w:rsid w:val="00326F90"/>
    <w:pPr>
      <w:ind w:left="1080" w:hanging="360"/>
      <w:contextualSpacing/>
    </w:pPr>
  </w:style>
  <w:style w:type="paragraph" w:styleId="a0">
    <w:name w:val="List Bullet"/>
    <w:basedOn w:val="a1"/>
    <w:uiPriority w:val="99"/>
    <w:unhideWhenUsed/>
    <w:rsid w:val="00326F90"/>
    <w:pPr>
      <w:numPr>
        <w:numId w:val="1"/>
      </w:numPr>
      <w:contextualSpacing/>
    </w:pPr>
  </w:style>
  <w:style w:type="paragraph" w:styleId="20">
    <w:name w:val="List Bullet 2"/>
    <w:basedOn w:val="a1"/>
    <w:uiPriority w:val="99"/>
    <w:unhideWhenUsed/>
    <w:rsid w:val="00326F90"/>
    <w:pPr>
      <w:numPr>
        <w:numId w:val="2"/>
      </w:numPr>
      <w:contextualSpacing/>
    </w:pPr>
  </w:style>
  <w:style w:type="paragraph" w:styleId="30">
    <w:name w:val="List Bullet 3"/>
    <w:basedOn w:val="a1"/>
    <w:uiPriority w:val="99"/>
    <w:unhideWhenUsed/>
    <w:rsid w:val="00326F90"/>
    <w:pPr>
      <w:numPr>
        <w:numId w:val="3"/>
      </w:numPr>
      <w:contextualSpacing/>
    </w:pPr>
  </w:style>
  <w:style w:type="paragraph" w:styleId="a">
    <w:name w:val="List Number"/>
    <w:basedOn w:val="a1"/>
    <w:uiPriority w:val="99"/>
    <w:unhideWhenUsed/>
    <w:rsid w:val="00326F90"/>
    <w:pPr>
      <w:numPr>
        <w:numId w:val="5"/>
      </w:numPr>
      <w:contextualSpacing/>
    </w:pPr>
  </w:style>
  <w:style w:type="paragraph" w:styleId="2">
    <w:name w:val="List Number 2"/>
    <w:basedOn w:val="a1"/>
    <w:uiPriority w:val="99"/>
    <w:unhideWhenUsed/>
    <w:rsid w:val="0029639D"/>
    <w:pPr>
      <w:numPr>
        <w:numId w:val="6"/>
      </w:numPr>
      <w:contextualSpacing/>
    </w:pPr>
  </w:style>
  <w:style w:type="paragraph" w:styleId="3">
    <w:name w:val="List Number 3"/>
    <w:basedOn w:val="a1"/>
    <w:uiPriority w:val="99"/>
    <w:unhideWhenUsed/>
    <w:rsid w:val="0029639D"/>
    <w:pPr>
      <w:numPr>
        <w:numId w:val="7"/>
      </w:numPr>
      <w:contextualSpacing/>
    </w:pPr>
  </w:style>
  <w:style w:type="paragraph" w:styleId="af2">
    <w:name w:val="List Continue"/>
    <w:basedOn w:val="a1"/>
    <w:uiPriority w:val="99"/>
    <w:unhideWhenUsed/>
    <w:rsid w:val="0029639D"/>
    <w:pPr>
      <w:ind w:left="360"/>
      <w:contextualSpacing/>
    </w:pPr>
  </w:style>
  <w:style w:type="paragraph" w:styleId="26">
    <w:name w:val="List Continue 2"/>
    <w:basedOn w:val="a1"/>
    <w:uiPriority w:val="99"/>
    <w:unhideWhenUsed/>
    <w:rsid w:val="0029639D"/>
    <w:pPr>
      <w:ind w:left="720"/>
      <w:contextualSpacing/>
    </w:pPr>
  </w:style>
  <w:style w:type="paragraph" w:styleId="36">
    <w:name w:val="List Continue 3"/>
    <w:basedOn w:val="a1"/>
    <w:uiPriority w:val="99"/>
    <w:unhideWhenUsed/>
    <w:rsid w:val="0029639D"/>
    <w:pPr>
      <w:ind w:left="1080"/>
      <w:contextualSpacing/>
    </w:pPr>
  </w:style>
  <w:style w:type="paragraph" w:styleId="af3">
    <w:name w:val="macro"/>
    <w:link w:val="af4"/>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af4">
    <w:name w:val="宏文本 字符"/>
    <w:basedOn w:val="a2"/>
    <w:link w:val="af3"/>
    <w:uiPriority w:val="99"/>
    <w:rsid w:val="0029639D"/>
    <w:rPr>
      <w:rFonts w:ascii="Courier" w:hAnsi="Courier"/>
      <w:sz w:val="20"/>
      <w:szCs w:val="20"/>
    </w:rPr>
  </w:style>
  <w:style w:type="paragraph" w:styleId="af5">
    <w:name w:val="Quote"/>
    <w:basedOn w:val="a1"/>
    <w:next w:val="a1"/>
    <w:link w:val="af6"/>
    <w:uiPriority w:val="29"/>
    <w:qFormat/>
    <w:rsid w:val="00FC693F"/>
    <w:rPr>
      <w:i/>
      <w:iCs/>
      <w:color w:val="000000" w:themeColor="text1"/>
    </w:rPr>
  </w:style>
  <w:style w:type="character" w:customStyle="1" w:styleId="af6">
    <w:name w:val="引用 字符"/>
    <w:basedOn w:val="a2"/>
    <w:link w:val="af5"/>
    <w:uiPriority w:val="29"/>
    <w:rsid w:val="00FC693F"/>
    <w:rPr>
      <w:i/>
      <w:iCs/>
      <w:color w:val="000000" w:themeColor="text1"/>
    </w:rPr>
  </w:style>
  <w:style w:type="character" w:customStyle="1" w:styleId="40">
    <w:name w:val="标题 4 字符"/>
    <w:basedOn w:val="a2"/>
    <w:link w:val="4"/>
    <w:uiPriority w:val="9"/>
    <w:rsid w:val="00FC693F"/>
    <w:rPr>
      <w:rFonts w:asciiTheme="majorHAnsi" w:eastAsiaTheme="majorEastAsia" w:hAnsiTheme="majorHAnsi" w:cstheme="majorBidi"/>
      <w:b/>
      <w:bCs/>
      <w:i/>
      <w:iCs/>
      <w:color w:val="4F81BD" w:themeColor="accent1"/>
    </w:rPr>
  </w:style>
  <w:style w:type="character" w:customStyle="1" w:styleId="50">
    <w:name w:val="标题 5 字符"/>
    <w:basedOn w:val="a2"/>
    <w:link w:val="5"/>
    <w:uiPriority w:val="9"/>
    <w:semiHidden/>
    <w:rsid w:val="00FC693F"/>
    <w:rPr>
      <w:rFonts w:asciiTheme="majorHAnsi" w:eastAsiaTheme="majorEastAsia" w:hAnsiTheme="majorHAnsi" w:cstheme="majorBidi"/>
      <w:color w:val="243F60" w:themeColor="accent1" w:themeShade="7F"/>
    </w:rPr>
  </w:style>
  <w:style w:type="character" w:customStyle="1" w:styleId="60">
    <w:name w:val="标题 6 字符"/>
    <w:basedOn w:val="a2"/>
    <w:link w:val="6"/>
    <w:uiPriority w:val="9"/>
    <w:semiHidden/>
    <w:rsid w:val="00FC693F"/>
    <w:rPr>
      <w:rFonts w:asciiTheme="majorHAnsi" w:eastAsiaTheme="majorEastAsia" w:hAnsiTheme="majorHAnsi" w:cstheme="majorBidi"/>
      <w:i/>
      <w:iCs/>
      <w:color w:val="243F60" w:themeColor="accent1" w:themeShade="7F"/>
    </w:rPr>
  </w:style>
  <w:style w:type="character" w:customStyle="1" w:styleId="70">
    <w:name w:val="标题 7 字符"/>
    <w:basedOn w:val="a2"/>
    <w:link w:val="7"/>
    <w:uiPriority w:val="9"/>
    <w:semiHidden/>
    <w:rsid w:val="00FC693F"/>
    <w:rPr>
      <w:rFonts w:asciiTheme="majorHAnsi" w:eastAsiaTheme="majorEastAsia" w:hAnsiTheme="majorHAnsi" w:cstheme="majorBidi"/>
      <w:i/>
      <w:iCs/>
      <w:color w:val="404040" w:themeColor="text1" w:themeTint="BF"/>
    </w:rPr>
  </w:style>
  <w:style w:type="character" w:customStyle="1" w:styleId="80">
    <w:name w:val="标题 8 字符"/>
    <w:basedOn w:val="a2"/>
    <w:link w:val="8"/>
    <w:uiPriority w:val="9"/>
    <w:semiHidden/>
    <w:rsid w:val="00FC693F"/>
    <w:rPr>
      <w:rFonts w:asciiTheme="majorHAnsi" w:eastAsiaTheme="majorEastAsia" w:hAnsiTheme="majorHAnsi" w:cstheme="majorBidi"/>
      <w:color w:val="4F81BD" w:themeColor="accent1"/>
      <w:sz w:val="20"/>
      <w:szCs w:val="20"/>
    </w:rPr>
  </w:style>
  <w:style w:type="character" w:customStyle="1" w:styleId="90">
    <w:name w:val="标题 9 字符"/>
    <w:basedOn w:val="a2"/>
    <w:link w:val="9"/>
    <w:uiPriority w:val="9"/>
    <w:semiHidden/>
    <w:rsid w:val="00FC693F"/>
    <w:rPr>
      <w:rFonts w:asciiTheme="majorHAnsi" w:eastAsiaTheme="majorEastAsia" w:hAnsiTheme="majorHAnsi" w:cstheme="majorBidi"/>
      <w:i/>
      <w:iCs/>
      <w:color w:val="404040" w:themeColor="text1" w:themeTint="BF"/>
      <w:sz w:val="20"/>
      <w:szCs w:val="20"/>
    </w:rPr>
  </w:style>
  <w:style w:type="paragraph" w:styleId="af7">
    <w:name w:val="caption"/>
    <w:basedOn w:val="a1"/>
    <w:next w:val="a1"/>
    <w:uiPriority w:val="35"/>
    <w:semiHidden/>
    <w:unhideWhenUsed/>
    <w:qFormat/>
    <w:rsid w:val="00FC693F"/>
    <w:pPr>
      <w:spacing w:line="240" w:lineRule="auto"/>
    </w:pPr>
    <w:rPr>
      <w:b/>
      <w:bCs/>
      <w:color w:val="4F81BD" w:themeColor="accent1"/>
      <w:sz w:val="18"/>
      <w:szCs w:val="18"/>
    </w:rPr>
  </w:style>
  <w:style w:type="character" w:styleId="af8">
    <w:name w:val="Strong"/>
    <w:basedOn w:val="a2"/>
    <w:uiPriority w:val="22"/>
    <w:qFormat/>
    <w:rsid w:val="00FC693F"/>
    <w:rPr>
      <w:b/>
      <w:bCs/>
    </w:rPr>
  </w:style>
  <w:style w:type="character" w:styleId="af9">
    <w:name w:val="Emphasis"/>
    <w:basedOn w:val="a2"/>
    <w:uiPriority w:val="20"/>
    <w:qFormat/>
    <w:rsid w:val="00FC693F"/>
    <w:rPr>
      <w:i/>
      <w:iCs/>
    </w:rPr>
  </w:style>
  <w:style w:type="paragraph" w:styleId="afa">
    <w:name w:val="Intense Quote"/>
    <w:basedOn w:val="a1"/>
    <w:next w:val="a1"/>
    <w:link w:val="afb"/>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afb">
    <w:name w:val="明显引用 字符"/>
    <w:basedOn w:val="a2"/>
    <w:link w:val="afa"/>
    <w:uiPriority w:val="30"/>
    <w:rsid w:val="00FC693F"/>
    <w:rPr>
      <w:b/>
      <w:bCs/>
      <w:i/>
      <w:iCs/>
      <w:color w:val="4F81BD" w:themeColor="accent1"/>
    </w:rPr>
  </w:style>
  <w:style w:type="character" w:styleId="afc">
    <w:name w:val="Subtle Emphasis"/>
    <w:basedOn w:val="a2"/>
    <w:uiPriority w:val="19"/>
    <w:qFormat/>
    <w:rsid w:val="00FC693F"/>
    <w:rPr>
      <w:i/>
      <w:iCs/>
      <w:color w:val="808080" w:themeColor="text1" w:themeTint="7F"/>
    </w:rPr>
  </w:style>
  <w:style w:type="character" w:styleId="afd">
    <w:name w:val="Intense Emphasis"/>
    <w:basedOn w:val="a2"/>
    <w:uiPriority w:val="21"/>
    <w:qFormat/>
    <w:rsid w:val="00FC693F"/>
    <w:rPr>
      <w:b/>
      <w:bCs/>
      <w:i/>
      <w:iCs/>
      <w:color w:val="4F81BD" w:themeColor="accent1"/>
    </w:rPr>
  </w:style>
  <w:style w:type="character" w:styleId="afe">
    <w:name w:val="Subtle Reference"/>
    <w:basedOn w:val="a2"/>
    <w:uiPriority w:val="31"/>
    <w:qFormat/>
    <w:rsid w:val="00FC693F"/>
    <w:rPr>
      <w:smallCaps/>
      <w:color w:val="C0504D" w:themeColor="accent2"/>
      <w:u w:val="single"/>
    </w:rPr>
  </w:style>
  <w:style w:type="character" w:styleId="aff">
    <w:name w:val="Intense Reference"/>
    <w:basedOn w:val="a2"/>
    <w:uiPriority w:val="32"/>
    <w:qFormat/>
    <w:rsid w:val="00FC693F"/>
    <w:rPr>
      <w:b/>
      <w:bCs/>
      <w:smallCaps/>
      <w:color w:val="C0504D" w:themeColor="accent2"/>
      <w:spacing w:val="5"/>
      <w:u w:val="single"/>
    </w:rPr>
  </w:style>
  <w:style w:type="character" w:styleId="aff0">
    <w:name w:val="Book Title"/>
    <w:basedOn w:val="a2"/>
    <w:uiPriority w:val="33"/>
    <w:qFormat/>
    <w:rsid w:val="00FC693F"/>
    <w:rPr>
      <w:b/>
      <w:bCs/>
      <w:smallCaps/>
      <w:spacing w:val="5"/>
    </w:rPr>
  </w:style>
  <w:style w:type="paragraph" w:styleId="TOC">
    <w:name w:val="TOC Heading"/>
    <w:basedOn w:val="1"/>
    <w:next w:val="a1"/>
    <w:uiPriority w:val="39"/>
    <w:unhideWhenUsed/>
    <w:qFormat/>
    <w:rsid w:val="00FC693F"/>
    <w:pPr>
      <w:outlineLvl w:val="9"/>
    </w:pPr>
  </w:style>
  <w:style w:type="table" w:styleId="aff1">
    <w:name w:val="Table Grid"/>
    <w:basedOn w:val="a3"/>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aff2">
    <w:name w:val="Light Shading"/>
    <w:basedOn w:val="a3"/>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1">
    <w:name w:val="Light Shading Accent 1"/>
    <w:basedOn w:val="a3"/>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2">
    <w:name w:val="Light Shading Accent 2"/>
    <w:basedOn w:val="a3"/>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3">
    <w:name w:val="Light Shading Accent 3"/>
    <w:basedOn w:val="a3"/>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4">
    <w:name w:val="Light Shading Accent 4"/>
    <w:basedOn w:val="a3"/>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5">
    <w:name w:val="Light Shading Accent 5"/>
    <w:basedOn w:val="a3"/>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6">
    <w:name w:val="Light Shading Accent 6"/>
    <w:basedOn w:val="a3"/>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aff3">
    <w:name w:val="Light List"/>
    <w:basedOn w:val="a3"/>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10">
    <w:name w:val="Light List Accent 1"/>
    <w:basedOn w:val="a3"/>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20">
    <w:name w:val="Light List Accent 2"/>
    <w:basedOn w:val="a3"/>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30">
    <w:name w:val="Light List Accent 3"/>
    <w:basedOn w:val="a3"/>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40">
    <w:name w:val="Light List Accent 4"/>
    <w:basedOn w:val="a3"/>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50">
    <w:name w:val="Light List Accent 5"/>
    <w:basedOn w:val="a3"/>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60">
    <w:name w:val="Light List Accent 6"/>
    <w:basedOn w:val="a3"/>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aff4">
    <w:name w:val="Light Grid"/>
    <w:basedOn w:val="a3"/>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11">
    <w:name w:val="Light Grid Accent 1"/>
    <w:basedOn w:val="a3"/>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21">
    <w:name w:val="Light Grid Accent 2"/>
    <w:basedOn w:val="a3"/>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31">
    <w:name w:val="Light Grid Accent 3"/>
    <w:basedOn w:val="a3"/>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41">
    <w:name w:val="Light Grid Accent 4"/>
    <w:basedOn w:val="a3"/>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51">
    <w:name w:val="Light Grid Accent 5"/>
    <w:basedOn w:val="a3"/>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61">
    <w:name w:val="Light Grid Accent 6"/>
    <w:basedOn w:val="a3"/>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11">
    <w:name w:val="Medium Shading 1"/>
    <w:basedOn w:val="a3"/>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1-1">
    <w:name w:val="Medium Shading 1 Accent 1"/>
    <w:basedOn w:val="a3"/>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1-2">
    <w:name w:val="Medium Shading 1 Accent 2"/>
    <w:basedOn w:val="a3"/>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1-3">
    <w:name w:val="Medium Shading 1 Accent 3"/>
    <w:basedOn w:val="a3"/>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1-4">
    <w:name w:val="Medium Shading 1 Accent 4"/>
    <w:basedOn w:val="a3"/>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1-5">
    <w:name w:val="Medium Shading 1 Accent 5"/>
    <w:basedOn w:val="a3"/>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1-6">
    <w:name w:val="Medium Shading 1 Accent 6"/>
    <w:basedOn w:val="a3"/>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27">
    <w:name w:val="Medium Shading 2"/>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1">
    <w:name w:val="Medium Shading 2 Accent 1"/>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2">
    <w:name w:val="Medium Shading 2 Accent 2"/>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3">
    <w:name w:val="Medium Shading 2 Accent 3"/>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4">
    <w:name w:val="Medium Shading 2 Accent 4"/>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5">
    <w:name w:val="Medium Shading 2 Accent 5"/>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6">
    <w:name w:val="Medium Shading 2 Accent 6"/>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12">
    <w:name w:val="Medium List 1"/>
    <w:basedOn w:val="a3"/>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1-10">
    <w:name w:val="Medium List 1 Accent 1"/>
    <w:basedOn w:val="a3"/>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1-20">
    <w:name w:val="Medium List 1 Accent 2"/>
    <w:basedOn w:val="a3"/>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1-30">
    <w:name w:val="Medium List 1 Accent 3"/>
    <w:basedOn w:val="a3"/>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1-40">
    <w:name w:val="Medium List 1 Accent 4"/>
    <w:basedOn w:val="a3"/>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1-50">
    <w:name w:val="Medium List 1 Accent 5"/>
    <w:basedOn w:val="a3"/>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1-60">
    <w:name w:val="Medium List 1 Accent 6"/>
    <w:basedOn w:val="a3"/>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28">
    <w:name w:val="Medium List 2"/>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2-10">
    <w:name w:val="Medium List 2 Accent 1"/>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2-20">
    <w:name w:val="Medium List 2 Accent 2"/>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2-30">
    <w:name w:val="Medium List 2 Accent 3"/>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2-40">
    <w:name w:val="Medium List 2 Accent 4"/>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2-50">
    <w:name w:val="Medium List 2 Accent 5"/>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2-60">
    <w:name w:val="Medium List 2 Accent 6"/>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13">
    <w:name w:val="Medium Grid 1"/>
    <w:basedOn w:val="a3"/>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1-11">
    <w:name w:val="Medium Grid 1 Accent 1"/>
    <w:basedOn w:val="a3"/>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1-21">
    <w:name w:val="Medium Grid 1 Accent 2"/>
    <w:basedOn w:val="a3"/>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1-31">
    <w:name w:val="Medium Grid 1 Accent 3"/>
    <w:basedOn w:val="a3"/>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1-41">
    <w:name w:val="Medium Grid 1 Accent 4"/>
    <w:basedOn w:val="a3"/>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1-51">
    <w:name w:val="Medium Grid 1 Accent 5"/>
    <w:basedOn w:val="a3"/>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1-61">
    <w:name w:val="Medium Grid 1 Accent 6"/>
    <w:basedOn w:val="a3"/>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29">
    <w:name w:val="Medium Grid 2"/>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2-11">
    <w:name w:val="Medium Grid 2 Accent 1"/>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2-21">
    <w:name w:val="Medium Grid 2 Accent 2"/>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2-31">
    <w:name w:val="Medium Grid 2 Accent 3"/>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2-41">
    <w:name w:val="Medium Grid 2 Accent 4"/>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2-51">
    <w:name w:val="Medium Grid 2 Accent 5"/>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2-61">
    <w:name w:val="Medium Grid 2 Accent 6"/>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37">
    <w:name w:val="Medium Grid 3"/>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3-1">
    <w:name w:val="Medium Grid 3 Accent 1"/>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3-2">
    <w:name w:val="Medium Grid 3 Accent 2"/>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3-3">
    <w:name w:val="Medium Grid 3 Accent 3"/>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3-4">
    <w:name w:val="Medium Grid 3 Accent 4"/>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3-5">
    <w:name w:val="Medium Grid 3 Accent 5"/>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3-6">
    <w:name w:val="Medium Grid 3 Accent 6"/>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aff5">
    <w:name w:val="Dark List"/>
    <w:basedOn w:val="a3"/>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12">
    <w:name w:val="Dark List Accent 1"/>
    <w:basedOn w:val="a3"/>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22">
    <w:name w:val="Dark List Accent 2"/>
    <w:basedOn w:val="a3"/>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32">
    <w:name w:val="Dark List Accent 3"/>
    <w:basedOn w:val="a3"/>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42">
    <w:name w:val="Dark List Accent 4"/>
    <w:basedOn w:val="a3"/>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52">
    <w:name w:val="Dark List Accent 5"/>
    <w:basedOn w:val="a3"/>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62">
    <w:name w:val="Dark List Accent 6"/>
    <w:basedOn w:val="a3"/>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aff6">
    <w:name w:val="Colorful Shading"/>
    <w:basedOn w:val="a3"/>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13">
    <w:name w:val="Colorful Shading Accent 1"/>
    <w:basedOn w:val="a3"/>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23">
    <w:name w:val="Colorful Shading Accent 2"/>
    <w:basedOn w:val="a3"/>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33">
    <w:name w:val="Colorful Shading Accent 3"/>
    <w:basedOn w:val="a3"/>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43">
    <w:name w:val="Colorful Shading Accent 4"/>
    <w:basedOn w:val="a3"/>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53">
    <w:name w:val="Colorful Shading Accent 5"/>
    <w:basedOn w:val="a3"/>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63">
    <w:name w:val="Colorful Shading Accent 6"/>
    <w:basedOn w:val="a3"/>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aff7">
    <w:name w:val="Colorful List"/>
    <w:basedOn w:val="a3"/>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14">
    <w:name w:val="Colorful List Accent 1"/>
    <w:basedOn w:val="a3"/>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24">
    <w:name w:val="Colorful List Accent 2"/>
    <w:basedOn w:val="a3"/>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34">
    <w:name w:val="Colorful List Accent 3"/>
    <w:basedOn w:val="a3"/>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44">
    <w:name w:val="Colorful List Accent 4"/>
    <w:basedOn w:val="a3"/>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54">
    <w:name w:val="Colorful List Accent 5"/>
    <w:basedOn w:val="a3"/>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64">
    <w:name w:val="Colorful List Accent 6"/>
    <w:basedOn w:val="a3"/>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aff8">
    <w:name w:val="Colorful Grid"/>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15">
    <w:name w:val="Colorful Grid Accent 1"/>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25">
    <w:name w:val="Colorful Grid Accent 2"/>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35">
    <w:name w:val="Colorful Grid Accent 3"/>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45">
    <w:name w:val="Colorful Grid Accent 4"/>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55">
    <w:name w:val="Colorful Grid Accent 5"/>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65">
    <w:name w:val="Colorful Grid Accent 6"/>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a1"/>
    <w:next w:val="a1"/>
    <w:autoRedefine/>
    <w:uiPriority w:val="39"/>
    <w:unhideWhenUsed/>
    <w:rsid w:val="00DE7E70"/>
  </w:style>
  <w:style w:type="paragraph" w:styleId="TOC2">
    <w:name w:val="toc 2"/>
    <w:basedOn w:val="a1"/>
    <w:next w:val="a1"/>
    <w:autoRedefine/>
    <w:uiPriority w:val="39"/>
    <w:unhideWhenUsed/>
    <w:rsid w:val="00DE7E70"/>
    <w:pPr>
      <w:ind w:leftChars="200" w:left="420"/>
    </w:pPr>
  </w:style>
  <w:style w:type="character" w:styleId="aff9">
    <w:name w:val="Hyperlink"/>
    <w:basedOn w:val="a2"/>
    <w:uiPriority w:val="99"/>
    <w:unhideWhenUsed/>
    <w:rsid w:val="00DE7E7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20</Pages>
  <Words>6928</Words>
  <Characters>39491</Characters>
  <Application>Microsoft Office Word</Application>
  <DocSecurity>0</DocSecurity>
  <Lines>329</Lines>
  <Paragraphs>92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46327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V66884</cp:lastModifiedBy>
  <cp:revision>5</cp:revision>
  <dcterms:created xsi:type="dcterms:W3CDTF">2013-12-23T23:15:00Z</dcterms:created>
  <dcterms:modified xsi:type="dcterms:W3CDTF">2026-07-08T10:17:00Z</dcterms:modified>
  <cp:category/>
</cp:coreProperties>
</file>