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nts/font1.odttf" ContentType="application/vnd.openxmlformats-officedocument.obfuscatedFont"/>
  <Override PartName="/word/fonts/font2.odttf" ContentType="application/vnd.openxmlformats-officedocument.obfuscatedFont"/>
  <Override PartName="/word/fonts/font3.odttf" ContentType="application/vnd.openxmlformats-officedocument.obfuscatedFont"/>
  <Override PartName="/word/fonts/font4.odttf" ContentType="application/vnd.openxmlformats-officedocument.obfuscatedFont"/>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3E78A7C6">
      <w:pPr>
        <w:pBdr>
          <w:top w:val="none" w:color="auto" w:sz="0" w:space="0"/>
          <w:left w:val="none" w:color="auto" w:sz="0" w:space="0"/>
          <w:bottom w:val="none" w:color="auto" w:sz="0" w:space="0"/>
          <w:right w:val="none" w:color="auto" w:sz="0" w:space="0"/>
          <w:between w:val="none" w:color="auto" w:sz="0" w:space="0"/>
        </w:pBdr>
        <w:spacing w:line="360" w:lineRule="auto"/>
        <w:jc w:val="center"/>
        <w:rPr>
          <w:rFonts w:ascii="Times New Roman" w:hAnsi="Times New Roman" w:eastAsia="Times New Roman" w:cs="Times New Roman"/>
          <w:b/>
          <w:bCs/>
          <w:color w:val="222222"/>
          <w:sz w:val="32"/>
          <w:szCs w:val="32"/>
          <w:highlight w:val="white"/>
          <w:lang w:val="en-GB"/>
        </w:rPr>
      </w:pPr>
      <w:r>
        <w:rPr>
          <w:rFonts w:ascii="Times New Roman" w:hAnsi="Times New Roman" w:eastAsia="Times New Roman" w:cs="Times New Roman"/>
          <w:b/>
          <w:bCs/>
          <w:color w:val="222222"/>
          <w:sz w:val="32"/>
          <w:szCs w:val="32"/>
          <w:highlight w:val="white"/>
          <w:lang w:val="en-GB"/>
        </w:rPr>
        <w:drawing>
          <wp:inline distT="114300" distB="114300" distL="114300" distR="114300">
            <wp:extent cx="3641725" cy="132270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referRelativeResize="0"/>
                  </pic:nvPicPr>
                  <pic:blipFill>
                    <a:blip r:embed="rId7"/>
                    <a:srcRect/>
                    <a:stretch>
                      <a:fillRect/>
                    </a:stretch>
                  </pic:blipFill>
                  <pic:spPr>
                    <a:xfrm>
                      <a:off x="0" y="0"/>
                      <a:ext cx="3641888" cy="1322838"/>
                    </a:xfrm>
                    <a:prstGeom prst="rect">
                      <a:avLst/>
                    </a:prstGeom>
                  </pic:spPr>
                </pic:pic>
              </a:graphicData>
            </a:graphic>
          </wp:inline>
        </w:drawing>
      </w:r>
    </w:p>
    <w:p w14:paraId="3E78A7C7">
      <w:pPr>
        <w:pBdr>
          <w:top w:val="none" w:color="auto" w:sz="0" w:space="0"/>
          <w:left w:val="none" w:color="auto" w:sz="0" w:space="0"/>
          <w:bottom w:val="none" w:color="auto" w:sz="0" w:space="0"/>
          <w:right w:val="none" w:color="auto" w:sz="0" w:space="0"/>
          <w:between w:val="none" w:color="auto" w:sz="0" w:space="0"/>
        </w:pBdr>
        <w:spacing w:line="360" w:lineRule="auto"/>
        <w:jc w:val="center"/>
        <w:rPr>
          <w:rFonts w:ascii="Times New Roman" w:hAnsi="Times New Roman" w:eastAsia="Times New Roman" w:cs="Times New Roman"/>
          <w:b/>
          <w:bCs/>
          <w:color w:val="222222"/>
          <w:sz w:val="32"/>
          <w:szCs w:val="32"/>
          <w:highlight w:val="white"/>
          <w:lang w:val="en-GB"/>
        </w:rPr>
      </w:pPr>
    </w:p>
    <w:p w14:paraId="3E78A7C8">
      <w:pPr>
        <w:spacing w:line="360" w:lineRule="auto"/>
        <w:jc w:val="center"/>
        <w:rPr>
          <w:rFonts w:ascii="Times New Roman" w:hAnsi="Times New Roman" w:eastAsia="Times New Roman" w:cs="Times New Roman"/>
          <w:b/>
          <w:bCs/>
          <w:color w:val="222222"/>
          <w:sz w:val="32"/>
          <w:szCs w:val="32"/>
          <w:highlight w:val="white"/>
          <w:lang w:val="en-GB"/>
        </w:rPr>
      </w:pPr>
      <w:r>
        <w:rPr>
          <w:rFonts w:ascii="Times New Roman" w:hAnsi="Times New Roman" w:eastAsia="Times New Roman" w:cs="Times New Roman"/>
          <w:b/>
          <w:bCs/>
          <w:color w:val="222222"/>
          <w:sz w:val="32"/>
          <w:szCs w:val="32"/>
          <w:highlight w:val="white"/>
          <w:lang w:val="en-GB"/>
        </w:rPr>
        <w:t>MASTER OF BUSINESS ADMINISTRATION</w:t>
      </w:r>
    </w:p>
    <w:p w14:paraId="3E78A7C9">
      <w:pPr>
        <w:spacing w:line="360" w:lineRule="auto"/>
        <w:jc w:val="center"/>
        <w:rPr>
          <w:rFonts w:ascii="Times New Roman" w:hAnsi="Times New Roman" w:eastAsia="Times New Roman" w:cs="Times New Roman"/>
          <w:b/>
          <w:bCs/>
          <w:color w:val="222222"/>
          <w:sz w:val="32"/>
          <w:szCs w:val="32"/>
          <w:highlight w:val="white"/>
          <w:lang w:val="en-GB"/>
        </w:rPr>
      </w:pPr>
    </w:p>
    <w:p w14:paraId="3E78A7CA">
      <w:pPr>
        <w:spacing w:line="360" w:lineRule="auto"/>
        <w:jc w:val="center"/>
        <w:rPr>
          <w:rFonts w:ascii="Times New Roman" w:hAnsi="Times New Roman" w:eastAsia="Times New Roman" w:cs="Times New Roman"/>
          <w:b/>
          <w:bCs/>
          <w:color w:val="222222"/>
          <w:sz w:val="32"/>
          <w:szCs w:val="32"/>
          <w:highlight w:val="white"/>
          <w:lang w:val="en-GB"/>
        </w:rPr>
      </w:pPr>
      <w:r>
        <w:rPr>
          <w:rFonts w:ascii="Times New Roman" w:hAnsi="Times New Roman" w:eastAsia="Times New Roman" w:cs="Times New Roman"/>
          <w:b/>
          <w:bCs/>
          <w:color w:val="222222"/>
          <w:sz w:val="32"/>
          <w:szCs w:val="32"/>
          <w:highlight w:val="white"/>
          <w:lang w:val="en-GB"/>
        </w:rPr>
        <w:t>LCMB7035 - DISSERTATION</w:t>
      </w:r>
    </w:p>
    <w:p w14:paraId="3E78A7CB">
      <w:pPr>
        <w:spacing w:line="360" w:lineRule="auto"/>
        <w:jc w:val="center"/>
        <w:rPr>
          <w:rFonts w:hint="default" w:ascii="Times New Roman" w:hAnsi="Times New Roman" w:eastAsia="Times New Roman" w:cs="Times New Roman"/>
          <w:b/>
          <w:bCs/>
          <w:color w:val="222222"/>
          <w:sz w:val="32"/>
          <w:szCs w:val="32"/>
          <w:highlight w:val="white"/>
          <w:lang w:val="en-IN"/>
        </w:rPr>
      </w:pPr>
      <w:r>
        <w:rPr>
          <w:rFonts w:hint="default" w:ascii="Times New Roman" w:hAnsi="Times New Roman" w:eastAsia="Times New Roman" w:cs="Times New Roman"/>
          <w:b/>
          <w:bCs/>
          <w:color w:val="222222"/>
          <w:sz w:val="32"/>
          <w:szCs w:val="32"/>
          <w:highlight w:val="white"/>
          <w:lang w:val="en-IN"/>
        </w:rPr>
        <w:t>NAME - MODHAVADIYA DIPAK MALDE</w:t>
      </w:r>
    </w:p>
    <w:p w14:paraId="3E78A7CC">
      <w:pPr>
        <w:spacing w:line="360" w:lineRule="auto"/>
        <w:jc w:val="center"/>
        <w:rPr>
          <w:rFonts w:ascii="Times New Roman" w:hAnsi="Times New Roman" w:eastAsia="Times New Roman" w:cs="Times New Roman"/>
          <w:b/>
          <w:bCs/>
          <w:color w:val="222222"/>
          <w:sz w:val="32"/>
          <w:szCs w:val="32"/>
          <w:highlight w:val="white"/>
          <w:lang w:val="en-GB"/>
        </w:rPr>
      </w:pPr>
      <w:r>
        <w:rPr>
          <w:rFonts w:hint="default" w:ascii="Times New Roman" w:hAnsi="Times New Roman" w:eastAsia="Times New Roman" w:cs="Times New Roman"/>
          <w:b/>
          <w:bCs/>
          <w:color w:val="222222"/>
          <w:sz w:val="32"/>
          <w:szCs w:val="32"/>
          <w:highlight w:val="white"/>
          <w:lang w:val="en-IN"/>
        </w:rPr>
        <w:t>STUDENT ID - 2506701</w:t>
      </w:r>
      <w:bookmarkStart w:id="20" w:name="_GoBack"/>
      <w:bookmarkEnd w:id="20"/>
    </w:p>
    <w:p w14:paraId="3E78A7CD">
      <w:pPr>
        <w:spacing w:line="360" w:lineRule="auto"/>
        <w:jc w:val="center"/>
        <w:rPr>
          <w:rFonts w:ascii="Times New Roman" w:hAnsi="Times New Roman" w:eastAsia="Times New Roman" w:cs="Times New Roman"/>
          <w:b/>
          <w:bCs/>
          <w:color w:val="222222"/>
          <w:sz w:val="32"/>
          <w:szCs w:val="32"/>
          <w:highlight w:val="white"/>
          <w:lang w:val="en-GB"/>
        </w:rPr>
      </w:pPr>
      <w:r>
        <w:rPr>
          <w:rFonts w:ascii="Times New Roman" w:hAnsi="Times New Roman" w:eastAsia="Times New Roman" w:cs="Times New Roman"/>
          <w:b/>
          <w:bCs/>
          <w:color w:val="222222"/>
          <w:sz w:val="32"/>
          <w:szCs w:val="32"/>
          <w:highlight w:val="white"/>
          <w:lang w:val="en-GB"/>
        </w:rPr>
        <w:t>DISSERTATION PROPOSAL</w:t>
      </w:r>
    </w:p>
    <w:p w14:paraId="3E78A7CE">
      <w:pPr>
        <w:pBdr>
          <w:top w:val="none" w:color="auto" w:sz="0" w:space="0"/>
          <w:left w:val="none" w:color="auto" w:sz="0" w:space="0"/>
          <w:bottom w:val="none" w:color="auto" w:sz="0" w:space="0"/>
          <w:right w:val="none" w:color="auto" w:sz="0" w:space="0"/>
          <w:between w:val="none" w:color="auto" w:sz="0" w:space="0"/>
        </w:pBdr>
        <w:spacing w:line="360" w:lineRule="auto"/>
        <w:jc w:val="center"/>
        <w:rPr>
          <w:rFonts w:ascii="Times New Roman" w:hAnsi="Times New Roman" w:eastAsia="Times New Roman" w:cs="Times New Roman"/>
          <w:b/>
          <w:bCs/>
          <w:color w:val="222222"/>
          <w:sz w:val="32"/>
          <w:szCs w:val="32"/>
          <w:highlight w:val="white"/>
          <w:lang w:val="en-GB"/>
        </w:rPr>
      </w:pPr>
    </w:p>
    <w:p w14:paraId="3E78A7CF">
      <w:pPr>
        <w:pBdr>
          <w:top w:val="none" w:color="auto" w:sz="0" w:space="0"/>
          <w:left w:val="none" w:color="auto" w:sz="0" w:space="0"/>
          <w:bottom w:val="none" w:color="auto" w:sz="0" w:space="0"/>
          <w:right w:val="none" w:color="auto" w:sz="0" w:space="0"/>
          <w:between w:val="none" w:color="auto" w:sz="0" w:space="0"/>
        </w:pBdr>
        <w:spacing w:line="360" w:lineRule="auto"/>
        <w:jc w:val="center"/>
        <w:rPr>
          <w:color w:val="000000"/>
          <w:sz w:val="24"/>
          <w:szCs w:val="24"/>
          <w:highlight w:val="white"/>
          <w:lang w:val="en-GB"/>
        </w:rPr>
      </w:pPr>
      <w:r>
        <w:rPr>
          <w:rFonts w:ascii="Times New Roman" w:hAnsi="Times New Roman" w:eastAsia="Times New Roman" w:cs="Times New Roman"/>
          <w:b/>
          <w:bCs/>
          <w:color w:val="222222"/>
          <w:sz w:val="32"/>
          <w:szCs w:val="32"/>
          <w:highlight w:val="white"/>
          <w:lang w:val="en-GB"/>
        </w:rPr>
        <w:t>A CRITICAL ASSESSMENT OF HSBC’S STRATEGY FOR SCALING ANTI-MONEY LAUNDERING (AML) AND FINANCIAL CRIME RISK MANAGEMENT</w:t>
      </w:r>
      <w:r>
        <w:rPr>
          <w:lang w:val="en-GB"/>
        </w:rPr>
        <w:br w:type="column"/>
      </w:r>
    </w:p>
    <w:p w14:paraId="3E78A7D0">
      <w:pPr>
        <w:keepNext/>
        <w:keepLines/>
        <w:pBdr>
          <w:top w:val="none" w:color="auto" w:sz="0" w:space="0"/>
          <w:left w:val="none" w:color="auto" w:sz="0" w:space="0"/>
          <w:bottom w:val="none" w:color="auto" w:sz="0" w:space="0"/>
          <w:right w:val="none" w:color="auto" w:sz="0" w:space="0"/>
          <w:between w:val="none" w:color="auto" w:sz="0" w:space="0"/>
        </w:pBdr>
        <w:spacing w:before="480" w:line="360" w:lineRule="auto"/>
        <w:jc w:val="center"/>
        <w:rPr>
          <w:rFonts w:ascii="Times New Roman" w:hAnsi="Times New Roman" w:eastAsia="Times New Roman" w:cs="Times New Roman"/>
          <w:b/>
          <w:bCs/>
          <w:color w:val="000000"/>
          <w:sz w:val="24"/>
          <w:szCs w:val="24"/>
          <w:lang w:val="en-GB"/>
        </w:rPr>
      </w:pPr>
      <w:r>
        <w:rPr>
          <w:rFonts w:ascii="Times New Roman" w:hAnsi="Times New Roman" w:eastAsia="Times New Roman" w:cs="Times New Roman"/>
          <w:b/>
          <w:bCs/>
          <w:color w:val="000000"/>
          <w:sz w:val="24"/>
          <w:szCs w:val="24"/>
          <w:lang w:val="en-GB"/>
        </w:rPr>
        <w:t>Table of Contents</w:t>
      </w:r>
    </w:p>
    <w:p w14:paraId="167CAF09">
      <w:pPr>
        <w:keepNext/>
        <w:keepLines/>
        <w:pBdr>
          <w:top w:val="none" w:color="auto" w:sz="0" w:space="0"/>
          <w:left w:val="none" w:color="auto" w:sz="0" w:space="0"/>
          <w:bottom w:val="none" w:color="auto" w:sz="0" w:space="0"/>
          <w:right w:val="none" w:color="auto" w:sz="0" w:space="0"/>
          <w:between w:val="none" w:color="auto" w:sz="0" w:space="0"/>
        </w:pBdr>
        <w:spacing w:before="480" w:line="360" w:lineRule="auto"/>
        <w:jc w:val="center"/>
        <w:rPr>
          <w:rFonts w:ascii="Times New Roman" w:hAnsi="Times New Roman" w:eastAsia="Times New Roman" w:cs="Times New Roman"/>
          <w:b/>
          <w:bCs/>
          <w:color w:val="000000"/>
          <w:sz w:val="24"/>
          <w:szCs w:val="24"/>
          <w:lang w:val="en-GB"/>
        </w:rPr>
      </w:pPr>
    </w:p>
    <w:sdt>
      <w:sdtPr>
        <w:rPr>
          <w:lang w:val="en-GB"/>
        </w:rPr>
        <w:id w:val="1262048440"/>
        <w:docPartObj>
          <w:docPartGallery w:val="Table of Contents"/>
          <w:docPartUnique/>
        </w:docPartObj>
      </w:sdtPr>
      <w:sdtEndPr>
        <w:rPr>
          <w:rFonts w:ascii="Times New Roman" w:hAnsi="Times New Roman" w:cs="Times New Roman"/>
          <w:sz w:val="24"/>
          <w:szCs w:val="24"/>
          <w:lang w:val="en-GB"/>
        </w:rPr>
      </w:sdtEndPr>
      <w:sdtContent>
        <w:p w14:paraId="002768EF">
          <w:pPr>
            <w:pStyle w:val="13"/>
            <w:tabs>
              <w:tab w:val="right" w:leader="dot" w:pos="9019"/>
            </w:tabs>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fldChar w:fldCharType="begin"/>
          </w:r>
          <w:r>
            <w:rPr>
              <w:rFonts w:ascii="Times New Roman" w:hAnsi="Times New Roman" w:cs="Times New Roman"/>
              <w:sz w:val="24"/>
              <w:szCs w:val="24"/>
              <w:lang w:val="en-GB"/>
            </w:rPr>
            <w:instrText xml:space="preserve"> TOC \h \u \z \t "Heading 1,1,Heading 2,2,Heading 3,3,"</w:instrText>
          </w:r>
          <w:r>
            <w:rPr>
              <w:rFonts w:ascii="Times New Roman" w:hAnsi="Times New Roman" w:cs="Times New Roman"/>
              <w:sz w:val="24"/>
              <w:szCs w:val="24"/>
              <w:lang w:val="en-GB"/>
            </w:rPr>
            <w:fldChar w:fldCharType="separate"/>
          </w:r>
          <w:r>
            <w:fldChar w:fldCharType="begin"/>
          </w:r>
          <w:r>
            <w:instrText xml:space="preserve"> HYPERLINK \l "_Toc234412326" </w:instrText>
          </w:r>
          <w:r>
            <w:fldChar w:fldCharType="separate"/>
          </w:r>
          <w:r>
            <w:rPr>
              <w:rStyle w:val="10"/>
              <w:rFonts w:ascii="Times New Roman" w:hAnsi="Times New Roman" w:cs="Times New Roman"/>
              <w:sz w:val="24"/>
              <w:szCs w:val="24"/>
              <w:lang w:val="en-GB"/>
            </w:rPr>
            <w:t>1. Introduction</w:t>
          </w:r>
          <w:r>
            <w:rPr>
              <w:rFonts w:ascii="Times New Roman" w:hAnsi="Times New Roman" w:cs="Times New Roman"/>
              <w:sz w:val="24"/>
              <w:szCs w:val="24"/>
              <w:lang w:val="en-GB"/>
            </w:rPr>
            <w:tab/>
          </w:r>
          <w:r>
            <w:rPr>
              <w:rFonts w:ascii="Times New Roman" w:hAnsi="Times New Roman" w:cs="Times New Roman"/>
              <w:sz w:val="24"/>
              <w:szCs w:val="24"/>
              <w:lang w:val="en-GB"/>
            </w:rPr>
            <w:fldChar w:fldCharType="begin"/>
          </w:r>
          <w:r>
            <w:rPr>
              <w:rFonts w:ascii="Times New Roman" w:hAnsi="Times New Roman" w:cs="Times New Roman"/>
              <w:sz w:val="24"/>
              <w:szCs w:val="24"/>
              <w:lang w:val="en-GB"/>
            </w:rPr>
            <w:instrText xml:space="preserve"> PAGEREF _Toc234412326 \h </w:instrText>
          </w:r>
          <w:r>
            <w:rPr>
              <w:rFonts w:ascii="Times New Roman" w:hAnsi="Times New Roman" w:cs="Times New Roman"/>
              <w:sz w:val="24"/>
              <w:szCs w:val="24"/>
              <w:lang w:val="en-GB"/>
            </w:rPr>
            <w:fldChar w:fldCharType="separate"/>
          </w:r>
          <w:r>
            <w:rPr>
              <w:rFonts w:ascii="Times New Roman" w:hAnsi="Times New Roman" w:cs="Times New Roman"/>
              <w:sz w:val="24"/>
              <w:szCs w:val="24"/>
              <w:lang w:val="en-GB"/>
            </w:rPr>
            <w:t>3</w:t>
          </w:r>
          <w:r>
            <w:rPr>
              <w:rFonts w:ascii="Times New Roman" w:hAnsi="Times New Roman" w:cs="Times New Roman"/>
              <w:sz w:val="24"/>
              <w:szCs w:val="24"/>
              <w:lang w:val="en-GB"/>
            </w:rPr>
            <w:fldChar w:fldCharType="end"/>
          </w:r>
          <w:r>
            <w:rPr>
              <w:rFonts w:ascii="Times New Roman" w:hAnsi="Times New Roman" w:cs="Times New Roman"/>
              <w:sz w:val="24"/>
              <w:szCs w:val="24"/>
              <w:lang w:val="en-GB"/>
            </w:rPr>
            <w:fldChar w:fldCharType="end"/>
          </w:r>
        </w:p>
        <w:p w14:paraId="02F1473F">
          <w:pPr>
            <w:pStyle w:val="14"/>
            <w:tabs>
              <w:tab w:val="right" w:leader="dot" w:pos="9019"/>
            </w:tabs>
            <w:spacing w:line="360" w:lineRule="auto"/>
            <w:jc w:val="both"/>
            <w:rPr>
              <w:rFonts w:ascii="Times New Roman" w:hAnsi="Times New Roman" w:cs="Times New Roman"/>
              <w:sz w:val="24"/>
              <w:szCs w:val="24"/>
              <w:lang w:val="en-GB"/>
            </w:rPr>
          </w:pPr>
          <w:r>
            <w:fldChar w:fldCharType="begin"/>
          </w:r>
          <w:r>
            <w:instrText xml:space="preserve"> HYPERLINK \l "_Toc234412327" </w:instrText>
          </w:r>
          <w:r>
            <w:fldChar w:fldCharType="separate"/>
          </w:r>
          <w:r>
            <w:rPr>
              <w:rStyle w:val="10"/>
              <w:rFonts w:ascii="Times New Roman" w:hAnsi="Times New Roman" w:cs="Times New Roman"/>
              <w:sz w:val="24"/>
              <w:szCs w:val="24"/>
              <w:lang w:val="en-GB"/>
            </w:rPr>
            <w:t>1.1 Research background</w:t>
          </w:r>
          <w:r>
            <w:rPr>
              <w:rFonts w:ascii="Times New Roman" w:hAnsi="Times New Roman" w:cs="Times New Roman"/>
              <w:sz w:val="24"/>
              <w:szCs w:val="24"/>
              <w:lang w:val="en-GB"/>
            </w:rPr>
            <w:tab/>
          </w:r>
          <w:r>
            <w:rPr>
              <w:rFonts w:ascii="Times New Roman" w:hAnsi="Times New Roman" w:cs="Times New Roman"/>
              <w:sz w:val="24"/>
              <w:szCs w:val="24"/>
              <w:lang w:val="en-GB"/>
            </w:rPr>
            <w:fldChar w:fldCharType="begin"/>
          </w:r>
          <w:r>
            <w:rPr>
              <w:rFonts w:ascii="Times New Roman" w:hAnsi="Times New Roman" w:cs="Times New Roman"/>
              <w:sz w:val="24"/>
              <w:szCs w:val="24"/>
              <w:lang w:val="en-GB"/>
            </w:rPr>
            <w:instrText xml:space="preserve"> PAGEREF _Toc234412327 \h </w:instrText>
          </w:r>
          <w:r>
            <w:rPr>
              <w:rFonts w:ascii="Times New Roman" w:hAnsi="Times New Roman" w:cs="Times New Roman"/>
              <w:sz w:val="24"/>
              <w:szCs w:val="24"/>
              <w:lang w:val="en-GB"/>
            </w:rPr>
            <w:fldChar w:fldCharType="separate"/>
          </w:r>
          <w:r>
            <w:rPr>
              <w:rFonts w:ascii="Times New Roman" w:hAnsi="Times New Roman" w:cs="Times New Roman"/>
              <w:sz w:val="24"/>
              <w:szCs w:val="24"/>
              <w:lang w:val="en-GB"/>
            </w:rPr>
            <w:t>3</w:t>
          </w:r>
          <w:r>
            <w:rPr>
              <w:rFonts w:ascii="Times New Roman" w:hAnsi="Times New Roman" w:cs="Times New Roman"/>
              <w:sz w:val="24"/>
              <w:szCs w:val="24"/>
              <w:lang w:val="en-GB"/>
            </w:rPr>
            <w:fldChar w:fldCharType="end"/>
          </w:r>
          <w:r>
            <w:rPr>
              <w:rFonts w:ascii="Times New Roman" w:hAnsi="Times New Roman" w:cs="Times New Roman"/>
              <w:sz w:val="24"/>
              <w:szCs w:val="24"/>
              <w:lang w:val="en-GB"/>
            </w:rPr>
            <w:fldChar w:fldCharType="end"/>
          </w:r>
        </w:p>
        <w:p w14:paraId="7D46F05F">
          <w:pPr>
            <w:pStyle w:val="14"/>
            <w:tabs>
              <w:tab w:val="right" w:leader="dot" w:pos="9019"/>
            </w:tabs>
            <w:spacing w:line="360" w:lineRule="auto"/>
            <w:jc w:val="both"/>
            <w:rPr>
              <w:rFonts w:ascii="Times New Roman" w:hAnsi="Times New Roman" w:cs="Times New Roman"/>
              <w:sz w:val="24"/>
              <w:szCs w:val="24"/>
              <w:lang w:val="en-GB"/>
            </w:rPr>
          </w:pPr>
          <w:r>
            <w:fldChar w:fldCharType="begin"/>
          </w:r>
          <w:r>
            <w:instrText xml:space="preserve"> HYPERLINK \l "_Toc234412328" </w:instrText>
          </w:r>
          <w:r>
            <w:fldChar w:fldCharType="separate"/>
          </w:r>
          <w:r>
            <w:rPr>
              <w:rStyle w:val="10"/>
              <w:rFonts w:ascii="Times New Roman" w:hAnsi="Times New Roman" w:cs="Times New Roman"/>
              <w:sz w:val="24"/>
              <w:szCs w:val="24"/>
              <w:lang w:val="en-GB"/>
            </w:rPr>
            <w:t>1.2 Research problem</w:t>
          </w:r>
          <w:r>
            <w:rPr>
              <w:rFonts w:ascii="Times New Roman" w:hAnsi="Times New Roman" w:cs="Times New Roman"/>
              <w:sz w:val="24"/>
              <w:szCs w:val="24"/>
              <w:lang w:val="en-GB"/>
            </w:rPr>
            <w:tab/>
          </w:r>
          <w:r>
            <w:rPr>
              <w:rFonts w:ascii="Times New Roman" w:hAnsi="Times New Roman" w:cs="Times New Roman"/>
              <w:sz w:val="24"/>
              <w:szCs w:val="24"/>
              <w:lang w:val="en-GB"/>
            </w:rPr>
            <w:fldChar w:fldCharType="begin"/>
          </w:r>
          <w:r>
            <w:rPr>
              <w:rFonts w:ascii="Times New Roman" w:hAnsi="Times New Roman" w:cs="Times New Roman"/>
              <w:sz w:val="24"/>
              <w:szCs w:val="24"/>
              <w:lang w:val="en-GB"/>
            </w:rPr>
            <w:instrText xml:space="preserve"> PAGEREF _Toc234412328 \h </w:instrText>
          </w:r>
          <w:r>
            <w:rPr>
              <w:rFonts w:ascii="Times New Roman" w:hAnsi="Times New Roman" w:cs="Times New Roman"/>
              <w:sz w:val="24"/>
              <w:szCs w:val="24"/>
              <w:lang w:val="en-GB"/>
            </w:rPr>
            <w:fldChar w:fldCharType="separate"/>
          </w:r>
          <w:r>
            <w:rPr>
              <w:rFonts w:ascii="Times New Roman" w:hAnsi="Times New Roman" w:cs="Times New Roman"/>
              <w:sz w:val="24"/>
              <w:szCs w:val="24"/>
              <w:lang w:val="en-GB"/>
            </w:rPr>
            <w:t>3</w:t>
          </w:r>
          <w:r>
            <w:rPr>
              <w:rFonts w:ascii="Times New Roman" w:hAnsi="Times New Roman" w:cs="Times New Roman"/>
              <w:sz w:val="24"/>
              <w:szCs w:val="24"/>
              <w:lang w:val="en-GB"/>
            </w:rPr>
            <w:fldChar w:fldCharType="end"/>
          </w:r>
          <w:r>
            <w:rPr>
              <w:rFonts w:ascii="Times New Roman" w:hAnsi="Times New Roman" w:cs="Times New Roman"/>
              <w:sz w:val="24"/>
              <w:szCs w:val="24"/>
              <w:lang w:val="en-GB"/>
            </w:rPr>
            <w:fldChar w:fldCharType="end"/>
          </w:r>
        </w:p>
        <w:p w14:paraId="25807116">
          <w:pPr>
            <w:pStyle w:val="14"/>
            <w:tabs>
              <w:tab w:val="right" w:leader="dot" w:pos="9019"/>
            </w:tabs>
            <w:spacing w:line="360" w:lineRule="auto"/>
            <w:jc w:val="both"/>
            <w:rPr>
              <w:rFonts w:ascii="Times New Roman" w:hAnsi="Times New Roman" w:cs="Times New Roman"/>
              <w:sz w:val="24"/>
              <w:szCs w:val="24"/>
              <w:lang w:val="en-GB"/>
            </w:rPr>
          </w:pPr>
          <w:r>
            <w:fldChar w:fldCharType="begin"/>
          </w:r>
          <w:r>
            <w:instrText xml:space="preserve"> HYPERLINK \l "_Toc234412329" </w:instrText>
          </w:r>
          <w:r>
            <w:fldChar w:fldCharType="separate"/>
          </w:r>
          <w:r>
            <w:rPr>
              <w:rStyle w:val="10"/>
              <w:rFonts w:ascii="Times New Roman" w:hAnsi="Times New Roman" w:cs="Times New Roman"/>
              <w:sz w:val="24"/>
              <w:szCs w:val="24"/>
              <w:lang w:val="en-GB"/>
            </w:rPr>
            <w:t>1.3 Research Aim</w:t>
          </w:r>
          <w:r>
            <w:rPr>
              <w:rFonts w:ascii="Times New Roman" w:hAnsi="Times New Roman" w:cs="Times New Roman"/>
              <w:sz w:val="24"/>
              <w:szCs w:val="24"/>
              <w:lang w:val="en-GB"/>
            </w:rPr>
            <w:tab/>
          </w:r>
          <w:r>
            <w:rPr>
              <w:rFonts w:ascii="Times New Roman" w:hAnsi="Times New Roman" w:cs="Times New Roman"/>
              <w:sz w:val="24"/>
              <w:szCs w:val="24"/>
              <w:lang w:val="en-GB"/>
            </w:rPr>
            <w:fldChar w:fldCharType="begin"/>
          </w:r>
          <w:r>
            <w:rPr>
              <w:rFonts w:ascii="Times New Roman" w:hAnsi="Times New Roman" w:cs="Times New Roman"/>
              <w:sz w:val="24"/>
              <w:szCs w:val="24"/>
              <w:lang w:val="en-GB"/>
            </w:rPr>
            <w:instrText xml:space="preserve"> PAGEREF _Toc234412329 \h </w:instrText>
          </w:r>
          <w:r>
            <w:rPr>
              <w:rFonts w:ascii="Times New Roman" w:hAnsi="Times New Roman" w:cs="Times New Roman"/>
              <w:sz w:val="24"/>
              <w:szCs w:val="24"/>
              <w:lang w:val="en-GB"/>
            </w:rPr>
            <w:fldChar w:fldCharType="separate"/>
          </w:r>
          <w:r>
            <w:rPr>
              <w:rFonts w:ascii="Times New Roman" w:hAnsi="Times New Roman" w:cs="Times New Roman"/>
              <w:sz w:val="24"/>
              <w:szCs w:val="24"/>
              <w:lang w:val="en-GB"/>
            </w:rPr>
            <w:t>4</w:t>
          </w:r>
          <w:r>
            <w:rPr>
              <w:rFonts w:ascii="Times New Roman" w:hAnsi="Times New Roman" w:cs="Times New Roman"/>
              <w:sz w:val="24"/>
              <w:szCs w:val="24"/>
              <w:lang w:val="en-GB"/>
            </w:rPr>
            <w:fldChar w:fldCharType="end"/>
          </w:r>
          <w:r>
            <w:rPr>
              <w:rFonts w:ascii="Times New Roman" w:hAnsi="Times New Roman" w:cs="Times New Roman"/>
              <w:sz w:val="24"/>
              <w:szCs w:val="24"/>
              <w:lang w:val="en-GB"/>
            </w:rPr>
            <w:fldChar w:fldCharType="end"/>
          </w:r>
        </w:p>
        <w:p w14:paraId="4B7F2FAF">
          <w:pPr>
            <w:pStyle w:val="14"/>
            <w:tabs>
              <w:tab w:val="right" w:leader="dot" w:pos="9019"/>
            </w:tabs>
            <w:spacing w:line="360" w:lineRule="auto"/>
            <w:jc w:val="both"/>
            <w:rPr>
              <w:rFonts w:ascii="Times New Roman" w:hAnsi="Times New Roman" w:cs="Times New Roman"/>
              <w:sz w:val="24"/>
              <w:szCs w:val="24"/>
              <w:lang w:val="en-GB"/>
            </w:rPr>
          </w:pPr>
          <w:r>
            <w:fldChar w:fldCharType="begin"/>
          </w:r>
          <w:r>
            <w:instrText xml:space="preserve"> HYPERLINK \l "_Toc234412330" </w:instrText>
          </w:r>
          <w:r>
            <w:fldChar w:fldCharType="separate"/>
          </w:r>
          <w:r>
            <w:rPr>
              <w:rStyle w:val="10"/>
              <w:rFonts w:ascii="Times New Roman" w:hAnsi="Times New Roman" w:cs="Times New Roman"/>
              <w:sz w:val="24"/>
              <w:szCs w:val="24"/>
              <w:lang w:val="en-GB"/>
            </w:rPr>
            <w:t>1.4 Research Objectives</w:t>
          </w:r>
          <w:r>
            <w:rPr>
              <w:rFonts w:ascii="Times New Roman" w:hAnsi="Times New Roman" w:cs="Times New Roman"/>
              <w:sz w:val="24"/>
              <w:szCs w:val="24"/>
              <w:lang w:val="en-GB"/>
            </w:rPr>
            <w:tab/>
          </w:r>
          <w:r>
            <w:rPr>
              <w:rFonts w:ascii="Times New Roman" w:hAnsi="Times New Roman" w:cs="Times New Roman"/>
              <w:sz w:val="24"/>
              <w:szCs w:val="24"/>
              <w:lang w:val="en-GB"/>
            </w:rPr>
            <w:fldChar w:fldCharType="begin"/>
          </w:r>
          <w:r>
            <w:rPr>
              <w:rFonts w:ascii="Times New Roman" w:hAnsi="Times New Roman" w:cs="Times New Roman"/>
              <w:sz w:val="24"/>
              <w:szCs w:val="24"/>
              <w:lang w:val="en-GB"/>
            </w:rPr>
            <w:instrText xml:space="preserve"> PAGEREF _Toc234412330 \h </w:instrText>
          </w:r>
          <w:r>
            <w:rPr>
              <w:rFonts w:ascii="Times New Roman" w:hAnsi="Times New Roman" w:cs="Times New Roman"/>
              <w:sz w:val="24"/>
              <w:szCs w:val="24"/>
              <w:lang w:val="en-GB"/>
            </w:rPr>
            <w:fldChar w:fldCharType="separate"/>
          </w:r>
          <w:r>
            <w:rPr>
              <w:rFonts w:ascii="Times New Roman" w:hAnsi="Times New Roman" w:cs="Times New Roman"/>
              <w:sz w:val="24"/>
              <w:szCs w:val="24"/>
              <w:lang w:val="en-GB"/>
            </w:rPr>
            <w:t>4</w:t>
          </w:r>
          <w:r>
            <w:rPr>
              <w:rFonts w:ascii="Times New Roman" w:hAnsi="Times New Roman" w:cs="Times New Roman"/>
              <w:sz w:val="24"/>
              <w:szCs w:val="24"/>
              <w:lang w:val="en-GB"/>
            </w:rPr>
            <w:fldChar w:fldCharType="end"/>
          </w:r>
          <w:r>
            <w:rPr>
              <w:rFonts w:ascii="Times New Roman" w:hAnsi="Times New Roman" w:cs="Times New Roman"/>
              <w:sz w:val="24"/>
              <w:szCs w:val="24"/>
              <w:lang w:val="en-GB"/>
            </w:rPr>
            <w:fldChar w:fldCharType="end"/>
          </w:r>
        </w:p>
        <w:p w14:paraId="69552C7B">
          <w:pPr>
            <w:pStyle w:val="14"/>
            <w:tabs>
              <w:tab w:val="right" w:leader="dot" w:pos="9019"/>
            </w:tabs>
            <w:spacing w:line="360" w:lineRule="auto"/>
            <w:jc w:val="both"/>
            <w:rPr>
              <w:rFonts w:ascii="Times New Roman" w:hAnsi="Times New Roman" w:cs="Times New Roman"/>
              <w:sz w:val="24"/>
              <w:szCs w:val="24"/>
              <w:lang w:val="en-GB"/>
            </w:rPr>
          </w:pPr>
          <w:r>
            <w:fldChar w:fldCharType="begin"/>
          </w:r>
          <w:r>
            <w:instrText xml:space="preserve"> HYPERLINK \l "_Toc234412331" </w:instrText>
          </w:r>
          <w:r>
            <w:fldChar w:fldCharType="separate"/>
          </w:r>
          <w:r>
            <w:rPr>
              <w:rStyle w:val="10"/>
              <w:rFonts w:ascii="Times New Roman" w:hAnsi="Times New Roman" w:cs="Times New Roman"/>
              <w:sz w:val="24"/>
              <w:szCs w:val="24"/>
              <w:lang w:val="en-GB"/>
            </w:rPr>
            <w:t>1.5 Research Questions</w:t>
          </w:r>
          <w:r>
            <w:rPr>
              <w:rFonts w:ascii="Times New Roman" w:hAnsi="Times New Roman" w:cs="Times New Roman"/>
              <w:sz w:val="24"/>
              <w:szCs w:val="24"/>
              <w:lang w:val="en-GB"/>
            </w:rPr>
            <w:tab/>
          </w:r>
          <w:r>
            <w:rPr>
              <w:rFonts w:ascii="Times New Roman" w:hAnsi="Times New Roman" w:cs="Times New Roman"/>
              <w:sz w:val="24"/>
              <w:szCs w:val="24"/>
              <w:lang w:val="en-GB"/>
            </w:rPr>
            <w:fldChar w:fldCharType="begin"/>
          </w:r>
          <w:r>
            <w:rPr>
              <w:rFonts w:ascii="Times New Roman" w:hAnsi="Times New Roman" w:cs="Times New Roman"/>
              <w:sz w:val="24"/>
              <w:szCs w:val="24"/>
              <w:lang w:val="en-GB"/>
            </w:rPr>
            <w:instrText xml:space="preserve"> PAGEREF _Toc234412331 \h </w:instrText>
          </w:r>
          <w:r>
            <w:rPr>
              <w:rFonts w:ascii="Times New Roman" w:hAnsi="Times New Roman" w:cs="Times New Roman"/>
              <w:sz w:val="24"/>
              <w:szCs w:val="24"/>
              <w:lang w:val="en-GB"/>
            </w:rPr>
            <w:fldChar w:fldCharType="separate"/>
          </w:r>
          <w:r>
            <w:rPr>
              <w:rFonts w:ascii="Times New Roman" w:hAnsi="Times New Roman" w:cs="Times New Roman"/>
              <w:sz w:val="24"/>
              <w:szCs w:val="24"/>
              <w:lang w:val="en-GB"/>
            </w:rPr>
            <w:t>4</w:t>
          </w:r>
          <w:r>
            <w:rPr>
              <w:rFonts w:ascii="Times New Roman" w:hAnsi="Times New Roman" w:cs="Times New Roman"/>
              <w:sz w:val="24"/>
              <w:szCs w:val="24"/>
              <w:lang w:val="en-GB"/>
            </w:rPr>
            <w:fldChar w:fldCharType="end"/>
          </w:r>
          <w:r>
            <w:rPr>
              <w:rFonts w:ascii="Times New Roman" w:hAnsi="Times New Roman" w:cs="Times New Roman"/>
              <w:sz w:val="24"/>
              <w:szCs w:val="24"/>
              <w:lang w:val="en-GB"/>
            </w:rPr>
            <w:fldChar w:fldCharType="end"/>
          </w:r>
        </w:p>
        <w:p w14:paraId="039857B5">
          <w:pPr>
            <w:pStyle w:val="14"/>
            <w:tabs>
              <w:tab w:val="right" w:leader="dot" w:pos="9019"/>
            </w:tabs>
            <w:spacing w:line="360" w:lineRule="auto"/>
            <w:jc w:val="both"/>
            <w:rPr>
              <w:rFonts w:ascii="Times New Roman" w:hAnsi="Times New Roman" w:cs="Times New Roman"/>
              <w:sz w:val="24"/>
              <w:szCs w:val="24"/>
              <w:lang w:val="en-GB"/>
            </w:rPr>
          </w:pPr>
          <w:r>
            <w:fldChar w:fldCharType="begin"/>
          </w:r>
          <w:r>
            <w:instrText xml:space="preserve"> HYPERLINK \l "_Toc234412332" </w:instrText>
          </w:r>
          <w:r>
            <w:fldChar w:fldCharType="separate"/>
          </w:r>
          <w:r>
            <w:rPr>
              <w:rStyle w:val="10"/>
              <w:rFonts w:ascii="Times New Roman" w:hAnsi="Times New Roman" w:cs="Times New Roman"/>
              <w:sz w:val="24"/>
              <w:szCs w:val="24"/>
              <w:lang w:val="en-GB"/>
            </w:rPr>
            <w:t>1.6 Rationale of Choose This Topic</w:t>
          </w:r>
          <w:r>
            <w:rPr>
              <w:rFonts w:ascii="Times New Roman" w:hAnsi="Times New Roman" w:cs="Times New Roman"/>
              <w:sz w:val="24"/>
              <w:szCs w:val="24"/>
              <w:lang w:val="en-GB"/>
            </w:rPr>
            <w:tab/>
          </w:r>
          <w:r>
            <w:rPr>
              <w:rFonts w:ascii="Times New Roman" w:hAnsi="Times New Roman" w:cs="Times New Roman"/>
              <w:sz w:val="24"/>
              <w:szCs w:val="24"/>
              <w:lang w:val="en-GB"/>
            </w:rPr>
            <w:fldChar w:fldCharType="begin"/>
          </w:r>
          <w:r>
            <w:rPr>
              <w:rFonts w:ascii="Times New Roman" w:hAnsi="Times New Roman" w:cs="Times New Roman"/>
              <w:sz w:val="24"/>
              <w:szCs w:val="24"/>
              <w:lang w:val="en-GB"/>
            </w:rPr>
            <w:instrText xml:space="preserve"> PAGEREF _Toc234412332 \h </w:instrText>
          </w:r>
          <w:r>
            <w:rPr>
              <w:rFonts w:ascii="Times New Roman" w:hAnsi="Times New Roman" w:cs="Times New Roman"/>
              <w:sz w:val="24"/>
              <w:szCs w:val="24"/>
              <w:lang w:val="en-GB"/>
            </w:rPr>
            <w:fldChar w:fldCharType="separate"/>
          </w:r>
          <w:r>
            <w:rPr>
              <w:rFonts w:ascii="Times New Roman" w:hAnsi="Times New Roman" w:cs="Times New Roman"/>
              <w:sz w:val="24"/>
              <w:szCs w:val="24"/>
              <w:lang w:val="en-GB"/>
            </w:rPr>
            <w:t>5</w:t>
          </w:r>
          <w:r>
            <w:rPr>
              <w:rFonts w:ascii="Times New Roman" w:hAnsi="Times New Roman" w:cs="Times New Roman"/>
              <w:sz w:val="24"/>
              <w:szCs w:val="24"/>
              <w:lang w:val="en-GB"/>
            </w:rPr>
            <w:fldChar w:fldCharType="end"/>
          </w:r>
          <w:r>
            <w:rPr>
              <w:rFonts w:ascii="Times New Roman" w:hAnsi="Times New Roman" w:cs="Times New Roman"/>
              <w:sz w:val="24"/>
              <w:szCs w:val="24"/>
              <w:lang w:val="en-GB"/>
            </w:rPr>
            <w:fldChar w:fldCharType="end"/>
          </w:r>
        </w:p>
        <w:p w14:paraId="0669793F">
          <w:pPr>
            <w:pStyle w:val="13"/>
            <w:tabs>
              <w:tab w:val="right" w:leader="dot" w:pos="9019"/>
            </w:tabs>
            <w:spacing w:line="360" w:lineRule="auto"/>
            <w:jc w:val="both"/>
            <w:rPr>
              <w:rFonts w:ascii="Times New Roman" w:hAnsi="Times New Roman" w:cs="Times New Roman"/>
              <w:sz w:val="24"/>
              <w:szCs w:val="24"/>
              <w:lang w:val="en-GB"/>
            </w:rPr>
          </w:pPr>
          <w:r>
            <w:fldChar w:fldCharType="begin"/>
          </w:r>
          <w:r>
            <w:instrText xml:space="preserve"> HYPERLINK \l "_Toc234412333" </w:instrText>
          </w:r>
          <w:r>
            <w:fldChar w:fldCharType="separate"/>
          </w:r>
          <w:r>
            <w:rPr>
              <w:rStyle w:val="10"/>
              <w:rFonts w:ascii="Times New Roman" w:hAnsi="Times New Roman" w:cs="Times New Roman"/>
              <w:sz w:val="24"/>
              <w:szCs w:val="24"/>
              <w:lang w:val="en-GB"/>
            </w:rPr>
            <w:t>2. Literature review</w:t>
          </w:r>
          <w:r>
            <w:rPr>
              <w:rFonts w:ascii="Times New Roman" w:hAnsi="Times New Roman" w:cs="Times New Roman"/>
              <w:sz w:val="24"/>
              <w:szCs w:val="24"/>
              <w:lang w:val="en-GB"/>
            </w:rPr>
            <w:tab/>
          </w:r>
          <w:r>
            <w:rPr>
              <w:rFonts w:ascii="Times New Roman" w:hAnsi="Times New Roman" w:cs="Times New Roman"/>
              <w:sz w:val="24"/>
              <w:szCs w:val="24"/>
              <w:lang w:val="en-GB"/>
            </w:rPr>
            <w:fldChar w:fldCharType="begin"/>
          </w:r>
          <w:r>
            <w:rPr>
              <w:rFonts w:ascii="Times New Roman" w:hAnsi="Times New Roman" w:cs="Times New Roman"/>
              <w:sz w:val="24"/>
              <w:szCs w:val="24"/>
              <w:lang w:val="en-GB"/>
            </w:rPr>
            <w:instrText xml:space="preserve"> PAGEREF _Toc234412333 \h </w:instrText>
          </w:r>
          <w:r>
            <w:rPr>
              <w:rFonts w:ascii="Times New Roman" w:hAnsi="Times New Roman" w:cs="Times New Roman"/>
              <w:sz w:val="24"/>
              <w:szCs w:val="24"/>
              <w:lang w:val="en-GB"/>
            </w:rPr>
            <w:fldChar w:fldCharType="separate"/>
          </w:r>
          <w:r>
            <w:rPr>
              <w:rFonts w:ascii="Times New Roman" w:hAnsi="Times New Roman" w:cs="Times New Roman"/>
              <w:sz w:val="24"/>
              <w:szCs w:val="24"/>
              <w:lang w:val="en-GB"/>
            </w:rPr>
            <w:t>5</w:t>
          </w:r>
          <w:r>
            <w:rPr>
              <w:rFonts w:ascii="Times New Roman" w:hAnsi="Times New Roman" w:cs="Times New Roman"/>
              <w:sz w:val="24"/>
              <w:szCs w:val="24"/>
              <w:lang w:val="en-GB"/>
            </w:rPr>
            <w:fldChar w:fldCharType="end"/>
          </w:r>
          <w:r>
            <w:rPr>
              <w:rFonts w:ascii="Times New Roman" w:hAnsi="Times New Roman" w:cs="Times New Roman"/>
              <w:sz w:val="24"/>
              <w:szCs w:val="24"/>
              <w:lang w:val="en-GB"/>
            </w:rPr>
            <w:fldChar w:fldCharType="end"/>
          </w:r>
        </w:p>
        <w:p w14:paraId="175D2C19">
          <w:pPr>
            <w:pStyle w:val="13"/>
            <w:tabs>
              <w:tab w:val="right" w:leader="dot" w:pos="9019"/>
            </w:tabs>
            <w:spacing w:line="360" w:lineRule="auto"/>
            <w:jc w:val="both"/>
            <w:rPr>
              <w:rFonts w:ascii="Times New Roman" w:hAnsi="Times New Roman" w:cs="Times New Roman"/>
              <w:sz w:val="24"/>
              <w:szCs w:val="24"/>
              <w:lang w:val="en-GB"/>
            </w:rPr>
          </w:pPr>
          <w:r>
            <w:fldChar w:fldCharType="begin"/>
          </w:r>
          <w:r>
            <w:instrText xml:space="preserve"> HYPERLINK \l "_Toc234412334" </w:instrText>
          </w:r>
          <w:r>
            <w:fldChar w:fldCharType="separate"/>
          </w:r>
          <w:r>
            <w:rPr>
              <w:rStyle w:val="10"/>
              <w:rFonts w:ascii="Times New Roman" w:hAnsi="Times New Roman" w:cs="Times New Roman"/>
              <w:sz w:val="24"/>
              <w:szCs w:val="24"/>
              <w:lang w:val="en-GB"/>
            </w:rPr>
            <w:t>3. Methodology</w:t>
          </w:r>
          <w:r>
            <w:rPr>
              <w:rFonts w:ascii="Times New Roman" w:hAnsi="Times New Roman" w:cs="Times New Roman"/>
              <w:sz w:val="24"/>
              <w:szCs w:val="24"/>
              <w:lang w:val="en-GB"/>
            </w:rPr>
            <w:tab/>
          </w:r>
          <w:r>
            <w:rPr>
              <w:rFonts w:ascii="Times New Roman" w:hAnsi="Times New Roman" w:cs="Times New Roman"/>
              <w:sz w:val="24"/>
              <w:szCs w:val="24"/>
              <w:lang w:val="en-GB"/>
            </w:rPr>
            <w:fldChar w:fldCharType="begin"/>
          </w:r>
          <w:r>
            <w:rPr>
              <w:rFonts w:ascii="Times New Roman" w:hAnsi="Times New Roman" w:cs="Times New Roman"/>
              <w:sz w:val="24"/>
              <w:szCs w:val="24"/>
              <w:lang w:val="en-GB"/>
            </w:rPr>
            <w:instrText xml:space="preserve"> PAGEREF _Toc234412334 \h </w:instrText>
          </w:r>
          <w:r>
            <w:rPr>
              <w:rFonts w:ascii="Times New Roman" w:hAnsi="Times New Roman" w:cs="Times New Roman"/>
              <w:sz w:val="24"/>
              <w:szCs w:val="24"/>
              <w:lang w:val="en-GB"/>
            </w:rPr>
            <w:fldChar w:fldCharType="separate"/>
          </w:r>
          <w:r>
            <w:rPr>
              <w:rFonts w:ascii="Times New Roman" w:hAnsi="Times New Roman" w:cs="Times New Roman"/>
              <w:sz w:val="24"/>
              <w:szCs w:val="24"/>
              <w:lang w:val="en-GB"/>
            </w:rPr>
            <w:t>7</w:t>
          </w:r>
          <w:r>
            <w:rPr>
              <w:rFonts w:ascii="Times New Roman" w:hAnsi="Times New Roman" w:cs="Times New Roman"/>
              <w:sz w:val="24"/>
              <w:szCs w:val="24"/>
              <w:lang w:val="en-GB"/>
            </w:rPr>
            <w:fldChar w:fldCharType="end"/>
          </w:r>
          <w:r>
            <w:rPr>
              <w:rFonts w:ascii="Times New Roman" w:hAnsi="Times New Roman" w:cs="Times New Roman"/>
              <w:sz w:val="24"/>
              <w:szCs w:val="24"/>
              <w:lang w:val="en-GB"/>
            </w:rPr>
            <w:fldChar w:fldCharType="end"/>
          </w:r>
        </w:p>
        <w:p w14:paraId="6C717620">
          <w:pPr>
            <w:pStyle w:val="14"/>
            <w:tabs>
              <w:tab w:val="right" w:leader="dot" w:pos="9019"/>
            </w:tabs>
            <w:spacing w:line="360" w:lineRule="auto"/>
            <w:jc w:val="both"/>
            <w:rPr>
              <w:rFonts w:ascii="Times New Roman" w:hAnsi="Times New Roman" w:cs="Times New Roman"/>
              <w:sz w:val="24"/>
              <w:szCs w:val="24"/>
              <w:lang w:val="en-GB"/>
            </w:rPr>
          </w:pPr>
          <w:r>
            <w:fldChar w:fldCharType="begin"/>
          </w:r>
          <w:r>
            <w:instrText xml:space="preserve"> HYPERLINK \l "_Toc234412335" </w:instrText>
          </w:r>
          <w:r>
            <w:fldChar w:fldCharType="separate"/>
          </w:r>
          <w:r>
            <w:rPr>
              <w:rStyle w:val="10"/>
              <w:rFonts w:ascii="Times New Roman" w:hAnsi="Times New Roman" w:cs="Times New Roman"/>
              <w:sz w:val="24"/>
              <w:szCs w:val="24"/>
              <w:lang w:val="en-GB"/>
            </w:rPr>
            <w:t>3.1 Research philosophy</w:t>
          </w:r>
          <w:r>
            <w:rPr>
              <w:rFonts w:ascii="Times New Roman" w:hAnsi="Times New Roman" w:cs="Times New Roman"/>
              <w:sz w:val="24"/>
              <w:szCs w:val="24"/>
              <w:lang w:val="en-GB"/>
            </w:rPr>
            <w:tab/>
          </w:r>
          <w:r>
            <w:rPr>
              <w:rFonts w:ascii="Times New Roman" w:hAnsi="Times New Roman" w:cs="Times New Roman"/>
              <w:sz w:val="24"/>
              <w:szCs w:val="24"/>
              <w:lang w:val="en-GB"/>
            </w:rPr>
            <w:fldChar w:fldCharType="begin"/>
          </w:r>
          <w:r>
            <w:rPr>
              <w:rFonts w:ascii="Times New Roman" w:hAnsi="Times New Roman" w:cs="Times New Roman"/>
              <w:sz w:val="24"/>
              <w:szCs w:val="24"/>
              <w:lang w:val="en-GB"/>
            </w:rPr>
            <w:instrText xml:space="preserve"> PAGEREF _Toc234412335 \h </w:instrText>
          </w:r>
          <w:r>
            <w:rPr>
              <w:rFonts w:ascii="Times New Roman" w:hAnsi="Times New Roman" w:cs="Times New Roman"/>
              <w:sz w:val="24"/>
              <w:szCs w:val="24"/>
              <w:lang w:val="en-GB"/>
            </w:rPr>
            <w:fldChar w:fldCharType="separate"/>
          </w:r>
          <w:r>
            <w:rPr>
              <w:rFonts w:ascii="Times New Roman" w:hAnsi="Times New Roman" w:cs="Times New Roman"/>
              <w:sz w:val="24"/>
              <w:szCs w:val="24"/>
              <w:lang w:val="en-GB"/>
            </w:rPr>
            <w:t>7</w:t>
          </w:r>
          <w:r>
            <w:rPr>
              <w:rFonts w:ascii="Times New Roman" w:hAnsi="Times New Roman" w:cs="Times New Roman"/>
              <w:sz w:val="24"/>
              <w:szCs w:val="24"/>
              <w:lang w:val="en-GB"/>
            </w:rPr>
            <w:fldChar w:fldCharType="end"/>
          </w:r>
          <w:r>
            <w:rPr>
              <w:rFonts w:ascii="Times New Roman" w:hAnsi="Times New Roman" w:cs="Times New Roman"/>
              <w:sz w:val="24"/>
              <w:szCs w:val="24"/>
              <w:lang w:val="en-GB"/>
            </w:rPr>
            <w:fldChar w:fldCharType="end"/>
          </w:r>
        </w:p>
        <w:p w14:paraId="57CD888F">
          <w:pPr>
            <w:pStyle w:val="14"/>
            <w:tabs>
              <w:tab w:val="right" w:leader="dot" w:pos="9019"/>
            </w:tabs>
            <w:spacing w:line="360" w:lineRule="auto"/>
            <w:jc w:val="both"/>
            <w:rPr>
              <w:rFonts w:ascii="Times New Roman" w:hAnsi="Times New Roman" w:cs="Times New Roman"/>
              <w:sz w:val="24"/>
              <w:szCs w:val="24"/>
              <w:lang w:val="en-GB"/>
            </w:rPr>
          </w:pPr>
          <w:r>
            <w:fldChar w:fldCharType="begin"/>
          </w:r>
          <w:r>
            <w:instrText xml:space="preserve"> HYPERLINK \l "_Toc234412336" </w:instrText>
          </w:r>
          <w:r>
            <w:fldChar w:fldCharType="separate"/>
          </w:r>
          <w:r>
            <w:rPr>
              <w:rStyle w:val="10"/>
              <w:rFonts w:ascii="Times New Roman" w:hAnsi="Times New Roman" w:cs="Times New Roman"/>
              <w:sz w:val="24"/>
              <w:szCs w:val="24"/>
              <w:lang w:val="en-GB"/>
            </w:rPr>
            <w:t>3.2 Research approach and design</w:t>
          </w:r>
          <w:r>
            <w:rPr>
              <w:rFonts w:ascii="Times New Roman" w:hAnsi="Times New Roman" w:cs="Times New Roman"/>
              <w:sz w:val="24"/>
              <w:szCs w:val="24"/>
              <w:lang w:val="en-GB"/>
            </w:rPr>
            <w:tab/>
          </w:r>
          <w:r>
            <w:rPr>
              <w:rFonts w:ascii="Times New Roman" w:hAnsi="Times New Roman" w:cs="Times New Roman"/>
              <w:sz w:val="24"/>
              <w:szCs w:val="24"/>
              <w:lang w:val="en-GB"/>
            </w:rPr>
            <w:fldChar w:fldCharType="begin"/>
          </w:r>
          <w:r>
            <w:rPr>
              <w:rFonts w:ascii="Times New Roman" w:hAnsi="Times New Roman" w:cs="Times New Roman"/>
              <w:sz w:val="24"/>
              <w:szCs w:val="24"/>
              <w:lang w:val="en-GB"/>
            </w:rPr>
            <w:instrText xml:space="preserve"> PAGEREF _Toc234412336 \h </w:instrText>
          </w:r>
          <w:r>
            <w:rPr>
              <w:rFonts w:ascii="Times New Roman" w:hAnsi="Times New Roman" w:cs="Times New Roman"/>
              <w:sz w:val="24"/>
              <w:szCs w:val="24"/>
              <w:lang w:val="en-GB"/>
            </w:rPr>
            <w:fldChar w:fldCharType="separate"/>
          </w:r>
          <w:r>
            <w:rPr>
              <w:rFonts w:ascii="Times New Roman" w:hAnsi="Times New Roman" w:cs="Times New Roman"/>
              <w:sz w:val="24"/>
              <w:szCs w:val="24"/>
              <w:lang w:val="en-GB"/>
            </w:rPr>
            <w:t>7</w:t>
          </w:r>
          <w:r>
            <w:rPr>
              <w:rFonts w:ascii="Times New Roman" w:hAnsi="Times New Roman" w:cs="Times New Roman"/>
              <w:sz w:val="24"/>
              <w:szCs w:val="24"/>
              <w:lang w:val="en-GB"/>
            </w:rPr>
            <w:fldChar w:fldCharType="end"/>
          </w:r>
          <w:r>
            <w:rPr>
              <w:rFonts w:ascii="Times New Roman" w:hAnsi="Times New Roman" w:cs="Times New Roman"/>
              <w:sz w:val="24"/>
              <w:szCs w:val="24"/>
              <w:lang w:val="en-GB"/>
            </w:rPr>
            <w:fldChar w:fldCharType="end"/>
          </w:r>
        </w:p>
        <w:p w14:paraId="02FCB530">
          <w:pPr>
            <w:pStyle w:val="14"/>
            <w:tabs>
              <w:tab w:val="right" w:leader="dot" w:pos="9019"/>
            </w:tabs>
            <w:spacing w:line="360" w:lineRule="auto"/>
            <w:jc w:val="both"/>
            <w:rPr>
              <w:rFonts w:ascii="Times New Roman" w:hAnsi="Times New Roman" w:cs="Times New Roman"/>
              <w:sz w:val="24"/>
              <w:szCs w:val="24"/>
              <w:lang w:val="en-GB"/>
            </w:rPr>
          </w:pPr>
          <w:r>
            <w:fldChar w:fldCharType="begin"/>
          </w:r>
          <w:r>
            <w:instrText xml:space="preserve"> HYPERLINK \l "_Toc234412337" </w:instrText>
          </w:r>
          <w:r>
            <w:fldChar w:fldCharType="separate"/>
          </w:r>
          <w:r>
            <w:rPr>
              <w:rStyle w:val="10"/>
              <w:rFonts w:ascii="Times New Roman" w:hAnsi="Times New Roman" w:cs="Times New Roman"/>
              <w:sz w:val="24"/>
              <w:szCs w:val="24"/>
              <w:lang w:val="en-GB"/>
            </w:rPr>
            <w:t>3.3 Data collection and Sampling technique</w:t>
          </w:r>
          <w:r>
            <w:rPr>
              <w:rFonts w:ascii="Times New Roman" w:hAnsi="Times New Roman" w:cs="Times New Roman"/>
              <w:sz w:val="24"/>
              <w:szCs w:val="24"/>
              <w:lang w:val="en-GB"/>
            </w:rPr>
            <w:tab/>
          </w:r>
          <w:r>
            <w:rPr>
              <w:rFonts w:ascii="Times New Roman" w:hAnsi="Times New Roman" w:cs="Times New Roman"/>
              <w:sz w:val="24"/>
              <w:szCs w:val="24"/>
              <w:lang w:val="en-GB"/>
            </w:rPr>
            <w:fldChar w:fldCharType="begin"/>
          </w:r>
          <w:r>
            <w:rPr>
              <w:rFonts w:ascii="Times New Roman" w:hAnsi="Times New Roman" w:cs="Times New Roman"/>
              <w:sz w:val="24"/>
              <w:szCs w:val="24"/>
              <w:lang w:val="en-GB"/>
            </w:rPr>
            <w:instrText xml:space="preserve"> PAGEREF _Toc234412337 \h </w:instrText>
          </w:r>
          <w:r>
            <w:rPr>
              <w:rFonts w:ascii="Times New Roman" w:hAnsi="Times New Roman" w:cs="Times New Roman"/>
              <w:sz w:val="24"/>
              <w:szCs w:val="24"/>
              <w:lang w:val="en-GB"/>
            </w:rPr>
            <w:fldChar w:fldCharType="separate"/>
          </w:r>
          <w:r>
            <w:rPr>
              <w:rFonts w:ascii="Times New Roman" w:hAnsi="Times New Roman" w:cs="Times New Roman"/>
              <w:sz w:val="24"/>
              <w:szCs w:val="24"/>
              <w:lang w:val="en-GB"/>
            </w:rPr>
            <w:t>7</w:t>
          </w:r>
          <w:r>
            <w:rPr>
              <w:rFonts w:ascii="Times New Roman" w:hAnsi="Times New Roman" w:cs="Times New Roman"/>
              <w:sz w:val="24"/>
              <w:szCs w:val="24"/>
              <w:lang w:val="en-GB"/>
            </w:rPr>
            <w:fldChar w:fldCharType="end"/>
          </w:r>
          <w:r>
            <w:rPr>
              <w:rFonts w:ascii="Times New Roman" w:hAnsi="Times New Roman" w:cs="Times New Roman"/>
              <w:sz w:val="24"/>
              <w:szCs w:val="24"/>
              <w:lang w:val="en-GB"/>
            </w:rPr>
            <w:fldChar w:fldCharType="end"/>
          </w:r>
        </w:p>
        <w:p w14:paraId="33BFA0BF">
          <w:pPr>
            <w:pStyle w:val="14"/>
            <w:tabs>
              <w:tab w:val="right" w:leader="dot" w:pos="9019"/>
            </w:tabs>
            <w:spacing w:line="360" w:lineRule="auto"/>
            <w:jc w:val="both"/>
            <w:rPr>
              <w:rFonts w:ascii="Times New Roman" w:hAnsi="Times New Roman" w:cs="Times New Roman"/>
              <w:sz w:val="24"/>
              <w:szCs w:val="24"/>
              <w:lang w:val="en-GB"/>
            </w:rPr>
          </w:pPr>
          <w:r>
            <w:fldChar w:fldCharType="begin"/>
          </w:r>
          <w:r>
            <w:instrText xml:space="preserve"> HYPERLINK \l "_Toc234412338" </w:instrText>
          </w:r>
          <w:r>
            <w:fldChar w:fldCharType="separate"/>
          </w:r>
          <w:r>
            <w:rPr>
              <w:rStyle w:val="10"/>
              <w:rFonts w:ascii="Times New Roman" w:hAnsi="Times New Roman" w:cs="Times New Roman"/>
              <w:sz w:val="24"/>
              <w:szCs w:val="24"/>
              <w:lang w:val="en-GB"/>
            </w:rPr>
            <w:t>3.4 Data analysis method</w:t>
          </w:r>
          <w:r>
            <w:rPr>
              <w:rFonts w:ascii="Times New Roman" w:hAnsi="Times New Roman" w:cs="Times New Roman"/>
              <w:sz w:val="24"/>
              <w:szCs w:val="24"/>
              <w:lang w:val="en-GB"/>
            </w:rPr>
            <w:tab/>
          </w:r>
          <w:r>
            <w:rPr>
              <w:rFonts w:ascii="Times New Roman" w:hAnsi="Times New Roman" w:cs="Times New Roman"/>
              <w:sz w:val="24"/>
              <w:szCs w:val="24"/>
              <w:lang w:val="en-GB"/>
            </w:rPr>
            <w:fldChar w:fldCharType="begin"/>
          </w:r>
          <w:r>
            <w:rPr>
              <w:rFonts w:ascii="Times New Roman" w:hAnsi="Times New Roman" w:cs="Times New Roman"/>
              <w:sz w:val="24"/>
              <w:szCs w:val="24"/>
              <w:lang w:val="en-GB"/>
            </w:rPr>
            <w:instrText xml:space="preserve"> PAGEREF _Toc234412338 \h </w:instrText>
          </w:r>
          <w:r>
            <w:rPr>
              <w:rFonts w:ascii="Times New Roman" w:hAnsi="Times New Roman" w:cs="Times New Roman"/>
              <w:sz w:val="24"/>
              <w:szCs w:val="24"/>
              <w:lang w:val="en-GB"/>
            </w:rPr>
            <w:fldChar w:fldCharType="separate"/>
          </w:r>
          <w:r>
            <w:rPr>
              <w:rFonts w:ascii="Times New Roman" w:hAnsi="Times New Roman" w:cs="Times New Roman"/>
              <w:sz w:val="24"/>
              <w:szCs w:val="24"/>
              <w:lang w:val="en-GB"/>
            </w:rPr>
            <w:t>7</w:t>
          </w:r>
          <w:r>
            <w:rPr>
              <w:rFonts w:ascii="Times New Roman" w:hAnsi="Times New Roman" w:cs="Times New Roman"/>
              <w:sz w:val="24"/>
              <w:szCs w:val="24"/>
              <w:lang w:val="en-GB"/>
            </w:rPr>
            <w:fldChar w:fldCharType="end"/>
          </w:r>
          <w:r>
            <w:rPr>
              <w:rFonts w:ascii="Times New Roman" w:hAnsi="Times New Roman" w:cs="Times New Roman"/>
              <w:sz w:val="24"/>
              <w:szCs w:val="24"/>
              <w:lang w:val="en-GB"/>
            </w:rPr>
            <w:fldChar w:fldCharType="end"/>
          </w:r>
        </w:p>
        <w:p w14:paraId="59867C9B">
          <w:pPr>
            <w:pStyle w:val="14"/>
            <w:tabs>
              <w:tab w:val="right" w:leader="dot" w:pos="9019"/>
            </w:tabs>
            <w:spacing w:line="360" w:lineRule="auto"/>
            <w:jc w:val="both"/>
            <w:rPr>
              <w:rFonts w:ascii="Times New Roman" w:hAnsi="Times New Roman" w:cs="Times New Roman"/>
              <w:sz w:val="24"/>
              <w:szCs w:val="24"/>
              <w:lang w:val="en-GB"/>
            </w:rPr>
          </w:pPr>
          <w:r>
            <w:fldChar w:fldCharType="begin"/>
          </w:r>
          <w:r>
            <w:instrText xml:space="preserve"> HYPERLINK \l "_Toc234412339" </w:instrText>
          </w:r>
          <w:r>
            <w:fldChar w:fldCharType="separate"/>
          </w:r>
          <w:r>
            <w:rPr>
              <w:rStyle w:val="10"/>
              <w:rFonts w:ascii="Times New Roman" w:hAnsi="Times New Roman" w:cs="Times New Roman"/>
              <w:sz w:val="24"/>
              <w:szCs w:val="24"/>
              <w:lang w:val="en-GB"/>
            </w:rPr>
            <w:t>3.5 Ethical consideration</w:t>
          </w:r>
          <w:r>
            <w:rPr>
              <w:rFonts w:ascii="Times New Roman" w:hAnsi="Times New Roman" w:cs="Times New Roman"/>
              <w:sz w:val="24"/>
              <w:szCs w:val="24"/>
              <w:lang w:val="en-GB"/>
            </w:rPr>
            <w:tab/>
          </w:r>
          <w:r>
            <w:rPr>
              <w:rFonts w:ascii="Times New Roman" w:hAnsi="Times New Roman" w:cs="Times New Roman"/>
              <w:sz w:val="24"/>
              <w:szCs w:val="24"/>
              <w:lang w:val="en-GB"/>
            </w:rPr>
            <w:fldChar w:fldCharType="begin"/>
          </w:r>
          <w:r>
            <w:rPr>
              <w:rFonts w:ascii="Times New Roman" w:hAnsi="Times New Roman" w:cs="Times New Roman"/>
              <w:sz w:val="24"/>
              <w:szCs w:val="24"/>
              <w:lang w:val="en-GB"/>
            </w:rPr>
            <w:instrText xml:space="preserve"> PAGEREF _Toc234412339 \h </w:instrText>
          </w:r>
          <w:r>
            <w:rPr>
              <w:rFonts w:ascii="Times New Roman" w:hAnsi="Times New Roman" w:cs="Times New Roman"/>
              <w:sz w:val="24"/>
              <w:szCs w:val="24"/>
              <w:lang w:val="en-GB"/>
            </w:rPr>
            <w:fldChar w:fldCharType="separate"/>
          </w:r>
          <w:r>
            <w:rPr>
              <w:rFonts w:ascii="Times New Roman" w:hAnsi="Times New Roman" w:cs="Times New Roman"/>
              <w:sz w:val="24"/>
              <w:szCs w:val="24"/>
              <w:lang w:val="en-GB"/>
            </w:rPr>
            <w:t>8</w:t>
          </w:r>
          <w:r>
            <w:rPr>
              <w:rFonts w:ascii="Times New Roman" w:hAnsi="Times New Roman" w:cs="Times New Roman"/>
              <w:sz w:val="24"/>
              <w:szCs w:val="24"/>
              <w:lang w:val="en-GB"/>
            </w:rPr>
            <w:fldChar w:fldCharType="end"/>
          </w:r>
          <w:r>
            <w:rPr>
              <w:rFonts w:ascii="Times New Roman" w:hAnsi="Times New Roman" w:cs="Times New Roman"/>
              <w:sz w:val="24"/>
              <w:szCs w:val="24"/>
              <w:lang w:val="en-GB"/>
            </w:rPr>
            <w:fldChar w:fldCharType="end"/>
          </w:r>
        </w:p>
        <w:p w14:paraId="17672027">
          <w:pPr>
            <w:pStyle w:val="13"/>
            <w:tabs>
              <w:tab w:val="right" w:leader="dot" w:pos="9019"/>
            </w:tabs>
            <w:spacing w:line="360" w:lineRule="auto"/>
            <w:jc w:val="both"/>
            <w:rPr>
              <w:rFonts w:ascii="Times New Roman" w:hAnsi="Times New Roman" w:cs="Times New Roman"/>
              <w:sz w:val="24"/>
              <w:szCs w:val="24"/>
              <w:lang w:val="en-GB"/>
            </w:rPr>
          </w:pPr>
          <w:r>
            <w:fldChar w:fldCharType="begin"/>
          </w:r>
          <w:r>
            <w:instrText xml:space="preserve"> HYPERLINK \l "_Toc234412340" </w:instrText>
          </w:r>
          <w:r>
            <w:fldChar w:fldCharType="separate"/>
          </w:r>
          <w:r>
            <w:rPr>
              <w:rStyle w:val="10"/>
              <w:rFonts w:ascii="Times New Roman" w:hAnsi="Times New Roman" w:cs="Times New Roman"/>
              <w:sz w:val="24"/>
              <w:szCs w:val="24"/>
              <w:lang w:val="en-GB"/>
            </w:rPr>
            <w:t>4. Expected findings</w:t>
          </w:r>
          <w:r>
            <w:rPr>
              <w:rFonts w:ascii="Times New Roman" w:hAnsi="Times New Roman" w:cs="Times New Roman"/>
              <w:sz w:val="24"/>
              <w:szCs w:val="24"/>
              <w:lang w:val="en-GB"/>
            </w:rPr>
            <w:tab/>
          </w:r>
          <w:r>
            <w:rPr>
              <w:rFonts w:ascii="Times New Roman" w:hAnsi="Times New Roman" w:cs="Times New Roman"/>
              <w:sz w:val="24"/>
              <w:szCs w:val="24"/>
              <w:lang w:val="en-GB"/>
            </w:rPr>
            <w:fldChar w:fldCharType="begin"/>
          </w:r>
          <w:r>
            <w:rPr>
              <w:rFonts w:ascii="Times New Roman" w:hAnsi="Times New Roman" w:cs="Times New Roman"/>
              <w:sz w:val="24"/>
              <w:szCs w:val="24"/>
              <w:lang w:val="en-GB"/>
            </w:rPr>
            <w:instrText xml:space="preserve"> PAGEREF _Toc234412340 \h </w:instrText>
          </w:r>
          <w:r>
            <w:rPr>
              <w:rFonts w:ascii="Times New Roman" w:hAnsi="Times New Roman" w:cs="Times New Roman"/>
              <w:sz w:val="24"/>
              <w:szCs w:val="24"/>
              <w:lang w:val="en-GB"/>
            </w:rPr>
            <w:fldChar w:fldCharType="separate"/>
          </w:r>
          <w:r>
            <w:rPr>
              <w:rFonts w:ascii="Times New Roman" w:hAnsi="Times New Roman" w:cs="Times New Roman"/>
              <w:sz w:val="24"/>
              <w:szCs w:val="24"/>
              <w:lang w:val="en-GB"/>
            </w:rPr>
            <w:t>8</w:t>
          </w:r>
          <w:r>
            <w:rPr>
              <w:rFonts w:ascii="Times New Roman" w:hAnsi="Times New Roman" w:cs="Times New Roman"/>
              <w:sz w:val="24"/>
              <w:szCs w:val="24"/>
              <w:lang w:val="en-GB"/>
            </w:rPr>
            <w:fldChar w:fldCharType="end"/>
          </w:r>
          <w:r>
            <w:rPr>
              <w:rFonts w:ascii="Times New Roman" w:hAnsi="Times New Roman" w:cs="Times New Roman"/>
              <w:sz w:val="24"/>
              <w:szCs w:val="24"/>
              <w:lang w:val="en-GB"/>
            </w:rPr>
            <w:fldChar w:fldCharType="end"/>
          </w:r>
        </w:p>
        <w:p w14:paraId="6A492379">
          <w:pPr>
            <w:pStyle w:val="13"/>
            <w:tabs>
              <w:tab w:val="right" w:leader="dot" w:pos="9019"/>
            </w:tabs>
            <w:spacing w:line="360" w:lineRule="auto"/>
            <w:jc w:val="both"/>
            <w:rPr>
              <w:rFonts w:ascii="Times New Roman" w:hAnsi="Times New Roman" w:cs="Times New Roman"/>
              <w:sz w:val="24"/>
              <w:szCs w:val="24"/>
              <w:lang w:val="en-GB"/>
            </w:rPr>
          </w:pPr>
          <w:r>
            <w:fldChar w:fldCharType="begin"/>
          </w:r>
          <w:r>
            <w:instrText xml:space="preserve"> HYPERLINK \l "_Toc234412341" </w:instrText>
          </w:r>
          <w:r>
            <w:fldChar w:fldCharType="separate"/>
          </w:r>
          <w:r>
            <w:rPr>
              <w:rStyle w:val="10"/>
              <w:rFonts w:ascii="Times New Roman" w:hAnsi="Times New Roman" w:cs="Times New Roman"/>
              <w:sz w:val="24"/>
              <w:szCs w:val="24"/>
              <w:lang w:val="en-GB"/>
            </w:rPr>
            <w:t>5. Limitations</w:t>
          </w:r>
          <w:r>
            <w:rPr>
              <w:rFonts w:ascii="Times New Roman" w:hAnsi="Times New Roman" w:cs="Times New Roman"/>
              <w:sz w:val="24"/>
              <w:szCs w:val="24"/>
              <w:lang w:val="en-GB"/>
            </w:rPr>
            <w:tab/>
          </w:r>
          <w:r>
            <w:rPr>
              <w:rFonts w:ascii="Times New Roman" w:hAnsi="Times New Roman" w:cs="Times New Roman"/>
              <w:sz w:val="24"/>
              <w:szCs w:val="24"/>
              <w:lang w:val="en-GB"/>
            </w:rPr>
            <w:fldChar w:fldCharType="begin"/>
          </w:r>
          <w:r>
            <w:rPr>
              <w:rFonts w:ascii="Times New Roman" w:hAnsi="Times New Roman" w:cs="Times New Roman"/>
              <w:sz w:val="24"/>
              <w:szCs w:val="24"/>
              <w:lang w:val="en-GB"/>
            </w:rPr>
            <w:instrText xml:space="preserve"> PAGEREF _Toc234412341 \h </w:instrText>
          </w:r>
          <w:r>
            <w:rPr>
              <w:rFonts w:ascii="Times New Roman" w:hAnsi="Times New Roman" w:cs="Times New Roman"/>
              <w:sz w:val="24"/>
              <w:szCs w:val="24"/>
              <w:lang w:val="en-GB"/>
            </w:rPr>
            <w:fldChar w:fldCharType="separate"/>
          </w:r>
          <w:r>
            <w:rPr>
              <w:rFonts w:ascii="Times New Roman" w:hAnsi="Times New Roman" w:cs="Times New Roman"/>
              <w:sz w:val="24"/>
              <w:szCs w:val="24"/>
              <w:lang w:val="en-GB"/>
            </w:rPr>
            <w:t>8</w:t>
          </w:r>
          <w:r>
            <w:rPr>
              <w:rFonts w:ascii="Times New Roman" w:hAnsi="Times New Roman" w:cs="Times New Roman"/>
              <w:sz w:val="24"/>
              <w:szCs w:val="24"/>
              <w:lang w:val="en-GB"/>
            </w:rPr>
            <w:fldChar w:fldCharType="end"/>
          </w:r>
          <w:r>
            <w:rPr>
              <w:rFonts w:ascii="Times New Roman" w:hAnsi="Times New Roman" w:cs="Times New Roman"/>
              <w:sz w:val="24"/>
              <w:szCs w:val="24"/>
              <w:lang w:val="en-GB"/>
            </w:rPr>
            <w:fldChar w:fldCharType="end"/>
          </w:r>
        </w:p>
        <w:p w14:paraId="12E2D8B6">
          <w:pPr>
            <w:pStyle w:val="13"/>
            <w:tabs>
              <w:tab w:val="right" w:leader="dot" w:pos="9019"/>
            </w:tabs>
            <w:spacing w:line="360" w:lineRule="auto"/>
            <w:jc w:val="both"/>
            <w:rPr>
              <w:rFonts w:ascii="Times New Roman" w:hAnsi="Times New Roman" w:cs="Times New Roman"/>
              <w:sz w:val="24"/>
              <w:szCs w:val="24"/>
              <w:lang w:val="en-GB"/>
            </w:rPr>
          </w:pPr>
          <w:r>
            <w:fldChar w:fldCharType="begin"/>
          </w:r>
          <w:r>
            <w:instrText xml:space="preserve"> HYPERLINK \l "_Toc234412342" </w:instrText>
          </w:r>
          <w:r>
            <w:fldChar w:fldCharType="separate"/>
          </w:r>
          <w:r>
            <w:rPr>
              <w:rStyle w:val="10"/>
              <w:rFonts w:ascii="Times New Roman" w:hAnsi="Times New Roman" w:cs="Times New Roman"/>
              <w:sz w:val="24"/>
              <w:szCs w:val="24"/>
              <w:lang w:val="en-GB"/>
            </w:rPr>
            <w:t>6. Timeframe</w:t>
          </w:r>
          <w:r>
            <w:rPr>
              <w:rFonts w:ascii="Times New Roman" w:hAnsi="Times New Roman" w:cs="Times New Roman"/>
              <w:sz w:val="24"/>
              <w:szCs w:val="24"/>
              <w:lang w:val="en-GB"/>
            </w:rPr>
            <w:tab/>
          </w:r>
          <w:r>
            <w:rPr>
              <w:rFonts w:ascii="Times New Roman" w:hAnsi="Times New Roman" w:cs="Times New Roman"/>
              <w:sz w:val="24"/>
              <w:szCs w:val="24"/>
              <w:lang w:val="en-GB"/>
            </w:rPr>
            <w:fldChar w:fldCharType="begin"/>
          </w:r>
          <w:r>
            <w:rPr>
              <w:rFonts w:ascii="Times New Roman" w:hAnsi="Times New Roman" w:cs="Times New Roman"/>
              <w:sz w:val="24"/>
              <w:szCs w:val="24"/>
              <w:lang w:val="en-GB"/>
            </w:rPr>
            <w:instrText xml:space="preserve"> PAGEREF _Toc234412342 \h </w:instrText>
          </w:r>
          <w:r>
            <w:rPr>
              <w:rFonts w:ascii="Times New Roman" w:hAnsi="Times New Roman" w:cs="Times New Roman"/>
              <w:sz w:val="24"/>
              <w:szCs w:val="24"/>
              <w:lang w:val="en-GB"/>
            </w:rPr>
            <w:fldChar w:fldCharType="separate"/>
          </w:r>
          <w:r>
            <w:rPr>
              <w:rFonts w:ascii="Times New Roman" w:hAnsi="Times New Roman" w:cs="Times New Roman"/>
              <w:sz w:val="24"/>
              <w:szCs w:val="24"/>
              <w:lang w:val="en-GB"/>
            </w:rPr>
            <w:t>8</w:t>
          </w:r>
          <w:r>
            <w:rPr>
              <w:rFonts w:ascii="Times New Roman" w:hAnsi="Times New Roman" w:cs="Times New Roman"/>
              <w:sz w:val="24"/>
              <w:szCs w:val="24"/>
              <w:lang w:val="en-GB"/>
            </w:rPr>
            <w:fldChar w:fldCharType="end"/>
          </w:r>
          <w:r>
            <w:rPr>
              <w:rFonts w:ascii="Times New Roman" w:hAnsi="Times New Roman" w:cs="Times New Roman"/>
              <w:sz w:val="24"/>
              <w:szCs w:val="24"/>
              <w:lang w:val="en-GB"/>
            </w:rPr>
            <w:fldChar w:fldCharType="end"/>
          </w:r>
        </w:p>
        <w:p w14:paraId="23A08C58">
          <w:pPr>
            <w:pStyle w:val="13"/>
            <w:tabs>
              <w:tab w:val="right" w:leader="dot" w:pos="9019"/>
            </w:tabs>
            <w:spacing w:line="360" w:lineRule="auto"/>
            <w:jc w:val="both"/>
            <w:rPr>
              <w:rFonts w:ascii="Times New Roman" w:hAnsi="Times New Roman" w:cs="Times New Roman"/>
              <w:sz w:val="24"/>
              <w:szCs w:val="24"/>
              <w:lang w:val="en-GB"/>
            </w:rPr>
          </w:pPr>
          <w:r>
            <w:fldChar w:fldCharType="begin"/>
          </w:r>
          <w:r>
            <w:instrText xml:space="preserve"> HYPERLINK \l "_Toc234412343" </w:instrText>
          </w:r>
          <w:r>
            <w:fldChar w:fldCharType="separate"/>
          </w:r>
          <w:r>
            <w:rPr>
              <w:rStyle w:val="10"/>
              <w:rFonts w:ascii="Times New Roman" w:hAnsi="Times New Roman" w:cs="Times New Roman"/>
              <w:sz w:val="24"/>
              <w:szCs w:val="24"/>
              <w:lang w:val="en-GB"/>
            </w:rPr>
            <w:t>7. Conclusion</w:t>
          </w:r>
          <w:r>
            <w:rPr>
              <w:rFonts w:ascii="Times New Roman" w:hAnsi="Times New Roman" w:cs="Times New Roman"/>
              <w:sz w:val="24"/>
              <w:szCs w:val="24"/>
              <w:lang w:val="en-GB"/>
            </w:rPr>
            <w:tab/>
          </w:r>
          <w:r>
            <w:rPr>
              <w:rFonts w:ascii="Times New Roman" w:hAnsi="Times New Roman" w:cs="Times New Roman"/>
              <w:sz w:val="24"/>
              <w:szCs w:val="24"/>
              <w:lang w:val="en-GB"/>
            </w:rPr>
            <w:fldChar w:fldCharType="begin"/>
          </w:r>
          <w:r>
            <w:rPr>
              <w:rFonts w:ascii="Times New Roman" w:hAnsi="Times New Roman" w:cs="Times New Roman"/>
              <w:sz w:val="24"/>
              <w:szCs w:val="24"/>
              <w:lang w:val="en-GB"/>
            </w:rPr>
            <w:instrText xml:space="preserve"> PAGEREF _Toc234412343 \h </w:instrText>
          </w:r>
          <w:r>
            <w:rPr>
              <w:rFonts w:ascii="Times New Roman" w:hAnsi="Times New Roman" w:cs="Times New Roman"/>
              <w:sz w:val="24"/>
              <w:szCs w:val="24"/>
              <w:lang w:val="en-GB"/>
            </w:rPr>
            <w:fldChar w:fldCharType="separate"/>
          </w:r>
          <w:r>
            <w:rPr>
              <w:rFonts w:ascii="Times New Roman" w:hAnsi="Times New Roman" w:cs="Times New Roman"/>
              <w:sz w:val="24"/>
              <w:szCs w:val="24"/>
              <w:lang w:val="en-GB"/>
            </w:rPr>
            <w:t>10</w:t>
          </w:r>
          <w:r>
            <w:rPr>
              <w:rFonts w:ascii="Times New Roman" w:hAnsi="Times New Roman" w:cs="Times New Roman"/>
              <w:sz w:val="24"/>
              <w:szCs w:val="24"/>
              <w:lang w:val="en-GB"/>
            </w:rPr>
            <w:fldChar w:fldCharType="end"/>
          </w:r>
          <w:r>
            <w:rPr>
              <w:rFonts w:ascii="Times New Roman" w:hAnsi="Times New Roman" w:cs="Times New Roman"/>
              <w:sz w:val="24"/>
              <w:szCs w:val="24"/>
              <w:lang w:val="en-GB"/>
            </w:rPr>
            <w:fldChar w:fldCharType="end"/>
          </w:r>
        </w:p>
        <w:p w14:paraId="6134D7B8">
          <w:pPr>
            <w:pStyle w:val="13"/>
            <w:tabs>
              <w:tab w:val="right" w:leader="dot" w:pos="9019"/>
            </w:tabs>
            <w:spacing w:line="360" w:lineRule="auto"/>
            <w:jc w:val="both"/>
            <w:rPr>
              <w:rFonts w:ascii="Times New Roman" w:hAnsi="Times New Roman" w:cs="Times New Roman"/>
              <w:sz w:val="24"/>
              <w:szCs w:val="24"/>
              <w:lang w:val="en-GB"/>
            </w:rPr>
          </w:pPr>
          <w:r>
            <w:fldChar w:fldCharType="begin"/>
          </w:r>
          <w:r>
            <w:instrText xml:space="preserve"> HYPERLINK \l "_Toc234412344" </w:instrText>
          </w:r>
          <w:r>
            <w:fldChar w:fldCharType="separate"/>
          </w:r>
          <w:r>
            <w:rPr>
              <w:rStyle w:val="10"/>
              <w:rFonts w:ascii="Times New Roman" w:hAnsi="Times New Roman" w:cs="Times New Roman"/>
              <w:sz w:val="24"/>
              <w:szCs w:val="24"/>
              <w:lang w:val="en-GB"/>
            </w:rPr>
            <w:t>8. References</w:t>
          </w:r>
          <w:r>
            <w:rPr>
              <w:rFonts w:ascii="Times New Roman" w:hAnsi="Times New Roman" w:cs="Times New Roman"/>
              <w:sz w:val="24"/>
              <w:szCs w:val="24"/>
              <w:lang w:val="en-GB"/>
            </w:rPr>
            <w:tab/>
          </w:r>
          <w:r>
            <w:rPr>
              <w:rFonts w:ascii="Times New Roman" w:hAnsi="Times New Roman" w:cs="Times New Roman"/>
              <w:sz w:val="24"/>
              <w:szCs w:val="24"/>
              <w:lang w:val="en-GB"/>
            </w:rPr>
            <w:fldChar w:fldCharType="begin"/>
          </w:r>
          <w:r>
            <w:rPr>
              <w:rFonts w:ascii="Times New Roman" w:hAnsi="Times New Roman" w:cs="Times New Roman"/>
              <w:sz w:val="24"/>
              <w:szCs w:val="24"/>
              <w:lang w:val="en-GB"/>
            </w:rPr>
            <w:instrText xml:space="preserve"> PAGEREF _Toc234412344 \h </w:instrText>
          </w:r>
          <w:r>
            <w:rPr>
              <w:rFonts w:ascii="Times New Roman" w:hAnsi="Times New Roman" w:cs="Times New Roman"/>
              <w:sz w:val="24"/>
              <w:szCs w:val="24"/>
              <w:lang w:val="en-GB"/>
            </w:rPr>
            <w:fldChar w:fldCharType="separate"/>
          </w:r>
          <w:r>
            <w:rPr>
              <w:rFonts w:ascii="Times New Roman" w:hAnsi="Times New Roman" w:cs="Times New Roman"/>
              <w:sz w:val="24"/>
              <w:szCs w:val="24"/>
              <w:lang w:val="en-GB"/>
            </w:rPr>
            <w:t>11</w:t>
          </w:r>
          <w:r>
            <w:rPr>
              <w:rFonts w:ascii="Times New Roman" w:hAnsi="Times New Roman" w:cs="Times New Roman"/>
              <w:sz w:val="24"/>
              <w:szCs w:val="24"/>
              <w:lang w:val="en-GB"/>
            </w:rPr>
            <w:fldChar w:fldCharType="end"/>
          </w:r>
          <w:r>
            <w:rPr>
              <w:rFonts w:ascii="Times New Roman" w:hAnsi="Times New Roman" w:cs="Times New Roman"/>
              <w:sz w:val="24"/>
              <w:szCs w:val="24"/>
              <w:lang w:val="en-GB"/>
            </w:rPr>
            <w:fldChar w:fldCharType="end"/>
          </w:r>
        </w:p>
        <w:p w14:paraId="3E78A7E5">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fldChar w:fldCharType="end"/>
          </w:r>
        </w:p>
      </w:sdtContent>
    </w:sdt>
    <w:p w14:paraId="3E78A7E6">
      <w:pPr>
        <w:pStyle w:val="2"/>
        <w:spacing w:line="360" w:lineRule="auto"/>
        <w:rPr>
          <w:color w:val="222222"/>
          <w:highlight w:val="white"/>
          <w:lang w:val="en-GB"/>
        </w:rPr>
      </w:pPr>
      <w:r>
        <w:rPr>
          <w:lang w:val="en-GB"/>
        </w:rPr>
        <w:br w:type="column"/>
      </w:r>
      <w:bookmarkStart w:id="0" w:name="_Toc234412326"/>
      <w:r>
        <w:rPr>
          <w:lang w:val="en-GB"/>
        </w:rPr>
        <w:t>1. Introduction</w:t>
      </w:r>
      <w:bookmarkEnd w:id="0"/>
      <w:r>
        <w:rPr>
          <w:lang w:val="en-GB"/>
        </w:rPr>
        <w:t xml:space="preserve"> </w:t>
      </w:r>
    </w:p>
    <w:p w14:paraId="3E78A7E7">
      <w:pPr>
        <w:pStyle w:val="3"/>
        <w:spacing w:line="360" w:lineRule="auto"/>
        <w:rPr>
          <w:lang w:val="en-GB"/>
        </w:rPr>
      </w:pPr>
      <w:bookmarkStart w:id="1" w:name="_heading=h.n1bedwwe3ta2" w:colFirst="0" w:colLast="0"/>
      <w:bookmarkEnd w:id="1"/>
      <w:bookmarkStart w:id="2" w:name="_Toc234412327"/>
      <w:r>
        <w:rPr>
          <w:lang w:val="en-GB"/>
        </w:rPr>
        <w:t>1.1 Research background</w:t>
      </w:r>
      <w:bookmarkEnd w:id="2"/>
    </w:p>
    <w:p w14:paraId="3E78A7E8">
      <w:pPr>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color w:val="000000"/>
          <w:sz w:val="24"/>
          <w:szCs w:val="24"/>
          <w:lang w:val="en-GB"/>
        </w:rPr>
        <w:t xml:space="preserve">The increasingly global and digital nature of banking, combined with cryptocurrencies and cross-border financial transactions, has created new challenges for financial institutions in terms of financial crime and money laundering. This aspect also exposes the financial institutes to new risks, both regulatory and operational which affects the global financial stability. The scale of the global ML challenge is highlighted by the fact that 2-5% of the global GDP (US$800 billion – US$2 trillion) is laundered every year in the UK (UNODC, 2026). In this regard, to mitigate the significant threats of financial crime in the UK financial system, banks integrated diverse preventive management, in which the study chooses the risk management approach of HSBC. HSBC Holdings plc is one of the world's biggest banking institutions, with operations in 58 countries and territories that cater to about 41 million customers and generated US$65.9 billion in revenue and US$32.3 billion in profit before tax in 2024 (HSBC Holdings plc, 2025a). </w:t>
      </w:r>
    </w:p>
    <w:p w14:paraId="3E78A7E9">
      <w:pPr>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color w:val="000000"/>
          <w:sz w:val="24"/>
          <w:szCs w:val="24"/>
          <w:lang w:val="en-GB"/>
        </w:rPr>
      </w:pPr>
      <w:r>
        <w:rPr>
          <w:rFonts w:ascii="Times New Roman" w:hAnsi="Times New Roman" w:eastAsia="Times New Roman" w:cs="Times New Roman"/>
          <w:sz w:val="24"/>
          <w:szCs w:val="24"/>
          <w:lang w:val="en-GB"/>
        </w:rPr>
        <w:t>D</w:t>
      </w:r>
      <w:r>
        <w:rPr>
          <w:rFonts w:ascii="Times New Roman" w:hAnsi="Times New Roman" w:eastAsia="Times New Roman" w:cs="Times New Roman"/>
          <w:color w:val="000000"/>
          <w:sz w:val="24"/>
          <w:szCs w:val="24"/>
          <w:lang w:val="en-GB"/>
        </w:rPr>
        <w:t>espite its multi-billion-dollar investments in digital transformation that supports 3</w:t>
      </w:r>
      <w:r>
        <w:rPr>
          <w:rFonts w:ascii="Times New Roman" w:hAnsi="Times New Roman" w:eastAsia="Times New Roman" w:cs="Times New Roman"/>
          <w:color w:val="000000"/>
          <w:sz w:val="24"/>
          <w:szCs w:val="24"/>
          <w:highlight w:val="white"/>
          <w:lang w:val="en-GB"/>
        </w:rPr>
        <w:t xml:space="preserve"> million client interactions annually</w:t>
      </w:r>
      <w:r>
        <w:rPr>
          <w:rFonts w:ascii="Times New Roman" w:hAnsi="Times New Roman" w:eastAsia="Times New Roman" w:cs="Times New Roman"/>
          <w:color w:val="000000"/>
          <w:sz w:val="24"/>
          <w:szCs w:val="24"/>
          <w:lang w:val="en-GB"/>
        </w:rPr>
        <w:t xml:space="preserve">, and Financial Crime Risk Management (FCRM), HSBC remains vulnerable to changing money laundering threats (HSBC Holdings plc, 2026). </w:t>
      </w:r>
      <w:r>
        <w:rPr>
          <w:rFonts w:ascii="Times New Roman" w:hAnsi="Times New Roman" w:eastAsia="Times New Roman" w:cs="Times New Roman"/>
          <w:sz w:val="24"/>
          <w:szCs w:val="24"/>
          <w:lang w:val="en-GB"/>
        </w:rPr>
        <w:t>T</w:t>
      </w:r>
      <w:r>
        <w:rPr>
          <w:rFonts w:ascii="Times New Roman" w:hAnsi="Times New Roman" w:eastAsia="Times New Roman" w:cs="Times New Roman"/>
          <w:color w:val="000000"/>
          <w:sz w:val="24"/>
          <w:szCs w:val="24"/>
          <w:lang w:val="en-GB"/>
        </w:rPr>
        <w:t xml:space="preserve">his is specifically </w:t>
      </w:r>
      <w:r>
        <w:rPr>
          <w:rFonts w:ascii="Times New Roman" w:hAnsi="Times New Roman" w:eastAsia="Times New Roman" w:cs="Times New Roman"/>
          <w:sz w:val="24"/>
          <w:szCs w:val="24"/>
          <w:lang w:val="en-GB"/>
        </w:rPr>
        <w:t xml:space="preserve">driven by the ever-evolving nature of financial crimes and the impact of cyber technology. </w:t>
      </w:r>
      <w:r>
        <w:rPr>
          <w:rFonts w:ascii="Times New Roman" w:hAnsi="Times New Roman" w:eastAsia="Times New Roman" w:cs="Times New Roman"/>
          <w:color w:val="000000"/>
          <w:sz w:val="24"/>
          <w:szCs w:val="24"/>
          <w:lang w:val="en-GB"/>
        </w:rPr>
        <w:t xml:space="preserve">In this aspect, the organisation made several initiatives like multi-year partnership with Google Cloud and the settlement in order to develop its AML compliance deficiencies (HSBC Holdings plc, 2026). Although the bank's AI-powered transaction monitoring and risk-based Anti-Money Laundering (AML) systems have enhanced suspicious activity detection, it has also been criticised that the technological advancement </w:t>
      </w:r>
      <w:r>
        <w:rPr>
          <w:rFonts w:ascii="Times New Roman" w:hAnsi="Times New Roman" w:eastAsia="Times New Roman" w:cs="Times New Roman"/>
          <w:color w:val="000000"/>
          <w:sz w:val="23"/>
          <w:szCs w:val="23"/>
          <w:lang w:val="en-GB"/>
        </w:rPr>
        <w:t xml:space="preserve">is not a foolproof solution for financial crime, as criminals are constantly refining their laundry methods especially after the failure, where the settlement </w:t>
      </w:r>
      <w:r>
        <w:rPr>
          <w:rFonts w:ascii="Times New Roman" w:hAnsi="Times New Roman" w:eastAsia="Times New Roman" w:cs="Times New Roman"/>
          <w:color w:val="000000"/>
          <w:sz w:val="24"/>
          <w:szCs w:val="24"/>
          <w:lang w:val="en-GB"/>
        </w:rPr>
        <w:t>worths US$1.9 billion with US regulators in 2012</w:t>
      </w:r>
      <w:r>
        <w:rPr>
          <w:rFonts w:ascii="Times New Roman" w:hAnsi="Times New Roman" w:eastAsia="Times New Roman" w:cs="Times New Roman"/>
          <w:color w:val="000000"/>
          <w:sz w:val="23"/>
          <w:szCs w:val="23"/>
          <w:lang w:val="en-GB"/>
        </w:rPr>
        <w:t>.</w:t>
      </w:r>
      <w:r>
        <w:rPr>
          <w:rFonts w:ascii="Times New Roman" w:hAnsi="Times New Roman" w:eastAsia="Times New Roman" w:cs="Times New Roman"/>
          <w:color w:val="000000"/>
          <w:sz w:val="24"/>
          <w:szCs w:val="24"/>
          <w:lang w:val="en-GB"/>
        </w:rPr>
        <w:t xml:space="preserve"> </w:t>
      </w:r>
    </w:p>
    <w:p w14:paraId="3E78A7EA">
      <w:pPr>
        <w:pStyle w:val="3"/>
        <w:spacing w:line="360" w:lineRule="auto"/>
        <w:rPr>
          <w:lang w:val="en-GB"/>
        </w:rPr>
      </w:pPr>
      <w:bookmarkStart w:id="3" w:name="_Toc234412328"/>
      <w:r>
        <w:rPr>
          <w:lang w:val="en-GB"/>
        </w:rPr>
        <w:t>1.2 Research problem</w:t>
      </w:r>
      <w:bookmarkEnd w:id="3"/>
    </w:p>
    <w:p w14:paraId="3E78A7EB">
      <w:pPr>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color w:val="000000"/>
          <w:sz w:val="24"/>
          <w:szCs w:val="24"/>
          <w:lang w:val="en-GB"/>
        </w:rPr>
      </w:pPr>
      <w:r>
        <w:rPr>
          <w:rFonts w:ascii="Times New Roman" w:hAnsi="Times New Roman" w:eastAsia="Times New Roman" w:cs="Times New Roman"/>
          <w:color w:val="000000"/>
          <w:sz w:val="24"/>
          <w:szCs w:val="24"/>
          <w:lang w:val="en-GB"/>
        </w:rPr>
        <w:t>Despite significant enhancements to its Anti-Money Laundering (AML) and Financial Crime Risk Management (FCRM) framework HSBC's approach remains questionable regarding its effectiveness and scalability. Regarding this topic, limited research critically assesses how big multinational banks like HSBC scale AI-enabled AML strategies across intricate worldwide operations; while the majority of existing literature focuses on AML rules or technological solutions separately. Moreover, there is a lack of understanding of the effectiveness of balancing high compliance and customer experience with operational efficiency and ethical AI governance (</w:t>
      </w:r>
      <w:r>
        <w:rPr>
          <w:rFonts w:ascii="Times New Roman" w:hAnsi="Times New Roman" w:eastAsia="Times New Roman" w:cs="Times New Roman"/>
          <w:color w:val="222222"/>
          <w:sz w:val="24"/>
          <w:szCs w:val="24"/>
          <w:highlight w:val="white"/>
          <w:lang w:val="en-GB"/>
        </w:rPr>
        <w:t>Shirvanporzour,</w:t>
      </w:r>
      <w:r>
        <w:rPr>
          <w:rFonts w:ascii="Times New Roman" w:hAnsi="Times New Roman" w:eastAsia="Times New Roman" w:cs="Times New Roman"/>
          <w:color w:val="000000"/>
          <w:sz w:val="24"/>
          <w:szCs w:val="24"/>
          <w:lang w:val="en-GB"/>
        </w:rPr>
        <w:t xml:space="preserve"> 2025). Therefore, it is important to evaluate HSBC's current AML approach and opportunities in FCRM to further enhance scalable and sustainable financial crime risk management. </w:t>
      </w:r>
    </w:p>
    <w:p w14:paraId="3E78A7EC">
      <w:pPr>
        <w:pStyle w:val="3"/>
        <w:spacing w:line="360" w:lineRule="auto"/>
        <w:rPr>
          <w:lang w:val="en-GB"/>
        </w:rPr>
      </w:pPr>
      <w:bookmarkStart w:id="4" w:name="_Toc234412329"/>
      <w:r>
        <w:rPr>
          <w:lang w:val="en-GB"/>
        </w:rPr>
        <w:t>1.3 Research Aim</w:t>
      </w:r>
      <w:bookmarkEnd w:id="4"/>
      <w:r>
        <w:rPr>
          <w:lang w:val="en-GB"/>
        </w:rPr>
        <w:t xml:space="preserve"> </w:t>
      </w:r>
    </w:p>
    <w:p w14:paraId="3E78A7ED">
      <w:pPr>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color w:val="000000"/>
          <w:sz w:val="24"/>
          <w:szCs w:val="24"/>
          <w:lang w:val="en-GB"/>
        </w:rPr>
      </w:pPr>
      <w:r>
        <w:rPr>
          <w:rFonts w:ascii="Times New Roman" w:hAnsi="Times New Roman" w:eastAsia="Times New Roman" w:cs="Times New Roman"/>
          <w:color w:val="000000"/>
          <w:sz w:val="24"/>
          <w:szCs w:val="24"/>
          <w:lang w:val="en-GB"/>
        </w:rPr>
        <w:t xml:space="preserve">This </w:t>
      </w:r>
      <w:r>
        <w:rPr>
          <w:rFonts w:ascii="Times New Roman" w:hAnsi="Times New Roman" w:eastAsia="Times New Roman" w:cs="Times New Roman"/>
          <w:sz w:val="24"/>
          <w:szCs w:val="24"/>
          <w:lang w:val="en-GB"/>
        </w:rPr>
        <w:t>r</w:t>
      </w:r>
      <w:r>
        <w:rPr>
          <w:rFonts w:ascii="Times New Roman" w:hAnsi="Times New Roman" w:eastAsia="Times New Roman" w:cs="Times New Roman"/>
          <w:color w:val="000000"/>
          <w:sz w:val="24"/>
          <w:szCs w:val="24"/>
          <w:lang w:val="en-GB"/>
        </w:rPr>
        <w:t>esearch aims at critically evaluating the effectiveness and scalability of HSBC’s Anti-Money Laundering (AML) and Financial Crime Risk Management (FCRM) framework. Specific emphasis will be given on analyzing ways in which this bank leverages advanced technologies of AI and data analytics to mitigate global financial crime risks while balancing operational efficiency and customer experience.</w:t>
      </w:r>
    </w:p>
    <w:p w14:paraId="3E78A7EE">
      <w:pPr>
        <w:pStyle w:val="3"/>
        <w:spacing w:line="360" w:lineRule="auto"/>
        <w:rPr>
          <w:lang w:val="en-GB"/>
        </w:rPr>
      </w:pPr>
      <w:bookmarkStart w:id="5" w:name="_Toc234412330"/>
      <w:r>
        <w:rPr>
          <w:lang w:val="en-GB"/>
        </w:rPr>
        <w:t>1.4 Research Objectives</w:t>
      </w:r>
      <w:bookmarkEnd w:id="5"/>
    </w:p>
    <w:p w14:paraId="3E78A7EF">
      <w:pPr>
        <w:numPr>
          <w:ilvl w:val="0"/>
          <w:numId w:val="1"/>
        </w:numPr>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color w:val="000000"/>
          <w:sz w:val="24"/>
          <w:szCs w:val="24"/>
          <w:lang w:val="en-GB"/>
        </w:rPr>
      </w:pPr>
      <w:r>
        <w:rPr>
          <w:rFonts w:ascii="Times New Roman" w:hAnsi="Times New Roman" w:eastAsia="Times New Roman" w:cs="Times New Roman"/>
          <w:color w:val="000000"/>
          <w:sz w:val="24"/>
          <w:szCs w:val="24"/>
          <w:lang w:val="en-GB"/>
        </w:rPr>
        <w:t>To assess the evolution of HSBC’s FCRM policies to a risk-based approach (RBA)</w:t>
      </w:r>
    </w:p>
    <w:p w14:paraId="3E78A7F0">
      <w:pPr>
        <w:numPr>
          <w:ilvl w:val="0"/>
          <w:numId w:val="1"/>
        </w:numPr>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color w:val="000000"/>
          <w:sz w:val="24"/>
          <w:szCs w:val="24"/>
          <w:lang w:val="en-GB"/>
        </w:rPr>
      </w:pPr>
      <w:r>
        <w:rPr>
          <w:rFonts w:ascii="Times New Roman" w:hAnsi="Times New Roman" w:eastAsia="Times New Roman" w:cs="Times New Roman"/>
          <w:color w:val="000000"/>
          <w:sz w:val="24"/>
          <w:szCs w:val="24"/>
          <w:lang w:val="en-GB"/>
        </w:rPr>
        <w:t xml:space="preserve">To examine the role of AI and ‘integrated systems’ in scaling the detection of suspicious activities across a global network. </w:t>
      </w:r>
    </w:p>
    <w:p w14:paraId="3E78A7F1">
      <w:pPr>
        <w:numPr>
          <w:ilvl w:val="0"/>
          <w:numId w:val="1"/>
        </w:numPr>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color w:val="000000"/>
          <w:sz w:val="24"/>
          <w:szCs w:val="24"/>
          <w:lang w:val="en-GB"/>
        </w:rPr>
      </w:pPr>
      <w:r>
        <w:rPr>
          <w:rFonts w:ascii="Times New Roman" w:hAnsi="Times New Roman" w:eastAsia="Times New Roman" w:cs="Times New Roman"/>
          <w:color w:val="000000"/>
          <w:sz w:val="24"/>
          <w:szCs w:val="24"/>
          <w:lang w:val="en-GB"/>
        </w:rPr>
        <w:t xml:space="preserve">To investigate the balance between stringent compliance and the impact on legitimate customer experience and operational friction </w:t>
      </w:r>
    </w:p>
    <w:p w14:paraId="3E78A7F2">
      <w:pPr>
        <w:numPr>
          <w:ilvl w:val="0"/>
          <w:numId w:val="1"/>
        </w:numPr>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color w:val="000000"/>
          <w:sz w:val="24"/>
          <w:szCs w:val="24"/>
          <w:lang w:val="en-GB"/>
        </w:rPr>
      </w:pPr>
      <w:r>
        <w:rPr>
          <w:rFonts w:ascii="Times New Roman" w:hAnsi="Times New Roman" w:eastAsia="Times New Roman" w:cs="Times New Roman"/>
          <w:color w:val="000000"/>
          <w:sz w:val="24"/>
          <w:szCs w:val="24"/>
          <w:lang w:val="en-GB"/>
        </w:rPr>
        <w:t>To offer strategic insights into how HSBC can better integrate emerging technologies to address evolving sophisticated financial crime patterns while maintaining ethical data usage</w:t>
      </w:r>
    </w:p>
    <w:p w14:paraId="3E78A7F3">
      <w:pPr>
        <w:pStyle w:val="3"/>
        <w:spacing w:line="360" w:lineRule="auto"/>
        <w:rPr>
          <w:lang w:val="en-GB"/>
        </w:rPr>
      </w:pPr>
      <w:bookmarkStart w:id="6" w:name="_Toc234412331"/>
      <w:r>
        <w:rPr>
          <w:lang w:val="en-GB"/>
        </w:rPr>
        <w:t>1.5 Research Questions</w:t>
      </w:r>
      <w:bookmarkEnd w:id="6"/>
      <w:r>
        <w:rPr>
          <w:lang w:val="en-GB"/>
        </w:rPr>
        <w:t xml:space="preserve"> </w:t>
      </w:r>
    </w:p>
    <w:p w14:paraId="3E78A7F4">
      <w:pPr>
        <w:numPr>
          <w:ilvl w:val="0"/>
          <w:numId w:val="2"/>
        </w:numPr>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color w:val="000000"/>
          <w:sz w:val="24"/>
          <w:szCs w:val="24"/>
          <w:lang w:val="en-GB"/>
        </w:rPr>
      </w:pPr>
      <w:r>
        <w:rPr>
          <w:rFonts w:ascii="Times New Roman" w:hAnsi="Times New Roman" w:eastAsia="Times New Roman" w:cs="Times New Roman"/>
          <w:color w:val="000000"/>
          <w:sz w:val="24"/>
          <w:szCs w:val="24"/>
          <w:lang w:val="en-GB"/>
        </w:rPr>
        <w:t xml:space="preserve">How has HSBC's AML strategy (FCRM) evolved towards a risk-based approach? </w:t>
      </w:r>
    </w:p>
    <w:p w14:paraId="3E78A7F5">
      <w:pPr>
        <w:numPr>
          <w:ilvl w:val="0"/>
          <w:numId w:val="2"/>
        </w:numPr>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color w:val="000000"/>
          <w:sz w:val="24"/>
          <w:szCs w:val="24"/>
          <w:lang w:val="en-GB"/>
        </w:rPr>
      </w:pPr>
      <w:r>
        <w:rPr>
          <w:rFonts w:ascii="Times New Roman" w:hAnsi="Times New Roman" w:eastAsia="Times New Roman" w:cs="Times New Roman"/>
          <w:color w:val="000000"/>
          <w:sz w:val="24"/>
          <w:szCs w:val="24"/>
          <w:lang w:val="en-GB"/>
        </w:rPr>
        <w:t xml:space="preserve">How is the integration of AI and integrated systems fostering HSBC's financial crime detection? </w:t>
      </w:r>
    </w:p>
    <w:p w14:paraId="3E78A7F6">
      <w:pPr>
        <w:numPr>
          <w:ilvl w:val="0"/>
          <w:numId w:val="2"/>
        </w:numPr>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color w:val="000000"/>
          <w:sz w:val="24"/>
          <w:szCs w:val="24"/>
          <w:lang w:val="en-GB"/>
        </w:rPr>
      </w:pPr>
      <w:r>
        <w:rPr>
          <w:rFonts w:ascii="Times New Roman" w:hAnsi="Times New Roman" w:eastAsia="Times New Roman" w:cs="Times New Roman"/>
          <w:color w:val="000000"/>
          <w:sz w:val="24"/>
          <w:szCs w:val="24"/>
          <w:lang w:val="en-GB"/>
        </w:rPr>
        <w:t xml:space="preserve">How does HSBC balance compliance with operational efficiency and customer experience? </w:t>
      </w:r>
    </w:p>
    <w:p w14:paraId="3E78A7F7">
      <w:pPr>
        <w:numPr>
          <w:ilvl w:val="0"/>
          <w:numId w:val="2"/>
        </w:numPr>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color w:val="000000"/>
          <w:sz w:val="24"/>
          <w:szCs w:val="24"/>
          <w:lang w:val="en-GB"/>
        </w:rPr>
      </w:pPr>
      <w:r>
        <w:rPr>
          <w:rFonts w:ascii="Times New Roman" w:hAnsi="Times New Roman" w:eastAsia="Times New Roman" w:cs="Times New Roman"/>
          <w:color w:val="000000"/>
          <w:sz w:val="24"/>
          <w:szCs w:val="24"/>
          <w:lang w:val="en-GB"/>
        </w:rPr>
        <w:t xml:space="preserve">What strategic improvements could </w:t>
      </w:r>
      <w:r>
        <w:rPr>
          <w:rFonts w:ascii="Times New Roman" w:hAnsi="Times New Roman" w:eastAsia="Times New Roman" w:cs="Times New Roman"/>
          <w:sz w:val="24"/>
          <w:szCs w:val="24"/>
          <w:lang w:val="en-GB"/>
        </w:rPr>
        <w:t>help HSBC</w:t>
      </w:r>
      <w:r>
        <w:rPr>
          <w:rFonts w:ascii="Times New Roman" w:hAnsi="Times New Roman" w:eastAsia="Times New Roman" w:cs="Times New Roman"/>
          <w:color w:val="000000"/>
          <w:sz w:val="24"/>
          <w:szCs w:val="24"/>
          <w:lang w:val="en-GB"/>
        </w:rPr>
        <w:t xml:space="preserve"> to develop the scalable and ethical AML in improving financial crime risk management? </w:t>
      </w:r>
    </w:p>
    <w:p w14:paraId="3E78A7F8">
      <w:pPr>
        <w:pStyle w:val="3"/>
        <w:spacing w:line="360" w:lineRule="auto"/>
        <w:rPr>
          <w:lang w:val="en-GB"/>
        </w:rPr>
      </w:pPr>
      <w:bookmarkStart w:id="7" w:name="_Toc234412332"/>
      <w:r>
        <w:rPr>
          <w:lang w:val="en-GB"/>
        </w:rPr>
        <w:t>1.6 Rationale of Choose This Topic</w:t>
      </w:r>
      <w:bookmarkEnd w:id="7"/>
    </w:p>
    <w:p w14:paraId="3E78A7F9">
      <w:pPr>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color w:val="000000"/>
          <w:sz w:val="24"/>
          <w:szCs w:val="24"/>
          <w:lang w:val="en-GB"/>
        </w:rPr>
      </w:pPr>
      <w:r>
        <w:rPr>
          <w:rFonts w:ascii="Times New Roman" w:hAnsi="Times New Roman" w:eastAsia="Times New Roman" w:cs="Times New Roman"/>
          <w:color w:val="000000"/>
          <w:sz w:val="24"/>
          <w:szCs w:val="24"/>
          <w:lang w:val="en-GB"/>
        </w:rPr>
        <w:t>HSBC is an excellent example to explore the challenges of scaling Anti-Money Laundering (AML) and financial crime risk management in legacy banks, as it is a significant global threat. In addition, the study can fill the gap regarding innovations of FinTech with the regulation in banking, emphasising the digital transformation in a highly regulated sector. However, with banks being subjected to huge fines for their AML issues, there is a gap between the theoretical AML frameworks and the actual implementation of them and this is precisely where knowledge of scalable compliance can help reduce false alerts and develop the application and scaling of these strategies in real-world, and high-volume environments.</w:t>
      </w:r>
    </w:p>
    <w:p w14:paraId="3E78A7FA">
      <w:pPr>
        <w:pStyle w:val="2"/>
        <w:spacing w:line="360" w:lineRule="auto"/>
        <w:rPr>
          <w:lang w:val="en-GB"/>
        </w:rPr>
      </w:pPr>
      <w:bookmarkStart w:id="8" w:name="_Toc234412333"/>
      <w:r>
        <w:rPr>
          <w:lang w:val="en-GB"/>
        </w:rPr>
        <w:t>2. Literature review</w:t>
      </w:r>
      <w:bookmarkEnd w:id="8"/>
      <w:r>
        <w:rPr>
          <w:lang w:val="en-GB"/>
        </w:rPr>
        <w:t xml:space="preserve"> </w:t>
      </w:r>
    </w:p>
    <w:p w14:paraId="3E78A7FB">
      <w:pPr>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b/>
          <w:bCs/>
          <w:i/>
          <w:iCs/>
          <w:color w:val="000000"/>
          <w:sz w:val="24"/>
          <w:szCs w:val="24"/>
          <w:lang w:val="en-GB"/>
        </w:rPr>
      </w:pPr>
      <w:r>
        <w:rPr>
          <w:rFonts w:ascii="Times New Roman" w:hAnsi="Times New Roman" w:eastAsia="Times New Roman" w:cs="Times New Roman"/>
          <w:b/>
          <w:bCs/>
          <w:i/>
          <w:iCs/>
          <w:color w:val="000000"/>
          <w:sz w:val="24"/>
          <w:szCs w:val="24"/>
          <w:lang w:val="en-GB"/>
        </w:rPr>
        <w:t>Anti-Money Laundering (AML) and Financial Crime Risk Management (FCRM) Frameworks of HSSBC</w:t>
      </w:r>
    </w:p>
    <w:p w14:paraId="3E78A7FC">
      <w:pPr>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color w:val="000000"/>
          <w:sz w:val="24"/>
          <w:szCs w:val="24"/>
          <w:lang w:val="en-GB"/>
        </w:rPr>
      </w:pPr>
      <w:r>
        <w:rPr>
          <w:rFonts w:ascii="Times New Roman" w:hAnsi="Times New Roman" w:eastAsia="Times New Roman" w:cs="Times New Roman"/>
          <w:color w:val="000000"/>
          <w:sz w:val="24"/>
          <w:szCs w:val="24"/>
          <w:lang w:val="en-GB"/>
        </w:rPr>
        <w:t>In the digitised age, the Financial Action Task Force (FATF) has shifted the paradigm for Anti-Money Laundering (AML) and Financial Crime Risk Management (FCRM) from relying on rules to more risk-based and intelligence-driven solutions (</w:t>
      </w:r>
      <w:r>
        <w:rPr>
          <w:rFonts w:ascii="Times New Roman" w:hAnsi="Times New Roman" w:eastAsia="Times New Roman" w:cs="Times New Roman"/>
          <w:color w:val="000000"/>
          <w:sz w:val="24"/>
          <w:szCs w:val="24"/>
          <w:highlight w:val="white"/>
          <w:lang w:val="en-GB"/>
        </w:rPr>
        <w:t xml:space="preserve">Aidoo </w:t>
      </w:r>
      <w:r>
        <w:rPr>
          <w:rFonts w:ascii="Times New Roman" w:hAnsi="Times New Roman" w:eastAsia="Times New Roman" w:cs="Times New Roman"/>
          <w:i/>
          <w:iCs/>
          <w:color w:val="000000"/>
          <w:sz w:val="24"/>
          <w:szCs w:val="24"/>
          <w:highlight w:val="white"/>
          <w:lang w:val="en-GB"/>
        </w:rPr>
        <w:t xml:space="preserve">et al., </w:t>
      </w:r>
      <w:r>
        <w:rPr>
          <w:rFonts w:ascii="Times New Roman" w:hAnsi="Times New Roman" w:eastAsia="Times New Roman" w:cs="Times New Roman"/>
          <w:color w:val="000000"/>
          <w:sz w:val="24"/>
          <w:szCs w:val="24"/>
          <w:highlight w:val="white"/>
          <w:lang w:val="en-GB"/>
        </w:rPr>
        <w:t>2025</w:t>
      </w:r>
      <w:r>
        <w:rPr>
          <w:rFonts w:ascii="Times New Roman" w:hAnsi="Times New Roman" w:eastAsia="Times New Roman" w:cs="Times New Roman"/>
          <w:color w:val="000000"/>
          <w:sz w:val="24"/>
          <w:szCs w:val="24"/>
          <w:lang w:val="en-GB"/>
        </w:rPr>
        <w:t xml:space="preserve">). However, as argued by </w:t>
      </w:r>
      <w:r>
        <w:rPr>
          <w:rFonts w:ascii="Times New Roman" w:hAnsi="Times New Roman" w:eastAsia="Times New Roman" w:cs="Times New Roman"/>
          <w:color w:val="000000"/>
          <w:sz w:val="24"/>
          <w:szCs w:val="24"/>
          <w:highlight w:val="white"/>
          <w:lang w:val="en-GB"/>
        </w:rPr>
        <w:t xml:space="preserve">Muonagolu (2025), successful AML goes beyond compliance to also require organisational flexibility, cross-border information exchange and ongoing technological development. </w:t>
      </w:r>
      <w:r>
        <w:rPr>
          <w:rFonts w:ascii="Times New Roman" w:hAnsi="Times New Roman" w:eastAsia="Times New Roman" w:cs="Times New Roman"/>
          <w:color w:val="000000"/>
          <w:sz w:val="24"/>
          <w:szCs w:val="24"/>
          <w:lang w:val="en-GB"/>
        </w:rPr>
        <w:t>In this aspect, by aligning with the Risk Based Approach (RBA) financial institutions are prioritising their compliance efforts on the level of risk and likelihood of financial crime, allowing for greater regulatory effectiveness and reduction in unnecessary operational burden (FATF, 2023). However, to strengthen the FCRM approach, HSBC has made a fundamental change in its AML framework, with emphasis on improved governance by integrating financial crime specialists across its international operations, customer due diligence, global financial crime controls along with the transaction monitoring through effective KYC approach (HBC Holdings plc, 2025b). Rather than having a set of static rules, HSBC also worked with the technological intervention in which its partnership with Google needs to be considered to implement an AI system internally dubbed Dynamic Risk Assessment, which would help the bank to tackle more sophisticated money laundering threats (HSBC Holdings plc, 2026; HSBC Holdings plc, 2025b). These machine-learning models continuously learn, recognizing anomalies and complex criminal networks based on the new patterns of criminal activity. On the contrary, researchers suggest that despite the strict protocol, financial organisations can still be vulnerable due to the advancement of new technologies in fraud and compliance systems are lagging behind (</w:t>
      </w:r>
      <w:r>
        <w:rPr>
          <w:rFonts w:ascii="Times New Roman" w:hAnsi="Times New Roman" w:eastAsia="Times New Roman" w:cs="Times New Roman"/>
          <w:color w:val="222222"/>
          <w:sz w:val="24"/>
          <w:szCs w:val="24"/>
          <w:highlight w:val="white"/>
          <w:lang w:val="en-GB"/>
        </w:rPr>
        <w:t xml:space="preserve">Ridzuan </w:t>
      </w:r>
      <w:r>
        <w:rPr>
          <w:rFonts w:ascii="Times New Roman" w:hAnsi="Times New Roman" w:eastAsia="Times New Roman" w:cs="Times New Roman"/>
          <w:i/>
          <w:iCs/>
          <w:color w:val="222222"/>
          <w:sz w:val="24"/>
          <w:szCs w:val="24"/>
          <w:highlight w:val="white"/>
          <w:lang w:val="en-GB"/>
        </w:rPr>
        <w:t xml:space="preserve">et al., </w:t>
      </w:r>
      <w:r>
        <w:rPr>
          <w:rFonts w:ascii="Times New Roman" w:hAnsi="Times New Roman" w:eastAsia="Times New Roman" w:cs="Times New Roman"/>
          <w:color w:val="222222"/>
          <w:sz w:val="24"/>
          <w:szCs w:val="24"/>
          <w:highlight w:val="white"/>
          <w:lang w:val="en-GB"/>
        </w:rPr>
        <w:t>2024</w:t>
      </w:r>
      <w:r>
        <w:rPr>
          <w:rFonts w:ascii="Times New Roman" w:hAnsi="Times New Roman" w:eastAsia="Times New Roman" w:cs="Times New Roman"/>
          <w:color w:val="000000"/>
          <w:sz w:val="24"/>
          <w:szCs w:val="24"/>
          <w:lang w:val="en-GB"/>
        </w:rPr>
        <w:t xml:space="preserve">). </w:t>
      </w:r>
    </w:p>
    <w:p w14:paraId="3E78A7FD">
      <w:pPr>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b/>
          <w:bCs/>
          <w:i/>
          <w:iCs/>
          <w:color w:val="000000"/>
          <w:sz w:val="24"/>
          <w:szCs w:val="24"/>
          <w:lang w:val="en-GB"/>
        </w:rPr>
      </w:pPr>
      <w:r>
        <w:rPr>
          <w:rFonts w:ascii="Times New Roman" w:hAnsi="Times New Roman" w:eastAsia="Times New Roman" w:cs="Times New Roman"/>
          <w:b/>
          <w:bCs/>
          <w:i/>
          <w:iCs/>
          <w:color w:val="000000"/>
          <w:sz w:val="24"/>
          <w:szCs w:val="24"/>
          <w:lang w:val="en-GB"/>
        </w:rPr>
        <w:t xml:space="preserve">Artificial Intelligence and Integrated Technologies in Scaling Financial Crime Detection </w:t>
      </w:r>
    </w:p>
    <w:p w14:paraId="3E78A7FE">
      <w:pPr>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color w:val="000000"/>
          <w:sz w:val="24"/>
          <w:szCs w:val="24"/>
          <w:lang w:val="en-GB"/>
        </w:rPr>
      </w:pPr>
      <w:r>
        <w:rPr>
          <w:rFonts w:ascii="Times New Roman" w:hAnsi="Times New Roman" w:eastAsia="Times New Roman" w:cs="Times New Roman"/>
          <w:color w:val="000000"/>
          <w:sz w:val="24"/>
          <w:szCs w:val="24"/>
          <w:lang w:val="en-GB"/>
        </w:rPr>
        <w:t xml:space="preserve">The role of financial crime detection has been revolutionized by the advent of Artificial Intelligence (AI), machine learning, big data analytics and integrated transaction-monitoring systems, which can process millions of transactions in real-time and detect unusual behavioural patterns that would far exceed the ability of a rule-based system. In this aspect, the annual report of HSBC highlighted that AI-powered analytics have contributed to better financial crime surveillance by identifying risks and aid more effective investigative decision-making globally (HSBC Holdings plc, 2025a). As per </w:t>
      </w:r>
      <w:r>
        <w:rPr>
          <w:rFonts w:ascii="Times New Roman" w:hAnsi="Times New Roman" w:eastAsia="Times New Roman" w:cs="Times New Roman"/>
          <w:color w:val="222222"/>
          <w:sz w:val="24"/>
          <w:szCs w:val="24"/>
          <w:highlight w:val="white"/>
          <w:lang w:val="en-GB"/>
        </w:rPr>
        <w:t xml:space="preserve">Ridzuan </w:t>
      </w:r>
      <w:r>
        <w:rPr>
          <w:rFonts w:ascii="Times New Roman" w:hAnsi="Times New Roman" w:eastAsia="Times New Roman" w:cs="Times New Roman"/>
          <w:i/>
          <w:iCs/>
          <w:color w:val="222222"/>
          <w:sz w:val="24"/>
          <w:szCs w:val="24"/>
          <w:highlight w:val="white"/>
          <w:lang w:val="en-GB"/>
        </w:rPr>
        <w:t xml:space="preserve">et al. </w:t>
      </w:r>
      <w:r>
        <w:rPr>
          <w:rFonts w:ascii="Times New Roman" w:hAnsi="Times New Roman" w:eastAsia="Times New Roman" w:cs="Times New Roman"/>
          <w:color w:val="222222"/>
          <w:sz w:val="24"/>
          <w:szCs w:val="24"/>
          <w:highlight w:val="white"/>
          <w:lang w:val="en-GB"/>
        </w:rPr>
        <w:t>(2024)</w:t>
      </w:r>
      <w:r>
        <w:rPr>
          <w:rFonts w:ascii="Times New Roman" w:hAnsi="Times New Roman" w:eastAsia="Times New Roman" w:cs="Times New Roman"/>
          <w:color w:val="222222"/>
          <w:sz w:val="24"/>
          <w:szCs w:val="24"/>
          <w:lang w:val="en-GB"/>
        </w:rPr>
        <w:t>,</w:t>
      </w:r>
      <w:r>
        <w:rPr>
          <w:rFonts w:ascii="Times New Roman" w:hAnsi="Times New Roman" w:eastAsia="Times New Roman" w:cs="Times New Roman"/>
          <w:color w:val="000000"/>
          <w:sz w:val="24"/>
          <w:szCs w:val="24"/>
          <w:lang w:val="en-GB"/>
        </w:rPr>
        <w:t xml:space="preserve"> the Financial Conduct Authority has identified AI as a critical tool in enhancing the resilience of the financial system and in achieving compliance with regulations. On the other hand, </w:t>
      </w:r>
      <w:r>
        <w:rPr>
          <w:rFonts w:ascii="Times New Roman" w:hAnsi="Times New Roman" w:eastAsia="Times New Roman" w:cs="Times New Roman"/>
          <w:color w:val="222222"/>
          <w:sz w:val="24"/>
          <w:szCs w:val="24"/>
          <w:highlight w:val="white"/>
          <w:lang w:val="en-GB"/>
        </w:rPr>
        <w:t xml:space="preserve">Tiamiyu and Ndibe (2024) </w:t>
      </w:r>
      <w:r>
        <w:rPr>
          <w:rFonts w:ascii="Times New Roman" w:hAnsi="Times New Roman" w:eastAsia="Times New Roman" w:cs="Times New Roman"/>
          <w:color w:val="000000"/>
          <w:sz w:val="24"/>
          <w:szCs w:val="24"/>
          <w:lang w:val="en-GB"/>
        </w:rPr>
        <w:t>represent</w:t>
      </w:r>
      <w:r>
        <w:rPr>
          <w:rFonts w:ascii="Times New Roman" w:hAnsi="Times New Roman" w:eastAsia="Times New Roman" w:cs="Times New Roman"/>
          <w:sz w:val="24"/>
          <w:szCs w:val="24"/>
          <w:lang w:val="en-GB"/>
        </w:rPr>
        <w:t>ed</w:t>
      </w:r>
      <w:r>
        <w:rPr>
          <w:rFonts w:ascii="Times New Roman" w:hAnsi="Times New Roman" w:eastAsia="Times New Roman" w:cs="Times New Roman"/>
          <w:color w:val="000000"/>
          <w:sz w:val="24"/>
          <w:szCs w:val="24"/>
          <w:lang w:val="en-GB"/>
        </w:rPr>
        <w:t xml:space="preserve"> a conflicting view in which although AI offers many benefits in terms of detection efficiency and the elimination of manual processing, it also correlated with the false positives or the failure to identify complex laundering techniques, which could be rectified by algorithmic bias, non-explainability, and data quality issues. </w:t>
      </w:r>
    </w:p>
    <w:p w14:paraId="3E78A7FF">
      <w:pPr>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b/>
          <w:bCs/>
          <w:i/>
          <w:iCs/>
          <w:color w:val="000000"/>
          <w:sz w:val="24"/>
          <w:szCs w:val="24"/>
          <w:lang w:val="en-GB"/>
        </w:rPr>
      </w:pPr>
      <w:r>
        <w:rPr>
          <w:rFonts w:ascii="Times New Roman" w:hAnsi="Times New Roman" w:eastAsia="Times New Roman" w:cs="Times New Roman"/>
          <w:b/>
          <w:bCs/>
          <w:i/>
          <w:iCs/>
          <w:color w:val="000000"/>
          <w:sz w:val="24"/>
          <w:szCs w:val="24"/>
          <w:lang w:val="en-GB"/>
        </w:rPr>
        <w:t xml:space="preserve">Balancing process of Regulatory Compliance, Operational Efficiency and Customer Experience in AML </w:t>
      </w:r>
    </w:p>
    <w:p w14:paraId="3E78A800">
      <w:pPr>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color w:val="000000"/>
          <w:sz w:val="24"/>
          <w:szCs w:val="24"/>
          <w:lang w:val="en-GB"/>
        </w:rPr>
      </w:pPr>
      <w:r>
        <w:rPr>
          <w:rFonts w:ascii="Times New Roman" w:hAnsi="Times New Roman" w:eastAsia="Times New Roman" w:cs="Times New Roman"/>
          <w:color w:val="000000"/>
          <w:sz w:val="24"/>
          <w:szCs w:val="24"/>
          <w:lang w:val="en-GB"/>
        </w:rPr>
        <w:t xml:space="preserve">While strong Anti-Money Laundering (AML) controls are vital to safeguard financial systems, too many can cause friction and potentially impact the customer experience. In this aspect, the survey data found that in the global platform financial institutions are spending more than $206 billion in a year on financial crime compliance which reached </w:t>
      </w:r>
      <w:r>
        <w:fldChar w:fldCharType="begin"/>
      </w:r>
      <w:r>
        <w:instrText xml:space="preserve"> HYPERLINK "https://bpi.com/survey-finds-compliance-is-growing-demand-on-bank-resources/" \l "_ftn3" \h </w:instrText>
      </w:r>
      <w:r>
        <w:fldChar w:fldCharType="separate"/>
      </w:r>
      <w:r>
        <w:rPr>
          <w:rFonts w:ascii="Times New Roman" w:hAnsi="Times New Roman" w:eastAsia="Times New Roman" w:cs="Times New Roman"/>
          <w:color w:val="000000"/>
          <w:sz w:val="24"/>
          <w:szCs w:val="24"/>
          <w:lang w:val="en-GB"/>
        </w:rPr>
        <w:t>$</w:t>
      </w:r>
      <w:r>
        <w:rPr>
          <w:rFonts w:ascii="Times New Roman" w:hAnsi="Times New Roman" w:eastAsia="Times New Roman" w:cs="Times New Roman"/>
          <w:color w:val="000000"/>
          <w:sz w:val="24"/>
          <w:szCs w:val="24"/>
          <w:lang w:val="en-GB"/>
        </w:rPr>
        <w:fldChar w:fldCharType="end"/>
      </w:r>
      <w:r>
        <w:rPr>
          <w:rFonts w:ascii="Times New Roman" w:hAnsi="Times New Roman" w:eastAsia="Times New Roman" w:cs="Times New Roman"/>
          <w:color w:val="000000"/>
          <w:sz w:val="24"/>
          <w:szCs w:val="24"/>
          <w:lang w:val="en-GB"/>
        </w:rPr>
        <w:t>213.9 in 2021 (Flagright, 2025; Fintech News Switzerland, 2021). However, the ineffective monitoring systems and the rapid evolution of the regulatory aspects are resulting in a high false-positive rate, generating additional investigation expenses and slowing customer onboarding (</w:t>
      </w:r>
      <w:r>
        <w:rPr>
          <w:rFonts w:ascii="Times New Roman" w:hAnsi="Times New Roman" w:eastAsia="Times New Roman" w:cs="Times New Roman"/>
          <w:color w:val="222222"/>
          <w:sz w:val="24"/>
          <w:szCs w:val="24"/>
          <w:highlight w:val="white"/>
          <w:lang w:val="en-GB"/>
        </w:rPr>
        <w:t>Muonagolu, 2025</w:t>
      </w:r>
      <w:r>
        <w:rPr>
          <w:rFonts w:ascii="Times New Roman" w:hAnsi="Times New Roman" w:eastAsia="Times New Roman" w:cs="Times New Roman"/>
          <w:color w:val="000000"/>
          <w:sz w:val="24"/>
          <w:szCs w:val="24"/>
          <w:lang w:val="en-GB"/>
        </w:rPr>
        <w:t xml:space="preserve">). To address the issue, HSBC Holdings plc, has introduced AI-powered Know Your Customer (KYC) and transaction-monitoring systems to minimize manual review and improve risk-driven decision-making (HSBC Holdings plc, 2024). Therefore, it is essential to strike the right balance between regulatory compliance and operational efficiency with intelligent automation to achieve the customer-centric compliance processes. </w:t>
      </w:r>
    </w:p>
    <w:p w14:paraId="3E78A801">
      <w:pPr>
        <w:pStyle w:val="2"/>
        <w:spacing w:line="360" w:lineRule="auto"/>
        <w:rPr>
          <w:lang w:val="en-GB"/>
        </w:rPr>
      </w:pPr>
      <w:bookmarkStart w:id="9" w:name="_Toc234412334"/>
      <w:r>
        <w:rPr>
          <w:lang w:val="en-GB"/>
        </w:rPr>
        <w:t>3. Methodology</w:t>
      </w:r>
      <w:bookmarkEnd w:id="9"/>
    </w:p>
    <w:p w14:paraId="3E78A802">
      <w:pPr>
        <w:pStyle w:val="3"/>
        <w:spacing w:line="360" w:lineRule="auto"/>
        <w:rPr>
          <w:lang w:val="en-GB"/>
        </w:rPr>
      </w:pPr>
      <w:bookmarkStart w:id="10" w:name="_Toc234412335"/>
      <w:r>
        <w:rPr>
          <w:lang w:val="en-GB"/>
        </w:rPr>
        <w:t>3.1 Research philosophy</w:t>
      </w:r>
      <w:bookmarkEnd w:id="10"/>
    </w:p>
    <w:p w14:paraId="3E78A803">
      <w:pPr>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color w:val="000000"/>
          <w:sz w:val="24"/>
          <w:szCs w:val="24"/>
          <w:lang w:val="en-GB"/>
        </w:rPr>
      </w:pPr>
      <w:r>
        <w:rPr>
          <w:rFonts w:ascii="Times New Roman" w:hAnsi="Times New Roman" w:eastAsia="Times New Roman" w:cs="Times New Roman"/>
          <w:color w:val="000000"/>
          <w:sz w:val="24"/>
          <w:szCs w:val="24"/>
          <w:lang w:val="en-GB"/>
        </w:rPr>
        <w:t xml:space="preserve">To conduct a qualitative research method, the </w:t>
      </w:r>
      <w:r>
        <w:rPr>
          <w:rFonts w:ascii="Times New Roman" w:hAnsi="Times New Roman" w:eastAsia="Times New Roman" w:cs="Times New Roman"/>
          <w:sz w:val="24"/>
          <w:szCs w:val="24"/>
          <w:lang w:val="en-GB"/>
        </w:rPr>
        <w:t xml:space="preserve">study </w:t>
      </w:r>
      <w:r>
        <w:rPr>
          <w:rFonts w:ascii="Times New Roman" w:hAnsi="Times New Roman" w:eastAsia="Times New Roman" w:cs="Times New Roman"/>
          <w:color w:val="000000"/>
          <w:sz w:val="24"/>
          <w:szCs w:val="24"/>
          <w:lang w:val="en-GB"/>
        </w:rPr>
        <w:t>will follow an interpretivist research philosophy</w:t>
      </w:r>
      <w:r>
        <w:rPr>
          <w:rFonts w:ascii="Times New Roman" w:hAnsi="Times New Roman" w:eastAsia="Times New Roman" w:cs="Times New Roman"/>
          <w:sz w:val="24"/>
          <w:szCs w:val="24"/>
          <w:lang w:val="en-GB"/>
        </w:rPr>
        <w:t xml:space="preserve">. This will help in </w:t>
      </w:r>
      <w:r>
        <w:rPr>
          <w:rFonts w:ascii="Times New Roman" w:hAnsi="Times New Roman" w:eastAsia="Times New Roman" w:cs="Times New Roman"/>
          <w:color w:val="000000"/>
          <w:sz w:val="24"/>
          <w:szCs w:val="24"/>
          <w:lang w:val="en-GB"/>
        </w:rPr>
        <w:t xml:space="preserve">developing a critical understanding </w:t>
      </w:r>
      <w:r>
        <w:rPr>
          <w:rFonts w:ascii="Times New Roman" w:hAnsi="Times New Roman" w:eastAsia="Times New Roman" w:cs="Times New Roman"/>
          <w:sz w:val="24"/>
          <w:szCs w:val="24"/>
          <w:lang w:val="en-GB"/>
        </w:rPr>
        <w:t>of HSBC's</w:t>
      </w:r>
      <w:r>
        <w:rPr>
          <w:rFonts w:ascii="Times New Roman" w:hAnsi="Times New Roman" w:eastAsia="Times New Roman" w:cs="Times New Roman"/>
          <w:color w:val="000000"/>
          <w:sz w:val="24"/>
          <w:szCs w:val="24"/>
          <w:lang w:val="en-GB"/>
        </w:rPr>
        <w:t xml:space="preserve"> Anti-Money Laundering (AML) and Financial Crime Risk Management (FCRM) strategy by interpreting organisational strategies, the evolution of policy and contextual decision-making</w:t>
      </w:r>
      <w:r>
        <w:rPr>
          <w:rFonts w:ascii="Times New Roman" w:hAnsi="Times New Roman" w:eastAsia="Times New Roman" w:cs="Times New Roman"/>
          <w:sz w:val="24"/>
          <w:szCs w:val="24"/>
          <w:lang w:val="en-GB"/>
        </w:rPr>
        <w:t xml:space="preserve">. This </w:t>
      </w:r>
      <w:r>
        <w:rPr>
          <w:rFonts w:ascii="Times New Roman" w:hAnsi="Times New Roman" w:eastAsia="Times New Roman" w:cs="Times New Roman"/>
          <w:color w:val="000000"/>
          <w:sz w:val="24"/>
          <w:szCs w:val="24"/>
          <w:lang w:val="en-GB"/>
        </w:rPr>
        <w:t xml:space="preserve">is opposed to positivism that </w:t>
      </w:r>
      <w:r>
        <w:rPr>
          <w:rFonts w:ascii="Times New Roman" w:hAnsi="Times New Roman" w:eastAsia="Times New Roman" w:cs="Times New Roman"/>
          <w:sz w:val="24"/>
          <w:szCs w:val="24"/>
          <w:lang w:val="en-GB"/>
        </w:rPr>
        <w:t>focuses</w:t>
      </w:r>
      <w:r>
        <w:rPr>
          <w:rFonts w:ascii="Times New Roman" w:hAnsi="Times New Roman" w:eastAsia="Times New Roman" w:cs="Times New Roman"/>
          <w:color w:val="000000"/>
          <w:sz w:val="24"/>
          <w:szCs w:val="24"/>
          <w:lang w:val="en-GB"/>
        </w:rPr>
        <w:t xml:space="preserve"> </w:t>
      </w:r>
      <w:r>
        <w:rPr>
          <w:rFonts w:ascii="Times New Roman" w:hAnsi="Times New Roman" w:eastAsia="Times New Roman" w:cs="Times New Roman"/>
          <w:sz w:val="24"/>
          <w:szCs w:val="24"/>
          <w:lang w:val="en-GB"/>
        </w:rPr>
        <w:t>on</w:t>
      </w:r>
      <w:r>
        <w:rPr>
          <w:rFonts w:ascii="Times New Roman" w:hAnsi="Times New Roman" w:eastAsia="Times New Roman" w:cs="Times New Roman"/>
          <w:color w:val="000000"/>
          <w:sz w:val="24"/>
          <w:szCs w:val="24"/>
          <w:lang w:val="en-GB"/>
        </w:rPr>
        <w:t xml:space="preserve"> statistical testing and generalisation (</w:t>
      </w:r>
      <w:r>
        <w:rPr>
          <w:rFonts w:ascii="Times New Roman" w:hAnsi="Times New Roman" w:eastAsia="Times New Roman" w:cs="Times New Roman"/>
          <w:color w:val="222222"/>
          <w:sz w:val="24"/>
          <w:szCs w:val="24"/>
          <w:highlight w:val="white"/>
          <w:lang w:val="en-GB"/>
        </w:rPr>
        <w:t>Junjie and Yingxin, 2022</w:t>
      </w:r>
      <w:r>
        <w:rPr>
          <w:rFonts w:ascii="Times New Roman" w:hAnsi="Times New Roman" w:eastAsia="Times New Roman" w:cs="Times New Roman"/>
          <w:color w:val="000000"/>
          <w:sz w:val="24"/>
          <w:szCs w:val="24"/>
          <w:lang w:val="en-GB"/>
        </w:rPr>
        <w:t>).</w:t>
      </w:r>
    </w:p>
    <w:p w14:paraId="3E78A804">
      <w:pPr>
        <w:pStyle w:val="3"/>
        <w:spacing w:line="360" w:lineRule="auto"/>
        <w:rPr>
          <w:lang w:val="en-GB"/>
        </w:rPr>
      </w:pPr>
      <w:bookmarkStart w:id="11" w:name="_Toc234412336"/>
      <w:r>
        <w:rPr>
          <w:lang w:val="en-GB"/>
        </w:rPr>
        <w:t>3.2 Research approach and design</w:t>
      </w:r>
      <w:bookmarkEnd w:id="11"/>
    </w:p>
    <w:p w14:paraId="3E78A805">
      <w:pPr>
        <w:pBdr>
          <w:top w:val="none" w:color="auto" w:sz="0" w:space="0"/>
          <w:left w:val="none" w:color="auto" w:sz="0" w:space="0"/>
          <w:bottom w:val="none" w:color="auto" w:sz="0" w:space="0"/>
          <w:right w:val="none" w:color="auto" w:sz="0" w:space="0"/>
          <w:between w:val="none" w:color="auto" w:sz="0" w:space="0"/>
        </w:pBdr>
        <w:spacing w:line="360" w:lineRule="auto"/>
        <w:jc w:val="both"/>
        <w:rPr>
          <w:lang w:val="en-GB"/>
        </w:rPr>
      </w:pPr>
      <w:r>
        <w:rPr>
          <w:rFonts w:ascii="Times New Roman" w:hAnsi="Times New Roman" w:eastAsia="Times New Roman" w:cs="Times New Roman"/>
          <w:color w:val="000000"/>
          <w:sz w:val="24"/>
          <w:szCs w:val="24"/>
          <w:lang w:val="en-GB"/>
        </w:rPr>
        <w:t xml:space="preserve">This research </w:t>
      </w:r>
      <w:r>
        <w:rPr>
          <w:rFonts w:ascii="Times New Roman" w:hAnsi="Times New Roman" w:eastAsia="Times New Roman" w:cs="Times New Roman"/>
          <w:sz w:val="24"/>
          <w:szCs w:val="24"/>
          <w:lang w:val="en-GB"/>
        </w:rPr>
        <w:t xml:space="preserve">will </w:t>
      </w:r>
      <w:r>
        <w:rPr>
          <w:rFonts w:ascii="Times New Roman" w:hAnsi="Times New Roman" w:eastAsia="Times New Roman" w:cs="Times New Roman"/>
          <w:color w:val="000000"/>
          <w:sz w:val="24"/>
          <w:szCs w:val="24"/>
          <w:lang w:val="en-GB"/>
        </w:rPr>
        <w:t>utilize an inductive type of research approach</w:t>
      </w:r>
      <w:r>
        <w:rPr>
          <w:rFonts w:ascii="Times New Roman" w:hAnsi="Times New Roman" w:eastAsia="Times New Roman" w:cs="Times New Roman"/>
          <w:sz w:val="24"/>
          <w:szCs w:val="24"/>
          <w:lang w:val="en-GB"/>
        </w:rPr>
        <w:t xml:space="preserve">. This type of research approach will help </w:t>
      </w:r>
      <w:r>
        <w:rPr>
          <w:rFonts w:ascii="Times New Roman" w:hAnsi="Times New Roman" w:eastAsia="Times New Roman" w:cs="Times New Roman"/>
          <w:color w:val="000000"/>
          <w:sz w:val="24"/>
          <w:szCs w:val="24"/>
          <w:lang w:val="en-GB"/>
        </w:rPr>
        <w:t>to gain insights from the single case study of HSBC’s management approach of AML and Financial Crime Risk Management (FCRM) without having a hypothesis to test. This approach can help to develop the themes and strategic patterns from secondary data (</w:t>
      </w:r>
      <w:r>
        <w:rPr>
          <w:rFonts w:ascii="Times New Roman" w:hAnsi="Times New Roman" w:eastAsia="Times New Roman" w:cs="Times New Roman"/>
          <w:color w:val="222222"/>
          <w:sz w:val="24"/>
          <w:szCs w:val="24"/>
          <w:highlight w:val="white"/>
          <w:lang w:val="en-GB"/>
        </w:rPr>
        <w:t>Yip and Zeng, 2025</w:t>
      </w:r>
      <w:r>
        <w:rPr>
          <w:rFonts w:ascii="Times New Roman" w:hAnsi="Times New Roman" w:eastAsia="Times New Roman" w:cs="Times New Roman"/>
          <w:color w:val="000000"/>
          <w:sz w:val="24"/>
          <w:szCs w:val="24"/>
          <w:lang w:val="en-GB"/>
        </w:rPr>
        <w:t xml:space="preserve">). </w:t>
      </w:r>
      <w:r>
        <w:rPr>
          <w:rFonts w:ascii="Times New Roman" w:hAnsi="Times New Roman" w:eastAsia="Times New Roman" w:cs="Times New Roman"/>
          <w:sz w:val="24"/>
          <w:szCs w:val="24"/>
          <w:lang w:val="en-GB"/>
        </w:rPr>
        <w:t xml:space="preserve">The </w:t>
      </w:r>
      <w:r>
        <w:rPr>
          <w:rFonts w:ascii="Times New Roman" w:hAnsi="Times New Roman" w:eastAsia="Times New Roman" w:cs="Times New Roman"/>
          <w:color w:val="000000"/>
          <w:sz w:val="24"/>
          <w:szCs w:val="24"/>
          <w:lang w:val="en-GB"/>
        </w:rPr>
        <w:t xml:space="preserve">case study research design will be specifically selected to evaluate the history of HSBC’s AML problems and its significant investment in AI-powered financial crimes compliance. </w:t>
      </w:r>
    </w:p>
    <w:p w14:paraId="3E78A806">
      <w:pPr>
        <w:pStyle w:val="3"/>
        <w:spacing w:line="360" w:lineRule="auto"/>
        <w:rPr>
          <w:lang w:val="en-GB"/>
        </w:rPr>
      </w:pPr>
      <w:bookmarkStart w:id="12" w:name="_Toc234412337"/>
      <w:r>
        <w:rPr>
          <w:lang w:val="en-GB"/>
        </w:rPr>
        <w:t>3.3 Data collection and Sampling technique</w:t>
      </w:r>
      <w:bookmarkEnd w:id="12"/>
      <w:r>
        <w:rPr>
          <w:lang w:val="en-GB"/>
        </w:rPr>
        <w:t xml:space="preserve"> </w:t>
      </w:r>
    </w:p>
    <w:p w14:paraId="3E78A807">
      <w:pPr>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The s</w:t>
      </w:r>
      <w:r>
        <w:rPr>
          <w:rFonts w:ascii="Times New Roman" w:hAnsi="Times New Roman" w:eastAsia="Times New Roman" w:cs="Times New Roman"/>
          <w:color w:val="000000"/>
          <w:sz w:val="24"/>
          <w:szCs w:val="24"/>
          <w:lang w:val="en-GB"/>
        </w:rPr>
        <w:t xml:space="preserve">econdary data collection </w:t>
      </w:r>
      <w:r>
        <w:rPr>
          <w:rFonts w:ascii="Times New Roman" w:hAnsi="Times New Roman" w:eastAsia="Times New Roman" w:cs="Times New Roman"/>
          <w:sz w:val="24"/>
          <w:szCs w:val="24"/>
          <w:lang w:val="en-GB"/>
        </w:rPr>
        <w:t xml:space="preserve">method will </w:t>
      </w:r>
      <w:r>
        <w:rPr>
          <w:rFonts w:ascii="Times New Roman" w:hAnsi="Times New Roman" w:eastAsia="Times New Roman" w:cs="Times New Roman"/>
          <w:color w:val="000000"/>
          <w:sz w:val="24"/>
          <w:szCs w:val="24"/>
          <w:lang w:val="en-GB"/>
        </w:rPr>
        <w:t xml:space="preserve">be appropriate for the </w:t>
      </w:r>
      <w:r>
        <w:rPr>
          <w:rFonts w:ascii="Times New Roman" w:hAnsi="Times New Roman" w:eastAsia="Times New Roman" w:cs="Times New Roman"/>
          <w:sz w:val="24"/>
          <w:szCs w:val="24"/>
          <w:lang w:val="en-GB"/>
        </w:rPr>
        <w:t>study. This is due</w:t>
      </w:r>
      <w:r>
        <w:rPr>
          <w:rFonts w:ascii="Times New Roman" w:hAnsi="Times New Roman" w:eastAsia="Times New Roman" w:cs="Times New Roman"/>
          <w:color w:val="000000"/>
          <w:sz w:val="24"/>
          <w:szCs w:val="24"/>
          <w:lang w:val="en-GB"/>
        </w:rPr>
        <w:t xml:space="preserve"> to its ability to generate reliable evidence </w:t>
      </w:r>
      <w:r>
        <w:rPr>
          <w:rFonts w:ascii="Times New Roman" w:hAnsi="Times New Roman" w:eastAsia="Times New Roman" w:cs="Times New Roman"/>
          <w:sz w:val="24"/>
          <w:szCs w:val="24"/>
          <w:lang w:val="en-GB"/>
        </w:rPr>
        <w:t>(</w:t>
      </w:r>
      <w:r>
        <w:rPr>
          <w:rFonts w:ascii="Times New Roman" w:hAnsi="Times New Roman" w:eastAsia="Times New Roman" w:cs="Times New Roman"/>
          <w:color w:val="222222"/>
          <w:sz w:val="24"/>
          <w:szCs w:val="24"/>
          <w:highlight w:val="white"/>
          <w:lang w:val="en-GB"/>
        </w:rPr>
        <w:t>Ahmad and Wilkins, 2025</w:t>
      </w:r>
      <w:r>
        <w:rPr>
          <w:rFonts w:ascii="Times New Roman" w:hAnsi="Times New Roman" w:eastAsia="Times New Roman" w:cs="Times New Roman"/>
          <w:sz w:val="24"/>
          <w:szCs w:val="24"/>
          <w:lang w:val="en-GB"/>
        </w:rPr>
        <w:t xml:space="preserve">). Considering this, </w:t>
      </w:r>
      <w:r>
        <w:rPr>
          <w:rFonts w:ascii="Times New Roman" w:hAnsi="Times New Roman" w:eastAsia="Times New Roman" w:cs="Times New Roman"/>
          <w:color w:val="000000"/>
          <w:sz w:val="24"/>
          <w:szCs w:val="24"/>
          <w:lang w:val="en-GB"/>
        </w:rPr>
        <w:t xml:space="preserve">longitudinal and publicly available data of HSBC will be used by eliminating the practical and confidentiality concerns of acquiring sensitive AML data. </w:t>
      </w:r>
      <w:r>
        <w:rPr>
          <w:rFonts w:ascii="Times New Roman" w:hAnsi="Times New Roman" w:eastAsia="Times New Roman" w:cs="Times New Roman"/>
          <w:sz w:val="24"/>
          <w:szCs w:val="24"/>
          <w:lang w:val="en-GB"/>
        </w:rPr>
        <w:t xml:space="preserve">This research will specifically focus on the use of purposive sampling to select authoritative secondary sources that are directly related to HSBC's AML and FCRM transformation. Regarding the pre-defined criteria, the method will help the researchers to provide nuanced information rather than broad to achieve the study's objectives. </w:t>
      </w:r>
    </w:p>
    <w:p w14:paraId="3E78A808">
      <w:pPr>
        <w:pStyle w:val="3"/>
        <w:spacing w:line="360" w:lineRule="auto"/>
        <w:rPr>
          <w:lang w:val="en-GB"/>
        </w:rPr>
      </w:pPr>
      <w:bookmarkStart w:id="13" w:name="_Toc234412338"/>
      <w:r>
        <w:rPr>
          <w:lang w:val="en-GB"/>
        </w:rPr>
        <w:t>3.4 Data analysis method</w:t>
      </w:r>
      <w:bookmarkEnd w:id="13"/>
      <w:r>
        <w:rPr>
          <w:lang w:val="en-GB"/>
        </w:rPr>
        <w:t xml:space="preserve"> </w:t>
      </w:r>
    </w:p>
    <w:p w14:paraId="3E78A809">
      <w:pPr>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color w:val="000000"/>
          <w:sz w:val="24"/>
          <w:szCs w:val="24"/>
          <w:lang w:val="en-GB"/>
        </w:rPr>
      </w:pPr>
      <w:r>
        <w:rPr>
          <w:rFonts w:ascii="Times New Roman" w:hAnsi="Times New Roman" w:eastAsia="Times New Roman" w:cs="Times New Roman"/>
          <w:sz w:val="24"/>
          <w:szCs w:val="24"/>
          <w:lang w:val="en-GB"/>
        </w:rPr>
        <w:t xml:space="preserve">Secondary </w:t>
      </w:r>
      <w:r>
        <w:rPr>
          <w:rFonts w:ascii="Times New Roman" w:hAnsi="Times New Roman" w:eastAsia="Times New Roman" w:cs="Times New Roman"/>
          <w:color w:val="000000"/>
          <w:sz w:val="24"/>
          <w:szCs w:val="24"/>
          <w:lang w:val="en-GB"/>
        </w:rPr>
        <w:t xml:space="preserve">data to be </w:t>
      </w:r>
      <w:r>
        <w:rPr>
          <w:rFonts w:ascii="Times New Roman" w:hAnsi="Times New Roman" w:eastAsia="Times New Roman" w:cs="Times New Roman"/>
          <w:sz w:val="24"/>
          <w:szCs w:val="24"/>
          <w:lang w:val="en-GB"/>
        </w:rPr>
        <w:t>collected from the already-published sources</w:t>
      </w:r>
      <w:r>
        <w:rPr>
          <w:rFonts w:ascii="Times New Roman" w:hAnsi="Times New Roman" w:eastAsia="Times New Roman" w:cs="Times New Roman"/>
          <w:color w:val="000000"/>
          <w:sz w:val="24"/>
          <w:szCs w:val="24"/>
          <w:lang w:val="en-GB"/>
        </w:rPr>
        <w:t xml:space="preserve"> will be analysed thematically</w:t>
      </w:r>
      <w:r>
        <w:rPr>
          <w:rFonts w:ascii="Times New Roman" w:hAnsi="Times New Roman" w:eastAsia="Times New Roman" w:cs="Times New Roman"/>
          <w:sz w:val="24"/>
          <w:szCs w:val="24"/>
          <w:lang w:val="en-GB"/>
        </w:rPr>
        <w:t xml:space="preserve">. From the ideas of </w:t>
      </w:r>
      <w:r>
        <w:rPr>
          <w:rFonts w:ascii="Times New Roman" w:hAnsi="Times New Roman" w:eastAsia="Times New Roman" w:cs="Times New Roman"/>
          <w:color w:val="222222"/>
          <w:sz w:val="24"/>
          <w:szCs w:val="24"/>
          <w:highlight w:val="white"/>
          <w:lang w:val="en-GB"/>
        </w:rPr>
        <w:t>Williams and Moser (2019</w:t>
      </w:r>
      <w:r>
        <w:rPr>
          <w:rFonts w:ascii="Times New Roman" w:hAnsi="Times New Roman" w:eastAsia="Times New Roman" w:cs="Times New Roman"/>
          <w:sz w:val="24"/>
          <w:szCs w:val="24"/>
          <w:lang w:val="en-GB"/>
        </w:rPr>
        <w:t xml:space="preserve">), this method </w:t>
      </w:r>
      <w:r>
        <w:rPr>
          <w:rFonts w:ascii="Times New Roman" w:hAnsi="Times New Roman" w:eastAsia="Times New Roman" w:cs="Times New Roman"/>
          <w:color w:val="000000"/>
          <w:sz w:val="24"/>
          <w:szCs w:val="24"/>
          <w:lang w:val="en-GB"/>
        </w:rPr>
        <w:t xml:space="preserve">will allow the researcher to draw patterns across the themes. </w:t>
      </w:r>
      <w:r>
        <w:rPr>
          <w:rFonts w:ascii="Times New Roman" w:hAnsi="Times New Roman" w:eastAsia="Times New Roman" w:cs="Times New Roman"/>
          <w:sz w:val="24"/>
          <w:szCs w:val="24"/>
          <w:lang w:val="en-GB"/>
        </w:rPr>
        <w:t>I</w:t>
      </w:r>
      <w:r>
        <w:rPr>
          <w:rFonts w:ascii="Times New Roman" w:hAnsi="Times New Roman" w:eastAsia="Times New Roman" w:cs="Times New Roman"/>
          <w:color w:val="000000"/>
          <w:sz w:val="24"/>
          <w:szCs w:val="24"/>
          <w:lang w:val="en-GB"/>
        </w:rPr>
        <w:t xml:space="preserve">t is </w:t>
      </w:r>
      <w:r>
        <w:rPr>
          <w:rFonts w:ascii="Times New Roman" w:hAnsi="Times New Roman" w:eastAsia="Times New Roman" w:cs="Times New Roman"/>
          <w:sz w:val="24"/>
          <w:szCs w:val="24"/>
          <w:lang w:val="en-GB"/>
        </w:rPr>
        <w:t>assumed to prepare 4 pre-defined themes in the context</w:t>
      </w:r>
      <w:r>
        <w:rPr>
          <w:rFonts w:ascii="Times New Roman" w:hAnsi="Times New Roman" w:eastAsia="Times New Roman" w:cs="Times New Roman"/>
          <w:color w:val="000000"/>
          <w:sz w:val="24"/>
          <w:szCs w:val="24"/>
          <w:lang w:val="en-GB"/>
        </w:rPr>
        <w:t xml:space="preserve"> of risk-based approaches, AI integration, regulatory compliance and operational efficiency. </w:t>
      </w:r>
    </w:p>
    <w:p w14:paraId="3E78A80A">
      <w:pPr>
        <w:pStyle w:val="3"/>
        <w:spacing w:line="360" w:lineRule="auto"/>
        <w:rPr>
          <w:lang w:val="en-GB"/>
        </w:rPr>
      </w:pPr>
      <w:bookmarkStart w:id="14" w:name="_Toc234412339"/>
      <w:r>
        <w:rPr>
          <w:lang w:val="en-GB"/>
        </w:rPr>
        <w:t>3.5 Ethical consideration</w:t>
      </w:r>
      <w:bookmarkEnd w:id="14"/>
    </w:p>
    <w:p w14:paraId="3E78A80B">
      <w:pPr>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color w:val="000000"/>
          <w:sz w:val="24"/>
          <w:szCs w:val="24"/>
          <w:lang w:val="en-GB"/>
        </w:rPr>
      </w:pPr>
      <w:r>
        <w:rPr>
          <w:rFonts w:ascii="Times New Roman" w:hAnsi="Times New Roman" w:eastAsia="Times New Roman" w:cs="Times New Roman"/>
          <w:color w:val="000000"/>
          <w:sz w:val="24"/>
          <w:szCs w:val="24"/>
          <w:lang w:val="en-GB"/>
        </w:rPr>
        <w:t xml:space="preserve">As regarded by </w:t>
      </w:r>
      <w:r>
        <w:rPr>
          <w:rFonts w:ascii="Times New Roman" w:hAnsi="Times New Roman" w:eastAsia="Times New Roman" w:cs="Times New Roman"/>
          <w:color w:val="222222"/>
          <w:sz w:val="24"/>
          <w:szCs w:val="24"/>
          <w:highlight w:val="white"/>
          <w:lang w:val="en-GB"/>
        </w:rPr>
        <w:t>Plevris (2025),</w:t>
      </w:r>
      <w:r>
        <w:rPr>
          <w:rFonts w:ascii="Times New Roman" w:hAnsi="Times New Roman" w:eastAsia="Times New Roman" w:cs="Times New Roman"/>
          <w:color w:val="000000"/>
          <w:sz w:val="24"/>
          <w:szCs w:val="24"/>
          <w:lang w:val="en-GB"/>
        </w:rPr>
        <w:t xml:space="preserve"> to use publicly available data, the ethical aspect of the paper </w:t>
      </w:r>
      <w:r>
        <w:rPr>
          <w:rFonts w:ascii="Times New Roman" w:hAnsi="Times New Roman" w:eastAsia="Times New Roman" w:cs="Times New Roman"/>
          <w:sz w:val="24"/>
          <w:szCs w:val="24"/>
          <w:lang w:val="en-GB"/>
        </w:rPr>
        <w:t xml:space="preserve">must </w:t>
      </w:r>
      <w:r>
        <w:rPr>
          <w:rFonts w:ascii="Times New Roman" w:hAnsi="Times New Roman" w:eastAsia="Times New Roman" w:cs="Times New Roman"/>
          <w:color w:val="000000"/>
          <w:sz w:val="24"/>
          <w:szCs w:val="24"/>
          <w:lang w:val="en-GB"/>
        </w:rPr>
        <w:t>contain correct citation, academic integrity as well as critical comparison of various data sources</w:t>
      </w:r>
      <w:r>
        <w:rPr>
          <w:rFonts w:ascii="Times New Roman" w:hAnsi="Times New Roman" w:eastAsia="Times New Roman" w:cs="Times New Roman"/>
          <w:sz w:val="24"/>
          <w:szCs w:val="24"/>
          <w:lang w:val="en-GB"/>
        </w:rPr>
        <w:t>. Doing so will</w:t>
      </w:r>
      <w:r>
        <w:rPr>
          <w:rFonts w:ascii="Times New Roman" w:hAnsi="Times New Roman" w:eastAsia="Times New Roman" w:cs="Times New Roman"/>
          <w:color w:val="000000"/>
          <w:sz w:val="24"/>
          <w:szCs w:val="24"/>
          <w:lang w:val="en-GB"/>
        </w:rPr>
        <w:t xml:space="preserve"> help the researchers to avoid any kinds of bias and adherence to university research ethics regulations. </w:t>
      </w:r>
    </w:p>
    <w:p w14:paraId="3E78A80C">
      <w:pPr>
        <w:pStyle w:val="2"/>
        <w:spacing w:line="360" w:lineRule="auto"/>
        <w:rPr>
          <w:lang w:val="en-GB"/>
        </w:rPr>
      </w:pPr>
      <w:bookmarkStart w:id="15" w:name="_Toc234412340"/>
      <w:r>
        <w:rPr>
          <w:lang w:val="en-GB"/>
        </w:rPr>
        <w:t>4. Expected findings</w:t>
      </w:r>
      <w:bookmarkEnd w:id="15"/>
    </w:p>
    <w:p w14:paraId="3E78A80D">
      <w:pPr>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color w:val="000000"/>
          <w:sz w:val="24"/>
          <w:szCs w:val="24"/>
          <w:lang w:val="en-GB"/>
        </w:rPr>
      </w:pPr>
      <w:r>
        <w:rPr>
          <w:rFonts w:ascii="Times New Roman" w:hAnsi="Times New Roman" w:eastAsia="Times New Roman" w:cs="Times New Roman"/>
          <w:color w:val="000000"/>
          <w:sz w:val="24"/>
          <w:szCs w:val="24"/>
          <w:lang w:val="en-GB"/>
        </w:rPr>
        <w:t xml:space="preserve">Through the evaluation of HSBC’s approach in implementing a risk-based Anti-Money Laundering (AML) and Financial Crime Risk Management (FCRM) strategy with artificial intelligence and monitoring technologies, the study aims to find substantial improvements in financial crime detection in the global platform. In addition, the study can provide in-depth understanding about the importance of accurate compliance with regulatory requirements in integrating tech-oriented AML approaches. Further study will also be able to uncover issues around complexity of operations, false positive alerts and delays in customer onboarding which continue to be a strategic issue. The results could offer actionable insights for improving scalable AML structures, aiding in regulatory compliance and fortifying digital financial crime risk management in the banking sector around the world. </w:t>
      </w:r>
    </w:p>
    <w:p w14:paraId="3E78A80E">
      <w:pPr>
        <w:pStyle w:val="2"/>
        <w:spacing w:line="360" w:lineRule="auto"/>
        <w:rPr>
          <w:lang w:val="en-GB"/>
        </w:rPr>
      </w:pPr>
      <w:bookmarkStart w:id="16" w:name="_Toc234412341"/>
      <w:r>
        <w:rPr>
          <w:lang w:val="en-GB"/>
        </w:rPr>
        <w:t>5. Limitations</w:t>
      </w:r>
      <w:bookmarkEnd w:id="16"/>
    </w:p>
    <w:p w14:paraId="3E78A80F">
      <w:pPr>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color w:val="000000"/>
          <w:sz w:val="24"/>
          <w:szCs w:val="24"/>
          <w:lang w:val="en-GB"/>
        </w:rPr>
      </w:pPr>
      <w:r>
        <w:rPr>
          <w:rFonts w:ascii="Times New Roman" w:hAnsi="Times New Roman" w:eastAsia="Times New Roman" w:cs="Times New Roman"/>
          <w:color w:val="000000"/>
          <w:sz w:val="24"/>
          <w:szCs w:val="24"/>
          <w:lang w:val="en-GB"/>
        </w:rPr>
        <w:t>Regarding the limitation aspect, high reliance on the secondary sources might limit the core findings of confidential organisational information and to the most current AML practices of HSBC. In addition, the findings from the single case study might not necessarily be generalisable to global banking institutions (</w:t>
      </w:r>
      <w:r>
        <w:rPr>
          <w:rFonts w:ascii="Times New Roman" w:hAnsi="Times New Roman" w:eastAsia="Times New Roman" w:cs="Times New Roman"/>
          <w:color w:val="222222"/>
          <w:sz w:val="24"/>
          <w:szCs w:val="24"/>
          <w:highlight w:val="white"/>
          <w:lang w:val="en-GB"/>
        </w:rPr>
        <w:t>Chowdhury and Hossain, 2020</w:t>
      </w:r>
      <w:r>
        <w:rPr>
          <w:rFonts w:ascii="Times New Roman" w:hAnsi="Times New Roman" w:eastAsia="Times New Roman" w:cs="Times New Roman"/>
          <w:color w:val="000000"/>
          <w:sz w:val="24"/>
          <w:szCs w:val="24"/>
          <w:lang w:val="en-GB"/>
        </w:rPr>
        <w:t xml:space="preserve">). However, as defined by </w:t>
      </w:r>
      <w:r>
        <w:rPr>
          <w:rFonts w:ascii="Times New Roman" w:hAnsi="Times New Roman" w:eastAsia="Times New Roman" w:cs="Times New Roman"/>
          <w:color w:val="222222"/>
          <w:sz w:val="24"/>
          <w:szCs w:val="24"/>
          <w:highlight w:val="white"/>
          <w:lang w:val="en-GB"/>
        </w:rPr>
        <w:t xml:space="preserve">Shirvanporzour (2025), </w:t>
      </w:r>
      <w:r>
        <w:rPr>
          <w:rFonts w:ascii="Times New Roman" w:hAnsi="Times New Roman" w:eastAsia="Times New Roman" w:cs="Times New Roman"/>
          <w:color w:val="000000"/>
          <w:sz w:val="24"/>
          <w:szCs w:val="24"/>
          <w:lang w:val="en-GB"/>
        </w:rPr>
        <w:t xml:space="preserve">the findings may likely have a limited long-term applicability due to the rapid changes in financial crime techniques, artificial intelligence technologies and regulatory requirements. </w:t>
      </w:r>
    </w:p>
    <w:p w14:paraId="3E78A810">
      <w:pPr>
        <w:pStyle w:val="2"/>
        <w:spacing w:line="360" w:lineRule="auto"/>
        <w:rPr>
          <w:lang w:val="en-GB"/>
        </w:rPr>
      </w:pPr>
      <w:bookmarkStart w:id="17" w:name="_Toc234412342"/>
      <w:r>
        <w:rPr>
          <w:lang w:val="en-GB"/>
        </w:rPr>
        <w:t>6. Timeframe</w:t>
      </w:r>
      <w:bookmarkEnd w:id="17"/>
    </w:p>
    <w:p w14:paraId="3E78A811">
      <w:pPr>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b/>
          <w:bCs/>
          <w:color w:val="000000"/>
          <w:sz w:val="24"/>
          <w:szCs w:val="24"/>
          <w:lang w:val="en-GB"/>
        </w:rPr>
      </w:pPr>
    </w:p>
    <w:tbl>
      <w:tblPr>
        <w:tblStyle w:val="16"/>
        <w:tblW w:w="10425" w:type="dxa"/>
        <w:tblInd w:w="-64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100" w:type="dxa"/>
          <w:left w:w="100" w:type="dxa"/>
          <w:bottom w:w="100" w:type="dxa"/>
          <w:right w:w="100" w:type="dxa"/>
        </w:tblCellMar>
      </w:tblPr>
      <w:tblGrid>
        <w:gridCol w:w="1560"/>
        <w:gridCol w:w="930"/>
        <w:gridCol w:w="780"/>
        <w:gridCol w:w="870"/>
        <w:gridCol w:w="780"/>
        <w:gridCol w:w="840"/>
        <w:gridCol w:w="810"/>
        <w:gridCol w:w="885"/>
        <w:gridCol w:w="990"/>
        <w:gridCol w:w="945"/>
        <w:gridCol w:w="1035"/>
      </w:tblGrid>
      <w:tr w14:paraId="3E78A81D">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100" w:type="dxa"/>
            <w:left w:w="100" w:type="dxa"/>
            <w:bottom w:w="100" w:type="dxa"/>
            <w:right w:w="100" w:type="dxa"/>
          </w:tblCellMar>
        </w:tblPrEx>
        <w:trPr>
          <w:cantSplit/>
          <w:tblHeader/>
        </w:trPr>
        <w:tc>
          <w:tcPr>
            <w:tcW w:w="1560" w:type="dxa"/>
            <w:tcMar>
              <w:top w:w="100" w:type="dxa"/>
              <w:left w:w="100" w:type="dxa"/>
              <w:bottom w:w="100" w:type="dxa"/>
              <w:right w:w="100" w:type="dxa"/>
            </w:tcMar>
          </w:tcPr>
          <w:p w14:paraId="3E78A812">
            <w:pPr>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b/>
                <w:bCs/>
                <w:color w:val="000000"/>
                <w:sz w:val="24"/>
                <w:szCs w:val="24"/>
                <w:lang w:val="en-GB"/>
              </w:rPr>
            </w:pPr>
            <w:r>
              <w:rPr>
                <w:rFonts w:ascii="Times New Roman" w:hAnsi="Times New Roman" w:eastAsia="Times New Roman" w:cs="Times New Roman"/>
                <w:b/>
                <w:bCs/>
                <w:color w:val="000000"/>
                <w:sz w:val="24"/>
                <w:szCs w:val="24"/>
                <w:lang w:val="en-GB"/>
              </w:rPr>
              <w:t xml:space="preserve">Activities </w:t>
            </w:r>
          </w:p>
        </w:tc>
        <w:tc>
          <w:tcPr>
            <w:tcW w:w="930" w:type="dxa"/>
            <w:tcMar>
              <w:top w:w="100" w:type="dxa"/>
              <w:left w:w="100" w:type="dxa"/>
              <w:bottom w:w="100" w:type="dxa"/>
              <w:right w:w="100" w:type="dxa"/>
            </w:tcMar>
          </w:tcPr>
          <w:p w14:paraId="3E78A813">
            <w:pPr>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b/>
                <w:bCs/>
                <w:color w:val="000000"/>
                <w:sz w:val="24"/>
                <w:szCs w:val="24"/>
                <w:lang w:val="en-GB"/>
              </w:rPr>
            </w:pPr>
            <w:r>
              <w:rPr>
                <w:rFonts w:ascii="Times New Roman" w:hAnsi="Times New Roman" w:eastAsia="Times New Roman" w:cs="Times New Roman"/>
                <w:b/>
                <w:bCs/>
                <w:color w:val="000000"/>
                <w:sz w:val="24"/>
                <w:szCs w:val="24"/>
                <w:lang w:val="en-GB"/>
              </w:rPr>
              <w:t>Week 1</w:t>
            </w:r>
          </w:p>
        </w:tc>
        <w:tc>
          <w:tcPr>
            <w:tcW w:w="780" w:type="dxa"/>
            <w:tcMar>
              <w:top w:w="100" w:type="dxa"/>
              <w:left w:w="100" w:type="dxa"/>
              <w:bottom w:w="100" w:type="dxa"/>
              <w:right w:w="100" w:type="dxa"/>
            </w:tcMar>
          </w:tcPr>
          <w:p w14:paraId="3E78A814">
            <w:pPr>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b/>
                <w:bCs/>
                <w:color w:val="000000"/>
                <w:sz w:val="24"/>
                <w:szCs w:val="24"/>
                <w:lang w:val="en-GB"/>
              </w:rPr>
            </w:pPr>
            <w:r>
              <w:rPr>
                <w:rFonts w:ascii="Times New Roman" w:hAnsi="Times New Roman" w:eastAsia="Times New Roman" w:cs="Times New Roman"/>
                <w:b/>
                <w:bCs/>
                <w:color w:val="000000"/>
                <w:sz w:val="24"/>
                <w:szCs w:val="24"/>
                <w:lang w:val="en-GB"/>
              </w:rPr>
              <w:t>Week 2</w:t>
            </w:r>
          </w:p>
        </w:tc>
        <w:tc>
          <w:tcPr>
            <w:tcW w:w="870" w:type="dxa"/>
            <w:tcMar>
              <w:top w:w="100" w:type="dxa"/>
              <w:left w:w="100" w:type="dxa"/>
              <w:bottom w:w="100" w:type="dxa"/>
              <w:right w:w="100" w:type="dxa"/>
            </w:tcMar>
          </w:tcPr>
          <w:p w14:paraId="3E78A815">
            <w:pPr>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b/>
                <w:bCs/>
                <w:color w:val="000000"/>
                <w:sz w:val="24"/>
                <w:szCs w:val="24"/>
                <w:lang w:val="en-GB"/>
              </w:rPr>
            </w:pPr>
            <w:r>
              <w:rPr>
                <w:rFonts w:ascii="Times New Roman" w:hAnsi="Times New Roman" w:eastAsia="Times New Roman" w:cs="Times New Roman"/>
                <w:b/>
                <w:bCs/>
                <w:color w:val="000000"/>
                <w:sz w:val="24"/>
                <w:szCs w:val="24"/>
                <w:lang w:val="en-GB"/>
              </w:rPr>
              <w:t>Week 3</w:t>
            </w:r>
          </w:p>
        </w:tc>
        <w:tc>
          <w:tcPr>
            <w:tcW w:w="780" w:type="dxa"/>
            <w:tcMar>
              <w:top w:w="100" w:type="dxa"/>
              <w:left w:w="100" w:type="dxa"/>
              <w:bottom w:w="100" w:type="dxa"/>
              <w:right w:w="100" w:type="dxa"/>
            </w:tcMar>
          </w:tcPr>
          <w:p w14:paraId="3E78A816">
            <w:pPr>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b/>
                <w:bCs/>
                <w:color w:val="000000"/>
                <w:sz w:val="24"/>
                <w:szCs w:val="24"/>
                <w:lang w:val="en-GB"/>
              </w:rPr>
            </w:pPr>
            <w:r>
              <w:rPr>
                <w:rFonts w:ascii="Times New Roman" w:hAnsi="Times New Roman" w:eastAsia="Times New Roman" w:cs="Times New Roman"/>
                <w:b/>
                <w:bCs/>
                <w:color w:val="000000"/>
                <w:sz w:val="24"/>
                <w:szCs w:val="24"/>
                <w:lang w:val="en-GB"/>
              </w:rPr>
              <w:t>Week 4</w:t>
            </w:r>
          </w:p>
        </w:tc>
        <w:tc>
          <w:tcPr>
            <w:tcW w:w="840" w:type="dxa"/>
            <w:tcMar>
              <w:top w:w="100" w:type="dxa"/>
              <w:left w:w="100" w:type="dxa"/>
              <w:bottom w:w="100" w:type="dxa"/>
              <w:right w:w="100" w:type="dxa"/>
            </w:tcMar>
          </w:tcPr>
          <w:p w14:paraId="3E78A817">
            <w:pPr>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b/>
                <w:bCs/>
                <w:color w:val="000000"/>
                <w:sz w:val="24"/>
                <w:szCs w:val="24"/>
                <w:lang w:val="en-GB"/>
              </w:rPr>
            </w:pPr>
            <w:r>
              <w:rPr>
                <w:rFonts w:ascii="Times New Roman" w:hAnsi="Times New Roman" w:eastAsia="Times New Roman" w:cs="Times New Roman"/>
                <w:b/>
                <w:bCs/>
                <w:color w:val="000000"/>
                <w:sz w:val="24"/>
                <w:szCs w:val="24"/>
                <w:lang w:val="en-GB"/>
              </w:rPr>
              <w:t>Week 5</w:t>
            </w:r>
          </w:p>
        </w:tc>
        <w:tc>
          <w:tcPr>
            <w:tcW w:w="810" w:type="dxa"/>
            <w:tcMar>
              <w:top w:w="100" w:type="dxa"/>
              <w:left w:w="100" w:type="dxa"/>
              <w:bottom w:w="100" w:type="dxa"/>
              <w:right w:w="100" w:type="dxa"/>
            </w:tcMar>
          </w:tcPr>
          <w:p w14:paraId="3E78A818">
            <w:pPr>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b/>
                <w:bCs/>
                <w:color w:val="000000"/>
                <w:sz w:val="24"/>
                <w:szCs w:val="24"/>
                <w:lang w:val="en-GB"/>
              </w:rPr>
            </w:pPr>
            <w:r>
              <w:rPr>
                <w:rFonts w:ascii="Times New Roman" w:hAnsi="Times New Roman" w:eastAsia="Times New Roman" w:cs="Times New Roman"/>
                <w:b/>
                <w:bCs/>
                <w:color w:val="000000"/>
                <w:sz w:val="24"/>
                <w:szCs w:val="24"/>
                <w:lang w:val="en-GB"/>
              </w:rPr>
              <w:t>Week 6</w:t>
            </w:r>
          </w:p>
        </w:tc>
        <w:tc>
          <w:tcPr>
            <w:tcW w:w="885" w:type="dxa"/>
            <w:tcMar>
              <w:top w:w="100" w:type="dxa"/>
              <w:left w:w="100" w:type="dxa"/>
              <w:bottom w:w="100" w:type="dxa"/>
              <w:right w:w="100" w:type="dxa"/>
            </w:tcMar>
          </w:tcPr>
          <w:p w14:paraId="3E78A819">
            <w:pPr>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b/>
                <w:bCs/>
                <w:color w:val="000000"/>
                <w:sz w:val="24"/>
                <w:szCs w:val="24"/>
                <w:lang w:val="en-GB"/>
              </w:rPr>
            </w:pPr>
            <w:r>
              <w:rPr>
                <w:rFonts w:ascii="Times New Roman" w:hAnsi="Times New Roman" w:eastAsia="Times New Roman" w:cs="Times New Roman"/>
                <w:b/>
                <w:bCs/>
                <w:color w:val="000000"/>
                <w:sz w:val="24"/>
                <w:szCs w:val="24"/>
                <w:lang w:val="en-GB"/>
              </w:rPr>
              <w:t>Week 7</w:t>
            </w:r>
          </w:p>
        </w:tc>
        <w:tc>
          <w:tcPr>
            <w:tcW w:w="990" w:type="dxa"/>
            <w:tcMar>
              <w:top w:w="100" w:type="dxa"/>
              <w:left w:w="100" w:type="dxa"/>
              <w:bottom w:w="100" w:type="dxa"/>
              <w:right w:w="100" w:type="dxa"/>
            </w:tcMar>
          </w:tcPr>
          <w:p w14:paraId="3E78A81A">
            <w:pPr>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b/>
                <w:bCs/>
                <w:color w:val="000000"/>
                <w:sz w:val="24"/>
                <w:szCs w:val="24"/>
                <w:lang w:val="en-GB"/>
              </w:rPr>
            </w:pPr>
            <w:r>
              <w:rPr>
                <w:rFonts w:ascii="Times New Roman" w:hAnsi="Times New Roman" w:eastAsia="Times New Roman" w:cs="Times New Roman"/>
                <w:b/>
                <w:bCs/>
                <w:color w:val="000000"/>
                <w:sz w:val="24"/>
                <w:szCs w:val="24"/>
                <w:lang w:val="en-GB"/>
              </w:rPr>
              <w:t>Week 8</w:t>
            </w:r>
          </w:p>
        </w:tc>
        <w:tc>
          <w:tcPr>
            <w:tcW w:w="945" w:type="dxa"/>
            <w:tcMar>
              <w:top w:w="100" w:type="dxa"/>
              <w:left w:w="100" w:type="dxa"/>
              <w:bottom w:w="100" w:type="dxa"/>
              <w:right w:w="100" w:type="dxa"/>
            </w:tcMar>
          </w:tcPr>
          <w:p w14:paraId="3E78A81B">
            <w:pPr>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b/>
                <w:bCs/>
                <w:color w:val="000000"/>
                <w:sz w:val="24"/>
                <w:szCs w:val="24"/>
                <w:lang w:val="en-GB"/>
              </w:rPr>
            </w:pPr>
            <w:r>
              <w:rPr>
                <w:rFonts w:ascii="Times New Roman" w:hAnsi="Times New Roman" w:eastAsia="Times New Roman" w:cs="Times New Roman"/>
                <w:b/>
                <w:bCs/>
                <w:color w:val="000000"/>
                <w:sz w:val="24"/>
                <w:szCs w:val="24"/>
                <w:lang w:val="en-GB"/>
              </w:rPr>
              <w:t>Week 9</w:t>
            </w:r>
          </w:p>
        </w:tc>
        <w:tc>
          <w:tcPr>
            <w:tcW w:w="1035" w:type="dxa"/>
            <w:tcMar>
              <w:top w:w="100" w:type="dxa"/>
              <w:left w:w="100" w:type="dxa"/>
              <w:bottom w:w="100" w:type="dxa"/>
              <w:right w:w="100" w:type="dxa"/>
            </w:tcMar>
          </w:tcPr>
          <w:p w14:paraId="3E78A81C">
            <w:pPr>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b/>
                <w:bCs/>
                <w:color w:val="000000"/>
                <w:sz w:val="24"/>
                <w:szCs w:val="24"/>
                <w:lang w:val="en-GB"/>
              </w:rPr>
            </w:pPr>
            <w:r>
              <w:rPr>
                <w:rFonts w:ascii="Times New Roman" w:hAnsi="Times New Roman" w:eastAsia="Times New Roman" w:cs="Times New Roman"/>
                <w:b/>
                <w:bCs/>
                <w:color w:val="000000"/>
                <w:sz w:val="24"/>
                <w:szCs w:val="24"/>
                <w:lang w:val="en-GB"/>
              </w:rPr>
              <w:t>Week 10</w:t>
            </w:r>
          </w:p>
        </w:tc>
      </w:tr>
      <w:tr w14:paraId="3E78A829">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100" w:type="dxa"/>
            <w:left w:w="100" w:type="dxa"/>
            <w:bottom w:w="100" w:type="dxa"/>
            <w:right w:w="100" w:type="dxa"/>
          </w:tblCellMar>
        </w:tblPrEx>
        <w:trPr>
          <w:cantSplit/>
          <w:tblHeader/>
        </w:trPr>
        <w:tc>
          <w:tcPr>
            <w:tcW w:w="1560" w:type="dxa"/>
            <w:tcMar>
              <w:top w:w="100" w:type="dxa"/>
              <w:left w:w="100" w:type="dxa"/>
              <w:bottom w:w="100" w:type="dxa"/>
              <w:right w:w="100" w:type="dxa"/>
            </w:tcMar>
          </w:tcPr>
          <w:p w14:paraId="3E78A81E">
            <w:pPr>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color w:val="000000"/>
                <w:sz w:val="24"/>
                <w:szCs w:val="24"/>
                <w:lang w:val="en-GB"/>
              </w:rPr>
            </w:pPr>
            <w:r>
              <w:rPr>
                <w:rFonts w:ascii="Times New Roman" w:hAnsi="Times New Roman" w:eastAsia="Times New Roman" w:cs="Times New Roman"/>
                <w:color w:val="000000"/>
                <w:sz w:val="24"/>
                <w:szCs w:val="24"/>
                <w:lang w:val="en-GB"/>
              </w:rPr>
              <w:t>Selection of topic and planning for the proposal</w:t>
            </w:r>
          </w:p>
        </w:tc>
        <w:tc>
          <w:tcPr>
            <w:tcW w:w="930" w:type="dxa"/>
            <w:shd w:val="clear" w:color="auto" w:fill="4A86E8"/>
            <w:tcMar>
              <w:top w:w="100" w:type="dxa"/>
              <w:left w:w="100" w:type="dxa"/>
              <w:bottom w:w="100" w:type="dxa"/>
              <w:right w:w="100" w:type="dxa"/>
            </w:tcMar>
          </w:tcPr>
          <w:p w14:paraId="3E78A81F">
            <w:pPr>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color w:val="000000"/>
                <w:sz w:val="24"/>
                <w:szCs w:val="24"/>
                <w:lang w:val="en-GB"/>
              </w:rPr>
            </w:pPr>
          </w:p>
        </w:tc>
        <w:tc>
          <w:tcPr>
            <w:tcW w:w="780" w:type="dxa"/>
            <w:tcMar>
              <w:top w:w="100" w:type="dxa"/>
              <w:left w:w="100" w:type="dxa"/>
              <w:bottom w:w="100" w:type="dxa"/>
              <w:right w:w="100" w:type="dxa"/>
            </w:tcMar>
          </w:tcPr>
          <w:p w14:paraId="3E78A820">
            <w:pPr>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color w:val="000000"/>
                <w:sz w:val="24"/>
                <w:szCs w:val="24"/>
                <w:lang w:val="en-GB"/>
              </w:rPr>
            </w:pPr>
          </w:p>
        </w:tc>
        <w:tc>
          <w:tcPr>
            <w:tcW w:w="870" w:type="dxa"/>
            <w:tcMar>
              <w:top w:w="100" w:type="dxa"/>
              <w:left w:w="100" w:type="dxa"/>
              <w:bottom w:w="100" w:type="dxa"/>
              <w:right w:w="100" w:type="dxa"/>
            </w:tcMar>
          </w:tcPr>
          <w:p w14:paraId="3E78A821">
            <w:pPr>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color w:val="000000"/>
                <w:sz w:val="24"/>
                <w:szCs w:val="24"/>
                <w:lang w:val="en-GB"/>
              </w:rPr>
            </w:pPr>
          </w:p>
        </w:tc>
        <w:tc>
          <w:tcPr>
            <w:tcW w:w="780" w:type="dxa"/>
            <w:tcMar>
              <w:top w:w="100" w:type="dxa"/>
              <w:left w:w="100" w:type="dxa"/>
              <w:bottom w:w="100" w:type="dxa"/>
              <w:right w:w="100" w:type="dxa"/>
            </w:tcMar>
          </w:tcPr>
          <w:p w14:paraId="3E78A822">
            <w:pPr>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color w:val="000000"/>
                <w:sz w:val="24"/>
                <w:szCs w:val="24"/>
                <w:lang w:val="en-GB"/>
              </w:rPr>
            </w:pPr>
          </w:p>
        </w:tc>
        <w:tc>
          <w:tcPr>
            <w:tcW w:w="840" w:type="dxa"/>
            <w:tcMar>
              <w:top w:w="100" w:type="dxa"/>
              <w:left w:w="100" w:type="dxa"/>
              <w:bottom w:w="100" w:type="dxa"/>
              <w:right w:w="100" w:type="dxa"/>
            </w:tcMar>
          </w:tcPr>
          <w:p w14:paraId="3E78A823">
            <w:pPr>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color w:val="000000"/>
                <w:sz w:val="24"/>
                <w:szCs w:val="24"/>
                <w:lang w:val="en-GB"/>
              </w:rPr>
            </w:pPr>
          </w:p>
        </w:tc>
        <w:tc>
          <w:tcPr>
            <w:tcW w:w="810" w:type="dxa"/>
            <w:tcMar>
              <w:top w:w="100" w:type="dxa"/>
              <w:left w:w="100" w:type="dxa"/>
              <w:bottom w:w="100" w:type="dxa"/>
              <w:right w:w="100" w:type="dxa"/>
            </w:tcMar>
          </w:tcPr>
          <w:p w14:paraId="3E78A824">
            <w:pPr>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color w:val="000000"/>
                <w:sz w:val="24"/>
                <w:szCs w:val="24"/>
                <w:lang w:val="en-GB"/>
              </w:rPr>
            </w:pPr>
          </w:p>
        </w:tc>
        <w:tc>
          <w:tcPr>
            <w:tcW w:w="885" w:type="dxa"/>
            <w:tcMar>
              <w:top w:w="100" w:type="dxa"/>
              <w:left w:w="100" w:type="dxa"/>
              <w:bottom w:w="100" w:type="dxa"/>
              <w:right w:w="100" w:type="dxa"/>
            </w:tcMar>
          </w:tcPr>
          <w:p w14:paraId="3E78A825">
            <w:pPr>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color w:val="000000"/>
                <w:sz w:val="24"/>
                <w:szCs w:val="24"/>
                <w:lang w:val="en-GB"/>
              </w:rPr>
            </w:pPr>
          </w:p>
        </w:tc>
        <w:tc>
          <w:tcPr>
            <w:tcW w:w="990" w:type="dxa"/>
            <w:tcMar>
              <w:top w:w="100" w:type="dxa"/>
              <w:left w:w="100" w:type="dxa"/>
              <w:bottom w:w="100" w:type="dxa"/>
              <w:right w:w="100" w:type="dxa"/>
            </w:tcMar>
          </w:tcPr>
          <w:p w14:paraId="3E78A826">
            <w:pPr>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color w:val="000000"/>
                <w:sz w:val="24"/>
                <w:szCs w:val="24"/>
                <w:lang w:val="en-GB"/>
              </w:rPr>
            </w:pPr>
          </w:p>
        </w:tc>
        <w:tc>
          <w:tcPr>
            <w:tcW w:w="945" w:type="dxa"/>
            <w:tcMar>
              <w:top w:w="100" w:type="dxa"/>
              <w:left w:w="100" w:type="dxa"/>
              <w:bottom w:w="100" w:type="dxa"/>
              <w:right w:w="100" w:type="dxa"/>
            </w:tcMar>
          </w:tcPr>
          <w:p w14:paraId="3E78A827">
            <w:pPr>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color w:val="000000"/>
                <w:sz w:val="24"/>
                <w:szCs w:val="24"/>
                <w:lang w:val="en-GB"/>
              </w:rPr>
            </w:pPr>
          </w:p>
        </w:tc>
        <w:tc>
          <w:tcPr>
            <w:tcW w:w="1035" w:type="dxa"/>
            <w:tcMar>
              <w:top w:w="100" w:type="dxa"/>
              <w:left w:w="100" w:type="dxa"/>
              <w:bottom w:w="100" w:type="dxa"/>
              <w:right w:w="100" w:type="dxa"/>
            </w:tcMar>
          </w:tcPr>
          <w:p w14:paraId="3E78A828">
            <w:pPr>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color w:val="000000"/>
                <w:sz w:val="24"/>
                <w:szCs w:val="24"/>
                <w:lang w:val="en-GB"/>
              </w:rPr>
            </w:pPr>
          </w:p>
        </w:tc>
      </w:tr>
      <w:tr w14:paraId="3E78A835">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100" w:type="dxa"/>
            <w:left w:w="100" w:type="dxa"/>
            <w:bottom w:w="100" w:type="dxa"/>
            <w:right w:w="100" w:type="dxa"/>
          </w:tblCellMar>
        </w:tblPrEx>
        <w:trPr>
          <w:cantSplit/>
          <w:tblHeader/>
        </w:trPr>
        <w:tc>
          <w:tcPr>
            <w:tcW w:w="1560" w:type="dxa"/>
            <w:tcMar>
              <w:top w:w="100" w:type="dxa"/>
              <w:left w:w="100" w:type="dxa"/>
              <w:bottom w:w="100" w:type="dxa"/>
              <w:right w:w="100" w:type="dxa"/>
            </w:tcMar>
          </w:tcPr>
          <w:p w14:paraId="3E78A82A">
            <w:pPr>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color w:val="000000"/>
                <w:sz w:val="24"/>
                <w:szCs w:val="24"/>
                <w:lang w:val="en-GB"/>
              </w:rPr>
            </w:pPr>
            <w:r>
              <w:rPr>
                <w:rFonts w:ascii="Times New Roman" w:hAnsi="Times New Roman" w:eastAsia="Times New Roman" w:cs="Times New Roman"/>
                <w:color w:val="000000"/>
                <w:sz w:val="24"/>
                <w:szCs w:val="24"/>
                <w:lang w:val="en-GB"/>
              </w:rPr>
              <w:t>Arrange data regarding the organisation</w:t>
            </w:r>
          </w:p>
        </w:tc>
        <w:tc>
          <w:tcPr>
            <w:tcW w:w="930" w:type="dxa"/>
            <w:tcMar>
              <w:top w:w="100" w:type="dxa"/>
              <w:left w:w="100" w:type="dxa"/>
              <w:bottom w:w="100" w:type="dxa"/>
              <w:right w:w="100" w:type="dxa"/>
            </w:tcMar>
          </w:tcPr>
          <w:p w14:paraId="3E78A82B">
            <w:pPr>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color w:val="000000"/>
                <w:sz w:val="24"/>
                <w:szCs w:val="24"/>
                <w:lang w:val="en-GB"/>
              </w:rPr>
            </w:pPr>
          </w:p>
        </w:tc>
        <w:tc>
          <w:tcPr>
            <w:tcW w:w="780" w:type="dxa"/>
            <w:shd w:val="clear" w:color="auto" w:fill="FFFF00"/>
            <w:tcMar>
              <w:top w:w="100" w:type="dxa"/>
              <w:left w:w="100" w:type="dxa"/>
              <w:bottom w:w="100" w:type="dxa"/>
              <w:right w:w="100" w:type="dxa"/>
            </w:tcMar>
          </w:tcPr>
          <w:p w14:paraId="3E78A82C">
            <w:pPr>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color w:val="000000"/>
                <w:sz w:val="24"/>
                <w:szCs w:val="24"/>
                <w:lang w:val="en-GB"/>
              </w:rPr>
            </w:pPr>
          </w:p>
        </w:tc>
        <w:tc>
          <w:tcPr>
            <w:tcW w:w="870" w:type="dxa"/>
            <w:tcMar>
              <w:top w:w="100" w:type="dxa"/>
              <w:left w:w="100" w:type="dxa"/>
              <w:bottom w:w="100" w:type="dxa"/>
              <w:right w:w="100" w:type="dxa"/>
            </w:tcMar>
          </w:tcPr>
          <w:p w14:paraId="3E78A82D">
            <w:pPr>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color w:val="000000"/>
                <w:sz w:val="24"/>
                <w:szCs w:val="24"/>
                <w:lang w:val="en-GB"/>
              </w:rPr>
            </w:pPr>
          </w:p>
        </w:tc>
        <w:tc>
          <w:tcPr>
            <w:tcW w:w="780" w:type="dxa"/>
            <w:tcMar>
              <w:top w:w="100" w:type="dxa"/>
              <w:left w:w="100" w:type="dxa"/>
              <w:bottom w:w="100" w:type="dxa"/>
              <w:right w:w="100" w:type="dxa"/>
            </w:tcMar>
          </w:tcPr>
          <w:p w14:paraId="3E78A82E">
            <w:pPr>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color w:val="000000"/>
                <w:sz w:val="24"/>
                <w:szCs w:val="24"/>
                <w:lang w:val="en-GB"/>
              </w:rPr>
            </w:pPr>
          </w:p>
        </w:tc>
        <w:tc>
          <w:tcPr>
            <w:tcW w:w="840" w:type="dxa"/>
            <w:tcMar>
              <w:top w:w="100" w:type="dxa"/>
              <w:left w:w="100" w:type="dxa"/>
              <w:bottom w:w="100" w:type="dxa"/>
              <w:right w:w="100" w:type="dxa"/>
            </w:tcMar>
          </w:tcPr>
          <w:p w14:paraId="3E78A82F">
            <w:pPr>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color w:val="000000"/>
                <w:sz w:val="24"/>
                <w:szCs w:val="24"/>
                <w:lang w:val="en-GB"/>
              </w:rPr>
            </w:pPr>
          </w:p>
        </w:tc>
        <w:tc>
          <w:tcPr>
            <w:tcW w:w="810" w:type="dxa"/>
            <w:tcMar>
              <w:top w:w="100" w:type="dxa"/>
              <w:left w:w="100" w:type="dxa"/>
              <w:bottom w:w="100" w:type="dxa"/>
              <w:right w:w="100" w:type="dxa"/>
            </w:tcMar>
          </w:tcPr>
          <w:p w14:paraId="3E78A830">
            <w:pPr>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color w:val="000000"/>
                <w:sz w:val="24"/>
                <w:szCs w:val="24"/>
                <w:lang w:val="en-GB"/>
              </w:rPr>
            </w:pPr>
          </w:p>
        </w:tc>
        <w:tc>
          <w:tcPr>
            <w:tcW w:w="885" w:type="dxa"/>
            <w:tcMar>
              <w:top w:w="100" w:type="dxa"/>
              <w:left w:w="100" w:type="dxa"/>
              <w:bottom w:w="100" w:type="dxa"/>
              <w:right w:w="100" w:type="dxa"/>
            </w:tcMar>
          </w:tcPr>
          <w:p w14:paraId="3E78A831">
            <w:pPr>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color w:val="000000"/>
                <w:sz w:val="24"/>
                <w:szCs w:val="24"/>
                <w:lang w:val="en-GB"/>
              </w:rPr>
            </w:pPr>
          </w:p>
        </w:tc>
        <w:tc>
          <w:tcPr>
            <w:tcW w:w="990" w:type="dxa"/>
            <w:tcMar>
              <w:top w:w="100" w:type="dxa"/>
              <w:left w:w="100" w:type="dxa"/>
              <w:bottom w:w="100" w:type="dxa"/>
              <w:right w:w="100" w:type="dxa"/>
            </w:tcMar>
          </w:tcPr>
          <w:p w14:paraId="3E78A832">
            <w:pPr>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color w:val="000000"/>
                <w:sz w:val="24"/>
                <w:szCs w:val="24"/>
                <w:lang w:val="en-GB"/>
              </w:rPr>
            </w:pPr>
          </w:p>
        </w:tc>
        <w:tc>
          <w:tcPr>
            <w:tcW w:w="945" w:type="dxa"/>
            <w:tcMar>
              <w:top w:w="100" w:type="dxa"/>
              <w:left w:w="100" w:type="dxa"/>
              <w:bottom w:w="100" w:type="dxa"/>
              <w:right w:w="100" w:type="dxa"/>
            </w:tcMar>
          </w:tcPr>
          <w:p w14:paraId="3E78A833">
            <w:pPr>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color w:val="000000"/>
                <w:sz w:val="24"/>
                <w:szCs w:val="24"/>
                <w:lang w:val="en-GB"/>
              </w:rPr>
            </w:pPr>
          </w:p>
        </w:tc>
        <w:tc>
          <w:tcPr>
            <w:tcW w:w="1035" w:type="dxa"/>
            <w:tcMar>
              <w:top w:w="100" w:type="dxa"/>
              <w:left w:w="100" w:type="dxa"/>
              <w:bottom w:w="100" w:type="dxa"/>
              <w:right w:w="100" w:type="dxa"/>
            </w:tcMar>
          </w:tcPr>
          <w:p w14:paraId="3E78A834">
            <w:pPr>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color w:val="000000"/>
                <w:sz w:val="24"/>
                <w:szCs w:val="24"/>
                <w:lang w:val="en-GB"/>
              </w:rPr>
            </w:pPr>
          </w:p>
        </w:tc>
      </w:tr>
      <w:tr w14:paraId="3E78A841">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100" w:type="dxa"/>
            <w:left w:w="100" w:type="dxa"/>
            <w:bottom w:w="100" w:type="dxa"/>
            <w:right w:w="100" w:type="dxa"/>
          </w:tblCellMar>
        </w:tblPrEx>
        <w:trPr>
          <w:cantSplit/>
          <w:tblHeader/>
        </w:trPr>
        <w:tc>
          <w:tcPr>
            <w:tcW w:w="1560" w:type="dxa"/>
            <w:tcMar>
              <w:top w:w="100" w:type="dxa"/>
              <w:left w:w="100" w:type="dxa"/>
              <w:bottom w:w="100" w:type="dxa"/>
              <w:right w:w="100" w:type="dxa"/>
            </w:tcMar>
          </w:tcPr>
          <w:p w14:paraId="3E78A836">
            <w:pPr>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color w:val="000000"/>
                <w:sz w:val="24"/>
                <w:szCs w:val="24"/>
                <w:lang w:val="en-GB"/>
              </w:rPr>
            </w:pPr>
            <w:r>
              <w:rPr>
                <w:rFonts w:ascii="Times New Roman" w:hAnsi="Times New Roman" w:eastAsia="Times New Roman" w:cs="Times New Roman"/>
                <w:color w:val="000000"/>
                <w:sz w:val="24"/>
                <w:szCs w:val="24"/>
                <w:lang w:val="en-GB"/>
              </w:rPr>
              <w:t xml:space="preserve">Develop the methodology </w:t>
            </w:r>
          </w:p>
        </w:tc>
        <w:tc>
          <w:tcPr>
            <w:tcW w:w="930" w:type="dxa"/>
            <w:tcMar>
              <w:top w:w="100" w:type="dxa"/>
              <w:left w:w="100" w:type="dxa"/>
              <w:bottom w:w="100" w:type="dxa"/>
              <w:right w:w="100" w:type="dxa"/>
            </w:tcMar>
          </w:tcPr>
          <w:p w14:paraId="3E78A837">
            <w:pPr>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color w:val="000000"/>
                <w:sz w:val="24"/>
                <w:szCs w:val="24"/>
                <w:lang w:val="en-GB"/>
              </w:rPr>
            </w:pPr>
          </w:p>
        </w:tc>
        <w:tc>
          <w:tcPr>
            <w:tcW w:w="780" w:type="dxa"/>
            <w:shd w:val="clear" w:color="auto" w:fill="4A86E8"/>
            <w:tcMar>
              <w:top w:w="100" w:type="dxa"/>
              <w:left w:w="100" w:type="dxa"/>
              <w:bottom w:w="100" w:type="dxa"/>
              <w:right w:w="100" w:type="dxa"/>
            </w:tcMar>
          </w:tcPr>
          <w:p w14:paraId="3E78A838">
            <w:pPr>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color w:val="000000"/>
                <w:sz w:val="24"/>
                <w:szCs w:val="24"/>
                <w:lang w:val="en-GB"/>
              </w:rPr>
            </w:pPr>
          </w:p>
        </w:tc>
        <w:tc>
          <w:tcPr>
            <w:tcW w:w="870" w:type="dxa"/>
            <w:shd w:val="clear" w:color="auto" w:fill="4A86E8"/>
            <w:tcMar>
              <w:top w:w="100" w:type="dxa"/>
              <w:left w:w="100" w:type="dxa"/>
              <w:bottom w:w="100" w:type="dxa"/>
              <w:right w:w="100" w:type="dxa"/>
            </w:tcMar>
          </w:tcPr>
          <w:p w14:paraId="3E78A839">
            <w:pPr>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color w:val="000000"/>
                <w:sz w:val="24"/>
                <w:szCs w:val="24"/>
                <w:lang w:val="en-GB"/>
              </w:rPr>
            </w:pPr>
          </w:p>
        </w:tc>
        <w:tc>
          <w:tcPr>
            <w:tcW w:w="780" w:type="dxa"/>
            <w:tcMar>
              <w:top w:w="100" w:type="dxa"/>
              <w:left w:w="100" w:type="dxa"/>
              <w:bottom w:w="100" w:type="dxa"/>
              <w:right w:w="100" w:type="dxa"/>
            </w:tcMar>
          </w:tcPr>
          <w:p w14:paraId="3E78A83A">
            <w:pPr>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color w:val="000000"/>
                <w:sz w:val="24"/>
                <w:szCs w:val="24"/>
                <w:lang w:val="en-GB"/>
              </w:rPr>
            </w:pPr>
          </w:p>
        </w:tc>
        <w:tc>
          <w:tcPr>
            <w:tcW w:w="840" w:type="dxa"/>
            <w:tcMar>
              <w:top w:w="100" w:type="dxa"/>
              <w:left w:w="100" w:type="dxa"/>
              <w:bottom w:w="100" w:type="dxa"/>
              <w:right w:w="100" w:type="dxa"/>
            </w:tcMar>
          </w:tcPr>
          <w:p w14:paraId="3E78A83B">
            <w:pPr>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color w:val="000000"/>
                <w:sz w:val="24"/>
                <w:szCs w:val="24"/>
                <w:lang w:val="en-GB"/>
              </w:rPr>
            </w:pPr>
          </w:p>
        </w:tc>
        <w:tc>
          <w:tcPr>
            <w:tcW w:w="810" w:type="dxa"/>
            <w:tcMar>
              <w:top w:w="100" w:type="dxa"/>
              <w:left w:w="100" w:type="dxa"/>
              <w:bottom w:w="100" w:type="dxa"/>
              <w:right w:w="100" w:type="dxa"/>
            </w:tcMar>
          </w:tcPr>
          <w:p w14:paraId="3E78A83C">
            <w:pPr>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color w:val="000000"/>
                <w:sz w:val="24"/>
                <w:szCs w:val="24"/>
                <w:lang w:val="en-GB"/>
              </w:rPr>
            </w:pPr>
          </w:p>
        </w:tc>
        <w:tc>
          <w:tcPr>
            <w:tcW w:w="885" w:type="dxa"/>
            <w:tcMar>
              <w:top w:w="100" w:type="dxa"/>
              <w:left w:w="100" w:type="dxa"/>
              <w:bottom w:w="100" w:type="dxa"/>
              <w:right w:w="100" w:type="dxa"/>
            </w:tcMar>
          </w:tcPr>
          <w:p w14:paraId="3E78A83D">
            <w:pPr>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color w:val="000000"/>
                <w:sz w:val="24"/>
                <w:szCs w:val="24"/>
                <w:lang w:val="en-GB"/>
              </w:rPr>
            </w:pPr>
          </w:p>
        </w:tc>
        <w:tc>
          <w:tcPr>
            <w:tcW w:w="990" w:type="dxa"/>
            <w:tcMar>
              <w:top w:w="100" w:type="dxa"/>
              <w:left w:w="100" w:type="dxa"/>
              <w:bottom w:w="100" w:type="dxa"/>
              <w:right w:w="100" w:type="dxa"/>
            </w:tcMar>
          </w:tcPr>
          <w:p w14:paraId="3E78A83E">
            <w:pPr>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color w:val="000000"/>
                <w:sz w:val="24"/>
                <w:szCs w:val="24"/>
                <w:lang w:val="en-GB"/>
              </w:rPr>
            </w:pPr>
          </w:p>
        </w:tc>
        <w:tc>
          <w:tcPr>
            <w:tcW w:w="945" w:type="dxa"/>
            <w:tcMar>
              <w:top w:w="100" w:type="dxa"/>
              <w:left w:w="100" w:type="dxa"/>
              <w:bottom w:w="100" w:type="dxa"/>
              <w:right w:w="100" w:type="dxa"/>
            </w:tcMar>
          </w:tcPr>
          <w:p w14:paraId="3E78A83F">
            <w:pPr>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color w:val="000000"/>
                <w:sz w:val="24"/>
                <w:szCs w:val="24"/>
                <w:lang w:val="en-GB"/>
              </w:rPr>
            </w:pPr>
          </w:p>
        </w:tc>
        <w:tc>
          <w:tcPr>
            <w:tcW w:w="1035" w:type="dxa"/>
            <w:tcMar>
              <w:top w:w="100" w:type="dxa"/>
              <w:left w:w="100" w:type="dxa"/>
              <w:bottom w:w="100" w:type="dxa"/>
              <w:right w:w="100" w:type="dxa"/>
            </w:tcMar>
          </w:tcPr>
          <w:p w14:paraId="3E78A840">
            <w:pPr>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color w:val="000000"/>
                <w:sz w:val="24"/>
                <w:szCs w:val="24"/>
                <w:lang w:val="en-GB"/>
              </w:rPr>
            </w:pPr>
          </w:p>
        </w:tc>
      </w:tr>
      <w:tr w14:paraId="3E78A84D">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100" w:type="dxa"/>
            <w:left w:w="100" w:type="dxa"/>
            <w:bottom w:w="100" w:type="dxa"/>
            <w:right w:w="100" w:type="dxa"/>
          </w:tblCellMar>
        </w:tblPrEx>
        <w:trPr>
          <w:cantSplit/>
          <w:tblHeader/>
        </w:trPr>
        <w:tc>
          <w:tcPr>
            <w:tcW w:w="1560" w:type="dxa"/>
            <w:tcMar>
              <w:top w:w="100" w:type="dxa"/>
              <w:left w:w="100" w:type="dxa"/>
              <w:bottom w:w="100" w:type="dxa"/>
              <w:right w:w="100" w:type="dxa"/>
            </w:tcMar>
          </w:tcPr>
          <w:p w14:paraId="3E78A842">
            <w:pPr>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color w:val="000000"/>
                <w:sz w:val="24"/>
                <w:szCs w:val="24"/>
                <w:lang w:val="en-GB"/>
              </w:rPr>
            </w:pPr>
            <w:r>
              <w:rPr>
                <w:rFonts w:ascii="Times New Roman" w:hAnsi="Times New Roman" w:eastAsia="Times New Roman" w:cs="Times New Roman"/>
                <w:color w:val="000000"/>
                <w:sz w:val="24"/>
                <w:szCs w:val="24"/>
                <w:lang w:val="en-GB"/>
              </w:rPr>
              <w:t>Arrange secondary data for critical evaluation</w:t>
            </w:r>
          </w:p>
        </w:tc>
        <w:tc>
          <w:tcPr>
            <w:tcW w:w="930" w:type="dxa"/>
            <w:tcMar>
              <w:top w:w="100" w:type="dxa"/>
              <w:left w:w="100" w:type="dxa"/>
              <w:bottom w:w="100" w:type="dxa"/>
              <w:right w:w="100" w:type="dxa"/>
            </w:tcMar>
          </w:tcPr>
          <w:p w14:paraId="3E78A843">
            <w:pPr>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color w:val="000000"/>
                <w:sz w:val="24"/>
                <w:szCs w:val="24"/>
                <w:lang w:val="en-GB"/>
              </w:rPr>
            </w:pPr>
          </w:p>
        </w:tc>
        <w:tc>
          <w:tcPr>
            <w:tcW w:w="780" w:type="dxa"/>
            <w:tcMar>
              <w:top w:w="100" w:type="dxa"/>
              <w:left w:w="100" w:type="dxa"/>
              <w:bottom w:w="100" w:type="dxa"/>
              <w:right w:w="100" w:type="dxa"/>
            </w:tcMar>
          </w:tcPr>
          <w:p w14:paraId="3E78A844">
            <w:pPr>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color w:val="000000"/>
                <w:sz w:val="24"/>
                <w:szCs w:val="24"/>
                <w:lang w:val="en-GB"/>
              </w:rPr>
            </w:pPr>
          </w:p>
        </w:tc>
        <w:tc>
          <w:tcPr>
            <w:tcW w:w="870" w:type="dxa"/>
            <w:tcMar>
              <w:top w:w="100" w:type="dxa"/>
              <w:left w:w="100" w:type="dxa"/>
              <w:bottom w:w="100" w:type="dxa"/>
              <w:right w:w="100" w:type="dxa"/>
            </w:tcMar>
          </w:tcPr>
          <w:p w14:paraId="3E78A845">
            <w:pPr>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color w:val="000000"/>
                <w:sz w:val="24"/>
                <w:szCs w:val="24"/>
                <w:lang w:val="en-GB"/>
              </w:rPr>
            </w:pPr>
          </w:p>
        </w:tc>
        <w:tc>
          <w:tcPr>
            <w:tcW w:w="780" w:type="dxa"/>
            <w:shd w:val="clear" w:color="auto" w:fill="FF0000"/>
            <w:tcMar>
              <w:top w:w="100" w:type="dxa"/>
              <w:left w:w="100" w:type="dxa"/>
              <w:bottom w:w="100" w:type="dxa"/>
              <w:right w:w="100" w:type="dxa"/>
            </w:tcMar>
          </w:tcPr>
          <w:p w14:paraId="3E78A846">
            <w:pPr>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color w:val="000000"/>
                <w:sz w:val="24"/>
                <w:szCs w:val="24"/>
                <w:lang w:val="en-GB"/>
              </w:rPr>
            </w:pPr>
          </w:p>
        </w:tc>
        <w:tc>
          <w:tcPr>
            <w:tcW w:w="840" w:type="dxa"/>
            <w:tcMar>
              <w:top w:w="100" w:type="dxa"/>
              <w:left w:w="100" w:type="dxa"/>
              <w:bottom w:w="100" w:type="dxa"/>
              <w:right w:w="100" w:type="dxa"/>
            </w:tcMar>
          </w:tcPr>
          <w:p w14:paraId="3E78A847">
            <w:pPr>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color w:val="000000"/>
                <w:sz w:val="24"/>
                <w:szCs w:val="24"/>
                <w:lang w:val="en-GB"/>
              </w:rPr>
            </w:pPr>
          </w:p>
        </w:tc>
        <w:tc>
          <w:tcPr>
            <w:tcW w:w="810" w:type="dxa"/>
            <w:tcMar>
              <w:top w:w="100" w:type="dxa"/>
              <w:left w:w="100" w:type="dxa"/>
              <w:bottom w:w="100" w:type="dxa"/>
              <w:right w:w="100" w:type="dxa"/>
            </w:tcMar>
          </w:tcPr>
          <w:p w14:paraId="3E78A848">
            <w:pPr>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color w:val="000000"/>
                <w:sz w:val="24"/>
                <w:szCs w:val="24"/>
                <w:lang w:val="en-GB"/>
              </w:rPr>
            </w:pPr>
          </w:p>
        </w:tc>
        <w:tc>
          <w:tcPr>
            <w:tcW w:w="885" w:type="dxa"/>
            <w:tcMar>
              <w:top w:w="100" w:type="dxa"/>
              <w:left w:w="100" w:type="dxa"/>
              <w:bottom w:w="100" w:type="dxa"/>
              <w:right w:w="100" w:type="dxa"/>
            </w:tcMar>
          </w:tcPr>
          <w:p w14:paraId="3E78A849">
            <w:pPr>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color w:val="000000"/>
                <w:sz w:val="24"/>
                <w:szCs w:val="24"/>
                <w:lang w:val="en-GB"/>
              </w:rPr>
            </w:pPr>
          </w:p>
        </w:tc>
        <w:tc>
          <w:tcPr>
            <w:tcW w:w="990" w:type="dxa"/>
            <w:tcMar>
              <w:top w:w="100" w:type="dxa"/>
              <w:left w:w="100" w:type="dxa"/>
              <w:bottom w:w="100" w:type="dxa"/>
              <w:right w:w="100" w:type="dxa"/>
            </w:tcMar>
          </w:tcPr>
          <w:p w14:paraId="3E78A84A">
            <w:pPr>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color w:val="000000"/>
                <w:sz w:val="24"/>
                <w:szCs w:val="24"/>
                <w:lang w:val="en-GB"/>
              </w:rPr>
            </w:pPr>
          </w:p>
        </w:tc>
        <w:tc>
          <w:tcPr>
            <w:tcW w:w="945" w:type="dxa"/>
            <w:tcMar>
              <w:top w:w="100" w:type="dxa"/>
              <w:left w:w="100" w:type="dxa"/>
              <w:bottom w:w="100" w:type="dxa"/>
              <w:right w:w="100" w:type="dxa"/>
            </w:tcMar>
          </w:tcPr>
          <w:p w14:paraId="3E78A84B">
            <w:pPr>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color w:val="000000"/>
                <w:sz w:val="24"/>
                <w:szCs w:val="24"/>
                <w:lang w:val="en-GB"/>
              </w:rPr>
            </w:pPr>
          </w:p>
        </w:tc>
        <w:tc>
          <w:tcPr>
            <w:tcW w:w="1035" w:type="dxa"/>
            <w:tcMar>
              <w:top w:w="100" w:type="dxa"/>
              <w:left w:w="100" w:type="dxa"/>
              <w:bottom w:w="100" w:type="dxa"/>
              <w:right w:w="100" w:type="dxa"/>
            </w:tcMar>
          </w:tcPr>
          <w:p w14:paraId="3E78A84C">
            <w:pPr>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color w:val="000000"/>
                <w:sz w:val="24"/>
                <w:szCs w:val="24"/>
                <w:lang w:val="en-GB"/>
              </w:rPr>
            </w:pPr>
          </w:p>
        </w:tc>
      </w:tr>
      <w:tr w14:paraId="3E78A859">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100" w:type="dxa"/>
            <w:left w:w="100" w:type="dxa"/>
            <w:bottom w:w="100" w:type="dxa"/>
            <w:right w:w="100" w:type="dxa"/>
          </w:tblCellMar>
        </w:tblPrEx>
        <w:trPr>
          <w:cantSplit/>
          <w:tblHeader/>
        </w:trPr>
        <w:tc>
          <w:tcPr>
            <w:tcW w:w="1560" w:type="dxa"/>
            <w:tcMar>
              <w:top w:w="100" w:type="dxa"/>
              <w:left w:w="100" w:type="dxa"/>
              <w:bottom w:w="100" w:type="dxa"/>
              <w:right w:w="100" w:type="dxa"/>
            </w:tcMar>
          </w:tcPr>
          <w:p w14:paraId="3E78A84E">
            <w:pPr>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color w:val="000000"/>
                <w:sz w:val="24"/>
                <w:szCs w:val="24"/>
                <w:lang w:val="en-GB"/>
              </w:rPr>
            </w:pPr>
            <w:r>
              <w:rPr>
                <w:rFonts w:ascii="Times New Roman" w:hAnsi="Times New Roman" w:eastAsia="Times New Roman" w:cs="Times New Roman"/>
                <w:color w:val="000000"/>
                <w:sz w:val="24"/>
                <w:szCs w:val="24"/>
                <w:lang w:val="en-GB"/>
              </w:rPr>
              <w:t xml:space="preserve">Conduct a literature review </w:t>
            </w:r>
          </w:p>
        </w:tc>
        <w:tc>
          <w:tcPr>
            <w:tcW w:w="930" w:type="dxa"/>
            <w:tcMar>
              <w:top w:w="100" w:type="dxa"/>
              <w:left w:w="100" w:type="dxa"/>
              <w:bottom w:w="100" w:type="dxa"/>
              <w:right w:w="100" w:type="dxa"/>
            </w:tcMar>
          </w:tcPr>
          <w:p w14:paraId="3E78A84F">
            <w:pPr>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color w:val="000000"/>
                <w:sz w:val="24"/>
                <w:szCs w:val="24"/>
                <w:lang w:val="en-GB"/>
              </w:rPr>
            </w:pPr>
          </w:p>
        </w:tc>
        <w:tc>
          <w:tcPr>
            <w:tcW w:w="780" w:type="dxa"/>
            <w:tcMar>
              <w:top w:w="100" w:type="dxa"/>
              <w:left w:w="100" w:type="dxa"/>
              <w:bottom w:w="100" w:type="dxa"/>
              <w:right w:w="100" w:type="dxa"/>
            </w:tcMar>
          </w:tcPr>
          <w:p w14:paraId="3E78A850">
            <w:pPr>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color w:val="000000"/>
                <w:sz w:val="24"/>
                <w:szCs w:val="24"/>
                <w:lang w:val="en-GB"/>
              </w:rPr>
            </w:pPr>
          </w:p>
        </w:tc>
        <w:tc>
          <w:tcPr>
            <w:tcW w:w="870" w:type="dxa"/>
            <w:tcMar>
              <w:top w:w="100" w:type="dxa"/>
              <w:left w:w="100" w:type="dxa"/>
              <w:bottom w:w="100" w:type="dxa"/>
              <w:right w:w="100" w:type="dxa"/>
            </w:tcMar>
          </w:tcPr>
          <w:p w14:paraId="3E78A851">
            <w:pPr>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color w:val="000000"/>
                <w:sz w:val="24"/>
                <w:szCs w:val="24"/>
                <w:lang w:val="en-GB"/>
              </w:rPr>
            </w:pPr>
          </w:p>
        </w:tc>
        <w:tc>
          <w:tcPr>
            <w:tcW w:w="780" w:type="dxa"/>
            <w:shd w:val="clear" w:color="auto" w:fill="00FF00"/>
            <w:tcMar>
              <w:top w:w="100" w:type="dxa"/>
              <w:left w:w="100" w:type="dxa"/>
              <w:bottom w:w="100" w:type="dxa"/>
              <w:right w:w="100" w:type="dxa"/>
            </w:tcMar>
          </w:tcPr>
          <w:p w14:paraId="3E78A852">
            <w:pPr>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color w:val="000000"/>
                <w:sz w:val="24"/>
                <w:szCs w:val="24"/>
                <w:lang w:val="en-GB"/>
              </w:rPr>
            </w:pPr>
          </w:p>
        </w:tc>
        <w:tc>
          <w:tcPr>
            <w:tcW w:w="840" w:type="dxa"/>
            <w:shd w:val="clear" w:color="auto" w:fill="00FF00"/>
            <w:tcMar>
              <w:top w:w="100" w:type="dxa"/>
              <w:left w:w="100" w:type="dxa"/>
              <w:bottom w:w="100" w:type="dxa"/>
              <w:right w:w="100" w:type="dxa"/>
            </w:tcMar>
          </w:tcPr>
          <w:p w14:paraId="3E78A853">
            <w:pPr>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color w:val="000000"/>
                <w:sz w:val="24"/>
                <w:szCs w:val="24"/>
                <w:lang w:val="en-GB"/>
              </w:rPr>
            </w:pPr>
          </w:p>
        </w:tc>
        <w:tc>
          <w:tcPr>
            <w:tcW w:w="810" w:type="dxa"/>
            <w:shd w:val="clear" w:color="auto" w:fill="00FF00"/>
            <w:tcMar>
              <w:top w:w="100" w:type="dxa"/>
              <w:left w:w="100" w:type="dxa"/>
              <w:bottom w:w="100" w:type="dxa"/>
              <w:right w:w="100" w:type="dxa"/>
            </w:tcMar>
          </w:tcPr>
          <w:p w14:paraId="3E78A854">
            <w:pPr>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color w:val="000000"/>
                <w:sz w:val="24"/>
                <w:szCs w:val="24"/>
                <w:lang w:val="en-GB"/>
              </w:rPr>
            </w:pPr>
          </w:p>
        </w:tc>
        <w:tc>
          <w:tcPr>
            <w:tcW w:w="885" w:type="dxa"/>
            <w:tcMar>
              <w:top w:w="100" w:type="dxa"/>
              <w:left w:w="100" w:type="dxa"/>
              <w:bottom w:w="100" w:type="dxa"/>
              <w:right w:w="100" w:type="dxa"/>
            </w:tcMar>
          </w:tcPr>
          <w:p w14:paraId="3E78A855">
            <w:pPr>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color w:val="000000"/>
                <w:sz w:val="24"/>
                <w:szCs w:val="24"/>
                <w:lang w:val="en-GB"/>
              </w:rPr>
            </w:pPr>
          </w:p>
        </w:tc>
        <w:tc>
          <w:tcPr>
            <w:tcW w:w="990" w:type="dxa"/>
            <w:tcMar>
              <w:top w:w="100" w:type="dxa"/>
              <w:left w:w="100" w:type="dxa"/>
              <w:bottom w:w="100" w:type="dxa"/>
              <w:right w:w="100" w:type="dxa"/>
            </w:tcMar>
          </w:tcPr>
          <w:p w14:paraId="3E78A856">
            <w:pPr>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color w:val="000000"/>
                <w:sz w:val="24"/>
                <w:szCs w:val="24"/>
                <w:lang w:val="en-GB"/>
              </w:rPr>
            </w:pPr>
          </w:p>
        </w:tc>
        <w:tc>
          <w:tcPr>
            <w:tcW w:w="945" w:type="dxa"/>
            <w:tcMar>
              <w:top w:w="100" w:type="dxa"/>
              <w:left w:w="100" w:type="dxa"/>
              <w:bottom w:w="100" w:type="dxa"/>
              <w:right w:w="100" w:type="dxa"/>
            </w:tcMar>
          </w:tcPr>
          <w:p w14:paraId="3E78A857">
            <w:pPr>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color w:val="000000"/>
                <w:sz w:val="24"/>
                <w:szCs w:val="24"/>
                <w:lang w:val="en-GB"/>
              </w:rPr>
            </w:pPr>
          </w:p>
        </w:tc>
        <w:tc>
          <w:tcPr>
            <w:tcW w:w="1035" w:type="dxa"/>
            <w:tcMar>
              <w:top w:w="100" w:type="dxa"/>
              <w:left w:w="100" w:type="dxa"/>
              <w:bottom w:w="100" w:type="dxa"/>
              <w:right w:w="100" w:type="dxa"/>
            </w:tcMar>
          </w:tcPr>
          <w:p w14:paraId="3E78A858">
            <w:pPr>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color w:val="000000"/>
                <w:sz w:val="24"/>
                <w:szCs w:val="24"/>
                <w:lang w:val="en-GB"/>
              </w:rPr>
            </w:pPr>
          </w:p>
        </w:tc>
      </w:tr>
      <w:tr w14:paraId="3E78A865">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100" w:type="dxa"/>
            <w:left w:w="100" w:type="dxa"/>
            <w:bottom w:w="100" w:type="dxa"/>
            <w:right w:w="100" w:type="dxa"/>
          </w:tblCellMar>
        </w:tblPrEx>
        <w:trPr>
          <w:cantSplit/>
          <w:tblHeader/>
        </w:trPr>
        <w:tc>
          <w:tcPr>
            <w:tcW w:w="1560" w:type="dxa"/>
            <w:tcMar>
              <w:top w:w="100" w:type="dxa"/>
              <w:left w:w="100" w:type="dxa"/>
              <w:bottom w:w="100" w:type="dxa"/>
              <w:right w:w="100" w:type="dxa"/>
            </w:tcMar>
          </w:tcPr>
          <w:p w14:paraId="3E78A85A">
            <w:pPr>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color w:val="000000"/>
                <w:sz w:val="24"/>
                <w:szCs w:val="24"/>
                <w:lang w:val="en-GB"/>
              </w:rPr>
            </w:pPr>
            <w:r>
              <w:rPr>
                <w:rFonts w:ascii="Times New Roman" w:hAnsi="Times New Roman" w:eastAsia="Times New Roman" w:cs="Times New Roman"/>
                <w:color w:val="000000"/>
                <w:sz w:val="24"/>
                <w:szCs w:val="24"/>
                <w:lang w:val="en-GB"/>
              </w:rPr>
              <w:t xml:space="preserve">Interpretation of findings </w:t>
            </w:r>
          </w:p>
        </w:tc>
        <w:tc>
          <w:tcPr>
            <w:tcW w:w="930" w:type="dxa"/>
            <w:tcMar>
              <w:top w:w="100" w:type="dxa"/>
              <w:left w:w="100" w:type="dxa"/>
              <w:bottom w:w="100" w:type="dxa"/>
              <w:right w:w="100" w:type="dxa"/>
            </w:tcMar>
          </w:tcPr>
          <w:p w14:paraId="3E78A85B">
            <w:pPr>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color w:val="000000"/>
                <w:sz w:val="24"/>
                <w:szCs w:val="24"/>
                <w:lang w:val="en-GB"/>
              </w:rPr>
            </w:pPr>
          </w:p>
        </w:tc>
        <w:tc>
          <w:tcPr>
            <w:tcW w:w="780" w:type="dxa"/>
            <w:tcMar>
              <w:top w:w="100" w:type="dxa"/>
              <w:left w:w="100" w:type="dxa"/>
              <w:bottom w:w="100" w:type="dxa"/>
              <w:right w:w="100" w:type="dxa"/>
            </w:tcMar>
          </w:tcPr>
          <w:p w14:paraId="3E78A85C">
            <w:pPr>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color w:val="000000"/>
                <w:sz w:val="24"/>
                <w:szCs w:val="24"/>
                <w:lang w:val="en-GB"/>
              </w:rPr>
            </w:pPr>
          </w:p>
        </w:tc>
        <w:tc>
          <w:tcPr>
            <w:tcW w:w="870" w:type="dxa"/>
            <w:tcMar>
              <w:top w:w="100" w:type="dxa"/>
              <w:left w:w="100" w:type="dxa"/>
              <w:bottom w:w="100" w:type="dxa"/>
              <w:right w:w="100" w:type="dxa"/>
            </w:tcMar>
          </w:tcPr>
          <w:p w14:paraId="3E78A85D">
            <w:pPr>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color w:val="000000"/>
                <w:sz w:val="24"/>
                <w:szCs w:val="24"/>
                <w:lang w:val="en-GB"/>
              </w:rPr>
            </w:pPr>
          </w:p>
        </w:tc>
        <w:tc>
          <w:tcPr>
            <w:tcW w:w="780" w:type="dxa"/>
            <w:tcMar>
              <w:top w:w="100" w:type="dxa"/>
              <w:left w:w="100" w:type="dxa"/>
              <w:bottom w:w="100" w:type="dxa"/>
              <w:right w:w="100" w:type="dxa"/>
            </w:tcMar>
          </w:tcPr>
          <w:p w14:paraId="3E78A85E">
            <w:pPr>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color w:val="000000"/>
                <w:sz w:val="24"/>
                <w:szCs w:val="24"/>
                <w:lang w:val="en-GB"/>
              </w:rPr>
            </w:pPr>
          </w:p>
        </w:tc>
        <w:tc>
          <w:tcPr>
            <w:tcW w:w="840" w:type="dxa"/>
            <w:tcMar>
              <w:top w:w="100" w:type="dxa"/>
              <w:left w:w="100" w:type="dxa"/>
              <w:bottom w:w="100" w:type="dxa"/>
              <w:right w:w="100" w:type="dxa"/>
            </w:tcMar>
          </w:tcPr>
          <w:p w14:paraId="3E78A85F">
            <w:pPr>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color w:val="000000"/>
                <w:sz w:val="24"/>
                <w:szCs w:val="24"/>
                <w:lang w:val="en-GB"/>
              </w:rPr>
            </w:pPr>
          </w:p>
        </w:tc>
        <w:tc>
          <w:tcPr>
            <w:tcW w:w="810" w:type="dxa"/>
            <w:tcMar>
              <w:top w:w="100" w:type="dxa"/>
              <w:left w:w="100" w:type="dxa"/>
              <w:bottom w:w="100" w:type="dxa"/>
              <w:right w:w="100" w:type="dxa"/>
            </w:tcMar>
          </w:tcPr>
          <w:p w14:paraId="3E78A860">
            <w:pPr>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color w:val="000000"/>
                <w:sz w:val="24"/>
                <w:szCs w:val="24"/>
                <w:lang w:val="en-GB"/>
              </w:rPr>
            </w:pPr>
          </w:p>
        </w:tc>
        <w:tc>
          <w:tcPr>
            <w:tcW w:w="885" w:type="dxa"/>
            <w:shd w:val="clear" w:color="auto" w:fill="FFFF00"/>
            <w:tcMar>
              <w:top w:w="100" w:type="dxa"/>
              <w:left w:w="100" w:type="dxa"/>
              <w:bottom w:w="100" w:type="dxa"/>
              <w:right w:w="100" w:type="dxa"/>
            </w:tcMar>
          </w:tcPr>
          <w:p w14:paraId="3E78A861">
            <w:pPr>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color w:val="000000"/>
                <w:sz w:val="24"/>
                <w:szCs w:val="24"/>
                <w:lang w:val="en-GB"/>
              </w:rPr>
            </w:pPr>
          </w:p>
        </w:tc>
        <w:tc>
          <w:tcPr>
            <w:tcW w:w="990" w:type="dxa"/>
            <w:tcMar>
              <w:top w:w="100" w:type="dxa"/>
              <w:left w:w="100" w:type="dxa"/>
              <w:bottom w:w="100" w:type="dxa"/>
              <w:right w:w="100" w:type="dxa"/>
            </w:tcMar>
          </w:tcPr>
          <w:p w14:paraId="3E78A862">
            <w:pPr>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color w:val="000000"/>
                <w:sz w:val="24"/>
                <w:szCs w:val="24"/>
                <w:lang w:val="en-GB"/>
              </w:rPr>
            </w:pPr>
          </w:p>
        </w:tc>
        <w:tc>
          <w:tcPr>
            <w:tcW w:w="945" w:type="dxa"/>
            <w:tcMar>
              <w:top w:w="100" w:type="dxa"/>
              <w:left w:w="100" w:type="dxa"/>
              <w:bottom w:w="100" w:type="dxa"/>
              <w:right w:w="100" w:type="dxa"/>
            </w:tcMar>
          </w:tcPr>
          <w:p w14:paraId="3E78A863">
            <w:pPr>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color w:val="000000"/>
                <w:sz w:val="24"/>
                <w:szCs w:val="24"/>
                <w:lang w:val="en-GB"/>
              </w:rPr>
            </w:pPr>
          </w:p>
        </w:tc>
        <w:tc>
          <w:tcPr>
            <w:tcW w:w="1035" w:type="dxa"/>
            <w:tcMar>
              <w:top w:w="100" w:type="dxa"/>
              <w:left w:w="100" w:type="dxa"/>
              <w:bottom w:w="100" w:type="dxa"/>
              <w:right w:w="100" w:type="dxa"/>
            </w:tcMar>
          </w:tcPr>
          <w:p w14:paraId="3E78A864">
            <w:pPr>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color w:val="000000"/>
                <w:sz w:val="24"/>
                <w:szCs w:val="24"/>
                <w:lang w:val="en-GB"/>
              </w:rPr>
            </w:pPr>
          </w:p>
        </w:tc>
      </w:tr>
      <w:tr w14:paraId="3E78A871">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100" w:type="dxa"/>
            <w:left w:w="100" w:type="dxa"/>
            <w:bottom w:w="100" w:type="dxa"/>
            <w:right w:w="100" w:type="dxa"/>
          </w:tblCellMar>
        </w:tblPrEx>
        <w:trPr>
          <w:cantSplit/>
          <w:tblHeader/>
        </w:trPr>
        <w:tc>
          <w:tcPr>
            <w:tcW w:w="1560" w:type="dxa"/>
            <w:tcMar>
              <w:top w:w="100" w:type="dxa"/>
              <w:left w:w="100" w:type="dxa"/>
              <w:bottom w:w="100" w:type="dxa"/>
              <w:right w:w="100" w:type="dxa"/>
            </w:tcMar>
          </w:tcPr>
          <w:p w14:paraId="3E78A866">
            <w:pPr>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color w:val="000000"/>
                <w:sz w:val="24"/>
                <w:szCs w:val="24"/>
                <w:lang w:val="en-GB"/>
              </w:rPr>
            </w:pPr>
            <w:r>
              <w:rPr>
                <w:rFonts w:ascii="Times New Roman" w:hAnsi="Times New Roman" w:eastAsia="Times New Roman" w:cs="Times New Roman"/>
                <w:color w:val="000000"/>
                <w:sz w:val="24"/>
                <w:szCs w:val="24"/>
                <w:lang w:val="en-GB"/>
              </w:rPr>
              <w:t xml:space="preserve">Draft report writing </w:t>
            </w:r>
          </w:p>
        </w:tc>
        <w:tc>
          <w:tcPr>
            <w:tcW w:w="930" w:type="dxa"/>
            <w:tcMar>
              <w:top w:w="100" w:type="dxa"/>
              <w:left w:w="100" w:type="dxa"/>
              <w:bottom w:w="100" w:type="dxa"/>
              <w:right w:w="100" w:type="dxa"/>
            </w:tcMar>
          </w:tcPr>
          <w:p w14:paraId="3E78A867">
            <w:pPr>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color w:val="000000"/>
                <w:sz w:val="24"/>
                <w:szCs w:val="24"/>
                <w:lang w:val="en-GB"/>
              </w:rPr>
            </w:pPr>
          </w:p>
        </w:tc>
        <w:tc>
          <w:tcPr>
            <w:tcW w:w="780" w:type="dxa"/>
            <w:tcMar>
              <w:top w:w="100" w:type="dxa"/>
              <w:left w:w="100" w:type="dxa"/>
              <w:bottom w:w="100" w:type="dxa"/>
              <w:right w:w="100" w:type="dxa"/>
            </w:tcMar>
          </w:tcPr>
          <w:p w14:paraId="3E78A868">
            <w:pPr>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color w:val="000000"/>
                <w:sz w:val="24"/>
                <w:szCs w:val="24"/>
                <w:lang w:val="en-GB"/>
              </w:rPr>
            </w:pPr>
          </w:p>
        </w:tc>
        <w:tc>
          <w:tcPr>
            <w:tcW w:w="870" w:type="dxa"/>
            <w:tcMar>
              <w:top w:w="100" w:type="dxa"/>
              <w:left w:w="100" w:type="dxa"/>
              <w:bottom w:w="100" w:type="dxa"/>
              <w:right w:w="100" w:type="dxa"/>
            </w:tcMar>
          </w:tcPr>
          <w:p w14:paraId="3E78A869">
            <w:pPr>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color w:val="000000"/>
                <w:sz w:val="24"/>
                <w:szCs w:val="24"/>
                <w:lang w:val="en-GB"/>
              </w:rPr>
            </w:pPr>
          </w:p>
        </w:tc>
        <w:tc>
          <w:tcPr>
            <w:tcW w:w="780" w:type="dxa"/>
            <w:tcMar>
              <w:top w:w="100" w:type="dxa"/>
              <w:left w:w="100" w:type="dxa"/>
              <w:bottom w:w="100" w:type="dxa"/>
              <w:right w:w="100" w:type="dxa"/>
            </w:tcMar>
          </w:tcPr>
          <w:p w14:paraId="3E78A86A">
            <w:pPr>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color w:val="000000"/>
                <w:sz w:val="24"/>
                <w:szCs w:val="24"/>
                <w:lang w:val="en-GB"/>
              </w:rPr>
            </w:pPr>
          </w:p>
        </w:tc>
        <w:tc>
          <w:tcPr>
            <w:tcW w:w="840" w:type="dxa"/>
            <w:tcMar>
              <w:top w:w="100" w:type="dxa"/>
              <w:left w:w="100" w:type="dxa"/>
              <w:bottom w:w="100" w:type="dxa"/>
              <w:right w:w="100" w:type="dxa"/>
            </w:tcMar>
          </w:tcPr>
          <w:p w14:paraId="3E78A86B">
            <w:pPr>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color w:val="000000"/>
                <w:sz w:val="24"/>
                <w:szCs w:val="24"/>
                <w:lang w:val="en-GB"/>
              </w:rPr>
            </w:pPr>
          </w:p>
        </w:tc>
        <w:tc>
          <w:tcPr>
            <w:tcW w:w="810" w:type="dxa"/>
            <w:tcMar>
              <w:top w:w="100" w:type="dxa"/>
              <w:left w:w="100" w:type="dxa"/>
              <w:bottom w:w="100" w:type="dxa"/>
              <w:right w:w="100" w:type="dxa"/>
            </w:tcMar>
          </w:tcPr>
          <w:p w14:paraId="3E78A86C">
            <w:pPr>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color w:val="000000"/>
                <w:sz w:val="24"/>
                <w:szCs w:val="24"/>
                <w:lang w:val="en-GB"/>
              </w:rPr>
            </w:pPr>
          </w:p>
        </w:tc>
        <w:tc>
          <w:tcPr>
            <w:tcW w:w="885" w:type="dxa"/>
            <w:tcMar>
              <w:top w:w="100" w:type="dxa"/>
              <w:left w:w="100" w:type="dxa"/>
              <w:bottom w:w="100" w:type="dxa"/>
              <w:right w:w="100" w:type="dxa"/>
            </w:tcMar>
          </w:tcPr>
          <w:p w14:paraId="3E78A86D">
            <w:pPr>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color w:val="000000"/>
                <w:sz w:val="24"/>
                <w:szCs w:val="24"/>
                <w:lang w:val="en-GB"/>
              </w:rPr>
            </w:pPr>
          </w:p>
        </w:tc>
        <w:tc>
          <w:tcPr>
            <w:tcW w:w="990" w:type="dxa"/>
            <w:shd w:val="clear" w:color="auto" w:fill="4A86E8"/>
            <w:tcMar>
              <w:top w:w="100" w:type="dxa"/>
              <w:left w:w="100" w:type="dxa"/>
              <w:bottom w:w="100" w:type="dxa"/>
              <w:right w:w="100" w:type="dxa"/>
            </w:tcMar>
          </w:tcPr>
          <w:p w14:paraId="3E78A86E">
            <w:pPr>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color w:val="000000"/>
                <w:sz w:val="24"/>
                <w:szCs w:val="24"/>
                <w:lang w:val="en-GB"/>
              </w:rPr>
            </w:pPr>
          </w:p>
        </w:tc>
        <w:tc>
          <w:tcPr>
            <w:tcW w:w="945" w:type="dxa"/>
            <w:tcMar>
              <w:top w:w="100" w:type="dxa"/>
              <w:left w:w="100" w:type="dxa"/>
              <w:bottom w:w="100" w:type="dxa"/>
              <w:right w:w="100" w:type="dxa"/>
            </w:tcMar>
          </w:tcPr>
          <w:p w14:paraId="3E78A86F">
            <w:pPr>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color w:val="000000"/>
                <w:sz w:val="24"/>
                <w:szCs w:val="24"/>
                <w:lang w:val="en-GB"/>
              </w:rPr>
            </w:pPr>
          </w:p>
        </w:tc>
        <w:tc>
          <w:tcPr>
            <w:tcW w:w="1035" w:type="dxa"/>
            <w:tcMar>
              <w:top w:w="100" w:type="dxa"/>
              <w:left w:w="100" w:type="dxa"/>
              <w:bottom w:w="100" w:type="dxa"/>
              <w:right w:w="100" w:type="dxa"/>
            </w:tcMar>
          </w:tcPr>
          <w:p w14:paraId="3E78A870">
            <w:pPr>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color w:val="000000"/>
                <w:sz w:val="24"/>
                <w:szCs w:val="24"/>
                <w:lang w:val="en-GB"/>
              </w:rPr>
            </w:pPr>
          </w:p>
        </w:tc>
      </w:tr>
      <w:tr w14:paraId="3E78A87D">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100" w:type="dxa"/>
            <w:left w:w="100" w:type="dxa"/>
            <w:bottom w:w="100" w:type="dxa"/>
            <w:right w:w="100" w:type="dxa"/>
          </w:tblCellMar>
        </w:tblPrEx>
        <w:trPr>
          <w:cantSplit/>
          <w:tblHeader/>
        </w:trPr>
        <w:tc>
          <w:tcPr>
            <w:tcW w:w="1560" w:type="dxa"/>
            <w:tcMar>
              <w:top w:w="100" w:type="dxa"/>
              <w:left w:w="100" w:type="dxa"/>
              <w:bottom w:w="100" w:type="dxa"/>
              <w:right w:w="100" w:type="dxa"/>
            </w:tcMar>
          </w:tcPr>
          <w:p w14:paraId="3E78A872">
            <w:pPr>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color w:val="000000"/>
                <w:sz w:val="24"/>
                <w:szCs w:val="24"/>
                <w:lang w:val="en-GB"/>
              </w:rPr>
            </w:pPr>
            <w:r>
              <w:rPr>
                <w:rFonts w:ascii="Times New Roman" w:hAnsi="Times New Roman" w:eastAsia="Times New Roman" w:cs="Times New Roman"/>
                <w:color w:val="000000"/>
                <w:sz w:val="24"/>
                <w:szCs w:val="24"/>
                <w:lang w:val="en-GB"/>
              </w:rPr>
              <w:t xml:space="preserve">Editing, and accurately referencing </w:t>
            </w:r>
          </w:p>
        </w:tc>
        <w:tc>
          <w:tcPr>
            <w:tcW w:w="930" w:type="dxa"/>
            <w:tcMar>
              <w:top w:w="100" w:type="dxa"/>
              <w:left w:w="100" w:type="dxa"/>
              <w:bottom w:w="100" w:type="dxa"/>
              <w:right w:w="100" w:type="dxa"/>
            </w:tcMar>
          </w:tcPr>
          <w:p w14:paraId="3E78A873">
            <w:pPr>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color w:val="000000"/>
                <w:sz w:val="24"/>
                <w:szCs w:val="24"/>
                <w:lang w:val="en-GB"/>
              </w:rPr>
            </w:pPr>
          </w:p>
        </w:tc>
        <w:tc>
          <w:tcPr>
            <w:tcW w:w="780" w:type="dxa"/>
            <w:tcMar>
              <w:top w:w="100" w:type="dxa"/>
              <w:left w:w="100" w:type="dxa"/>
              <w:bottom w:w="100" w:type="dxa"/>
              <w:right w:w="100" w:type="dxa"/>
            </w:tcMar>
          </w:tcPr>
          <w:p w14:paraId="3E78A874">
            <w:pPr>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color w:val="000000"/>
                <w:sz w:val="24"/>
                <w:szCs w:val="24"/>
                <w:lang w:val="en-GB"/>
              </w:rPr>
            </w:pPr>
          </w:p>
        </w:tc>
        <w:tc>
          <w:tcPr>
            <w:tcW w:w="870" w:type="dxa"/>
            <w:tcMar>
              <w:top w:w="100" w:type="dxa"/>
              <w:left w:w="100" w:type="dxa"/>
              <w:bottom w:w="100" w:type="dxa"/>
              <w:right w:w="100" w:type="dxa"/>
            </w:tcMar>
          </w:tcPr>
          <w:p w14:paraId="3E78A875">
            <w:pPr>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color w:val="000000"/>
                <w:sz w:val="24"/>
                <w:szCs w:val="24"/>
                <w:lang w:val="en-GB"/>
              </w:rPr>
            </w:pPr>
          </w:p>
        </w:tc>
        <w:tc>
          <w:tcPr>
            <w:tcW w:w="780" w:type="dxa"/>
            <w:tcMar>
              <w:top w:w="100" w:type="dxa"/>
              <w:left w:w="100" w:type="dxa"/>
              <w:bottom w:w="100" w:type="dxa"/>
              <w:right w:w="100" w:type="dxa"/>
            </w:tcMar>
          </w:tcPr>
          <w:p w14:paraId="3E78A876">
            <w:pPr>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color w:val="000000"/>
                <w:sz w:val="24"/>
                <w:szCs w:val="24"/>
                <w:lang w:val="en-GB"/>
              </w:rPr>
            </w:pPr>
          </w:p>
        </w:tc>
        <w:tc>
          <w:tcPr>
            <w:tcW w:w="840" w:type="dxa"/>
            <w:tcMar>
              <w:top w:w="100" w:type="dxa"/>
              <w:left w:w="100" w:type="dxa"/>
              <w:bottom w:w="100" w:type="dxa"/>
              <w:right w:w="100" w:type="dxa"/>
            </w:tcMar>
          </w:tcPr>
          <w:p w14:paraId="3E78A877">
            <w:pPr>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color w:val="000000"/>
                <w:sz w:val="24"/>
                <w:szCs w:val="24"/>
                <w:lang w:val="en-GB"/>
              </w:rPr>
            </w:pPr>
          </w:p>
        </w:tc>
        <w:tc>
          <w:tcPr>
            <w:tcW w:w="810" w:type="dxa"/>
            <w:tcMar>
              <w:top w:w="100" w:type="dxa"/>
              <w:left w:w="100" w:type="dxa"/>
              <w:bottom w:w="100" w:type="dxa"/>
              <w:right w:w="100" w:type="dxa"/>
            </w:tcMar>
          </w:tcPr>
          <w:p w14:paraId="3E78A878">
            <w:pPr>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color w:val="000000"/>
                <w:sz w:val="24"/>
                <w:szCs w:val="24"/>
                <w:lang w:val="en-GB"/>
              </w:rPr>
            </w:pPr>
          </w:p>
        </w:tc>
        <w:tc>
          <w:tcPr>
            <w:tcW w:w="885" w:type="dxa"/>
            <w:tcMar>
              <w:top w:w="100" w:type="dxa"/>
              <w:left w:w="100" w:type="dxa"/>
              <w:bottom w:w="100" w:type="dxa"/>
              <w:right w:w="100" w:type="dxa"/>
            </w:tcMar>
          </w:tcPr>
          <w:p w14:paraId="3E78A879">
            <w:pPr>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color w:val="000000"/>
                <w:sz w:val="24"/>
                <w:szCs w:val="24"/>
                <w:lang w:val="en-GB"/>
              </w:rPr>
            </w:pPr>
          </w:p>
        </w:tc>
        <w:tc>
          <w:tcPr>
            <w:tcW w:w="990" w:type="dxa"/>
            <w:tcMar>
              <w:top w:w="100" w:type="dxa"/>
              <w:left w:w="100" w:type="dxa"/>
              <w:bottom w:w="100" w:type="dxa"/>
              <w:right w:w="100" w:type="dxa"/>
            </w:tcMar>
          </w:tcPr>
          <w:p w14:paraId="3E78A87A">
            <w:pPr>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color w:val="000000"/>
                <w:sz w:val="24"/>
                <w:szCs w:val="24"/>
                <w:lang w:val="en-GB"/>
              </w:rPr>
            </w:pPr>
          </w:p>
        </w:tc>
        <w:tc>
          <w:tcPr>
            <w:tcW w:w="945" w:type="dxa"/>
            <w:shd w:val="clear" w:color="auto" w:fill="FFFF00"/>
            <w:tcMar>
              <w:top w:w="100" w:type="dxa"/>
              <w:left w:w="100" w:type="dxa"/>
              <w:bottom w:w="100" w:type="dxa"/>
              <w:right w:w="100" w:type="dxa"/>
            </w:tcMar>
          </w:tcPr>
          <w:p w14:paraId="3E78A87B">
            <w:pPr>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color w:val="000000"/>
                <w:sz w:val="24"/>
                <w:szCs w:val="24"/>
                <w:lang w:val="en-GB"/>
              </w:rPr>
            </w:pPr>
          </w:p>
        </w:tc>
        <w:tc>
          <w:tcPr>
            <w:tcW w:w="1035" w:type="dxa"/>
            <w:tcMar>
              <w:top w:w="100" w:type="dxa"/>
              <w:left w:w="100" w:type="dxa"/>
              <w:bottom w:w="100" w:type="dxa"/>
              <w:right w:w="100" w:type="dxa"/>
            </w:tcMar>
          </w:tcPr>
          <w:p w14:paraId="3E78A87C">
            <w:pPr>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color w:val="000000"/>
                <w:sz w:val="24"/>
                <w:szCs w:val="24"/>
                <w:lang w:val="en-GB"/>
              </w:rPr>
            </w:pPr>
          </w:p>
        </w:tc>
      </w:tr>
      <w:tr w14:paraId="3E78A889">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100" w:type="dxa"/>
            <w:left w:w="100" w:type="dxa"/>
            <w:bottom w:w="100" w:type="dxa"/>
            <w:right w:w="100" w:type="dxa"/>
          </w:tblCellMar>
        </w:tblPrEx>
        <w:trPr>
          <w:cantSplit/>
          <w:tblHeader/>
        </w:trPr>
        <w:tc>
          <w:tcPr>
            <w:tcW w:w="1560" w:type="dxa"/>
            <w:tcMar>
              <w:top w:w="100" w:type="dxa"/>
              <w:left w:w="100" w:type="dxa"/>
              <w:bottom w:w="100" w:type="dxa"/>
              <w:right w:w="100" w:type="dxa"/>
            </w:tcMar>
          </w:tcPr>
          <w:p w14:paraId="3E78A87E">
            <w:pPr>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color w:val="000000"/>
                <w:sz w:val="24"/>
                <w:szCs w:val="24"/>
                <w:lang w:val="en-GB"/>
              </w:rPr>
            </w:pPr>
            <w:r>
              <w:rPr>
                <w:rFonts w:ascii="Times New Roman" w:hAnsi="Times New Roman" w:eastAsia="Times New Roman" w:cs="Times New Roman"/>
                <w:color w:val="000000"/>
                <w:sz w:val="24"/>
                <w:szCs w:val="24"/>
                <w:lang w:val="en-GB"/>
              </w:rPr>
              <w:t>Review and submit the copy</w:t>
            </w:r>
          </w:p>
        </w:tc>
        <w:tc>
          <w:tcPr>
            <w:tcW w:w="930" w:type="dxa"/>
            <w:tcMar>
              <w:top w:w="100" w:type="dxa"/>
              <w:left w:w="100" w:type="dxa"/>
              <w:bottom w:w="100" w:type="dxa"/>
              <w:right w:w="100" w:type="dxa"/>
            </w:tcMar>
          </w:tcPr>
          <w:p w14:paraId="3E78A87F">
            <w:pPr>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color w:val="000000"/>
                <w:sz w:val="24"/>
                <w:szCs w:val="24"/>
                <w:lang w:val="en-GB"/>
              </w:rPr>
            </w:pPr>
          </w:p>
        </w:tc>
        <w:tc>
          <w:tcPr>
            <w:tcW w:w="780" w:type="dxa"/>
            <w:tcMar>
              <w:top w:w="100" w:type="dxa"/>
              <w:left w:w="100" w:type="dxa"/>
              <w:bottom w:w="100" w:type="dxa"/>
              <w:right w:w="100" w:type="dxa"/>
            </w:tcMar>
          </w:tcPr>
          <w:p w14:paraId="3E78A880">
            <w:pPr>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color w:val="000000"/>
                <w:sz w:val="24"/>
                <w:szCs w:val="24"/>
                <w:lang w:val="en-GB"/>
              </w:rPr>
            </w:pPr>
          </w:p>
        </w:tc>
        <w:tc>
          <w:tcPr>
            <w:tcW w:w="870" w:type="dxa"/>
            <w:tcMar>
              <w:top w:w="100" w:type="dxa"/>
              <w:left w:w="100" w:type="dxa"/>
              <w:bottom w:w="100" w:type="dxa"/>
              <w:right w:w="100" w:type="dxa"/>
            </w:tcMar>
          </w:tcPr>
          <w:p w14:paraId="3E78A881">
            <w:pPr>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color w:val="000000"/>
                <w:sz w:val="24"/>
                <w:szCs w:val="24"/>
                <w:lang w:val="en-GB"/>
              </w:rPr>
            </w:pPr>
          </w:p>
        </w:tc>
        <w:tc>
          <w:tcPr>
            <w:tcW w:w="780" w:type="dxa"/>
            <w:tcMar>
              <w:top w:w="100" w:type="dxa"/>
              <w:left w:w="100" w:type="dxa"/>
              <w:bottom w:w="100" w:type="dxa"/>
              <w:right w:w="100" w:type="dxa"/>
            </w:tcMar>
          </w:tcPr>
          <w:p w14:paraId="3E78A882">
            <w:pPr>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color w:val="000000"/>
                <w:sz w:val="24"/>
                <w:szCs w:val="24"/>
                <w:lang w:val="en-GB"/>
              </w:rPr>
            </w:pPr>
          </w:p>
        </w:tc>
        <w:tc>
          <w:tcPr>
            <w:tcW w:w="840" w:type="dxa"/>
            <w:tcMar>
              <w:top w:w="100" w:type="dxa"/>
              <w:left w:w="100" w:type="dxa"/>
              <w:bottom w:w="100" w:type="dxa"/>
              <w:right w:w="100" w:type="dxa"/>
            </w:tcMar>
          </w:tcPr>
          <w:p w14:paraId="3E78A883">
            <w:pPr>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color w:val="000000"/>
                <w:sz w:val="24"/>
                <w:szCs w:val="24"/>
                <w:lang w:val="en-GB"/>
              </w:rPr>
            </w:pPr>
          </w:p>
        </w:tc>
        <w:tc>
          <w:tcPr>
            <w:tcW w:w="810" w:type="dxa"/>
            <w:tcMar>
              <w:top w:w="100" w:type="dxa"/>
              <w:left w:w="100" w:type="dxa"/>
              <w:bottom w:w="100" w:type="dxa"/>
              <w:right w:w="100" w:type="dxa"/>
            </w:tcMar>
          </w:tcPr>
          <w:p w14:paraId="3E78A884">
            <w:pPr>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color w:val="000000"/>
                <w:sz w:val="24"/>
                <w:szCs w:val="24"/>
                <w:lang w:val="en-GB"/>
              </w:rPr>
            </w:pPr>
          </w:p>
        </w:tc>
        <w:tc>
          <w:tcPr>
            <w:tcW w:w="885" w:type="dxa"/>
            <w:tcMar>
              <w:top w:w="100" w:type="dxa"/>
              <w:left w:w="100" w:type="dxa"/>
              <w:bottom w:w="100" w:type="dxa"/>
              <w:right w:w="100" w:type="dxa"/>
            </w:tcMar>
          </w:tcPr>
          <w:p w14:paraId="3E78A885">
            <w:pPr>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color w:val="000000"/>
                <w:sz w:val="24"/>
                <w:szCs w:val="24"/>
                <w:lang w:val="en-GB"/>
              </w:rPr>
            </w:pPr>
          </w:p>
        </w:tc>
        <w:tc>
          <w:tcPr>
            <w:tcW w:w="990" w:type="dxa"/>
            <w:tcMar>
              <w:top w:w="100" w:type="dxa"/>
              <w:left w:w="100" w:type="dxa"/>
              <w:bottom w:w="100" w:type="dxa"/>
              <w:right w:w="100" w:type="dxa"/>
            </w:tcMar>
          </w:tcPr>
          <w:p w14:paraId="3E78A886">
            <w:pPr>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color w:val="000000"/>
                <w:sz w:val="24"/>
                <w:szCs w:val="24"/>
                <w:lang w:val="en-GB"/>
              </w:rPr>
            </w:pPr>
          </w:p>
        </w:tc>
        <w:tc>
          <w:tcPr>
            <w:tcW w:w="945" w:type="dxa"/>
            <w:tcMar>
              <w:top w:w="100" w:type="dxa"/>
              <w:left w:w="100" w:type="dxa"/>
              <w:bottom w:w="100" w:type="dxa"/>
              <w:right w:w="100" w:type="dxa"/>
            </w:tcMar>
          </w:tcPr>
          <w:p w14:paraId="3E78A887">
            <w:pPr>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color w:val="000000"/>
                <w:sz w:val="24"/>
                <w:szCs w:val="24"/>
                <w:lang w:val="en-GB"/>
              </w:rPr>
            </w:pPr>
          </w:p>
        </w:tc>
        <w:tc>
          <w:tcPr>
            <w:tcW w:w="1035" w:type="dxa"/>
            <w:shd w:val="clear" w:color="auto" w:fill="00FF00"/>
            <w:tcMar>
              <w:top w:w="100" w:type="dxa"/>
              <w:left w:w="100" w:type="dxa"/>
              <w:bottom w:w="100" w:type="dxa"/>
              <w:right w:w="100" w:type="dxa"/>
            </w:tcMar>
          </w:tcPr>
          <w:p w14:paraId="3E78A888">
            <w:pPr>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color w:val="000000"/>
                <w:sz w:val="24"/>
                <w:szCs w:val="24"/>
                <w:lang w:val="en-GB"/>
              </w:rPr>
            </w:pPr>
          </w:p>
        </w:tc>
      </w:tr>
    </w:tbl>
    <w:p w14:paraId="3E78A88A">
      <w:pPr>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color w:val="000000"/>
          <w:sz w:val="24"/>
          <w:szCs w:val="24"/>
          <w:lang w:val="en-GB"/>
        </w:rPr>
      </w:pPr>
    </w:p>
    <w:p w14:paraId="3E78A88B">
      <w:pPr>
        <w:pStyle w:val="2"/>
        <w:spacing w:line="360" w:lineRule="auto"/>
        <w:rPr>
          <w:lang w:val="en-GB"/>
        </w:rPr>
      </w:pPr>
      <w:bookmarkStart w:id="18" w:name="_Toc234412343"/>
      <w:r>
        <w:rPr>
          <w:lang w:val="en-GB"/>
        </w:rPr>
        <w:t>7. Conclusion</w:t>
      </w:r>
      <w:bookmarkEnd w:id="18"/>
    </w:p>
    <w:p w14:paraId="3E78A88C">
      <w:pPr>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b/>
          <w:bCs/>
          <w:color w:val="000000"/>
          <w:sz w:val="24"/>
          <w:szCs w:val="24"/>
          <w:lang w:val="en-GB"/>
        </w:rPr>
      </w:pPr>
      <w:r>
        <w:rPr>
          <w:rFonts w:ascii="Times New Roman" w:hAnsi="Times New Roman" w:eastAsia="Times New Roman" w:cs="Times New Roman"/>
          <w:sz w:val="24"/>
          <w:szCs w:val="24"/>
          <w:lang w:val="en-GB"/>
        </w:rPr>
        <w:t xml:space="preserve">Discussions made above in this proposal have </w:t>
      </w:r>
      <w:r>
        <w:rPr>
          <w:rFonts w:ascii="Times New Roman" w:hAnsi="Times New Roman" w:eastAsia="Times New Roman" w:cs="Times New Roman"/>
          <w:color w:val="000000"/>
          <w:sz w:val="24"/>
          <w:szCs w:val="24"/>
          <w:lang w:val="en-GB"/>
        </w:rPr>
        <w:t>concluded a critical evaluation of HSBC's approach to scale AML and Financial Crime Risk Management. The study seeks to highlight the process of how risk-based compliance, artificial intelligence and operational practices are combined to create scalable AML frameworks in global banking. Moreover, the expected findings aim to guide the financial institutions with strategic input which could develop financial crime prevention and remain compliant to the evolving regulation in gaining the trust of their customers.</w:t>
      </w:r>
      <w:r>
        <w:rPr>
          <w:rFonts w:ascii="Times New Roman" w:hAnsi="Times New Roman" w:eastAsia="Times New Roman" w:cs="Times New Roman"/>
          <w:b/>
          <w:bCs/>
          <w:color w:val="000000"/>
          <w:sz w:val="24"/>
          <w:szCs w:val="24"/>
          <w:lang w:val="en-GB"/>
        </w:rPr>
        <w:t xml:space="preserve"> </w:t>
      </w:r>
    </w:p>
    <w:p w14:paraId="3E78A88D">
      <w:pPr>
        <w:pStyle w:val="2"/>
        <w:spacing w:line="360" w:lineRule="auto"/>
        <w:rPr>
          <w:lang w:val="en-GB"/>
        </w:rPr>
      </w:pPr>
      <w:r>
        <w:rPr>
          <w:lang w:val="en-GB"/>
        </w:rPr>
        <w:br w:type="column"/>
      </w:r>
      <w:bookmarkStart w:id="19" w:name="_Toc234412344"/>
      <w:r>
        <w:rPr>
          <w:lang w:val="en-GB"/>
        </w:rPr>
        <w:t>8. References</w:t>
      </w:r>
      <w:bookmarkEnd w:id="19"/>
    </w:p>
    <w:p w14:paraId="3E78A88E">
      <w:pPr>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color w:val="000000"/>
          <w:sz w:val="24"/>
          <w:szCs w:val="24"/>
          <w:lang w:val="en-GB"/>
        </w:rPr>
      </w:pPr>
      <w:r>
        <w:rPr>
          <w:rFonts w:ascii="Times New Roman" w:hAnsi="Times New Roman" w:eastAsia="Times New Roman" w:cs="Times New Roman"/>
          <w:color w:val="222222"/>
          <w:sz w:val="24"/>
          <w:szCs w:val="24"/>
          <w:highlight w:val="white"/>
          <w:lang w:val="en-GB"/>
        </w:rPr>
        <w:t xml:space="preserve">Ahmad, M. and Wilkins, S., (2025) Purposive sampling in qualitative research: A framework for the entire journey. </w:t>
      </w:r>
      <w:r>
        <w:rPr>
          <w:rFonts w:ascii="Times New Roman" w:hAnsi="Times New Roman" w:eastAsia="Times New Roman" w:cs="Times New Roman"/>
          <w:i/>
          <w:iCs/>
          <w:color w:val="222222"/>
          <w:sz w:val="24"/>
          <w:szCs w:val="24"/>
          <w:highlight w:val="white"/>
          <w:lang w:val="en-GB"/>
        </w:rPr>
        <w:t>Quality &amp; Quantity</w:t>
      </w:r>
      <w:r>
        <w:rPr>
          <w:rFonts w:ascii="Times New Roman" w:hAnsi="Times New Roman" w:eastAsia="Times New Roman" w:cs="Times New Roman"/>
          <w:color w:val="222222"/>
          <w:sz w:val="24"/>
          <w:szCs w:val="24"/>
          <w:highlight w:val="white"/>
          <w:lang w:val="en-GB"/>
        </w:rPr>
        <w:t xml:space="preserve">, </w:t>
      </w:r>
      <w:r>
        <w:rPr>
          <w:rFonts w:ascii="Times New Roman" w:hAnsi="Times New Roman" w:eastAsia="Times New Roman" w:cs="Times New Roman"/>
          <w:i/>
          <w:iCs/>
          <w:color w:val="222222"/>
          <w:sz w:val="24"/>
          <w:szCs w:val="24"/>
          <w:highlight w:val="white"/>
          <w:lang w:val="en-GB"/>
        </w:rPr>
        <w:t>59</w:t>
      </w:r>
      <w:r>
        <w:rPr>
          <w:rFonts w:ascii="Times New Roman" w:hAnsi="Times New Roman" w:eastAsia="Times New Roman" w:cs="Times New Roman"/>
          <w:color w:val="222222"/>
          <w:sz w:val="24"/>
          <w:szCs w:val="24"/>
          <w:highlight w:val="white"/>
          <w:lang w:val="en-GB"/>
        </w:rPr>
        <w:t>(2), pp.1461-1479.</w:t>
      </w:r>
      <w:r>
        <w:rPr>
          <w:rFonts w:ascii="Times New Roman" w:hAnsi="Times New Roman" w:eastAsia="Times New Roman" w:cs="Times New Roman"/>
          <w:color w:val="000000"/>
          <w:sz w:val="24"/>
          <w:szCs w:val="24"/>
          <w:lang w:val="en-GB"/>
        </w:rPr>
        <w:t xml:space="preserve"> </w:t>
      </w:r>
      <w:r>
        <w:fldChar w:fldCharType="begin"/>
      </w:r>
      <w:r>
        <w:instrText xml:space="preserve"> HYPERLINK "https://scholar.google.com/scholar?output=instlink&amp;q=info:R2pBli8H7AkJ:scholar.google.com/&amp;hl=en&amp;as_sdt=0,5&amp;as_ylo=2019&amp;scillfp=7814463910819561021&amp;oi=lle" \h </w:instrText>
      </w:r>
      <w:r>
        <w:fldChar w:fldCharType="separate"/>
      </w:r>
      <w:r>
        <w:rPr>
          <w:rFonts w:ascii="Times New Roman" w:hAnsi="Times New Roman" w:eastAsia="Times New Roman" w:cs="Times New Roman"/>
          <w:color w:val="1155CC"/>
          <w:sz w:val="24"/>
          <w:szCs w:val="24"/>
          <w:u w:val="single"/>
          <w:lang w:val="en-GB"/>
        </w:rPr>
        <w:t>https://scholar.google.com/scholar?output=instlink&amp;q=info:R2pBli8H7AkJ:scholar.google.com/&amp;hl=en&amp;as_sdt=0,5&amp;as_ylo=2019&amp;scillfp=7814463910819561021&amp;oi=lle</w:t>
      </w:r>
      <w:r>
        <w:rPr>
          <w:rFonts w:ascii="Times New Roman" w:hAnsi="Times New Roman" w:eastAsia="Times New Roman" w:cs="Times New Roman"/>
          <w:color w:val="1155CC"/>
          <w:sz w:val="24"/>
          <w:szCs w:val="24"/>
          <w:u w:val="single"/>
          <w:lang w:val="en-GB"/>
        </w:rPr>
        <w:fldChar w:fldCharType="end"/>
      </w:r>
    </w:p>
    <w:p w14:paraId="3E78A88F">
      <w:pPr>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color w:val="000000"/>
          <w:sz w:val="24"/>
          <w:szCs w:val="24"/>
          <w:lang w:val="en-GB"/>
        </w:rPr>
      </w:pPr>
      <w:r>
        <w:rPr>
          <w:rFonts w:ascii="Times New Roman" w:hAnsi="Times New Roman" w:eastAsia="Times New Roman" w:cs="Times New Roman"/>
          <w:color w:val="000000"/>
          <w:sz w:val="24"/>
          <w:szCs w:val="24"/>
          <w:highlight w:val="white"/>
          <w:lang w:val="en-GB"/>
        </w:rPr>
        <w:t>Aidoo, S., AML, I.D., AML, M. and Expert, F.C.C., (2025) Evaluating the Effectiveness of AML Regulations: A Critical.</w:t>
      </w:r>
      <w:r>
        <w:rPr>
          <w:rFonts w:ascii="Times New Roman" w:hAnsi="Times New Roman" w:eastAsia="Times New Roman" w:cs="Times New Roman"/>
          <w:color w:val="000000"/>
          <w:sz w:val="24"/>
          <w:szCs w:val="24"/>
          <w:lang w:val="en-GB"/>
        </w:rPr>
        <w:t xml:space="preserve"> </w:t>
      </w:r>
      <w:r>
        <w:fldChar w:fldCharType="begin"/>
      </w:r>
      <w:r>
        <w:instrText xml:space="preserve"> HYPERLINK "https://www.researchgate.net/profile/Samuel-Aidoo-2/publication/393782166_Evaluating_the_Effectiveness_of_AML_Regulations_A_Critical_Review/links/68798de4f312d71d78c81874/Evaluating-the-Effectiveness-of-AML-Regulations-A-Critical-Review.pdf" \h </w:instrText>
      </w:r>
      <w:r>
        <w:fldChar w:fldCharType="separate"/>
      </w:r>
      <w:r>
        <w:rPr>
          <w:rFonts w:ascii="Times New Roman" w:hAnsi="Times New Roman" w:eastAsia="Times New Roman" w:cs="Times New Roman"/>
          <w:color w:val="1155CC"/>
          <w:sz w:val="24"/>
          <w:szCs w:val="24"/>
          <w:u w:val="single"/>
          <w:lang w:val="en-GB"/>
        </w:rPr>
        <w:t>https://www.researchgate.net/profile/Samuel-Aidoo-2/publication/393782166_Evaluating_the_Effectiveness_of_AML_Regulations_A_Critical_Review/links/68798de4f312d71d78c81874/Evaluating-the-Effectiveness-of-AML-Regulations-A-Critical-Review.pdf</w:t>
      </w:r>
      <w:r>
        <w:rPr>
          <w:rFonts w:ascii="Times New Roman" w:hAnsi="Times New Roman" w:eastAsia="Times New Roman" w:cs="Times New Roman"/>
          <w:color w:val="1155CC"/>
          <w:sz w:val="24"/>
          <w:szCs w:val="24"/>
          <w:u w:val="single"/>
          <w:lang w:val="en-GB"/>
        </w:rPr>
        <w:fldChar w:fldCharType="end"/>
      </w:r>
    </w:p>
    <w:p w14:paraId="3E78A890">
      <w:pPr>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color w:val="000000"/>
          <w:sz w:val="24"/>
          <w:szCs w:val="24"/>
          <w:lang w:val="en-GB"/>
        </w:rPr>
      </w:pPr>
      <w:r>
        <w:rPr>
          <w:rFonts w:ascii="Times New Roman" w:hAnsi="Times New Roman" w:eastAsia="Times New Roman" w:cs="Times New Roman"/>
          <w:color w:val="222222"/>
          <w:sz w:val="24"/>
          <w:szCs w:val="24"/>
          <w:highlight w:val="white"/>
          <w:lang w:val="en-GB"/>
        </w:rPr>
        <w:t xml:space="preserve">Chowdhury, S. and Hossain, I., (2020) Methodological dilemma in microfinance research: Applicability of a qualitative case study design. </w:t>
      </w:r>
      <w:r>
        <w:rPr>
          <w:rFonts w:ascii="Times New Roman" w:hAnsi="Times New Roman" w:eastAsia="Times New Roman" w:cs="Times New Roman"/>
          <w:i/>
          <w:iCs/>
          <w:color w:val="222222"/>
          <w:sz w:val="24"/>
          <w:szCs w:val="24"/>
          <w:highlight w:val="white"/>
          <w:lang w:val="en-GB"/>
        </w:rPr>
        <w:t>The Qualitative Report</w:t>
      </w:r>
      <w:r>
        <w:rPr>
          <w:rFonts w:ascii="Times New Roman" w:hAnsi="Times New Roman" w:eastAsia="Times New Roman" w:cs="Times New Roman"/>
          <w:color w:val="222222"/>
          <w:sz w:val="24"/>
          <w:szCs w:val="24"/>
          <w:highlight w:val="white"/>
          <w:lang w:val="en-GB"/>
        </w:rPr>
        <w:t>.</w:t>
      </w:r>
      <w:r>
        <w:rPr>
          <w:rFonts w:ascii="Times New Roman" w:hAnsi="Times New Roman" w:eastAsia="Times New Roman" w:cs="Times New Roman"/>
          <w:color w:val="000000"/>
          <w:sz w:val="24"/>
          <w:szCs w:val="24"/>
          <w:lang w:val="en-GB"/>
        </w:rPr>
        <w:t xml:space="preserve"> </w:t>
      </w:r>
      <w:r>
        <w:fldChar w:fldCharType="begin"/>
      </w:r>
      <w:r>
        <w:instrText xml:space="preserve"> HYPERLINK "https://www.academia.edu/download/80355466/viewcontent.pdf" \h </w:instrText>
      </w:r>
      <w:r>
        <w:fldChar w:fldCharType="separate"/>
      </w:r>
      <w:r>
        <w:rPr>
          <w:rFonts w:ascii="Times New Roman" w:hAnsi="Times New Roman" w:eastAsia="Times New Roman" w:cs="Times New Roman"/>
          <w:color w:val="1155CC"/>
          <w:sz w:val="24"/>
          <w:szCs w:val="24"/>
          <w:u w:val="single"/>
          <w:lang w:val="en-GB"/>
        </w:rPr>
        <w:t>https://www.academia.edu/download/80355466/viewcontent.pdf</w:t>
      </w:r>
      <w:r>
        <w:rPr>
          <w:rFonts w:ascii="Times New Roman" w:hAnsi="Times New Roman" w:eastAsia="Times New Roman" w:cs="Times New Roman"/>
          <w:color w:val="1155CC"/>
          <w:sz w:val="24"/>
          <w:szCs w:val="24"/>
          <w:u w:val="single"/>
          <w:lang w:val="en-GB"/>
        </w:rPr>
        <w:fldChar w:fldCharType="end"/>
      </w:r>
    </w:p>
    <w:p w14:paraId="3E78A891">
      <w:pPr>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color w:val="000000"/>
          <w:sz w:val="24"/>
          <w:szCs w:val="24"/>
          <w:lang w:val="en-GB"/>
        </w:rPr>
      </w:pPr>
      <w:r>
        <w:rPr>
          <w:rFonts w:ascii="Times New Roman" w:hAnsi="Times New Roman" w:eastAsia="Times New Roman" w:cs="Times New Roman"/>
          <w:color w:val="000000"/>
          <w:sz w:val="24"/>
          <w:szCs w:val="24"/>
          <w:lang w:val="en-GB"/>
        </w:rPr>
        <w:t xml:space="preserve">Fintech News Switzerland (2021) </w:t>
      </w:r>
      <w:r>
        <w:rPr>
          <w:rFonts w:ascii="Times New Roman" w:hAnsi="Times New Roman" w:eastAsia="Times New Roman" w:cs="Times New Roman"/>
          <w:i/>
          <w:iCs/>
          <w:color w:val="000000"/>
          <w:sz w:val="24"/>
          <w:szCs w:val="24"/>
          <w:lang w:val="en-GB"/>
        </w:rPr>
        <w:t>Financial crime compliance at financial institutions globally reaches US$213.9 billion</w:t>
      </w:r>
      <w:r>
        <w:rPr>
          <w:rFonts w:ascii="Times New Roman" w:hAnsi="Times New Roman" w:eastAsia="Times New Roman" w:cs="Times New Roman"/>
          <w:color w:val="000000"/>
          <w:sz w:val="24"/>
          <w:szCs w:val="24"/>
          <w:lang w:val="en-GB"/>
        </w:rPr>
        <w:t>. 10 June. Available at:</w:t>
      </w:r>
      <w:r>
        <w:fldChar w:fldCharType="begin"/>
      </w:r>
      <w:r>
        <w:instrText xml:space="preserve"> HYPERLINK "https://fintechnews.ch/security/financial-crime-compliance-at-financial-institutions-globally-reaches-us213-9-billion/45956/" \h </w:instrText>
      </w:r>
      <w:r>
        <w:fldChar w:fldCharType="separate"/>
      </w:r>
      <w:r>
        <w:rPr>
          <w:rFonts w:ascii="Times New Roman" w:hAnsi="Times New Roman" w:eastAsia="Times New Roman" w:cs="Times New Roman"/>
          <w:color w:val="000000"/>
          <w:sz w:val="24"/>
          <w:szCs w:val="24"/>
          <w:lang w:val="en-GB"/>
        </w:rPr>
        <w:t xml:space="preserve"> </w:t>
      </w:r>
      <w:r>
        <w:rPr>
          <w:rFonts w:ascii="Times New Roman" w:hAnsi="Times New Roman" w:eastAsia="Times New Roman" w:cs="Times New Roman"/>
          <w:color w:val="000000"/>
          <w:sz w:val="24"/>
          <w:szCs w:val="24"/>
          <w:lang w:val="en-GB"/>
        </w:rPr>
        <w:fldChar w:fldCharType="end"/>
      </w:r>
      <w:r>
        <w:fldChar w:fldCharType="begin"/>
      </w:r>
      <w:r>
        <w:instrText xml:space="preserve"> HYPERLINK "https://fintechnews.ch/security/financial-crime-compliance-at-financial-institutions-globally-reaches-us213-9-billion/45956/" \h </w:instrText>
      </w:r>
      <w:r>
        <w:fldChar w:fldCharType="separate"/>
      </w:r>
      <w:r>
        <w:rPr>
          <w:rFonts w:ascii="Times New Roman" w:hAnsi="Times New Roman" w:eastAsia="Times New Roman" w:cs="Times New Roman"/>
          <w:color w:val="1155CC"/>
          <w:sz w:val="24"/>
          <w:szCs w:val="24"/>
          <w:u w:val="single"/>
          <w:lang w:val="en-GB"/>
        </w:rPr>
        <w:t>https://fintechnews.ch/security/financial-crime-compliance-at-financial-institutions-globally-reaches-us213-9-billion/45956/</w:t>
      </w:r>
      <w:r>
        <w:rPr>
          <w:rFonts w:ascii="Times New Roman" w:hAnsi="Times New Roman" w:eastAsia="Times New Roman" w:cs="Times New Roman"/>
          <w:color w:val="1155CC"/>
          <w:sz w:val="24"/>
          <w:szCs w:val="24"/>
          <w:u w:val="single"/>
          <w:lang w:val="en-GB"/>
        </w:rPr>
        <w:fldChar w:fldCharType="end"/>
      </w:r>
      <w:r>
        <w:rPr>
          <w:rFonts w:ascii="Times New Roman" w:hAnsi="Times New Roman" w:eastAsia="Times New Roman" w:cs="Times New Roman"/>
          <w:color w:val="000000"/>
          <w:sz w:val="24"/>
          <w:szCs w:val="24"/>
          <w:lang w:val="en-GB"/>
        </w:rPr>
        <w:t xml:space="preserve"> </w:t>
      </w:r>
    </w:p>
    <w:p w14:paraId="3E78A892">
      <w:pPr>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color w:val="000000"/>
          <w:sz w:val="24"/>
          <w:szCs w:val="24"/>
          <w:lang w:val="en-GB"/>
        </w:rPr>
      </w:pPr>
      <w:r>
        <w:rPr>
          <w:rFonts w:ascii="Times New Roman" w:hAnsi="Times New Roman" w:eastAsia="Times New Roman" w:cs="Times New Roman"/>
          <w:color w:val="000000"/>
          <w:sz w:val="24"/>
          <w:szCs w:val="24"/>
          <w:lang w:val="en-GB"/>
        </w:rPr>
        <w:t xml:space="preserve">Flagright (2025) </w:t>
      </w:r>
      <w:r>
        <w:rPr>
          <w:rFonts w:ascii="Times New Roman" w:hAnsi="Times New Roman" w:eastAsia="Times New Roman" w:cs="Times New Roman"/>
          <w:i/>
          <w:iCs/>
          <w:color w:val="000000"/>
          <w:sz w:val="24"/>
          <w:szCs w:val="24"/>
          <w:lang w:val="en-GB"/>
        </w:rPr>
        <w:t>Hidden costs of AML compliance: How to reduce risk and cut waste</w:t>
      </w:r>
      <w:r>
        <w:rPr>
          <w:rFonts w:ascii="Times New Roman" w:hAnsi="Times New Roman" w:eastAsia="Times New Roman" w:cs="Times New Roman"/>
          <w:color w:val="000000"/>
          <w:sz w:val="24"/>
          <w:szCs w:val="24"/>
          <w:lang w:val="en-GB"/>
        </w:rPr>
        <w:t>. 30 June. Available at:</w:t>
      </w:r>
      <w:r>
        <w:fldChar w:fldCharType="begin"/>
      </w:r>
      <w:r>
        <w:instrText xml:space="preserve"> HYPERLINK "https://www.flagright.com/post/overcoming-the-hidden-costs-of-aml-compliance" \h </w:instrText>
      </w:r>
      <w:r>
        <w:fldChar w:fldCharType="separate"/>
      </w:r>
      <w:r>
        <w:rPr>
          <w:rFonts w:ascii="Times New Roman" w:hAnsi="Times New Roman" w:eastAsia="Times New Roman" w:cs="Times New Roman"/>
          <w:color w:val="000000"/>
          <w:sz w:val="24"/>
          <w:szCs w:val="24"/>
          <w:lang w:val="en-GB"/>
        </w:rPr>
        <w:t xml:space="preserve"> </w:t>
      </w:r>
      <w:r>
        <w:rPr>
          <w:rFonts w:ascii="Times New Roman" w:hAnsi="Times New Roman" w:eastAsia="Times New Roman" w:cs="Times New Roman"/>
          <w:color w:val="000000"/>
          <w:sz w:val="24"/>
          <w:szCs w:val="24"/>
          <w:lang w:val="en-GB"/>
        </w:rPr>
        <w:fldChar w:fldCharType="end"/>
      </w:r>
      <w:r>
        <w:fldChar w:fldCharType="begin"/>
      </w:r>
      <w:r>
        <w:instrText xml:space="preserve"> HYPERLINK "https://www.flagright.com/post/overcoming-the-hidden-costs-of-aml-compliance" \h </w:instrText>
      </w:r>
      <w:r>
        <w:fldChar w:fldCharType="separate"/>
      </w:r>
      <w:r>
        <w:rPr>
          <w:rFonts w:ascii="Times New Roman" w:hAnsi="Times New Roman" w:eastAsia="Times New Roman" w:cs="Times New Roman"/>
          <w:color w:val="1155CC"/>
          <w:sz w:val="24"/>
          <w:szCs w:val="24"/>
          <w:u w:val="single"/>
          <w:lang w:val="en-GB"/>
        </w:rPr>
        <w:t>https://www.flagright.com/post/overcoming-the-hidden-costs-of-aml-compliance</w:t>
      </w:r>
      <w:r>
        <w:rPr>
          <w:rFonts w:ascii="Times New Roman" w:hAnsi="Times New Roman" w:eastAsia="Times New Roman" w:cs="Times New Roman"/>
          <w:color w:val="1155CC"/>
          <w:sz w:val="24"/>
          <w:szCs w:val="24"/>
          <w:u w:val="single"/>
          <w:lang w:val="en-GB"/>
        </w:rPr>
        <w:fldChar w:fldCharType="end"/>
      </w:r>
      <w:r>
        <w:rPr>
          <w:rFonts w:ascii="Times New Roman" w:hAnsi="Times New Roman" w:eastAsia="Times New Roman" w:cs="Times New Roman"/>
          <w:color w:val="000000"/>
          <w:sz w:val="24"/>
          <w:szCs w:val="24"/>
          <w:lang w:val="en-GB"/>
        </w:rPr>
        <w:t xml:space="preserve"> </w:t>
      </w:r>
    </w:p>
    <w:p w14:paraId="3E78A893">
      <w:pPr>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color w:val="000000"/>
          <w:sz w:val="24"/>
          <w:szCs w:val="24"/>
          <w:lang w:val="en-GB"/>
        </w:rPr>
      </w:pPr>
      <w:r>
        <w:rPr>
          <w:rFonts w:ascii="Times New Roman" w:hAnsi="Times New Roman" w:eastAsia="Times New Roman" w:cs="Times New Roman"/>
          <w:color w:val="000000"/>
          <w:sz w:val="24"/>
          <w:szCs w:val="24"/>
          <w:lang w:val="en-GB"/>
        </w:rPr>
        <w:t xml:space="preserve">HSBC Holdings plc (2024) </w:t>
      </w:r>
      <w:r>
        <w:rPr>
          <w:rFonts w:ascii="Times New Roman" w:hAnsi="Times New Roman" w:eastAsia="Times New Roman" w:cs="Times New Roman"/>
          <w:i/>
          <w:iCs/>
          <w:color w:val="000000"/>
          <w:sz w:val="24"/>
          <w:szCs w:val="24"/>
          <w:lang w:val="en-GB"/>
        </w:rPr>
        <w:t>Harnessing the power of AI to fight financial crime</w:t>
      </w:r>
      <w:r>
        <w:rPr>
          <w:rFonts w:ascii="Times New Roman" w:hAnsi="Times New Roman" w:eastAsia="Times New Roman" w:cs="Times New Roman"/>
          <w:color w:val="000000"/>
          <w:sz w:val="24"/>
          <w:szCs w:val="24"/>
          <w:lang w:val="en-GB"/>
        </w:rPr>
        <w:t>. 10 June. Available at:</w:t>
      </w:r>
      <w:r>
        <w:fldChar w:fldCharType="begin"/>
      </w:r>
      <w:r>
        <w:instrText xml:space="preserve"> HYPERLINK "https://www.hsbc.com/news-and-views/views/hsbc-views/harnessing-the-power-of-ai-to-fight-financial-crime?utm_source=chatgpt.com" \h </w:instrText>
      </w:r>
      <w:r>
        <w:fldChar w:fldCharType="separate"/>
      </w:r>
      <w:r>
        <w:rPr>
          <w:rFonts w:ascii="Times New Roman" w:hAnsi="Times New Roman" w:eastAsia="Times New Roman" w:cs="Times New Roman"/>
          <w:color w:val="000000"/>
          <w:sz w:val="24"/>
          <w:szCs w:val="24"/>
          <w:lang w:val="en-GB"/>
        </w:rPr>
        <w:t xml:space="preserve"> </w:t>
      </w:r>
      <w:r>
        <w:rPr>
          <w:rFonts w:ascii="Times New Roman" w:hAnsi="Times New Roman" w:eastAsia="Times New Roman" w:cs="Times New Roman"/>
          <w:color w:val="000000"/>
          <w:sz w:val="24"/>
          <w:szCs w:val="24"/>
          <w:lang w:val="en-GB"/>
        </w:rPr>
        <w:fldChar w:fldCharType="end"/>
      </w:r>
      <w:r>
        <w:fldChar w:fldCharType="begin"/>
      </w:r>
      <w:r>
        <w:instrText xml:space="preserve"> HYPERLINK "https://www.hsbc.com/news-and-views/views/hsbc-views/harnessing-the-power-of-ai-to-fight-financial-crime?utm_source=chatgpt.com" \h </w:instrText>
      </w:r>
      <w:r>
        <w:fldChar w:fldCharType="separate"/>
      </w:r>
      <w:r>
        <w:rPr>
          <w:rFonts w:ascii="Times New Roman" w:hAnsi="Times New Roman" w:eastAsia="Times New Roman" w:cs="Times New Roman"/>
          <w:color w:val="1155CC"/>
          <w:sz w:val="24"/>
          <w:szCs w:val="24"/>
          <w:u w:val="single"/>
          <w:lang w:val="en-GB"/>
        </w:rPr>
        <w:t>https://www.hsbc.com/news-and-views/views/hsbc-views/harnessing-the-power-of-ai-to-fight-financial-crime</w:t>
      </w:r>
      <w:r>
        <w:rPr>
          <w:rFonts w:ascii="Times New Roman" w:hAnsi="Times New Roman" w:eastAsia="Times New Roman" w:cs="Times New Roman"/>
          <w:color w:val="1155CC"/>
          <w:sz w:val="24"/>
          <w:szCs w:val="24"/>
          <w:u w:val="single"/>
          <w:lang w:val="en-GB"/>
        </w:rPr>
        <w:fldChar w:fldCharType="end"/>
      </w:r>
      <w:r>
        <w:rPr>
          <w:rFonts w:ascii="Times New Roman" w:hAnsi="Times New Roman" w:eastAsia="Times New Roman" w:cs="Times New Roman"/>
          <w:color w:val="000000"/>
          <w:sz w:val="24"/>
          <w:szCs w:val="24"/>
          <w:lang w:val="en-GB"/>
        </w:rPr>
        <w:t xml:space="preserve"> </w:t>
      </w:r>
    </w:p>
    <w:p w14:paraId="3E78A894">
      <w:pPr>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color w:val="000000"/>
          <w:sz w:val="24"/>
          <w:szCs w:val="24"/>
          <w:lang w:val="en-GB"/>
        </w:rPr>
      </w:pPr>
      <w:r>
        <w:rPr>
          <w:rFonts w:ascii="Times New Roman" w:hAnsi="Times New Roman" w:eastAsia="Times New Roman" w:cs="Times New Roman"/>
          <w:color w:val="000000"/>
          <w:sz w:val="24"/>
          <w:szCs w:val="24"/>
          <w:lang w:val="en-GB"/>
        </w:rPr>
        <w:t xml:space="preserve">HSBC Holdings plc (2025a) </w:t>
      </w:r>
      <w:r>
        <w:rPr>
          <w:rFonts w:ascii="Times New Roman" w:hAnsi="Times New Roman" w:eastAsia="Times New Roman" w:cs="Times New Roman"/>
          <w:i/>
          <w:iCs/>
          <w:color w:val="000000"/>
          <w:sz w:val="24"/>
          <w:szCs w:val="24"/>
          <w:lang w:val="en-GB"/>
        </w:rPr>
        <w:t>Annual results 2024: Media release</w:t>
      </w:r>
      <w:r>
        <w:rPr>
          <w:rFonts w:ascii="Times New Roman" w:hAnsi="Times New Roman" w:eastAsia="Times New Roman" w:cs="Times New Roman"/>
          <w:color w:val="000000"/>
          <w:sz w:val="24"/>
          <w:szCs w:val="24"/>
          <w:lang w:val="en-GB"/>
        </w:rPr>
        <w:t>. 19 February. Available at:</w:t>
      </w:r>
      <w:r>
        <w:fldChar w:fldCharType="begin"/>
      </w:r>
      <w:r>
        <w:instrText xml:space="preserve"> HYPERLINK "https://www.hsbc.com/-/files/hsbc/investors/hsbc-results/2024/annual/pdfs/hsbc-holdings-plc/250219-annual-results-2024-media-release.pdf" \h </w:instrText>
      </w:r>
      <w:r>
        <w:fldChar w:fldCharType="separate"/>
      </w:r>
      <w:r>
        <w:rPr>
          <w:rFonts w:ascii="Times New Roman" w:hAnsi="Times New Roman" w:eastAsia="Times New Roman" w:cs="Times New Roman"/>
          <w:color w:val="000000"/>
          <w:sz w:val="24"/>
          <w:szCs w:val="24"/>
          <w:lang w:val="en-GB"/>
        </w:rPr>
        <w:t xml:space="preserve"> </w:t>
      </w:r>
      <w:r>
        <w:rPr>
          <w:rFonts w:ascii="Times New Roman" w:hAnsi="Times New Roman" w:eastAsia="Times New Roman" w:cs="Times New Roman"/>
          <w:color w:val="000000"/>
          <w:sz w:val="24"/>
          <w:szCs w:val="24"/>
          <w:lang w:val="en-GB"/>
        </w:rPr>
        <w:fldChar w:fldCharType="end"/>
      </w:r>
      <w:r>
        <w:fldChar w:fldCharType="begin"/>
      </w:r>
      <w:r>
        <w:instrText xml:space="preserve"> HYPERLINK "https://www.hsbc.com/-/files/hsbc/investors/hsbc-results/2024/annual/pdfs/hsbc-holdings-plc/250219-annual-results-2024-media-release.pdf" \h </w:instrText>
      </w:r>
      <w:r>
        <w:fldChar w:fldCharType="separate"/>
      </w:r>
      <w:r>
        <w:rPr>
          <w:rFonts w:ascii="Times New Roman" w:hAnsi="Times New Roman" w:eastAsia="Times New Roman" w:cs="Times New Roman"/>
          <w:color w:val="1155CC"/>
          <w:sz w:val="24"/>
          <w:szCs w:val="24"/>
          <w:u w:val="single"/>
          <w:lang w:val="en-GB"/>
        </w:rPr>
        <w:t>https://www.hsbc.com/-/files/hsbc/investors/hsbc-results/2024/annual/pdfs/hsbc-holdings-plc/250219-annual-results-2024-media-release.pdf</w:t>
      </w:r>
      <w:r>
        <w:rPr>
          <w:rFonts w:ascii="Times New Roman" w:hAnsi="Times New Roman" w:eastAsia="Times New Roman" w:cs="Times New Roman"/>
          <w:color w:val="1155CC"/>
          <w:sz w:val="24"/>
          <w:szCs w:val="24"/>
          <w:u w:val="single"/>
          <w:lang w:val="en-GB"/>
        </w:rPr>
        <w:fldChar w:fldCharType="end"/>
      </w:r>
      <w:r>
        <w:rPr>
          <w:rFonts w:ascii="Times New Roman" w:hAnsi="Times New Roman" w:eastAsia="Times New Roman" w:cs="Times New Roman"/>
          <w:color w:val="000000"/>
          <w:sz w:val="24"/>
          <w:szCs w:val="24"/>
          <w:lang w:val="en-GB"/>
        </w:rPr>
        <w:t xml:space="preserve"> </w:t>
      </w:r>
    </w:p>
    <w:p w14:paraId="3E78A895">
      <w:pPr>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color w:val="000000"/>
          <w:sz w:val="24"/>
          <w:szCs w:val="24"/>
          <w:lang w:val="en-GB"/>
        </w:rPr>
      </w:pPr>
      <w:r>
        <w:rPr>
          <w:rFonts w:ascii="Times New Roman" w:hAnsi="Times New Roman" w:eastAsia="Times New Roman" w:cs="Times New Roman"/>
          <w:color w:val="000000"/>
          <w:sz w:val="24"/>
          <w:szCs w:val="24"/>
          <w:lang w:val="en-GB"/>
        </w:rPr>
        <w:t xml:space="preserve">HSBC Holdings plc (2025b) </w:t>
      </w:r>
      <w:r>
        <w:rPr>
          <w:rFonts w:ascii="Times New Roman" w:hAnsi="Times New Roman" w:eastAsia="Times New Roman" w:cs="Times New Roman"/>
          <w:i/>
          <w:iCs/>
          <w:color w:val="000000"/>
          <w:sz w:val="24"/>
          <w:szCs w:val="24"/>
          <w:lang w:val="en-GB"/>
        </w:rPr>
        <w:t>Technology | Fighting financial crime</w:t>
      </w:r>
      <w:r>
        <w:rPr>
          <w:rFonts w:ascii="Times New Roman" w:hAnsi="Times New Roman" w:eastAsia="Times New Roman" w:cs="Times New Roman"/>
          <w:color w:val="000000"/>
          <w:sz w:val="24"/>
          <w:szCs w:val="24"/>
          <w:lang w:val="en-GB"/>
        </w:rPr>
        <w:t>. Available at:</w:t>
      </w:r>
      <w:r>
        <w:fldChar w:fldCharType="begin"/>
      </w:r>
      <w:r>
        <w:instrText xml:space="preserve"> HYPERLINK "https://www.hsbc.com/who-we-are/esg-and-responsible-business/fighting-financial-crime/technology?utm_source=chatgpt.com" \h </w:instrText>
      </w:r>
      <w:r>
        <w:fldChar w:fldCharType="separate"/>
      </w:r>
      <w:r>
        <w:rPr>
          <w:rFonts w:ascii="Times New Roman" w:hAnsi="Times New Roman" w:eastAsia="Times New Roman" w:cs="Times New Roman"/>
          <w:color w:val="000000"/>
          <w:sz w:val="24"/>
          <w:szCs w:val="24"/>
          <w:lang w:val="en-GB"/>
        </w:rPr>
        <w:t xml:space="preserve"> </w:t>
      </w:r>
      <w:r>
        <w:rPr>
          <w:rFonts w:ascii="Times New Roman" w:hAnsi="Times New Roman" w:eastAsia="Times New Roman" w:cs="Times New Roman"/>
          <w:color w:val="000000"/>
          <w:sz w:val="24"/>
          <w:szCs w:val="24"/>
          <w:lang w:val="en-GB"/>
        </w:rPr>
        <w:fldChar w:fldCharType="end"/>
      </w:r>
      <w:r>
        <w:fldChar w:fldCharType="begin"/>
      </w:r>
      <w:r>
        <w:instrText xml:space="preserve"> HYPERLINK "https://www.hsbc.com/who-we-are/esg-and-responsible-business/fighting-financial-crime/technology?utm_source=chatgpt.com" \h </w:instrText>
      </w:r>
      <w:r>
        <w:fldChar w:fldCharType="separate"/>
      </w:r>
      <w:r>
        <w:rPr>
          <w:rFonts w:ascii="Times New Roman" w:hAnsi="Times New Roman" w:eastAsia="Times New Roman" w:cs="Times New Roman"/>
          <w:color w:val="1155CC"/>
          <w:sz w:val="24"/>
          <w:szCs w:val="24"/>
          <w:u w:val="single"/>
          <w:lang w:val="en-GB"/>
        </w:rPr>
        <w:t>https://www.hsbc.com/who-we-are/esg-and-responsible-business/fighting-financial-crime/technology</w:t>
      </w:r>
      <w:r>
        <w:rPr>
          <w:rFonts w:ascii="Times New Roman" w:hAnsi="Times New Roman" w:eastAsia="Times New Roman" w:cs="Times New Roman"/>
          <w:color w:val="1155CC"/>
          <w:sz w:val="24"/>
          <w:szCs w:val="24"/>
          <w:u w:val="single"/>
          <w:lang w:val="en-GB"/>
        </w:rPr>
        <w:fldChar w:fldCharType="end"/>
      </w:r>
      <w:r>
        <w:rPr>
          <w:rFonts w:ascii="Times New Roman" w:hAnsi="Times New Roman" w:eastAsia="Times New Roman" w:cs="Times New Roman"/>
          <w:color w:val="000000"/>
          <w:sz w:val="24"/>
          <w:szCs w:val="24"/>
          <w:lang w:val="en-GB"/>
        </w:rPr>
        <w:t xml:space="preserve"> </w:t>
      </w:r>
    </w:p>
    <w:p w14:paraId="3E78A896">
      <w:pPr>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color w:val="000000"/>
          <w:sz w:val="24"/>
          <w:szCs w:val="24"/>
          <w:lang w:val="en-GB"/>
        </w:rPr>
      </w:pPr>
      <w:r>
        <w:rPr>
          <w:rFonts w:ascii="Times New Roman" w:hAnsi="Times New Roman" w:eastAsia="Times New Roman" w:cs="Times New Roman"/>
          <w:color w:val="000000"/>
          <w:sz w:val="24"/>
          <w:szCs w:val="24"/>
          <w:lang w:val="en-GB"/>
        </w:rPr>
        <w:t xml:space="preserve">HSBC Holdings plc (2026) </w:t>
      </w:r>
      <w:r>
        <w:rPr>
          <w:rFonts w:ascii="Times New Roman" w:hAnsi="Times New Roman" w:eastAsia="Times New Roman" w:cs="Times New Roman"/>
          <w:i/>
          <w:iCs/>
          <w:color w:val="000000"/>
          <w:sz w:val="24"/>
          <w:szCs w:val="24"/>
          <w:lang w:val="en-GB"/>
        </w:rPr>
        <w:t>Transforming HSBC with AI</w:t>
      </w:r>
      <w:r>
        <w:rPr>
          <w:rFonts w:ascii="Times New Roman" w:hAnsi="Times New Roman" w:eastAsia="Times New Roman" w:cs="Times New Roman"/>
          <w:color w:val="000000"/>
          <w:sz w:val="24"/>
          <w:szCs w:val="24"/>
          <w:lang w:val="en-GB"/>
        </w:rPr>
        <w:t>. Available at:</w:t>
      </w:r>
      <w:r>
        <w:fldChar w:fldCharType="begin"/>
      </w:r>
      <w:r>
        <w:instrText xml:space="preserve"> HYPERLINK "https://www.hsbc.com/who-we-are/hsbc-and-digital/hsbc-and-ai/transforming-hsbc-with-ai" \h </w:instrText>
      </w:r>
      <w:r>
        <w:fldChar w:fldCharType="separate"/>
      </w:r>
      <w:r>
        <w:rPr>
          <w:rFonts w:ascii="Times New Roman" w:hAnsi="Times New Roman" w:eastAsia="Times New Roman" w:cs="Times New Roman"/>
          <w:color w:val="000000"/>
          <w:sz w:val="24"/>
          <w:szCs w:val="24"/>
          <w:lang w:val="en-GB"/>
        </w:rPr>
        <w:t xml:space="preserve"> </w:t>
      </w:r>
      <w:r>
        <w:rPr>
          <w:rFonts w:ascii="Times New Roman" w:hAnsi="Times New Roman" w:eastAsia="Times New Roman" w:cs="Times New Roman"/>
          <w:color w:val="000000"/>
          <w:sz w:val="24"/>
          <w:szCs w:val="24"/>
          <w:lang w:val="en-GB"/>
        </w:rPr>
        <w:fldChar w:fldCharType="end"/>
      </w:r>
      <w:r>
        <w:fldChar w:fldCharType="begin"/>
      </w:r>
      <w:r>
        <w:instrText xml:space="preserve"> HYPERLINK "https://www.hsbc.com/who-we-are/hsbc-and-digital/hsbc-and-ai/transforming-hsbc-with-ai" \h </w:instrText>
      </w:r>
      <w:r>
        <w:fldChar w:fldCharType="separate"/>
      </w:r>
      <w:r>
        <w:rPr>
          <w:rFonts w:ascii="Times New Roman" w:hAnsi="Times New Roman" w:eastAsia="Times New Roman" w:cs="Times New Roman"/>
          <w:color w:val="1155CC"/>
          <w:sz w:val="24"/>
          <w:szCs w:val="24"/>
          <w:u w:val="single"/>
          <w:lang w:val="en-GB"/>
        </w:rPr>
        <w:t>https://www.hsbc.com/who-we-are/hsbc-and-digital/hsbc-and-ai/transforming-hsbc-with-ai</w:t>
      </w:r>
      <w:r>
        <w:rPr>
          <w:rFonts w:ascii="Times New Roman" w:hAnsi="Times New Roman" w:eastAsia="Times New Roman" w:cs="Times New Roman"/>
          <w:color w:val="1155CC"/>
          <w:sz w:val="24"/>
          <w:szCs w:val="24"/>
          <w:u w:val="single"/>
          <w:lang w:val="en-GB"/>
        </w:rPr>
        <w:fldChar w:fldCharType="end"/>
      </w:r>
      <w:r>
        <w:rPr>
          <w:rFonts w:ascii="Times New Roman" w:hAnsi="Times New Roman" w:eastAsia="Times New Roman" w:cs="Times New Roman"/>
          <w:color w:val="000000"/>
          <w:sz w:val="24"/>
          <w:szCs w:val="24"/>
          <w:lang w:val="en-GB"/>
        </w:rPr>
        <w:t xml:space="preserve"> </w:t>
      </w:r>
    </w:p>
    <w:p w14:paraId="3E78A897">
      <w:pPr>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color w:val="000000"/>
          <w:sz w:val="24"/>
          <w:szCs w:val="24"/>
          <w:lang w:val="en-GB"/>
        </w:rPr>
      </w:pPr>
      <w:r>
        <w:rPr>
          <w:rFonts w:ascii="Times New Roman" w:hAnsi="Times New Roman" w:eastAsia="Times New Roman" w:cs="Times New Roman"/>
          <w:color w:val="222222"/>
          <w:sz w:val="24"/>
          <w:szCs w:val="24"/>
          <w:highlight w:val="white"/>
          <w:lang w:val="en-GB"/>
        </w:rPr>
        <w:t xml:space="preserve">Junjie, M. and Yingxin, M., (2022) The Discussions of Positivism and Interpretivism. </w:t>
      </w:r>
      <w:r>
        <w:rPr>
          <w:rFonts w:ascii="Times New Roman" w:hAnsi="Times New Roman" w:eastAsia="Times New Roman" w:cs="Times New Roman"/>
          <w:i/>
          <w:iCs/>
          <w:color w:val="222222"/>
          <w:sz w:val="24"/>
          <w:szCs w:val="24"/>
          <w:highlight w:val="white"/>
          <w:lang w:val="en-GB"/>
        </w:rPr>
        <w:t>Online Submission</w:t>
      </w:r>
      <w:r>
        <w:rPr>
          <w:rFonts w:ascii="Times New Roman" w:hAnsi="Times New Roman" w:eastAsia="Times New Roman" w:cs="Times New Roman"/>
          <w:color w:val="222222"/>
          <w:sz w:val="24"/>
          <w:szCs w:val="24"/>
          <w:highlight w:val="white"/>
          <w:lang w:val="en-GB"/>
        </w:rPr>
        <w:t xml:space="preserve">, </w:t>
      </w:r>
      <w:r>
        <w:rPr>
          <w:rFonts w:ascii="Times New Roman" w:hAnsi="Times New Roman" w:eastAsia="Times New Roman" w:cs="Times New Roman"/>
          <w:i/>
          <w:iCs/>
          <w:color w:val="222222"/>
          <w:sz w:val="24"/>
          <w:szCs w:val="24"/>
          <w:highlight w:val="white"/>
          <w:lang w:val="en-GB"/>
        </w:rPr>
        <w:t>4</w:t>
      </w:r>
      <w:r>
        <w:rPr>
          <w:rFonts w:ascii="Times New Roman" w:hAnsi="Times New Roman" w:eastAsia="Times New Roman" w:cs="Times New Roman"/>
          <w:color w:val="222222"/>
          <w:sz w:val="24"/>
          <w:szCs w:val="24"/>
          <w:highlight w:val="white"/>
          <w:lang w:val="en-GB"/>
        </w:rPr>
        <w:t>(1), pp.10-14.</w:t>
      </w:r>
      <w:r>
        <w:rPr>
          <w:rFonts w:ascii="Times New Roman" w:hAnsi="Times New Roman" w:eastAsia="Times New Roman" w:cs="Times New Roman"/>
          <w:color w:val="000000"/>
          <w:sz w:val="24"/>
          <w:szCs w:val="24"/>
          <w:lang w:val="en-GB"/>
        </w:rPr>
        <w:t xml:space="preserve"> </w:t>
      </w:r>
      <w:r>
        <w:fldChar w:fldCharType="begin"/>
      </w:r>
      <w:r>
        <w:instrText xml:space="preserve"> HYPERLINK "https://files.eric.ed.gov/fulltext/ED619359.pdf" \h </w:instrText>
      </w:r>
      <w:r>
        <w:fldChar w:fldCharType="separate"/>
      </w:r>
      <w:r>
        <w:rPr>
          <w:rFonts w:ascii="Times New Roman" w:hAnsi="Times New Roman" w:eastAsia="Times New Roman" w:cs="Times New Roman"/>
          <w:color w:val="1155CC"/>
          <w:sz w:val="24"/>
          <w:szCs w:val="24"/>
          <w:u w:val="single"/>
          <w:lang w:val="en-GB"/>
        </w:rPr>
        <w:t>https://files.eric.ed.gov/fulltext/ED619359.pdf</w:t>
      </w:r>
      <w:r>
        <w:rPr>
          <w:rFonts w:ascii="Times New Roman" w:hAnsi="Times New Roman" w:eastAsia="Times New Roman" w:cs="Times New Roman"/>
          <w:color w:val="1155CC"/>
          <w:sz w:val="24"/>
          <w:szCs w:val="24"/>
          <w:u w:val="single"/>
          <w:lang w:val="en-GB"/>
        </w:rPr>
        <w:fldChar w:fldCharType="end"/>
      </w:r>
    </w:p>
    <w:p w14:paraId="3E78A898">
      <w:pPr>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color w:val="000000"/>
          <w:sz w:val="24"/>
          <w:szCs w:val="24"/>
          <w:lang w:val="en-GB"/>
        </w:rPr>
      </w:pPr>
      <w:r>
        <w:rPr>
          <w:rFonts w:ascii="Times New Roman" w:hAnsi="Times New Roman" w:eastAsia="Times New Roman" w:cs="Times New Roman"/>
          <w:color w:val="222222"/>
          <w:sz w:val="24"/>
          <w:szCs w:val="24"/>
          <w:highlight w:val="white"/>
          <w:lang w:val="en-GB"/>
        </w:rPr>
        <w:t xml:space="preserve">Muonagolu, T. (2025). Unravelling the Persistence of Money Laundering in UK Banks despite Regulatory Reforms: A Critical Evaluation of Key UK Anti-Money Laundering Obligations, Bank Compliance Practices, and the Potential Role of Artificial Intelligence in Shaping Compliance within a Rapidly Evolving Technological Landscape. </w:t>
      </w:r>
      <w:r>
        <w:rPr>
          <w:rFonts w:ascii="Times New Roman" w:hAnsi="Times New Roman" w:eastAsia="Times New Roman" w:cs="Times New Roman"/>
          <w:i/>
          <w:iCs/>
          <w:color w:val="222222"/>
          <w:sz w:val="24"/>
          <w:szCs w:val="24"/>
          <w:highlight w:val="white"/>
          <w:lang w:val="en-GB"/>
        </w:rPr>
        <w:t>Bank Compliance Practices, and the Potential Role of Artificial Intelligence in Shaping Compliance within a Rapidly Evolving Technological Landscape (September 05, 2025)</w:t>
      </w:r>
      <w:r>
        <w:rPr>
          <w:rFonts w:ascii="Times New Roman" w:hAnsi="Times New Roman" w:eastAsia="Times New Roman" w:cs="Times New Roman"/>
          <w:color w:val="222222"/>
          <w:sz w:val="24"/>
          <w:szCs w:val="24"/>
          <w:highlight w:val="white"/>
          <w:lang w:val="en-GB"/>
        </w:rPr>
        <w:t>.</w:t>
      </w:r>
      <w:r>
        <w:rPr>
          <w:rFonts w:ascii="Times New Roman" w:hAnsi="Times New Roman" w:eastAsia="Times New Roman" w:cs="Times New Roman"/>
          <w:color w:val="000000"/>
          <w:sz w:val="24"/>
          <w:szCs w:val="24"/>
          <w:lang w:val="en-GB"/>
        </w:rPr>
        <w:t xml:space="preserve"> </w:t>
      </w:r>
      <w:r>
        <w:fldChar w:fldCharType="begin"/>
      </w:r>
      <w:r>
        <w:instrText xml:space="preserve"> HYPERLINK "https://papers.ssrn.com/sol3/Delivery.cfm?abstractid=6130406" \h </w:instrText>
      </w:r>
      <w:r>
        <w:fldChar w:fldCharType="separate"/>
      </w:r>
      <w:r>
        <w:rPr>
          <w:rFonts w:ascii="Times New Roman" w:hAnsi="Times New Roman" w:eastAsia="Times New Roman" w:cs="Times New Roman"/>
          <w:color w:val="1155CC"/>
          <w:sz w:val="24"/>
          <w:szCs w:val="24"/>
          <w:u w:val="single"/>
          <w:lang w:val="en-GB"/>
        </w:rPr>
        <w:t>https://papers.ssrn.com/sol3/Delivery.cfm?abstractid=6130406</w:t>
      </w:r>
      <w:r>
        <w:rPr>
          <w:rFonts w:ascii="Times New Roman" w:hAnsi="Times New Roman" w:eastAsia="Times New Roman" w:cs="Times New Roman"/>
          <w:color w:val="1155CC"/>
          <w:sz w:val="24"/>
          <w:szCs w:val="24"/>
          <w:u w:val="single"/>
          <w:lang w:val="en-GB"/>
        </w:rPr>
        <w:fldChar w:fldCharType="end"/>
      </w:r>
    </w:p>
    <w:p w14:paraId="3E78A899">
      <w:pPr>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color w:val="000000"/>
          <w:sz w:val="24"/>
          <w:szCs w:val="24"/>
          <w:lang w:val="en-GB"/>
        </w:rPr>
      </w:pPr>
      <w:r>
        <w:rPr>
          <w:rFonts w:ascii="Times New Roman" w:hAnsi="Times New Roman" w:eastAsia="Times New Roman" w:cs="Times New Roman"/>
          <w:color w:val="222222"/>
          <w:sz w:val="24"/>
          <w:szCs w:val="24"/>
          <w:highlight w:val="white"/>
          <w:lang w:val="en-GB"/>
        </w:rPr>
        <w:t xml:space="preserve">Plevris, V., (2025) From integrity to inflation: Ethical and unethical citation practices in academic publishing. </w:t>
      </w:r>
      <w:r>
        <w:rPr>
          <w:rFonts w:ascii="Times New Roman" w:hAnsi="Times New Roman" w:eastAsia="Times New Roman" w:cs="Times New Roman"/>
          <w:i/>
          <w:iCs/>
          <w:color w:val="222222"/>
          <w:sz w:val="24"/>
          <w:szCs w:val="24"/>
          <w:highlight w:val="white"/>
          <w:lang w:val="en-GB"/>
        </w:rPr>
        <w:t>Journal of Academic Ethics</w:t>
      </w:r>
      <w:r>
        <w:rPr>
          <w:rFonts w:ascii="Times New Roman" w:hAnsi="Times New Roman" w:eastAsia="Times New Roman" w:cs="Times New Roman"/>
          <w:color w:val="222222"/>
          <w:sz w:val="24"/>
          <w:szCs w:val="24"/>
          <w:highlight w:val="white"/>
          <w:lang w:val="en-GB"/>
        </w:rPr>
        <w:t xml:space="preserve">, </w:t>
      </w:r>
      <w:r>
        <w:rPr>
          <w:rFonts w:ascii="Times New Roman" w:hAnsi="Times New Roman" w:eastAsia="Times New Roman" w:cs="Times New Roman"/>
          <w:i/>
          <w:iCs/>
          <w:color w:val="222222"/>
          <w:sz w:val="24"/>
          <w:szCs w:val="24"/>
          <w:highlight w:val="white"/>
          <w:lang w:val="en-GB"/>
        </w:rPr>
        <w:t>23</w:t>
      </w:r>
      <w:r>
        <w:rPr>
          <w:rFonts w:ascii="Times New Roman" w:hAnsi="Times New Roman" w:eastAsia="Times New Roman" w:cs="Times New Roman"/>
          <w:color w:val="222222"/>
          <w:sz w:val="24"/>
          <w:szCs w:val="24"/>
          <w:highlight w:val="white"/>
          <w:lang w:val="en-GB"/>
        </w:rPr>
        <w:t>(4), pp.1847-1877.</w:t>
      </w:r>
      <w:r>
        <w:rPr>
          <w:rFonts w:ascii="Times New Roman" w:hAnsi="Times New Roman" w:eastAsia="Times New Roman" w:cs="Times New Roman"/>
          <w:color w:val="000000"/>
          <w:sz w:val="24"/>
          <w:szCs w:val="24"/>
          <w:lang w:val="en-GB"/>
        </w:rPr>
        <w:t xml:space="preserve"> </w:t>
      </w:r>
      <w:r>
        <w:fldChar w:fldCharType="begin"/>
      </w:r>
      <w:r>
        <w:instrText xml:space="preserve"> HYPERLINK "https://link.springer.com/content/pdf/10.1007/s10805-025-09631-1.pdf" \h </w:instrText>
      </w:r>
      <w:r>
        <w:fldChar w:fldCharType="separate"/>
      </w:r>
      <w:r>
        <w:rPr>
          <w:rFonts w:ascii="Times New Roman" w:hAnsi="Times New Roman" w:eastAsia="Times New Roman" w:cs="Times New Roman"/>
          <w:color w:val="1155CC"/>
          <w:sz w:val="24"/>
          <w:szCs w:val="24"/>
          <w:u w:val="single"/>
          <w:lang w:val="en-GB"/>
        </w:rPr>
        <w:t>https://link.springer.com/content/pdf/10.1007/s10805-025-09631-1.pdf</w:t>
      </w:r>
      <w:r>
        <w:rPr>
          <w:rFonts w:ascii="Times New Roman" w:hAnsi="Times New Roman" w:eastAsia="Times New Roman" w:cs="Times New Roman"/>
          <w:color w:val="1155CC"/>
          <w:sz w:val="24"/>
          <w:szCs w:val="24"/>
          <w:u w:val="single"/>
          <w:lang w:val="en-GB"/>
        </w:rPr>
        <w:fldChar w:fldCharType="end"/>
      </w:r>
    </w:p>
    <w:p w14:paraId="3E78A89A">
      <w:pPr>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color w:val="000000"/>
          <w:sz w:val="24"/>
          <w:szCs w:val="24"/>
          <w:lang w:val="en-GB"/>
        </w:rPr>
      </w:pPr>
      <w:r>
        <w:rPr>
          <w:rFonts w:ascii="Times New Roman" w:hAnsi="Times New Roman" w:eastAsia="Times New Roman" w:cs="Times New Roman"/>
          <w:color w:val="222222"/>
          <w:sz w:val="24"/>
          <w:szCs w:val="24"/>
          <w:highlight w:val="white"/>
          <w:lang w:val="en-GB"/>
        </w:rPr>
        <w:t xml:space="preserve">Ridzuan, N.N., Masri, M., Anshari, M., Fitriyani, N.L. and Syafrudin, M., (2024) AI in the financial sector: The line between innovation, regulation and ethical responsibility. </w:t>
      </w:r>
      <w:r>
        <w:rPr>
          <w:rFonts w:ascii="Times New Roman" w:hAnsi="Times New Roman" w:eastAsia="Times New Roman" w:cs="Times New Roman"/>
          <w:i/>
          <w:iCs/>
          <w:color w:val="222222"/>
          <w:sz w:val="24"/>
          <w:szCs w:val="24"/>
          <w:highlight w:val="white"/>
          <w:lang w:val="en-GB"/>
        </w:rPr>
        <w:t>Information</w:t>
      </w:r>
      <w:r>
        <w:rPr>
          <w:rFonts w:ascii="Times New Roman" w:hAnsi="Times New Roman" w:eastAsia="Times New Roman" w:cs="Times New Roman"/>
          <w:color w:val="222222"/>
          <w:sz w:val="24"/>
          <w:szCs w:val="24"/>
          <w:highlight w:val="white"/>
          <w:lang w:val="en-GB"/>
        </w:rPr>
        <w:t xml:space="preserve">, </w:t>
      </w:r>
      <w:r>
        <w:rPr>
          <w:rFonts w:ascii="Times New Roman" w:hAnsi="Times New Roman" w:eastAsia="Times New Roman" w:cs="Times New Roman"/>
          <w:i/>
          <w:iCs/>
          <w:color w:val="222222"/>
          <w:sz w:val="24"/>
          <w:szCs w:val="24"/>
          <w:highlight w:val="white"/>
          <w:lang w:val="en-GB"/>
        </w:rPr>
        <w:t>15</w:t>
      </w:r>
      <w:r>
        <w:rPr>
          <w:rFonts w:ascii="Times New Roman" w:hAnsi="Times New Roman" w:eastAsia="Times New Roman" w:cs="Times New Roman"/>
          <w:color w:val="222222"/>
          <w:sz w:val="24"/>
          <w:szCs w:val="24"/>
          <w:highlight w:val="white"/>
          <w:lang w:val="en-GB"/>
        </w:rPr>
        <w:t>(8), p.432.</w:t>
      </w:r>
      <w:r>
        <w:rPr>
          <w:rFonts w:ascii="Times New Roman" w:hAnsi="Times New Roman" w:eastAsia="Times New Roman" w:cs="Times New Roman"/>
          <w:color w:val="000000"/>
          <w:sz w:val="24"/>
          <w:szCs w:val="24"/>
          <w:lang w:val="en-GB"/>
        </w:rPr>
        <w:t xml:space="preserve"> </w:t>
      </w:r>
      <w:r>
        <w:fldChar w:fldCharType="begin"/>
      </w:r>
      <w:r>
        <w:instrText xml:space="preserve"> HYPERLINK "https://www.mdpi.com/2078-2489/15/8/432" \h </w:instrText>
      </w:r>
      <w:r>
        <w:fldChar w:fldCharType="separate"/>
      </w:r>
      <w:r>
        <w:rPr>
          <w:rFonts w:ascii="Times New Roman" w:hAnsi="Times New Roman" w:eastAsia="Times New Roman" w:cs="Times New Roman"/>
          <w:color w:val="1155CC"/>
          <w:sz w:val="24"/>
          <w:szCs w:val="24"/>
          <w:u w:val="single"/>
          <w:lang w:val="en-GB"/>
        </w:rPr>
        <w:t>https://www.mdpi.com/2078-2489/15/8/432</w:t>
      </w:r>
      <w:r>
        <w:rPr>
          <w:rFonts w:ascii="Times New Roman" w:hAnsi="Times New Roman" w:eastAsia="Times New Roman" w:cs="Times New Roman"/>
          <w:color w:val="1155CC"/>
          <w:sz w:val="24"/>
          <w:szCs w:val="24"/>
          <w:u w:val="single"/>
          <w:lang w:val="en-GB"/>
        </w:rPr>
        <w:fldChar w:fldCharType="end"/>
      </w:r>
    </w:p>
    <w:p w14:paraId="3E78A89B">
      <w:pPr>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color w:val="000000"/>
          <w:sz w:val="24"/>
          <w:szCs w:val="24"/>
          <w:lang w:val="en-GB"/>
        </w:rPr>
      </w:pPr>
      <w:r>
        <w:rPr>
          <w:rFonts w:ascii="Times New Roman" w:hAnsi="Times New Roman" w:eastAsia="Times New Roman" w:cs="Times New Roman"/>
          <w:color w:val="222222"/>
          <w:sz w:val="24"/>
          <w:szCs w:val="24"/>
          <w:highlight w:val="white"/>
          <w:lang w:val="en-GB"/>
        </w:rPr>
        <w:t xml:space="preserve">Shirvanporzour, A., (2025) Artificial Intelligence in Banking Risk Management and Anti-Money Laundering: A Comprehensive Review. </w:t>
      </w:r>
      <w:r>
        <w:rPr>
          <w:rFonts w:ascii="Times New Roman" w:hAnsi="Times New Roman" w:eastAsia="Times New Roman" w:cs="Times New Roman"/>
          <w:i/>
          <w:iCs/>
          <w:color w:val="222222"/>
          <w:sz w:val="24"/>
          <w:szCs w:val="24"/>
          <w:highlight w:val="white"/>
          <w:lang w:val="en-GB"/>
        </w:rPr>
        <w:t>Available at SSRN 5161209</w:t>
      </w:r>
      <w:r>
        <w:rPr>
          <w:rFonts w:ascii="Times New Roman" w:hAnsi="Times New Roman" w:eastAsia="Times New Roman" w:cs="Times New Roman"/>
          <w:color w:val="222222"/>
          <w:sz w:val="24"/>
          <w:szCs w:val="24"/>
          <w:highlight w:val="white"/>
          <w:lang w:val="en-GB"/>
        </w:rPr>
        <w:t>.</w:t>
      </w:r>
      <w:r>
        <w:rPr>
          <w:rFonts w:ascii="Times New Roman" w:hAnsi="Times New Roman" w:eastAsia="Times New Roman" w:cs="Times New Roman"/>
          <w:color w:val="000000"/>
          <w:sz w:val="24"/>
          <w:szCs w:val="24"/>
          <w:lang w:val="en-GB"/>
        </w:rPr>
        <w:t xml:space="preserve"> </w:t>
      </w:r>
      <w:r>
        <w:fldChar w:fldCharType="begin"/>
      </w:r>
      <w:r>
        <w:instrText xml:space="preserve"> HYPERLINK "https://papers.ssrn.com/sol3/Delivery.cfm?abstractid=5161209" \h </w:instrText>
      </w:r>
      <w:r>
        <w:fldChar w:fldCharType="separate"/>
      </w:r>
      <w:r>
        <w:rPr>
          <w:rFonts w:ascii="Times New Roman" w:hAnsi="Times New Roman" w:eastAsia="Times New Roman" w:cs="Times New Roman"/>
          <w:color w:val="1155CC"/>
          <w:sz w:val="24"/>
          <w:szCs w:val="24"/>
          <w:u w:val="single"/>
          <w:lang w:val="en-GB"/>
        </w:rPr>
        <w:t>https://papers.ssrn.com/sol3/Delivery.cfm?abstractid=5161209</w:t>
      </w:r>
      <w:r>
        <w:rPr>
          <w:rFonts w:ascii="Times New Roman" w:hAnsi="Times New Roman" w:eastAsia="Times New Roman" w:cs="Times New Roman"/>
          <w:color w:val="1155CC"/>
          <w:sz w:val="24"/>
          <w:szCs w:val="24"/>
          <w:u w:val="single"/>
          <w:lang w:val="en-GB"/>
        </w:rPr>
        <w:fldChar w:fldCharType="end"/>
      </w:r>
    </w:p>
    <w:p w14:paraId="3E78A89C">
      <w:pPr>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color w:val="000000"/>
          <w:sz w:val="24"/>
          <w:szCs w:val="24"/>
          <w:lang w:val="en-GB"/>
        </w:rPr>
      </w:pPr>
      <w:r>
        <w:rPr>
          <w:rFonts w:ascii="Times New Roman" w:hAnsi="Times New Roman" w:eastAsia="Times New Roman" w:cs="Times New Roman"/>
          <w:color w:val="222222"/>
          <w:sz w:val="24"/>
          <w:szCs w:val="24"/>
          <w:highlight w:val="white"/>
          <w:lang w:val="en-GB"/>
        </w:rPr>
        <w:t xml:space="preserve">Tiamiyu, O.R. and Ndibe, O.S., (2024) From Compliance Burden to Enforcement Precision: AI Strategies for Reducing False Positives in Anti-Money Laundering Systems. </w:t>
      </w:r>
      <w:r>
        <w:rPr>
          <w:rFonts w:ascii="Times New Roman" w:hAnsi="Times New Roman" w:eastAsia="Times New Roman" w:cs="Times New Roman"/>
          <w:i/>
          <w:iCs/>
          <w:color w:val="222222"/>
          <w:sz w:val="24"/>
          <w:szCs w:val="24"/>
          <w:highlight w:val="white"/>
          <w:lang w:val="en-GB"/>
        </w:rPr>
        <w:t>International Journal of Scientific Research in Science, Engineering and Technology</w:t>
      </w:r>
      <w:r>
        <w:rPr>
          <w:rFonts w:ascii="Times New Roman" w:hAnsi="Times New Roman" w:eastAsia="Times New Roman" w:cs="Times New Roman"/>
          <w:color w:val="222222"/>
          <w:sz w:val="24"/>
          <w:szCs w:val="24"/>
          <w:highlight w:val="white"/>
          <w:lang w:val="en-GB"/>
        </w:rPr>
        <w:t xml:space="preserve">, </w:t>
      </w:r>
      <w:r>
        <w:rPr>
          <w:rFonts w:ascii="Times New Roman" w:hAnsi="Times New Roman" w:eastAsia="Times New Roman" w:cs="Times New Roman"/>
          <w:i/>
          <w:iCs/>
          <w:color w:val="222222"/>
          <w:sz w:val="24"/>
          <w:szCs w:val="24"/>
          <w:highlight w:val="white"/>
          <w:lang w:val="en-GB"/>
        </w:rPr>
        <w:t>11</w:t>
      </w:r>
      <w:r>
        <w:rPr>
          <w:rFonts w:ascii="Times New Roman" w:hAnsi="Times New Roman" w:eastAsia="Times New Roman" w:cs="Times New Roman"/>
          <w:color w:val="222222"/>
          <w:sz w:val="24"/>
          <w:szCs w:val="24"/>
          <w:highlight w:val="white"/>
          <w:lang w:val="en-GB"/>
        </w:rPr>
        <w:t>(5), pp.421-433.</w:t>
      </w:r>
      <w:r>
        <w:rPr>
          <w:rFonts w:ascii="Times New Roman" w:hAnsi="Times New Roman" w:eastAsia="Times New Roman" w:cs="Times New Roman"/>
          <w:color w:val="000000"/>
          <w:sz w:val="24"/>
          <w:szCs w:val="24"/>
          <w:lang w:val="en-GB"/>
        </w:rPr>
        <w:t xml:space="preserve"> </w:t>
      </w:r>
      <w:r>
        <w:fldChar w:fldCharType="begin"/>
      </w:r>
      <w:r>
        <w:instrText xml:space="preserve"> HYPERLINK "https://www.researchgate.net/profile/Susan-Ndibe/publication/397352228_From_Compliance_Burden_to_Enforcement_Precision_AI_Strategies_for_Reducing_False_Positives_in_Anti-Money_Laundering_Systems/links/690cf7aac900be105cbfdb7d/From-Compliance-Burden-to-Enforcement-Precision-AI-Strategies-for-Reducing-False-Positives-in-Anti-Money-Laundering-Systems.pdf" \h </w:instrText>
      </w:r>
      <w:r>
        <w:fldChar w:fldCharType="separate"/>
      </w:r>
      <w:r>
        <w:rPr>
          <w:rFonts w:ascii="Times New Roman" w:hAnsi="Times New Roman" w:eastAsia="Times New Roman" w:cs="Times New Roman"/>
          <w:color w:val="1155CC"/>
          <w:sz w:val="24"/>
          <w:szCs w:val="24"/>
          <w:u w:val="single"/>
          <w:lang w:val="en-GB"/>
        </w:rPr>
        <w:t>https://www.researchgate.net/profile/Susan-Ndibe/publication/397352228_From_Compliance_Burden_to_Enforcement_Precision_AI_Strategies_for_Reducing_False_Positives_in_Anti-Money_Laundering_Systems/links/690cf7aac900be105cbfdb7d/From-Compliance-Burden-to-Enforcement-Precision-AI-Strategies-for-Reducing-False-Positives-in-Anti-Money-Laundering-Systems.pdf</w:t>
      </w:r>
      <w:r>
        <w:rPr>
          <w:rFonts w:ascii="Times New Roman" w:hAnsi="Times New Roman" w:eastAsia="Times New Roman" w:cs="Times New Roman"/>
          <w:color w:val="1155CC"/>
          <w:sz w:val="24"/>
          <w:szCs w:val="24"/>
          <w:u w:val="single"/>
          <w:lang w:val="en-GB"/>
        </w:rPr>
        <w:fldChar w:fldCharType="end"/>
      </w:r>
    </w:p>
    <w:p w14:paraId="3E78A89D">
      <w:pPr>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color w:val="000000"/>
          <w:sz w:val="24"/>
          <w:szCs w:val="24"/>
          <w:lang w:val="en-GB"/>
        </w:rPr>
      </w:pPr>
      <w:r>
        <w:rPr>
          <w:rFonts w:ascii="Times New Roman" w:hAnsi="Times New Roman" w:eastAsia="Times New Roman" w:cs="Times New Roman"/>
          <w:color w:val="000000"/>
          <w:sz w:val="24"/>
          <w:szCs w:val="24"/>
          <w:lang w:val="en-GB"/>
        </w:rPr>
        <w:t xml:space="preserve">United Nations Office on Drugs and Crime (UNODC) (2026) </w:t>
      </w:r>
      <w:r>
        <w:rPr>
          <w:rFonts w:ascii="Times New Roman" w:hAnsi="Times New Roman" w:eastAsia="Times New Roman" w:cs="Times New Roman"/>
          <w:i/>
          <w:iCs/>
          <w:color w:val="000000"/>
          <w:sz w:val="24"/>
          <w:szCs w:val="24"/>
          <w:lang w:val="en-GB"/>
        </w:rPr>
        <w:t>Money laundering: Overview</w:t>
      </w:r>
      <w:r>
        <w:rPr>
          <w:rFonts w:ascii="Times New Roman" w:hAnsi="Times New Roman" w:eastAsia="Times New Roman" w:cs="Times New Roman"/>
          <w:color w:val="000000"/>
          <w:sz w:val="24"/>
          <w:szCs w:val="24"/>
          <w:lang w:val="en-GB"/>
        </w:rPr>
        <w:t>. Available at:</w:t>
      </w:r>
      <w:r>
        <w:fldChar w:fldCharType="begin"/>
      </w:r>
      <w:r>
        <w:instrText xml:space="preserve"> HYPERLINK "https://www.unodc.org/unodc/en/money-laundering/overview.html" \h </w:instrText>
      </w:r>
      <w:r>
        <w:fldChar w:fldCharType="separate"/>
      </w:r>
      <w:r>
        <w:rPr>
          <w:rFonts w:ascii="Times New Roman" w:hAnsi="Times New Roman" w:eastAsia="Times New Roman" w:cs="Times New Roman"/>
          <w:color w:val="000000"/>
          <w:sz w:val="24"/>
          <w:szCs w:val="24"/>
          <w:lang w:val="en-GB"/>
        </w:rPr>
        <w:t xml:space="preserve"> </w:t>
      </w:r>
      <w:r>
        <w:rPr>
          <w:rFonts w:ascii="Times New Roman" w:hAnsi="Times New Roman" w:eastAsia="Times New Roman" w:cs="Times New Roman"/>
          <w:color w:val="000000"/>
          <w:sz w:val="24"/>
          <w:szCs w:val="24"/>
          <w:lang w:val="en-GB"/>
        </w:rPr>
        <w:fldChar w:fldCharType="end"/>
      </w:r>
      <w:r>
        <w:fldChar w:fldCharType="begin"/>
      </w:r>
      <w:r>
        <w:instrText xml:space="preserve"> HYPERLINK "https://www.unodc.org/unodc/en/money-laundering/overview.html" \h </w:instrText>
      </w:r>
      <w:r>
        <w:fldChar w:fldCharType="separate"/>
      </w:r>
      <w:r>
        <w:rPr>
          <w:rFonts w:ascii="Times New Roman" w:hAnsi="Times New Roman" w:eastAsia="Times New Roman" w:cs="Times New Roman"/>
          <w:color w:val="1155CC"/>
          <w:sz w:val="24"/>
          <w:szCs w:val="24"/>
          <w:u w:val="single"/>
          <w:lang w:val="en-GB"/>
        </w:rPr>
        <w:t>https://www.unodc.org/unodc/en/money-laundering/overview.html</w:t>
      </w:r>
      <w:r>
        <w:rPr>
          <w:rFonts w:ascii="Times New Roman" w:hAnsi="Times New Roman" w:eastAsia="Times New Roman" w:cs="Times New Roman"/>
          <w:color w:val="1155CC"/>
          <w:sz w:val="24"/>
          <w:szCs w:val="24"/>
          <w:u w:val="single"/>
          <w:lang w:val="en-GB"/>
        </w:rPr>
        <w:fldChar w:fldCharType="end"/>
      </w:r>
      <w:r>
        <w:rPr>
          <w:rFonts w:ascii="Times New Roman" w:hAnsi="Times New Roman" w:eastAsia="Times New Roman" w:cs="Times New Roman"/>
          <w:color w:val="000000"/>
          <w:sz w:val="24"/>
          <w:szCs w:val="24"/>
          <w:lang w:val="en-GB"/>
        </w:rPr>
        <w:t xml:space="preserve"> </w:t>
      </w:r>
    </w:p>
    <w:p w14:paraId="3E78A89E">
      <w:pPr>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color w:val="000000"/>
          <w:sz w:val="24"/>
          <w:szCs w:val="24"/>
          <w:lang w:val="en-GB"/>
        </w:rPr>
      </w:pPr>
      <w:r>
        <w:rPr>
          <w:rFonts w:ascii="Times New Roman" w:hAnsi="Times New Roman" w:eastAsia="Times New Roman" w:cs="Times New Roman"/>
          <w:color w:val="222222"/>
          <w:sz w:val="24"/>
          <w:szCs w:val="24"/>
          <w:highlight w:val="white"/>
          <w:lang w:val="en-GB"/>
        </w:rPr>
        <w:t xml:space="preserve">Williams, M. and Moser, T., (2019) The art of coding and thematic exploration in qualitative research. </w:t>
      </w:r>
      <w:r>
        <w:rPr>
          <w:rFonts w:ascii="Times New Roman" w:hAnsi="Times New Roman" w:eastAsia="Times New Roman" w:cs="Times New Roman"/>
          <w:i/>
          <w:iCs/>
          <w:color w:val="222222"/>
          <w:sz w:val="24"/>
          <w:szCs w:val="24"/>
          <w:highlight w:val="white"/>
          <w:lang w:val="en-GB"/>
        </w:rPr>
        <w:t>International management review</w:t>
      </w:r>
      <w:r>
        <w:rPr>
          <w:rFonts w:ascii="Times New Roman" w:hAnsi="Times New Roman" w:eastAsia="Times New Roman" w:cs="Times New Roman"/>
          <w:color w:val="222222"/>
          <w:sz w:val="24"/>
          <w:szCs w:val="24"/>
          <w:highlight w:val="white"/>
          <w:lang w:val="en-GB"/>
        </w:rPr>
        <w:t xml:space="preserve">, </w:t>
      </w:r>
      <w:r>
        <w:rPr>
          <w:rFonts w:ascii="Times New Roman" w:hAnsi="Times New Roman" w:eastAsia="Times New Roman" w:cs="Times New Roman"/>
          <w:i/>
          <w:iCs/>
          <w:color w:val="222222"/>
          <w:sz w:val="24"/>
          <w:szCs w:val="24"/>
          <w:highlight w:val="white"/>
          <w:lang w:val="en-GB"/>
        </w:rPr>
        <w:t>15</w:t>
      </w:r>
      <w:r>
        <w:rPr>
          <w:rFonts w:ascii="Times New Roman" w:hAnsi="Times New Roman" w:eastAsia="Times New Roman" w:cs="Times New Roman"/>
          <w:color w:val="222222"/>
          <w:sz w:val="24"/>
          <w:szCs w:val="24"/>
          <w:highlight w:val="white"/>
          <w:lang w:val="en-GB"/>
        </w:rPr>
        <w:t>(1), pp.45-55.</w:t>
      </w:r>
      <w:r>
        <w:rPr>
          <w:rFonts w:ascii="Times New Roman" w:hAnsi="Times New Roman" w:eastAsia="Times New Roman" w:cs="Times New Roman"/>
          <w:color w:val="000000"/>
          <w:sz w:val="24"/>
          <w:szCs w:val="24"/>
          <w:lang w:val="en-GB"/>
        </w:rPr>
        <w:t xml:space="preserve"> </w:t>
      </w:r>
      <w:r>
        <w:fldChar w:fldCharType="begin"/>
      </w:r>
      <w:r>
        <w:instrText xml:space="preserve"> HYPERLINK "https://scholar.google.com/scholar?output=instlink&amp;q=info:xqmBMMw7uYYJ:scholar.google.com/&amp;hl=en&amp;as_sdt=0,5&amp;as_ylo=2019&amp;scillfp=4042913106802049358&amp;oi=lle" \h </w:instrText>
      </w:r>
      <w:r>
        <w:fldChar w:fldCharType="separate"/>
      </w:r>
      <w:r>
        <w:rPr>
          <w:rFonts w:ascii="Times New Roman" w:hAnsi="Times New Roman" w:eastAsia="Times New Roman" w:cs="Times New Roman"/>
          <w:color w:val="1155CC"/>
          <w:sz w:val="24"/>
          <w:szCs w:val="24"/>
          <w:u w:val="single"/>
          <w:lang w:val="en-GB"/>
        </w:rPr>
        <w:t>https://scholar.google.com/scholar?output=instlink&amp;q=info:xqmBMMw7uYYJ:scholar.google.com/&amp;hl=en&amp;as_sdt=0,5&amp;as_ylo=2019&amp;scillfp=4042913106802049358&amp;oi=lle</w:t>
      </w:r>
      <w:r>
        <w:rPr>
          <w:rFonts w:ascii="Times New Roman" w:hAnsi="Times New Roman" w:eastAsia="Times New Roman" w:cs="Times New Roman"/>
          <w:color w:val="1155CC"/>
          <w:sz w:val="24"/>
          <w:szCs w:val="24"/>
          <w:u w:val="single"/>
          <w:lang w:val="en-GB"/>
        </w:rPr>
        <w:fldChar w:fldCharType="end"/>
      </w:r>
    </w:p>
    <w:p w14:paraId="3E78A8A1">
      <w:pPr>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color w:val="000000"/>
          <w:sz w:val="24"/>
          <w:szCs w:val="24"/>
          <w:lang w:val="en-GB"/>
        </w:rPr>
      </w:pPr>
      <w:r>
        <w:rPr>
          <w:rFonts w:ascii="Times New Roman" w:hAnsi="Times New Roman" w:eastAsia="Times New Roman" w:cs="Times New Roman"/>
          <w:color w:val="222222"/>
          <w:sz w:val="24"/>
          <w:szCs w:val="24"/>
          <w:highlight w:val="white"/>
          <w:lang w:val="en-GB"/>
        </w:rPr>
        <w:t xml:space="preserve">Yip, S.Y. and Zeng, S.A., (2025) Developing an Analytical Framework for Multi-Level Data Analysis in Qualitative Inductive Studies. </w:t>
      </w:r>
      <w:r>
        <w:rPr>
          <w:rFonts w:ascii="Times New Roman" w:hAnsi="Times New Roman" w:eastAsia="Times New Roman" w:cs="Times New Roman"/>
          <w:i/>
          <w:iCs/>
          <w:color w:val="222222"/>
          <w:sz w:val="24"/>
          <w:szCs w:val="24"/>
          <w:highlight w:val="white"/>
          <w:lang w:val="en-GB"/>
        </w:rPr>
        <w:t>International Journal of Qualitative Methods</w:t>
      </w:r>
      <w:r>
        <w:rPr>
          <w:rFonts w:ascii="Times New Roman" w:hAnsi="Times New Roman" w:eastAsia="Times New Roman" w:cs="Times New Roman"/>
          <w:color w:val="222222"/>
          <w:sz w:val="24"/>
          <w:szCs w:val="24"/>
          <w:highlight w:val="white"/>
          <w:lang w:val="en-GB"/>
        </w:rPr>
        <w:t xml:space="preserve">, </w:t>
      </w:r>
      <w:r>
        <w:rPr>
          <w:rFonts w:ascii="Times New Roman" w:hAnsi="Times New Roman" w:eastAsia="Times New Roman" w:cs="Times New Roman"/>
          <w:i/>
          <w:iCs/>
          <w:color w:val="222222"/>
          <w:sz w:val="24"/>
          <w:szCs w:val="24"/>
          <w:highlight w:val="white"/>
          <w:lang w:val="en-GB"/>
        </w:rPr>
        <w:t>24</w:t>
      </w:r>
      <w:r>
        <w:rPr>
          <w:rFonts w:ascii="Times New Roman" w:hAnsi="Times New Roman" w:eastAsia="Times New Roman" w:cs="Times New Roman"/>
          <w:color w:val="222222"/>
          <w:sz w:val="24"/>
          <w:szCs w:val="24"/>
          <w:highlight w:val="white"/>
          <w:lang w:val="en-GB"/>
        </w:rPr>
        <w:t>, p.16094069251401328.</w:t>
      </w:r>
      <w:r>
        <w:rPr>
          <w:rFonts w:ascii="Times New Roman" w:hAnsi="Times New Roman" w:eastAsia="Times New Roman" w:cs="Times New Roman"/>
          <w:color w:val="000000"/>
          <w:sz w:val="24"/>
          <w:szCs w:val="24"/>
          <w:lang w:val="en-GB"/>
        </w:rPr>
        <w:t xml:space="preserve"> </w:t>
      </w:r>
      <w:r>
        <w:fldChar w:fldCharType="begin"/>
      </w:r>
      <w:r>
        <w:instrText xml:space="preserve"> HYPERLINK "https://journals.sagepub.com/doi/pdf/10.1177/16094069251401328" \h </w:instrText>
      </w:r>
      <w:r>
        <w:fldChar w:fldCharType="separate"/>
      </w:r>
      <w:r>
        <w:rPr>
          <w:rFonts w:ascii="Times New Roman" w:hAnsi="Times New Roman" w:eastAsia="Times New Roman" w:cs="Times New Roman"/>
          <w:color w:val="1155CC"/>
          <w:sz w:val="24"/>
          <w:szCs w:val="24"/>
          <w:u w:val="single"/>
          <w:lang w:val="en-GB"/>
        </w:rPr>
        <w:t>https://journals.sagepub.com/doi/pdf/10.1177/16094069251401328</w:t>
      </w:r>
      <w:r>
        <w:rPr>
          <w:rFonts w:ascii="Times New Roman" w:hAnsi="Times New Roman" w:eastAsia="Times New Roman" w:cs="Times New Roman"/>
          <w:color w:val="1155CC"/>
          <w:sz w:val="24"/>
          <w:szCs w:val="24"/>
          <w:u w:val="single"/>
          <w:lang w:val="en-GB"/>
        </w:rPr>
        <w:fldChar w:fldCharType="end"/>
      </w:r>
    </w:p>
    <w:sectPr>
      <w:footerReference r:id="rId5" w:type="default"/>
      <w:pgSz w:w="11909" w:h="16834"/>
      <w:pgMar w:top="1440" w:right="1440" w:bottom="1440" w:left="1440" w:header="720" w:footer="720" w:gutter="0"/>
      <w:pgNumType w:start="1"/>
      <w:cols w:space="720" w:num="1"/>
      <w:titlePg/>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86"/>
    <w:family w:val="swiss"/>
    <w:pitch w:val="default"/>
    <w:sig w:usb0="E0002EFF" w:usb1="C000785B" w:usb2="00000009" w:usb3="00000000" w:csb0="400001FF" w:csb1="FFFF0000"/>
    <w:embedRegular r:id="rId1" w:fontKey="{8992A6B8-D3A5-47AC-A687-09A00D86DC7D}"/>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embedRegular r:id="rId2" w:fontKey="{1B50030D-B0E8-43B6-91DE-026CF9147512}"/>
  </w:font>
  <w:font w:name="Wingdings">
    <w:panose1 w:val="05000000000000000000"/>
    <w:charset w:val="02"/>
    <w:family w:val="auto"/>
    <w:pitch w:val="default"/>
    <w:sig w:usb0="00000000" w:usb1="00000000" w:usb2="00000000" w:usb3="00000000" w:csb0="80000000" w:csb1="00000000"/>
    <w:embedRegular r:id="rId3" w:fontKey="{A28F23F0-9865-4E87-B343-521D32AF588F}"/>
  </w:font>
  <w:font w:name="Calibri">
    <w:panose1 w:val="020F0502020204030204"/>
    <w:charset w:val="00"/>
    <w:family w:val="swiss"/>
    <w:pitch w:val="default"/>
    <w:sig w:usb0="E4002EFF" w:usb1="C200247B" w:usb2="00000009" w:usb3="00000000" w:csb0="200001FF" w:csb1="00000000"/>
    <w:embedRegular r:id="rId4" w:fontKey="{CC9DF163-6CEC-4369-9867-424FDD4AA8FB}"/>
  </w:font>
  <w:font w:name="等线">
    <w:altName w:val="Microsoft YaHei"/>
    <w:panose1 w:val="00000000000000000000"/>
    <w:charset w:val="86"/>
    <w:family w:val="auto"/>
    <w:pitch w:val="default"/>
    <w:sig w:usb0="00000000" w:usb1="00000000" w:usb2="00000000" w:usb3="00000000" w:csb0="00000000" w:csb1="00000000"/>
  </w:font>
  <w:font w:name="Microsoft YaHei">
    <w:panose1 w:val="020B0503020204020204"/>
    <w:charset w:val="86"/>
    <w:family w:val="auto"/>
    <w:pitch w:val="default"/>
    <w:sig w:usb0="80000287" w:usb1="2ACF3C50" w:usb2="00000016" w:usb3="00000000" w:csb0="0004001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3E78A8A4">
    <w:pPr>
      <w:pBdr>
        <w:top w:val="none" w:color="auto" w:sz="0" w:space="0"/>
        <w:left w:val="none" w:color="auto" w:sz="0" w:space="0"/>
        <w:bottom w:val="none" w:color="auto" w:sz="0" w:space="0"/>
        <w:right w:val="none" w:color="auto" w:sz="0" w:space="0"/>
        <w:between w:val="none" w:color="auto" w:sz="0" w:space="0"/>
      </w:pBdr>
      <w:tabs>
        <w:tab w:val="center" w:pos="4680"/>
        <w:tab w:val="right" w:pos="9360"/>
      </w:tabs>
      <w:spacing w:line="240" w:lineRule="auto"/>
      <w:jc w:val="right"/>
      <w:rPr>
        <w:color w:val="000000"/>
      </w:rPr>
    </w:pPr>
    <w:r>
      <w:rPr>
        <w:color w:val="000000"/>
      </w:rPr>
      <w:fldChar w:fldCharType="begin"/>
    </w:r>
    <w:r>
      <w:rPr>
        <w:color w:val="000000"/>
      </w:rPr>
      <w:instrText xml:space="preserve">PAGE</w:instrText>
    </w:r>
    <w:r>
      <w:rPr>
        <w:color w:val="000000"/>
      </w:rPr>
      <w:fldChar w:fldCharType="separate"/>
    </w:r>
    <w:r>
      <w:rPr>
        <w:color w:val="000000"/>
      </w:rPr>
      <w:t>2</w:t>
    </w:r>
    <w:r>
      <w:rPr>
        <w:color w:val="000000"/>
      </w:rPr>
      <w:fldChar w:fldCharType="end"/>
    </w:r>
  </w:p>
  <w:p w14:paraId="3E78A8A5">
    <w:pPr>
      <w:pBdr>
        <w:top w:val="none" w:color="auto" w:sz="0" w:space="0"/>
        <w:left w:val="none" w:color="auto" w:sz="0" w:space="0"/>
        <w:bottom w:val="none" w:color="auto" w:sz="0" w:space="0"/>
        <w:right w:val="none" w:color="auto" w:sz="0" w:space="0"/>
        <w:between w:val="none" w:color="auto" w:sz="0" w:space="0"/>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line="276" w:lineRule="auto"/>
      </w:pPr>
      <w:r>
        <w:separator/>
      </w:r>
    </w:p>
  </w:footnote>
  <w:footnote w:type="continuationSeparator" w:id="1">
    <w:p>
      <w:pPr>
        <w:spacing w:line="276"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19A34758"/>
    <w:multiLevelType w:val="multilevel"/>
    <w:tmpl w:val="19A34758"/>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abstractNum w:abstractNumId="1">
    <w:nsid w:val="35C87FD3"/>
    <w:multiLevelType w:val="multilevel"/>
    <w:tmpl w:val="35C87FD3"/>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97"/>
  <w:embedTrueTypeFonts/>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817C1"/>
    <w:rsid w:val="003817C1"/>
    <w:rsid w:val="0061499C"/>
    <w:rsid w:val="00AF6C29"/>
    <w:rsid w:val="00F3760F"/>
    <w:rsid w:val="0E0B1397"/>
    <w:rsid w:val="265D777E"/>
    <w:rsid w:val="3E6853F0"/>
    <w:rsid w:val="3EAD2662"/>
    <w:rsid w:val="44156817"/>
    <w:rsid w:val="4908149D"/>
    <w:rsid w:val="51656219"/>
    <w:rsid w:val="68344483"/>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mc:AlternateContent>
    <mc:Choice Requires="wpsCustomData">
      <wpsCustomData:typoFeatureVersion val="1"/>
    </mc:Choice>
  </mc:AlternateContent>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Arial" w:hAnsi="Arial" w:eastAsia="Arial" w:cs="Arial"/>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line="276" w:lineRule="auto"/>
    </w:pPr>
    <w:rPr>
      <w:rFonts w:ascii="Arial" w:hAnsi="Arial" w:eastAsia="Arial" w:cs="Arial"/>
      <w:sz w:val="22"/>
      <w:szCs w:val="22"/>
      <w:lang w:val="en" w:eastAsia="en-IN" w:bidi="ar-SA"/>
    </w:rPr>
  </w:style>
  <w:style w:type="paragraph" w:styleId="2">
    <w:name w:val="heading 1"/>
    <w:basedOn w:val="1"/>
    <w:next w:val="1"/>
    <w:qFormat/>
    <w:uiPriority w:val="9"/>
    <w:pPr>
      <w:keepNext/>
      <w:keepLines/>
      <w:pBdr>
        <w:top w:val="none" w:color="auto" w:sz="0" w:space="0"/>
        <w:left w:val="none" w:color="auto" w:sz="0" w:space="0"/>
        <w:bottom w:val="none" w:color="auto" w:sz="0" w:space="0"/>
        <w:right w:val="none" w:color="auto" w:sz="0" w:space="0"/>
        <w:between w:val="none" w:color="auto" w:sz="0" w:space="0"/>
      </w:pBdr>
      <w:spacing w:before="400" w:after="120" w:line="240" w:lineRule="auto"/>
      <w:jc w:val="both"/>
      <w:outlineLvl w:val="0"/>
    </w:pPr>
    <w:rPr>
      <w:rFonts w:ascii="Times New Roman" w:hAnsi="Times New Roman" w:eastAsia="Times New Roman" w:cs="Times New Roman"/>
      <w:b/>
      <w:bCs/>
      <w:color w:val="000000"/>
      <w:sz w:val="28"/>
      <w:szCs w:val="28"/>
    </w:rPr>
  </w:style>
  <w:style w:type="paragraph" w:styleId="3">
    <w:name w:val="heading 2"/>
    <w:basedOn w:val="1"/>
    <w:next w:val="1"/>
    <w:unhideWhenUsed/>
    <w:qFormat/>
    <w:uiPriority w:val="9"/>
    <w:pPr>
      <w:keepNext/>
      <w:keepLines/>
      <w:pBdr>
        <w:top w:val="none" w:color="auto" w:sz="0" w:space="0"/>
        <w:left w:val="none" w:color="auto" w:sz="0" w:space="0"/>
        <w:bottom w:val="none" w:color="auto" w:sz="0" w:space="0"/>
        <w:right w:val="none" w:color="auto" w:sz="0" w:space="0"/>
        <w:between w:val="none" w:color="auto" w:sz="0" w:space="0"/>
      </w:pBdr>
      <w:spacing w:before="360" w:after="120" w:line="240" w:lineRule="auto"/>
      <w:jc w:val="both"/>
      <w:outlineLvl w:val="1"/>
    </w:pPr>
    <w:rPr>
      <w:rFonts w:ascii="Times New Roman" w:hAnsi="Times New Roman" w:eastAsia="Times New Roman" w:cs="Times New Roman"/>
      <w:b/>
      <w:bCs/>
      <w:color w:val="000000"/>
      <w:sz w:val="24"/>
      <w:szCs w:val="24"/>
    </w:rPr>
  </w:style>
  <w:style w:type="paragraph" w:styleId="4">
    <w:name w:val="heading 3"/>
    <w:basedOn w:val="1"/>
    <w:next w:val="1"/>
    <w:semiHidden/>
    <w:unhideWhenUsed/>
    <w:qFormat/>
    <w:uiPriority w:val="9"/>
    <w:pPr>
      <w:keepNext/>
      <w:keepLines/>
      <w:pBdr>
        <w:top w:val="none" w:color="auto" w:sz="0" w:space="0"/>
        <w:left w:val="none" w:color="auto" w:sz="0" w:space="0"/>
        <w:bottom w:val="none" w:color="auto" w:sz="0" w:space="0"/>
        <w:right w:val="none" w:color="auto" w:sz="0" w:space="0"/>
        <w:between w:val="none" w:color="auto" w:sz="0" w:space="0"/>
      </w:pBdr>
      <w:spacing w:before="320" w:after="80"/>
      <w:outlineLvl w:val="2"/>
    </w:pPr>
    <w:rPr>
      <w:color w:val="434343"/>
      <w:sz w:val="28"/>
      <w:szCs w:val="28"/>
    </w:rPr>
  </w:style>
  <w:style w:type="paragraph" w:styleId="5">
    <w:name w:val="heading 4"/>
    <w:basedOn w:val="1"/>
    <w:next w:val="1"/>
    <w:semiHidden/>
    <w:unhideWhenUsed/>
    <w:qFormat/>
    <w:uiPriority w:val="9"/>
    <w:pPr>
      <w:keepNext/>
      <w:keepLines/>
      <w:pBdr>
        <w:top w:val="none" w:color="auto" w:sz="0" w:space="0"/>
        <w:left w:val="none" w:color="auto" w:sz="0" w:space="0"/>
        <w:bottom w:val="none" w:color="auto" w:sz="0" w:space="0"/>
        <w:right w:val="none" w:color="auto" w:sz="0" w:space="0"/>
        <w:between w:val="none" w:color="auto" w:sz="0" w:space="0"/>
      </w:pBdr>
      <w:spacing w:before="280" w:after="80"/>
      <w:outlineLvl w:val="3"/>
    </w:pPr>
    <w:rPr>
      <w:color w:val="666666"/>
      <w:sz w:val="24"/>
      <w:szCs w:val="24"/>
    </w:rPr>
  </w:style>
  <w:style w:type="paragraph" w:styleId="6">
    <w:name w:val="heading 5"/>
    <w:basedOn w:val="1"/>
    <w:next w:val="1"/>
    <w:semiHidden/>
    <w:unhideWhenUsed/>
    <w:qFormat/>
    <w:uiPriority w:val="9"/>
    <w:pPr>
      <w:keepNext/>
      <w:keepLines/>
      <w:pBdr>
        <w:top w:val="none" w:color="auto" w:sz="0" w:space="0"/>
        <w:left w:val="none" w:color="auto" w:sz="0" w:space="0"/>
        <w:bottom w:val="none" w:color="auto" w:sz="0" w:space="0"/>
        <w:right w:val="none" w:color="auto" w:sz="0" w:space="0"/>
        <w:between w:val="none" w:color="auto" w:sz="0" w:space="0"/>
      </w:pBdr>
      <w:spacing w:before="240" w:after="80"/>
      <w:outlineLvl w:val="4"/>
    </w:pPr>
    <w:rPr>
      <w:color w:val="666666"/>
    </w:rPr>
  </w:style>
  <w:style w:type="paragraph" w:styleId="7">
    <w:name w:val="heading 6"/>
    <w:basedOn w:val="1"/>
    <w:next w:val="1"/>
    <w:semiHidden/>
    <w:unhideWhenUsed/>
    <w:qFormat/>
    <w:uiPriority w:val="9"/>
    <w:pPr>
      <w:keepNext/>
      <w:keepLines/>
      <w:pBdr>
        <w:top w:val="none" w:color="auto" w:sz="0" w:space="0"/>
        <w:left w:val="none" w:color="auto" w:sz="0" w:space="0"/>
        <w:bottom w:val="none" w:color="auto" w:sz="0" w:space="0"/>
        <w:right w:val="none" w:color="auto" w:sz="0" w:space="0"/>
        <w:between w:val="none" w:color="auto" w:sz="0" w:space="0"/>
      </w:pBdr>
      <w:spacing w:before="240" w:after="80"/>
      <w:outlineLvl w:val="5"/>
    </w:pPr>
    <w:rPr>
      <w:i/>
      <w:iCs/>
      <w:color w:val="666666"/>
    </w:rPr>
  </w:style>
  <w:style w:type="character" w:default="1" w:styleId="8">
    <w:name w:val="Default Paragraph Font"/>
    <w:semiHidden/>
    <w:unhideWhenUsed/>
    <w:qFormat/>
    <w:uiPriority w:val="1"/>
  </w:style>
  <w:style w:type="table" w:default="1" w:styleId="9">
    <w:name w:val="Normal Table"/>
    <w:semiHidden/>
    <w:unhideWhenUsed/>
    <w:uiPriority w:val="99"/>
    <w:tblPr>
      <w:tblCellMar>
        <w:top w:w="0" w:type="dxa"/>
        <w:left w:w="108" w:type="dxa"/>
        <w:bottom w:w="0" w:type="dxa"/>
        <w:right w:w="108" w:type="dxa"/>
      </w:tblCellMar>
    </w:tblPr>
  </w:style>
  <w:style w:type="character" w:styleId="10">
    <w:name w:val="Hyperlink"/>
    <w:basedOn w:val="8"/>
    <w:unhideWhenUsed/>
    <w:uiPriority w:val="99"/>
    <w:rPr>
      <w:color w:val="0000FF" w:themeColor="hyperlink"/>
      <w:u w:val="single"/>
      <w14:textFill>
        <w14:solidFill>
          <w14:schemeClr w14:val="hlink"/>
        </w14:solidFill>
      </w14:textFill>
    </w:rPr>
  </w:style>
  <w:style w:type="paragraph" w:styleId="11">
    <w:name w:val="Subtitle"/>
    <w:basedOn w:val="1"/>
    <w:next w:val="1"/>
    <w:qFormat/>
    <w:uiPriority w:val="11"/>
    <w:pPr>
      <w:keepNext/>
      <w:keepLines/>
      <w:pBdr>
        <w:top w:val="none" w:color="auto" w:sz="0" w:space="0"/>
        <w:left w:val="none" w:color="auto" w:sz="0" w:space="0"/>
        <w:bottom w:val="none" w:color="auto" w:sz="0" w:space="0"/>
        <w:right w:val="none" w:color="auto" w:sz="0" w:space="0"/>
        <w:between w:val="none" w:color="auto" w:sz="0" w:space="0"/>
      </w:pBdr>
      <w:spacing w:after="320"/>
    </w:pPr>
    <w:rPr>
      <w:color w:val="666666"/>
      <w:sz w:val="30"/>
      <w:szCs w:val="30"/>
    </w:rPr>
  </w:style>
  <w:style w:type="paragraph" w:styleId="12">
    <w:name w:val="Title"/>
    <w:basedOn w:val="1"/>
    <w:next w:val="1"/>
    <w:qFormat/>
    <w:uiPriority w:val="10"/>
    <w:pPr>
      <w:keepNext/>
      <w:keepLines/>
      <w:pBdr>
        <w:top w:val="none" w:color="auto" w:sz="0" w:space="0"/>
        <w:left w:val="none" w:color="auto" w:sz="0" w:space="0"/>
        <w:bottom w:val="none" w:color="auto" w:sz="0" w:space="0"/>
        <w:right w:val="none" w:color="auto" w:sz="0" w:space="0"/>
        <w:between w:val="none" w:color="auto" w:sz="0" w:space="0"/>
      </w:pBdr>
      <w:spacing w:after="60"/>
    </w:pPr>
    <w:rPr>
      <w:color w:val="000000"/>
      <w:sz w:val="52"/>
      <w:szCs w:val="52"/>
    </w:rPr>
  </w:style>
  <w:style w:type="paragraph" w:styleId="13">
    <w:name w:val="toc 1"/>
    <w:basedOn w:val="1"/>
    <w:next w:val="1"/>
    <w:autoRedefine/>
    <w:unhideWhenUsed/>
    <w:uiPriority w:val="39"/>
    <w:pPr>
      <w:spacing w:after="100"/>
    </w:pPr>
  </w:style>
  <w:style w:type="paragraph" w:styleId="14">
    <w:name w:val="toc 2"/>
    <w:basedOn w:val="1"/>
    <w:next w:val="1"/>
    <w:autoRedefine/>
    <w:unhideWhenUsed/>
    <w:uiPriority w:val="39"/>
    <w:pPr>
      <w:spacing w:after="100"/>
      <w:ind w:left="220"/>
    </w:pPr>
  </w:style>
  <w:style w:type="table" w:customStyle="1" w:styleId="15">
    <w:name w:val="TableNormal"/>
    <w:uiPriority w:val="0"/>
    <w:tblPr>
      <w:tblCellMar>
        <w:top w:w="100" w:type="dxa"/>
        <w:left w:w="100" w:type="dxa"/>
        <w:bottom w:w="100" w:type="dxa"/>
        <w:right w:w="100" w:type="dxa"/>
      </w:tblCellMar>
    </w:tblPr>
  </w:style>
  <w:style w:type="table" w:customStyle="1" w:styleId="16">
    <w:name w:val="_Style 12"/>
    <w:basedOn w:val="15"/>
    <w:uiPriority w:val="0"/>
  </w:style>
</w:styles>
</file>

<file path=word/_rels/document.xml.rels><?xml version="1.0" encoding="UTF-8" standalone="yes"?>
<Relationships xmlns="http://schemas.openxmlformats.org/package/2006/relationships"><Relationship Id="rId9" Type="http://schemas.openxmlformats.org/officeDocument/2006/relationships/customXml" Target="../customXml/item1.xml"/><Relationship Id="rId8" Type="http://schemas.openxmlformats.org/officeDocument/2006/relationships/numbering" Target="numbering.xml"/><Relationship Id="rId7" Type="http://schemas.openxmlformats.org/officeDocument/2006/relationships/image" Target="media/image1.png"/><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0" Type="http://schemas.openxmlformats.org/officeDocument/2006/relationships/fontTable" Target="fontTable.xml"/><Relationship Id="rId1" Type="http://schemas.openxmlformats.org/officeDocument/2006/relationships/styles" Target="styles.xml"/></Relationships>
</file>

<file path=word/_rels/fontTable.xml.rels><?xml version="1.0" encoding="UTF-8" standalone="yes"?>
<Relationships xmlns="http://schemas.openxmlformats.org/package/2006/relationships"><Relationship Id="rId4" Type="http://schemas.openxmlformats.org/officeDocument/2006/relationships/font" Target="fonts/font4.odttf"/><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QAFSkbrbSgo2uodRLAQ/gNMdMRQ==">CgMxLjAyDmguN2VmYmprN3Y4M245Mg5oLm4xYmVkd3dlM3RhMjIOaC5xcjlrdW9qMXI0bTcyDmgud2V2MHJncTkwYWFiMg5oLmR5dWl1aHdheGh6cDIOaC5ld2Fod2g4cHJrM2oyDmguMXYwMmo3ZXk1dnptMg5oLjluNm5jM2k2bGd3bTIOaC5kNzllMGFmejNwMnAyDmgucjZ1Mml0OXE4ZG1qMg5oLms2YXR5Z3dyZnBiaTIOaC4ydHFubTZibjE0MTkyDmguZmUxajhhajdkeGJqMg5oLjY0enFxM2VsMjUzdDIOaC5qcDlmYjI5MWx0ZDgyDmguOTR5a2FweWp0MXltMg5oLnljOXA0aHVrYXdhODIOaC5kbXg3MHNoZHZ4YmYyDmgubTRmejBpeWp6cDcwOAByITFRbkoyZEtzaGtfLWFWU01Qa1pnUEVvQXE1STNrNWtxSQ==</go:docsCustomData>
</go:gDocsCustomXmlDataStorage>
</file>

<file path=customXml/itemProps1.xml><?xml version="1.0" encoding="utf-8"?>
<ds:datastoreItem xmlns:ds="http://schemas.openxmlformats.org/officeDocument/2006/customXml" ds:itemID="{11111111-1234-1234-1234-123412341234}">
  <ds:schemaRefs/>
</ds:datastoreItem>
</file>

<file path=docProps/app.xml><?xml version="1.0" encoding="utf-8"?>
<Properties xmlns="http://schemas.openxmlformats.org/officeDocument/2006/extended-properties" xmlns:vt="http://schemas.openxmlformats.org/officeDocument/2006/docPropsVTypes">
  <Template>Normal</Template>
  <Pages>13</Pages>
  <Words>2572</Words>
  <Characters>17435</Characters>
  <Lines>175</Lines>
  <Paragraphs>49</Paragraphs>
  <TotalTime>3</TotalTime>
  <ScaleCrop>false</ScaleCrop>
  <LinksUpToDate>false</LinksUpToDate>
  <CharactersWithSpaces>19977</CharactersWithSpaces>
  <Application>WPS Office_12.1.0.26880_F1E327BC-269C-435d-A152-05C5408002CA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2026-07-08T08:41:00Z</dcterms:created>
  <dc:creator>dipak</dc:creator>
  <cp:lastModifiedBy>WPS_1778156025</cp:lastModifiedBy>
  <dcterms:modified xsi:type="dcterms:W3CDTF">2026-07-08T11:44:40Z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TemplateDocerSaveRecord">
    <vt:lpwstr>eyJoZGlkIjoiNmNjZTM1MDFjMzExNDU2NzczODQ3N2YzYWY2MmYxMWEiLCJ1c2VySWQiOiIzODQ4MjkyMDYzODE2In0=</vt:lpwstr>
  </property>
  <property fmtid="{D5CDD505-2E9C-101B-9397-08002B2CF9AE}" pid="3" name="KSOProductBuildVer">
    <vt:lpwstr>1033-12.1.0.26880</vt:lpwstr>
  </property>
  <property fmtid="{D5CDD505-2E9C-101B-9397-08002B2CF9AE}" pid="4" name="ICV">
    <vt:lpwstr>7CEB1187B7284A7F8245ACDF2D828EF3_13</vt:lpwstr>
  </property>
</Properties>
</file>