
<file path=[Content_Types].xml><?xml version="1.0" encoding="utf-8"?>
<Types xmlns="http://schemas.openxmlformats.org/package/2006/content-types">
  <Default ContentType="image/png" Extension="png"/>
  <Default ContentType="image/jpeg" Extension="jpeg"/>
  <Default ContentType="image/jpeg" Extension="jpg"/>
  <Default ContentType="image/bmp" Extension="bmp"/>
  <Default ContentType="image/gif" Extension="gif"/>
  <Default ContentType="image/svg+xml" Extension="svg"/>
  <Default ContentType="application/vnd.openxmlformats-package.relationships+xml" Extension="rels"/>
  <Default ContentType="application/xml" Extension="xml"/>
  <Default ContentType="application/vnd.openxmlformats-officedocument.obfuscatedFont" Extension="odttf"/>
  <Override ContentType="application/vnd.openxmlformats-officedocument.wordprocessingml.document.main+xml" PartName="/word/document.xml"/>
  <Override ContentType="application/vnd.openxmlformats-officedocument.wordprocessingml.styles+xml" PartName="/word/styles.xml"/>
  <Override ContentType="application/vnd.openxmlformats-package.core-properties+xml" PartName="/docProps/core.xml"/>
  <Override ContentType="application/vnd.openxmlformats-officedocument.custom-properties+xml" PartName="/docProps/custom.xml"/>
  <Override ContentType="application/vnd.openxmlformats-officedocument.extended-properties+xml" PartName="/docProps/app.xml"/>
  <Override ContentType="application/vnd.openxmlformats-officedocument.wordprocessingml.numbering+xml" PartName="/word/numbering.xml"/>
  <Override ContentType="application/vnd.openxmlformats-officedocument.wordprocessingml.footnotes+xml" PartName="/word/footnotes.xml"/>
  <Override ContentType="application/vnd.openxmlformats-officedocument.wordprocessingml.endnotes+xml" PartName="/word/endnotes.xml"/>
  <Override ContentType="application/vnd.openxmlformats-officedocument.wordprocessingml.settings+xml" PartName="/word/settings.xml"/>
  <Override ContentType="application/vnd.openxmlformats-officedocument.wordprocessingml.comments+xml" PartName="/word/comments.xml"/>
  <Override ContentType="application/vnd.openxmlformats-officedocument.wordprocessingml.fontTable+xml" PartName="/word/fontTable.xml"/>
</Types>
</file>

<file path=_rels/.rels><?xml version="1.0" encoding="UTF-8"?><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p14">
  <w:body>
    <w:p>
      <w:pPr>
        <w:pStyle w:val="Title"/>
      </w:pPr>
      <w:r>
        <w:t xml:space="preserve">Cash Conversion Cycle Analysis</w:t>
      </w:r>
    </w:p>
    <w:p>
      <w:pPr>
        <w:spacing w:after="300"/>
      </w:pPr>
      <w:r>
        <w:rPr>
          <w:i/>
          <w:iCs/>
          <w:sz w:val="24"/>
          <w:szCs w:val="24"/>
        </w:rPr>
        <w:t xml:space="preserve">Hyatt Hotels Corporation (NYSE: H) — FY2020–FY2024</w:t>
      </w:r>
    </w:p>
    <w:p>
      <w:pPr>
        <w:pStyle w:val="Heading1"/>
        <w:spacing w:after="150" w:before="300"/>
      </w:pPr>
      <w:r>
        <w:t xml:space="preserve">1. Important note on the company identified</w:t>
      </w:r>
    </w:p>
    <w:p>
      <w:pPr>
        <w:spacing w:after="160"/>
      </w:pPr>
      <w:r>
        <w:t xml:space="preserve">The ticker symbol "H" on the New York Stock Exchange belongs to Hyatt Hotels Corporation, not Hilton Worldwide Holdings (whose ticker is HLT). The five uploaded 10-K filings are all Hyatt Hotels Corporation annual reports covering fiscal years 2020 through 2024. This analysis is based on Hyatt's audited consolidated financial statements as filed with the SEC.</w:t>
      </w:r>
    </w:p>
    <w:p>
      <w:pPr>
        <w:pStyle w:val="Heading1"/>
        <w:spacing w:after="150" w:before="300"/>
      </w:pPr>
      <w:r>
        <w:t xml:space="preserve">2. Methodology</w:t>
      </w:r>
    </w:p>
    <w:p>
      <w:pPr>
        <w:spacing w:after="160"/>
      </w:pPr>
      <w:r>
        <w:t xml:space="preserve">The Cash Conversion Cycle (CCC) measures how many days cash is tied up in operations before it is converted back into cash from customers, net of the credit extended by suppliers:</w:t>
      </w:r>
    </w:p>
    <w:p>
      <w:pPr>
        <w:spacing w:after="200"/>
      </w:pPr>
      <w:r>
        <w:rPr>
          <w:b/>
          <w:bCs/>
          <w:sz w:val="24"/>
          <w:szCs w:val="24"/>
        </w:rPr>
        <w:t xml:space="preserve">CCC = Inventory Days + Receivable Days − Payable Days</w:t>
      </w:r>
    </w:p>
    <w:p>
      <w:pPr>
        <w:spacing w:after="160"/>
      </w:pPr>
      <w:r>
        <w:t xml:space="preserve">Each component was calculated using average balance-sheet figures (opening + closing, divided by two) against the corresponding flow figure for the year, annualised over 365 days:</w:t>
      </w:r>
    </w:p>
    <w:p>
      <w:pPr>
        <w:pStyle w:val="ListParagraph"/>
        <w:numPr>
          <w:ilvl w:val="0"/>
          <w:numId w:val="1"/>
        </w:numPr>
        <w:spacing w:after="80"/>
      </w:pPr>
      <w:r>
        <w:t xml:space="preserve">Inventory Days = (Average Inventories ÷ Direct &amp; SG&amp;A Expenses) × 365</w:t>
      </w:r>
    </w:p>
    <w:p>
      <w:pPr>
        <w:pStyle w:val="ListParagraph"/>
        <w:numPr>
          <w:ilvl w:val="0"/>
          <w:numId w:val="1"/>
        </w:numPr>
        <w:spacing w:after="80"/>
      </w:pPr>
      <w:r>
        <w:t xml:space="preserve">Receivable Days = (Average Receivables, net ÷ Total Revenues) × 365</w:t>
      </w:r>
    </w:p>
    <w:p>
      <w:pPr>
        <w:pStyle w:val="ListParagraph"/>
        <w:numPr>
          <w:ilvl w:val="0"/>
          <w:numId w:val="1"/>
        </w:numPr>
        <w:spacing w:after="80"/>
      </w:pPr>
      <w:r>
        <w:t xml:space="preserve">Payable Days = (Average Accounts Payable ÷ Direct &amp; SG&amp;A Expenses) × 365</w:t>
      </w:r>
    </w:p>
    <w:p>
      <w:pPr>
        <w:spacing w:after="160"/>
      </w:pPr>
      <w:r>
        <w:t xml:space="preserve">Note on the cost denominator: Hyatt, as a hotel owner/operator, manager and franchisor, does not report a traditional "Cost of Goods Sold" line. "Direct and selling, general &amp; administrative expenses" (the total operating cost line directly beneath revenues in Hyatt's income statement, which includes owned-hotel operating costs, distribution costs, reimbursed costs, and G&amp;A) was used as the best available proxy for the cost base against which inventory and payables turn over. This is a standard adjustment for service/hospitality companies that do not manufacture or resell physical goods, and is used consistently across all five years for comparability.</w:t>
      </w:r>
    </w:p>
    <w:p>
      <w:pPr>
        <w:spacing w:after="160"/>
      </w:pPr>
      <w:r>
        <w:t xml:space="preserve">All figures are in US$ millions and are taken directly from the "Consolidated Balance Sheets" and "Consolidated Statements of Income" in each year's Form 10-K. 2019 closing balances (from the FY2020 10-K's comparative column) were used as the FY2020 opening balances.</w:t>
      </w:r>
    </w:p>
    <w:p>
      <w:pPr>
        <w:pStyle w:val="Heading1"/>
        <w:spacing w:after="150" w:before="300"/>
      </w:pPr>
      <w:r>
        <w:t xml:space="preserve">3. Source data extracted from the filings</w:t>
      </w:r>
    </w:p>
    <w:tbl>
      <w:tblPr>
        <w:tblW w:type="dxa" w:w="10440"/>
        <w:tblBorders>
          <w:top w:val="single" w:color="auto" w:sz="4"/>
          <w:left w:val="single" w:color="auto" w:sz="4"/>
          <w:bottom w:val="single" w:color="auto" w:sz="4"/>
          <w:right w:val="single" w:color="auto" w:sz="4"/>
          <w:insideH w:val="single" w:color="auto" w:sz="4"/>
          <w:insideV w:val="single" w:color="auto" w:sz="4"/>
        </w:tblBorders>
      </w:tblPr>
      <w:tblGrid>
        <w:gridCol w:w="1140"/>
        <w:gridCol w:w="1900"/>
        <w:gridCol w:w="1400"/>
        <w:gridCol w:w="1900"/>
        <w:gridCol w:w="1900"/>
        <w:gridCol w:w="2200"/>
      </w:tblGrid>
      <w:tr>
        <w:trPr>
          <w:tblHeader/>
        </w:trPr>
        <w:tc>
          <w:tcPr>
            <w:tcW w:type="dxa" w:w="1140"/>
            <w:shd w:fill="1F4E79" w:val="clear"/>
            <w:tcMar>
              <w:top w:type="dxa" w:w="60"/>
              <w:left w:type="dxa" w:w="100"/>
              <w:bottom w:type="dxa" w:w="60"/>
              <w:right w:type="dxa" w:w="100"/>
            </w:tcMar>
          </w:tcPr>
          <w:p>
            <w:pPr>
              <w:jc w:val="center"/>
            </w:pPr>
            <w:r>
              <w:rPr>
                <w:b/>
                <w:bCs/>
                <w:color w:val="FFFFFF"/>
                <w:sz w:val="20"/>
                <w:szCs w:val="20"/>
              </w:rPr>
              <w:t xml:space="preserve">Year</w:t>
            </w:r>
          </w:p>
        </w:tc>
        <w:tc>
          <w:tcPr>
            <w:tcW w:type="dxa" w:w="1900"/>
            <w:shd w:fill="1F4E79" w:val="clear"/>
            <w:tcMar>
              <w:top w:type="dxa" w:w="60"/>
              <w:left w:type="dxa" w:w="100"/>
              <w:bottom w:type="dxa" w:w="60"/>
              <w:right w:type="dxa" w:w="100"/>
            </w:tcMar>
          </w:tcPr>
          <w:p>
            <w:pPr>
              <w:jc w:val="center"/>
            </w:pPr>
            <w:r>
              <w:rPr>
                <w:b/>
                <w:bCs/>
                <w:color w:val="FFFFFF"/>
                <w:sz w:val="20"/>
                <w:szCs w:val="20"/>
              </w:rPr>
              <w:t xml:space="preserve">Receivables, net ($m)</w:t>
            </w:r>
          </w:p>
        </w:tc>
        <w:tc>
          <w:tcPr>
            <w:tcW w:type="dxa" w:w="1400"/>
            <w:shd w:fill="1F4E79" w:val="clear"/>
            <w:tcMar>
              <w:top w:type="dxa" w:w="60"/>
              <w:left w:type="dxa" w:w="100"/>
              <w:bottom w:type="dxa" w:w="60"/>
              <w:right w:type="dxa" w:w="100"/>
            </w:tcMar>
          </w:tcPr>
          <w:p>
            <w:pPr>
              <w:jc w:val="center"/>
            </w:pPr>
            <w:r>
              <w:rPr>
                <w:b/>
                <w:bCs/>
                <w:color w:val="FFFFFF"/>
                <w:sz w:val="20"/>
                <w:szCs w:val="20"/>
              </w:rPr>
              <w:t xml:space="preserve">Inventories ($m)</w:t>
            </w:r>
          </w:p>
        </w:tc>
        <w:tc>
          <w:tcPr>
            <w:tcW w:type="dxa" w:w="1900"/>
            <w:shd w:fill="1F4E79" w:val="clear"/>
            <w:tcMar>
              <w:top w:type="dxa" w:w="60"/>
              <w:left w:type="dxa" w:w="100"/>
              <w:bottom w:type="dxa" w:w="60"/>
              <w:right w:type="dxa" w:w="100"/>
            </w:tcMar>
          </w:tcPr>
          <w:p>
            <w:pPr>
              <w:jc w:val="center"/>
            </w:pPr>
            <w:r>
              <w:rPr>
                <w:b/>
                <w:bCs/>
                <w:color w:val="FFFFFF"/>
                <w:sz w:val="20"/>
                <w:szCs w:val="20"/>
              </w:rPr>
              <w:t xml:space="preserve">Accounts payable ($m)</w:t>
            </w:r>
          </w:p>
        </w:tc>
        <w:tc>
          <w:tcPr>
            <w:tcW w:type="dxa" w:w="1900"/>
            <w:shd w:fill="1F4E79" w:val="clear"/>
            <w:tcMar>
              <w:top w:type="dxa" w:w="60"/>
              <w:left w:type="dxa" w:w="100"/>
              <w:bottom w:type="dxa" w:w="60"/>
              <w:right w:type="dxa" w:w="100"/>
            </w:tcMar>
          </w:tcPr>
          <w:p>
            <w:pPr>
              <w:jc w:val="center"/>
            </w:pPr>
            <w:r>
              <w:rPr>
                <w:b/>
                <w:bCs/>
                <w:color w:val="FFFFFF"/>
                <w:sz w:val="20"/>
                <w:szCs w:val="20"/>
              </w:rPr>
              <w:t xml:space="preserve">Total revenues ($m)</w:t>
            </w:r>
          </w:p>
        </w:tc>
        <w:tc>
          <w:tcPr>
            <w:tcW w:type="dxa" w:w="2200"/>
            <w:shd w:fill="1F4E79" w:val="clear"/>
            <w:tcMar>
              <w:top w:type="dxa" w:w="60"/>
              <w:left w:type="dxa" w:w="100"/>
              <w:bottom w:type="dxa" w:w="60"/>
              <w:right w:type="dxa" w:w="100"/>
            </w:tcMar>
          </w:tcPr>
          <w:p>
            <w:pPr>
              <w:jc w:val="center"/>
            </w:pPr>
            <w:r>
              <w:rPr>
                <w:b/>
                <w:bCs/>
                <w:color w:val="FFFFFF"/>
                <w:sz w:val="20"/>
                <w:szCs w:val="20"/>
              </w:rPr>
              <w:t xml:space="preserve">Direct &amp; SG&amp;A expenses ($m)</w:t>
            </w:r>
          </w:p>
        </w:tc>
      </w:tr>
      <w:tr>
        <w:tc>
          <w:tcPr>
            <w:tcW w:type="dxa" w:w="1140"/>
            <w:tcMar>
              <w:top w:type="dxa" w:w="50"/>
              <w:left w:type="dxa" w:w="100"/>
              <w:bottom w:type="dxa" w:w="50"/>
              <w:right w:type="dxa" w:w="100"/>
            </w:tcMar>
          </w:tcPr>
          <w:p>
            <w:pPr>
              <w:jc w:val="left"/>
            </w:pPr>
            <w:r>
              <w:rPr>
                <w:b w:val="false"/>
                <w:bCs w:val="false"/>
                <w:sz w:val="20"/>
                <w:szCs w:val="20"/>
              </w:rPr>
              <w:t xml:space="preserve">2019 (opening)</w:t>
            </w:r>
          </w:p>
        </w:tc>
        <w:tc>
          <w:tcPr>
            <w:tcW w:type="dxa" w:w="1900"/>
            <w:tcMar>
              <w:top w:type="dxa" w:w="50"/>
              <w:left w:type="dxa" w:w="100"/>
              <w:bottom w:type="dxa" w:w="50"/>
              <w:right w:type="dxa" w:w="100"/>
            </w:tcMar>
          </w:tcPr>
          <w:p>
            <w:pPr>
              <w:jc w:val="center"/>
            </w:pPr>
            <w:r>
              <w:rPr>
                <w:b w:val="false"/>
                <w:bCs w:val="false"/>
                <w:sz w:val="20"/>
                <w:szCs w:val="20"/>
              </w:rPr>
              <w:t xml:space="preserve">421</w:t>
            </w:r>
          </w:p>
        </w:tc>
        <w:tc>
          <w:tcPr>
            <w:tcW w:type="dxa" w:w="1400"/>
            <w:tcMar>
              <w:top w:type="dxa" w:w="50"/>
              <w:left w:type="dxa" w:w="100"/>
              <w:bottom w:type="dxa" w:w="50"/>
              <w:right w:type="dxa" w:w="100"/>
            </w:tcMar>
          </w:tcPr>
          <w:p>
            <w:pPr>
              <w:jc w:val="center"/>
            </w:pPr>
            <w:r>
              <w:rPr>
                <w:b w:val="false"/>
                <w:bCs w:val="false"/>
                <w:sz w:val="20"/>
                <w:szCs w:val="20"/>
              </w:rPr>
              <w:t xml:space="preserve">12</w:t>
            </w:r>
          </w:p>
        </w:tc>
        <w:tc>
          <w:tcPr>
            <w:tcW w:type="dxa" w:w="1900"/>
            <w:tcMar>
              <w:top w:type="dxa" w:w="50"/>
              <w:left w:type="dxa" w:w="100"/>
              <w:bottom w:type="dxa" w:w="50"/>
              <w:right w:type="dxa" w:w="100"/>
            </w:tcMar>
          </w:tcPr>
          <w:p>
            <w:pPr>
              <w:jc w:val="center"/>
            </w:pPr>
            <w:r>
              <w:rPr>
                <w:b w:val="false"/>
                <w:bCs w:val="false"/>
                <w:sz w:val="20"/>
                <w:szCs w:val="20"/>
              </w:rPr>
              <w:t xml:space="preserve">150</w:t>
            </w:r>
          </w:p>
        </w:tc>
        <w:tc>
          <w:tcPr>
            <w:tcW w:type="dxa" w:w="1900"/>
            <w:tcMar>
              <w:top w:type="dxa" w:w="50"/>
              <w:left w:type="dxa" w:w="100"/>
              <w:bottom w:type="dxa" w:w="50"/>
              <w:right w:type="dxa" w:w="100"/>
            </w:tcMar>
          </w:tcPr>
          <w:p>
            <w:pPr>
              <w:jc w:val="center"/>
            </w:pPr>
            <w:r>
              <w:rPr>
                <w:b w:val="false"/>
                <w:bCs w:val="false"/>
                <w:sz w:val="20"/>
                <w:szCs w:val="20"/>
              </w:rPr>
              <w:t xml:space="preserve">—</w:t>
            </w:r>
          </w:p>
        </w:tc>
        <w:tc>
          <w:tcPr>
            <w:tcW w:type="dxa" w:w="2200"/>
            <w:tcMar>
              <w:top w:type="dxa" w:w="50"/>
              <w:left w:type="dxa" w:w="100"/>
              <w:bottom w:type="dxa" w:w="50"/>
              <w:right w:type="dxa" w:w="100"/>
            </w:tcMar>
          </w:tcPr>
          <w:p>
            <w:pPr>
              <w:jc w:val="center"/>
            </w:pPr>
            <w:r>
              <w:rPr>
                <w:b w:val="false"/>
                <w:bCs w:val="false"/>
                <w:sz w:val="20"/>
                <w:szCs w:val="20"/>
              </w:rPr>
              <w:t xml:space="preserve">—</w:t>
            </w:r>
          </w:p>
        </w:tc>
      </w:tr>
      <w:tr>
        <w:tc>
          <w:tcPr>
            <w:tcW w:type="dxa" w:w="1140"/>
            <w:shd w:fill="F2F2F2" w:val="clear"/>
            <w:tcMar>
              <w:top w:type="dxa" w:w="50"/>
              <w:left w:type="dxa" w:w="100"/>
              <w:bottom w:type="dxa" w:w="50"/>
              <w:right w:type="dxa" w:w="100"/>
            </w:tcMar>
          </w:tcPr>
          <w:p>
            <w:pPr>
              <w:jc w:val="left"/>
            </w:pPr>
            <w:r>
              <w:rPr>
                <w:b w:val="false"/>
                <w:bCs w:val="false"/>
                <w:sz w:val="20"/>
                <w:szCs w:val="20"/>
              </w:rPr>
              <w:t xml:space="preserve">2020</w:t>
            </w:r>
          </w:p>
        </w:tc>
        <w:tc>
          <w:tcPr>
            <w:tcW w:type="dxa" w:w="1900"/>
            <w:shd w:fill="F2F2F2" w:val="clear"/>
            <w:tcMar>
              <w:top w:type="dxa" w:w="50"/>
              <w:left w:type="dxa" w:w="100"/>
              <w:bottom w:type="dxa" w:w="50"/>
              <w:right w:type="dxa" w:w="100"/>
            </w:tcMar>
          </w:tcPr>
          <w:p>
            <w:pPr>
              <w:jc w:val="center"/>
            </w:pPr>
            <w:r>
              <w:rPr>
                <w:b w:val="false"/>
                <w:bCs w:val="false"/>
                <w:sz w:val="20"/>
                <w:szCs w:val="20"/>
              </w:rPr>
              <w:t xml:space="preserve">316</w:t>
            </w:r>
          </w:p>
        </w:tc>
        <w:tc>
          <w:tcPr>
            <w:tcW w:type="dxa" w:w="1400"/>
            <w:shd w:fill="F2F2F2" w:val="clear"/>
            <w:tcMar>
              <w:top w:type="dxa" w:w="50"/>
              <w:left w:type="dxa" w:w="100"/>
              <w:bottom w:type="dxa" w:w="50"/>
              <w:right w:type="dxa" w:w="100"/>
            </w:tcMar>
          </w:tcPr>
          <w:p>
            <w:pPr>
              <w:jc w:val="center"/>
            </w:pPr>
            <w:r>
              <w:rPr>
                <w:b w:val="false"/>
                <w:bCs w:val="false"/>
                <w:sz w:val="20"/>
                <w:szCs w:val="20"/>
              </w:rPr>
              <w:t xml:space="preserve">9</w:t>
            </w:r>
          </w:p>
        </w:tc>
        <w:tc>
          <w:tcPr>
            <w:tcW w:type="dxa" w:w="1900"/>
            <w:shd w:fill="F2F2F2" w:val="clear"/>
            <w:tcMar>
              <w:top w:type="dxa" w:w="50"/>
              <w:left w:type="dxa" w:w="100"/>
              <w:bottom w:type="dxa" w:w="50"/>
              <w:right w:type="dxa" w:w="100"/>
            </w:tcMar>
          </w:tcPr>
          <w:p>
            <w:pPr>
              <w:jc w:val="center"/>
            </w:pPr>
            <w:r>
              <w:rPr>
                <w:b w:val="false"/>
                <w:bCs w:val="false"/>
                <w:sz w:val="20"/>
                <w:szCs w:val="20"/>
              </w:rPr>
              <w:t xml:space="preserve">102</w:t>
            </w:r>
          </w:p>
        </w:tc>
        <w:tc>
          <w:tcPr>
            <w:tcW w:type="dxa" w:w="1900"/>
            <w:shd w:fill="F2F2F2" w:val="clear"/>
            <w:tcMar>
              <w:top w:type="dxa" w:w="50"/>
              <w:left w:type="dxa" w:w="100"/>
              <w:bottom w:type="dxa" w:w="50"/>
              <w:right w:type="dxa" w:w="100"/>
            </w:tcMar>
          </w:tcPr>
          <w:p>
            <w:pPr>
              <w:jc w:val="center"/>
            </w:pPr>
            <w:r>
              <w:rPr>
                <w:b w:val="false"/>
                <w:bCs w:val="false"/>
                <w:sz w:val="20"/>
                <w:szCs w:val="20"/>
              </w:rPr>
              <w:t xml:space="preserve">2,066</w:t>
            </w:r>
          </w:p>
        </w:tc>
        <w:tc>
          <w:tcPr>
            <w:tcW w:type="dxa" w:w="2200"/>
            <w:shd w:fill="F2F2F2" w:val="clear"/>
            <w:tcMar>
              <w:top w:type="dxa" w:w="50"/>
              <w:left w:type="dxa" w:w="100"/>
              <w:bottom w:type="dxa" w:w="50"/>
              <w:right w:type="dxa" w:w="100"/>
            </w:tcMar>
          </w:tcPr>
          <w:p>
            <w:pPr>
              <w:jc w:val="center"/>
            </w:pPr>
            <w:r>
              <w:rPr>
                <w:b w:val="false"/>
                <w:bCs w:val="false"/>
                <w:sz w:val="20"/>
                <w:szCs w:val="20"/>
              </w:rPr>
              <w:t xml:space="preserve">2,698</w:t>
            </w:r>
          </w:p>
        </w:tc>
      </w:tr>
      <w:tr>
        <w:tc>
          <w:tcPr>
            <w:tcW w:type="dxa" w:w="1140"/>
            <w:tcMar>
              <w:top w:type="dxa" w:w="50"/>
              <w:left w:type="dxa" w:w="100"/>
              <w:bottom w:type="dxa" w:w="50"/>
              <w:right w:type="dxa" w:w="100"/>
            </w:tcMar>
          </w:tcPr>
          <w:p>
            <w:pPr>
              <w:jc w:val="left"/>
            </w:pPr>
            <w:r>
              <w:rPr>
                <w:b w:val="false"/>
                <w:bCs w:val="false"/>
                <w:sz w:val="20"/>
                <w:szCs w:val="20"/>
              </w:rPr>
              <w:t xml:space="preserve">2021</w:t>
            </w:r>
          </w:p>
        </w:tc>
        <w:tc>
          <w:tcPr>
            <w:tcW w:type="dxa" w:w="1900"/>
            <w:tcMar>
              <w:top w:type="dxa" w:w="50"/>
              <w:left w:type="dxa" w:w="100"/>
              <w:bottom w:type="dxa" w:w="50"/>
              <w:right w:type="dxa" w:w="100"/>
            </w:tcMar>
          </w:tcPr>
          <w:p>
            <w:pPr>
              <w:jc w:val="center"/>
            </w:pPr>
            <w:r>
              <w:rPr>
                <w:b w:val="false"/>
                <w:bCs w:val="false"/>
                <w:sz w:val="20"/>
                <w:szCs w:val="20"/>
              </w:rPr>
              <w:t xml:space="preserve">633</w:t>
            </w:r>
          </w:p>
        </w:tc>
        <w:tc>
          <w:tcPr>
            <w:tcW w:type="dxa" w:w="1400"/>
            <w:tcMar>
              <w:top w:type="dxa" w:w="50"/>
              <w:left w:type="dxa" w:w="100"/>
              <w:bottom w:type="dxa" w:w="50"/>
              <w:right w:type="dxa" w:w="100"/>
            </w:tcMar>
          </w:tcPr>
          <w:p>
            <w:pPr>
              <w:jc w:val="center"/>
            </w:pPr>
            <w:r>
              <w:rPr>
                <w:b w:val="false"/>
                <w:bCs w:val="false"/>
                <w:sz w:val="20"/>
                <w:szCs w:val="20"/>
              </w:rPr>
              <w:t xml:space="preserve">10</w:t>
            </w:r>
          </w:p>
        </w:tc>
        <w:tc>
          <w:tcPr>
            <w:tcW w:type="dxa" w:w="1900"/>
            <w:tcMar>
              <w:top w:type="dxa" w:w="50"/>
              <w:left w:type="dxa" w:w="100"/>
              <w:bottom w:type="dxa" w:w="50"/>
              <w:right w:type="dxa" w:w="100"/>
            </w:tcMar>
          </w:tcPr>
          <w:p>
            <w:pPr>
              <w:jc w:val="center"/>
            </w:pPr>
            <w:r>
              <w:rPr>
                <w:b w:val="false"/>
                <w:bCs w:val="false"/>
                <w:sz w:val="20"/>
                <w:szCs w:val="20"/>
              </w:rPr>
              <w:t xml:space="preserve">523</w:t>
            </w:r>
          </w:p>
        </w:tc>
        <w:tc>
          <w:tcPr>
            <w:tcW w:type="dxa" w:w="1900"/>
            <w:tcMar>
              <w:top w:type="dxa" w:w="50"/>
              <w:left w:type="dxa" w:w="100"/>
              <w:bottom w:type="dxa" w:w="50"/>
              <w:right w:type="dxa" w:w="100"/>
            </w:tcMar>
          </w:tcPr>
          <w:p>
            <w:pPr>
              <w:jc w:val="center"/>
            </w:pPr>
            <w:r>
              <w:rPr>
                <w:b w:val="false"/>
                <w:bCs w:val="false"/>
                <w:sz w:val="20"/>
                <w:szCs w:val="20"/>
              </w:rPr>
              <w:t xml:space="preserve">3,028</w:t>
            </w:r>
          </w:p>
        </w:tc>
        <w:tc>
          <w:tcPr>
            <w:tcW w:type="dxa" w:w="2200"/>
            <w:tcMar>
              <w:top w:type="dxa" w:w="50"/>
              <w:left w:type="dxa" w:w="100"/>
              <w:bottom w:type="dxa" w:w="50"/>
              <w:right w:type="dxa" w:w="100"/>
            </w:tcMar>
          </w:tcPr>
          <w:p>
            <w:pPr>
              <w:jc w:val="center"/>
            </w:pPr>
            <w:r>
              <w:rPr>
                <w:b w:val="false"/>
                <w:bCs w:val="false"/>
                <w:sz w:val="20"/>
                <w:szCs w:val="20"/>
              </w:rPr>
              <w:t xml:space="preserve">3,279</w:t>
            </w:r>
          </w:p>
        </w:tc>
      </w:tr>
      <w:tr>
        <w:tc>
          <w:tcPr>
            <w:tcW w:type="dxa" w:w="1140"/>
            <w:shd w:fill="F2F2F2" w:val="clear"/>
            <w:tcMar>
              <w:top w:type="dxa" w:w="50"/>
              <w:left w:type="dxa" w:w="100"/>
              <w:bottom w:type="dxa" w:w="50"/>
              <w:right w:type="dxa" w:w="100"/>
            </w:tcMar>
          </w:tcPr>
          <w:p>
            <w:pPr>
              <w:jc w:val="left"/>
            </w:pPr>
            <w:r>
              <w:rPr>
                <w:b w:val="false"/>
                <w:bCs w:val="false"/>
                <w:sz w:val="20"/>
                <w:szCs w:val="20"/>
              </w:rPr>
              <w:t xml:space="preserve">2022</w:t>
            </w:r>
          </w:p>
        </w:tc>
        <w:tc>
          <w:tcPr>
            <w:tcW w:type="dxa" w:w="1900"/>
            <w:shd w:fill="F2F2F2" w:val="clear"/>
            <w:tcMar>
              <w:top w:type="dxa" w:w="50"/>
              <w:left w:type="dxa" w:w="100"/>
              <w:bottom w:type="dxa" w:w="50"/>
              <w:right w:type="dxa" w:w="100"/>
            </w:tcMar>
          </w:tcPr>
          <w:p>
            <w:pPr>
              <w:jc w:val="center"/>
            </w:pPr>
            <w:r>
              <w:rPr>
                <w:b w:val="false"/>
                <w:bCs w:val="false"/>
                <w:sz w:val="20"/>
                <w:szCs w:val="20"/>
              </w:rPr>
              <w:t xml:space="preserve">834</w:t>
            </w:r>
          </w:p>
        </w:tc>
        <w:tc>
          <w:tcPr>
            <w:tcW w:type="dxa" w:w="1400"/>
            <w:shd w:fill="F2F2F2" w:val="clear"/>
            <w:tcMar>
              <w:top w:type="dxa" w:w="50"/>
              <w:left w:type="dxa" w:w="100"/>
              <w:bottom w:type="dxa" w:w="50"/>
              <w:right w:type="dxa" w:w="100"/>
            </w:tcMar>
          </w:tcPr>
          <w:p>
            <w:pPr>
              <w:jc w:val="center"/>
            </w:pPr>
            <w:r>
              <w:rPr>
                <w:b w:val="false"/>
                <w:bCs w:val="false"/>
                <w:sz w:val="20"/>
                <w:szCs w:val="20"/>
              </w:rPr>
              <w:t xml:space="preserve">9</w:t>
            </w:r>
          </w:p>
        </w:tc>
        <w:tc>
          <w:tcPr>
            <w:tcW w:type="dxa" w:w="1900"/>
            <w:shd w:fill="F2F2F2" w:val="clear"/>
            <w:tcMar>
              <w:top w:type="dxa" w:w="50"/>
              <w:left w:type="dxa" w:w="100"/>
              <w:bottom w:type="dxa" w:w="50"/>
              <w:right w:type="dxa" w:w="100"/>
            </w:tcMar>
          </w:tcPr>
          <w:p>
            <w:pPr>
              <w:jc w:val="center"/>
            </w:pPr>
            <w:r>
              <w:rPr>
                <w:b w:val="false"/>
                <w:bCs w:val="false"/>
                <w:sz w:val="20"/>
                <w:szCs w:val="20"/>
              </w:rPr>
              <w:t xml:space="preserve">500</w:t>
            </w:r>
          </w:p>
        </w:tc>
        <w:tc>
          <w:tcPr>
            <w:tcW w:type="dxa" w:w="1900"/>
            <w:shd w:fill="F2F2F2" w:val="clear"/>
            <w:tcMar>
              <w:top w:type="dxa" w:w="50"/>
              <w:left w:type="dxa" w:w="100"/>
              <w:bottom w:type="dxa" w:w="50"/>
              <w:right w:type="dxa" w:w="100"/>
            </w:tcMar>
          </w:tcPr>
          <w:p>
            <w:pPr>
              <w:jc w:val="center"/>
            </w:pPr>
            <w:r>
              <w:rPr>
                <w:b w:val="false"/>
                <w:bCs w:val="false"/>
                <w:sz w:val="20"/>
                <w:szCs w:val="20"/>
              </w:rPr>
              <w:t xml:space="preserve">5,891</w:t>
            </w:r>
          </w:p>
        </w:tc>
        <w:tc>
          <w:tcPr>
            <w:tcW w:type="dxa" w:w="2200"/>
            <w:shd w:fill="F2F2F2" w:val="clear"/>
            <w:tcMar>
              <w:top w:type="dxa" w:w="50"/>
              <w:left w:type="dxa" w:w="100"/>
              <w:bottom w:type="dxa" w:w="50"/>
              <w:right w:type="dxa" w:w="100"/>
            </w:tcMar>
          </w:tcPr>
          <w:p>
            <w:pPr>
              <w:jc w:val="center"/>
            </w:pPr>
            <w:r>
              <w:rPr>
                <w:b w:val="false"/>
                <w:bCs w:val="false"/>
                <w:sz w:val="20"/>
                <w:szCs w:val="20"/>
              </w:rPr>
              <w:t xml:space="preserve">5,493</w:t>
            </w:r>
          </w:p>
        </w:tc>
      </w:tr>
      <w:tr>
        <w:tc>
          <w:tcPr>
            <w:tcW w:type="dxa" w:w="1140"/>
            <w:tcMar>
              <w:top w:type="dxa" w:w="50"/>
              <w:left w:type="dxa" w:w="100"/>
              <w:bottom w:type="dxa" w:w="50"/>
              <w:right w:type="dxa" w:w="100"/>
            </w:tcMar>
          </w:tcPr>
          <w:p>
            <w:pPr>
              <w:jc w:val="left"/>
            </w:pPr>
            <w:r>
              <w:rPr>
                <w:b w:val="false"/>
                <w:bCs w:val="false"/>
                <w:sz w:val="20"/>
                <w:szCs w:val="20"/>
              </w:rPr>
              <w:t xml:space="preserve">2023</w:t>
            </w:r>
          </w:p>
        </w:tc>
        <w:tc>
          <w:tcPr>
            <w:tcW w:type="dxa" w:w="1900"/>
            <w:tcMar>
              <w:top w:type="dxa" w:w="50"/>
              <w:left w:type="dxa" w:w="100"/>
              <w:bottom w:type="dxa" w:w="50"/>
              <w:right w:type="dxa" w:w="100"/>
            </w:tcMar>
          </w:tcPr>
          <w:p>
            <w:pPr>
              <w:jc w:val="center"/>
            </w:pPr>
            <w:r>
              <w:rPr>
                <w:b w:val="false"/>
                <w:bCs w:val="false"/>
                <w:sz w:val="20"/>
                <w:szCs w:val="20"/>
              </w:rPr>
              <w:t xml:space="preserve">883</w:t>
            </w:r>
          </w:p>
        </w:tc>
        <w:tc>
          <w:tcPr>
            <w:tcW w:type="dxa" w:w="1400"/>
            <w:tcMar>
              <w:top w:type="dxa" w:w="50"/>
              <w:left w:type="dxa" w:w="100"/>
              <w:bottom w:type="dxa" w:w="50"/>
              <w:right w:type="dxa" w:w="100"/>
            </w:tcMar>
          </w:tcPr>
          <w:p>
            <w:pPr>
              <w:jc w:val="center"/>
            </w:pPr>
            <w:r>
              <w:rPr>
                <w:b w:val="false"/>
                <w:bCs w:val="false"/>
                <w:sz w:val="20"/>
                <w:szCs w:val="20"/>
              </w:rPr>
              <w:t xml:space="preserve">9</w:t>
            </w:r>
          </w:p>
        </w:tc>
        <w:tc>
          <w:tcPr>
            <w:tcW w:type="dxa" w:w="1900"/>
            <w:tcMar>
              <w:top w:type="dxa" w:w="50"/>
              <w:left w:type="dxa" w:w="100"/>
              <w:bottom w:type="dxa" w:w="50"/>
              <w:right w:type="dxa" w:w="100"/>
            </w:tcMar>
          </w:tcPr>
          <w:p>
            <w:pPr>
              <w:jc w:val="center"/>
            </w:pPr>
            <w:r>
              <w:rPr>
                <w:b w:val="false"/>
                <w:bCs w:val="false"/>
                <w:sz w:val="20"/>
                <w:szCs w:val="20"/>
              </w:rPr>
              <w:t xml:space="preserve">493</w:t>
            </w:r>
          </w:p>
        </w:tc>
        <w:tc>
          <w:tcPr>
            <w:tcW w:type="dxa" w:w="1900"/>
            <w:tcMar>
              <w:top w:type="dxa" w:w="50"/>
              <w:left w:type="dxa" w:w="100"/>
              <w:bottom w:type="dxa" w:w="50"/>
              <w:right w:type="dxa" w:w="100"/>
            </w:tcMar>
          </w:tcPr>
          <w:p>
            <w:pPr>
              <w:jc w:val="center"/>
            </w:pPr>
            <w:r>
              <w:rPr>
                <w:b w:val="false"/>
                <w:bCs w:val="false"/>
                <w:sz w:val="20"/>
                <w:szCs w:val="20"/>
              </w:rPr>
              <w:t xml:space="preserve">6,667</w:t>
            </w:r>
          </w:p>
        </w:tc>
        <w:tc>
          <w:tcPr>
            <w:tcW w:type="dxa" w:w="2200"/>
            <w:tcMar>
              <w:top w:type="dxa" w:w="50"/>
              <w:left w:type="dxa" w:w="100"/>
              <w:bottom w:type="dxa" w:w="50"/>
              <w:right w:type="dxa" w:w="100"/>
            </w:tcMar>
          </w:tcPr>
          <w:p>
            <w:pPr>
              <w:jc w:val="center"/>
            </w:pPr>
            <w:r>
              <w:rPr>
                <w:b w:val="false"/>
                <w:bCs w:val="false"/>
                <w:sz w:val="20"/>
                <w:szCs w:val="20"/>
              </w:rPr>
              <w:t xml:space="preserve">6,362</w:t>
            </w:r>
          </w:p>
        </w:tc>
      </w:tr>
      <w:tr>
        <w:tc>
          <w:tcPr>
            <w:tcW w:type="dxa" w:w="1140"/>
            <w:shd w:fill="F2F2F2" w:val="clear"/>
            <w:tcMar>
              <w:top w:type="dxa" w:w="50"/>
              <w:left w:type="dxa" w:w="100"/>
              <w:bottom w:type="dxa" w:w="50"/>
              <w:right w:type="dxa" w:w="100"/>
            </w:tcMar>
          </w:tcPr>
          <w:p>
            <w:pPr>
              <w:jc w:val="left"/>
            </w:pPr>
            <w:r>
              <w:rPr>
                <w:b w:val="false"/>
                <w:bCs w:val="false"/>
                <w:sz w:val="20"/>
                <w:szCs w:val="20"/>
              </w:rPr>
              <w:t xml:space="preserve">2024</w:t>
            </w:r>
          </w:p>
        </w:tc>
        <w:tc>
          <w:tcPr>
            <w:tcW w:type="dxa" w:w="1900"/>
            <w:shd w:fill="F2F2F2" w:val="clear"/>
            <w:tcMar>
              <w:top w:type="dxa" w:w="50"/>
              <w:left w:type="dxa" w:w="100"/>
              <w:bottom w:type="dxa" w:w="50"/>
              <w:right w:type="dxa" w:w="100"/>
            </w:tcMar>
          </w:tcPr>
          <w:p>
            <w:pPr>
              <w:jc w:val="center"/>
            </w:pPr>
            <w:r>
              <w:rPr>
                <w:b w:val="false"/>
                <w:bCs w:val="false"/>
                <w:sz w:val="20"/>
                <w:szCs w:val="20"/>
              </w:rPr>
              <w:t xml:space="preserve">1,121</w:t>
            </w:r>
          </w:p>
        </w:tc>
        <w:tc>
          <w:tcPr>
            <w:tcW w:type="dxa" w:w="1400"/>
            <w:shd w:fill="F2F2F2" w:val="clear"/>
            <w:tcMar>
              <w:top w:type="dxa" w:w="50"/>
              <w:left w:type="dxa" w:w="100"/>
              <w:bottom w:type="dxa" w:w="50"/>
              <w:right w:type="dxa" w:w="100"/>
            </w:tcMar>
          </w:tcPr>
          <w:p>
            <w:pPr>
              <w:jc w:val="center"/>
            </w:pPr>
            <w:r>
              <w:rPr>
                <w:b w:val="false"/>
                <w:bCs w:val="false"/>
                <w:sz w:val="20"/>
                <w:szCs w:val="20"/>
              </w:rPr>
              <w:t xml:space="preserve">8</w:t>
            </w:r>
          </w:p>
        </w:tc>
        <w:tc>
          <w:tcPr>
            <w:tcW w:type="dxa" w:w="1900"/>
            <w:shd w:fill="F2F2F2" w:val="clear"/>
            <w:tcMar>
              <w:top w:type="dxa" w:w="50"/>
              <w:left w:type="dxa" w:w="100"/>
              <w:bottom w:type="dxa" w:w="50"/>
              <w:right w:type="dxa" w:w="100"/>
            </w:tcMar>
          </w:tcPr>
          <w:p>
            <w:pPr>
              <w:jc w:val="center"/>
            </w:pPr>
            <w:r>
              <w:rPr>
                <w:b w:val="false"/>
                <w:bCs w:val="false"/>
                <w:sz w:val="20"/>
                <w:szCs w:val="20"/>
              </w:rPr>
              <w:t xml:space="preserve">475</w:t>
            </w:r>
          </w:p>
        </w:tc>
        <w:tc>
          <w:tcPr>
            <w:tcW w:type="dxa" w:w="1900"/>
            <w:shd w:fill="F2F2F2" w:val="clear"/>
            <w:tcMar>
              <w:top w:type="dxa" w:w="50"/>
              <w:left w:type="dxa" w:w="100"/>
              <w:bottom w:type="dxa" w:w="50"/>
              <w:right w:type="dxa" w:w="100"/>
            </w:tcMar>
          </w:tcPr>
          <w:p>
            <w:pPr>
              <w:jc w:val="center"/>
            </w:pPr>
            <w:r>
              <w:rPr>
                <w:b w:val="false"/>
                <w:bCs w:val="false"/>
                <w:sz w:val="20"/>
                <w:szCs w:val="20"/>
              </w:rPr>
              <w:t xml:space="preserve">6,648</w:t>
            </w:r>
          </w:p>
        </w:tc>
        <w:tc>
          <w:tcPr>
            <w:tcW w:type="dxa" w:w="2200"/>
            <w:shd w:fill="F2F2F2" w:val="clear"/>
            <w:tcMar>
              <w:top w:type="dxa" w:w="50"/>
              <w:left w:type="dxa" w:w="100"/>
              <w:bottom w:type="dxa" w:w="50"/>
              <w:right w:type="dxa" w:w="100"/>
            </w:tcMar>
          </w:tcPr>
          <w:p>
            <w:pPr>
              <w:jc w:val="center"/>
            </w:pPr>
            <w:r>
              <w:rPr>
                <w:b w:val="false"/>
                <w:bCs w:val="false"/>
                <w:sz w:val="20"/>
                <w:szCs w:val="20"/>
              </w:rPr>
              <w:t xml:space="preserve">6,274</w:t>
            </w:r>
          </w:p>
        </w:tc>
      </w:tr>
    </w:tbl>
    <w:p>
      <w:pPr>
        <w:spacing w:before="200"/>
      </w:pPr>
    </w:p>
    <w:p>
      <w:pPr>
        <w:pStyle w:val="Heading1"/>
        <w:spacing w:after="150" w:before="300"/>
      </w:pPr>
      <w:r>
        <w:t xml:space="preserve">4. Workings — Step 1: average balances</w:t>
      </w:r>
    </w:p>
    <w:tbl>
      <w:tblPr>
        <w:tblW w:type="dxa" w:w="10440"/>
        <w:tblBorders>
          <w:top w:val="single" w:color="auto" w:sz="4"/>
          <w:left w:val="single" w:color="auto" w:sz="4"/>
          <w:bottom w:val="single" w:color="auto" w:sz="4"/>
          <w:right w:val="single" w:color="auto" w:sz="4"/>
          <w:insideH w:val="single" w:color="auto" w:sz="4"/>
          <w:insideV w:val="single" w:color="auto" w:sz="4"/>
        </w:tblBorders>
      </w:tblPr>
      <w:tblGrid>
        <w:gridCol w:w="1140"/>
        <w:gridCol w:w="3100"/>
        <w:gridCol w:w="3100"/>
        <w:gridCol w:w="3100"/>
      </w:tblGrid>
      <w:tr>
        <w:trPr>
          <w:tblHeader/>
        </w:trPr>
        <w:tc>
          <w:tcPr>
            <w:tcW w:type="dxa" w:w="1140"/>
            <w:shd w:fill="1F4E79" w:val="clear"/>
            <w:tcMar>
              <w:top w:type="dxa" w:w="60"/>
              <w:left w:type="dxa" w:w="100"/>
              <w:bottom w:type="dxa" w:w="60"/>
              <w:right w:type="dxa" w:w="100"/>
            </w:tcMar>
          </w:tcPr>
          <w:p>
            <w:pPr>
              <w:jc w:val="center"/>
            </w:pPr>
            <w:r>
              <w:rPr>
                <w:b/>
                <w:bCs/>
                <w:color w:val="FFFFFF"/>
                <w:sz w:val="20"/>
                <w:szCs w:val="20"/>
              </w:rPr>
              <w:t xml:space="preserve">Year</w:t>
            </w:r>
          </w:p>
        </w:tc>
        <w:tc>
          <w:tcPr>
            <w:tcW w:type="dxa" w:w="3100"/>
            <w:shd w:fill="1F4E79" w:val="clear"/>
            <w:tcMar>
              <w:top w:type="dxa" w:w="60"/>
              <w:left w:type="dxa" w:w="100"/>
              <w:bottom w:type="dxa" w:w="60"/>
              <w:right w:type="dxa" w:w="100"/>
            </w:tcMar>
          </w:tcPr>
          <w:p>
            <w:pPr>
              <w:jc w:val="center"/>
            </w:pPr>
            <w:r>
              <w:rPr>
                <w:b/>
                <w:bCs/>
                <w:color w:val="FFFFFF"/>
                <w:sz w:val="20"/>
                <w:szCs w:val="20"/>
              </w:rPr>
              <w:t xml:space="preserve">Avg. inventory ($m)</w:t>
            </w:r>
          </w:p>
        </w:tc>
        <w:tc>
          <w:tcPr>
            <w:tcW w:type="dxa" w:w="3100"/>
            <w:shd w:fill="1F4E79" w:val="clear"/>
            <w:tcMar>
              <w:top w:type="dxa" w:w="60"/>
              <w:left w:type="dxa" w:w="100"/>
              <w:bottom w:type="dxa" w:w="60"/>
              <w:right w:type="dxa" w:w="100"/>
            </w:tcMar>
          </w:tcPr>
          <w:p>
            <w:pPr>
              <w:jc w:val="center"/>
            </w:pPr>
            <w:r>
              <w:rPr>
                <w:b/>
                <w:bCs/>
                <w:color w:val="FFFFFF"/>
                <w:sz w:val="20"/>
                <w:szCs w:val="20"/>
              </w:rPr>
              <w:t xml:space="preserve">Avg. receivables ($m)</w:t>
            </w:r>
          </w:p>
        </w:tc>
        <w:tc>
          <w:tcPr>
            <w:tcW w:type="dxa" w:w="3100"/>
            <w:shd w:fill="1F4E79" w:val="clear"/>
            <w:tcMar>
              <w:top w:type="dxa" w:w="60"/>
              <w:left w:type="dxa" w:w="100"/>
              <w:bottom w:type="dxa" w:w="60"/>
              <w:right w:type="dxa" w:w="100"/>
            </w:tcMar>
          </w:tcPr>
          <w:p>
            <w:pPr>
              <w:jc w:val="center"/>
            </w:pPr>
            <w:r>
              <w:rPr>
                <w:b/>
                <w:bCs/>
                <w:color w:val="FFFFFF"/>
                <w:sz w:val="20"/>
                <w:szCs w:val="20"/>
              </w:rPr>
              <w:t xml:space="preserve">Avg. payables ($m)</w:t>
            </w:r>
          </w:p>
        </w:tc>
      </w:tr>
      <w:tr>
        <w:tc>
          <w:tcPr>
            <w:tcW w:type="dxa" w:w="1140"/>
            <w:tcMar>
              <w:top w:type="dxa" w:w="50"/>
              <w:left w:type="dxa" w:w="100"/>
              <w:bottom w:type="dxa" w:w="50"/>
              <w:right w:type="dxa" w:w="100"/>
            </w:tcMar>
          </w:tcPr>
          <w:p>
            <w:pPr>
              <w:jc w:val="left"/>
            </w:pPr>
            <w:r>
              <w:rPr>
                <w:b w:val="false"/>
                <w:bCs w:val="false"/>
                <w:sz w:val="20"/>
                <w:szCs w:val="20"/>
              </w:rPr>
              <w:t xml:space="preserve">2020</w:t>
            </w:r>
          </w:p>
        </w:tc>
        <w:tc>
          <w:tcPr>
            <w:tcW w:type="dxa" w:w="3100"/>
            <w:tcMar>
              <w:top w:type="dxa" w:w="50"/>
              <w:left w:type="dxa" w:w="100"/>
              <w:bottom w:type="dxa" w:w="50"/>
              <w:right w:type="dxa" w:w="100"/>
            </w:tcMar>
          </w:tcPr>
          <w:p>
            <w:pPr>
              <w:jc w:val="center"/>
            </w:pPr>
            <w:r>
              <w:rPr>
                <w:b w:val="false"/>
                <w:bCs w:val="false"/>
                <w:sz w:val="20"/>
                <w:szCs w:val="20"/>
              </w:rPr>
              <w:t xml:space="preserve">(12+9)/2 = 10.5</w:t>
            </w:r>
          </w:p>
        </w:tc>
        <w:tc>
          <w:tcPr>
            <w:tcW w:type="dxa" w:w="3100"/>
            <w:tcMar>
              <w:top w:type="dxa" w:w="50"/>
              <w:left w:type="dxa" w:w="100"/>
              <w:bottom w:type="dxa" w:w="50"/>
              <w:right w:type="dxa" w:w="100"/>
            </w:tcMar>
          </w:tcPr>
          <w:p>
            <w:pPr>
              <w:jc w:val="center"/>
            </w:pPr>
            <w:r>
              <w:rPr>
                <w:b w:val="false"/>
                <w:bCs w:val="false"/>
                <w:sz w:val="20"/>
                <w:szCs w:val="20"/>
              </w:rPr>
              <w:t xml:space="preserve">(421+316)/2 = 368.5</w:t>
            </w:r>
          </w:p>
        </w:tc>
        <w:tc>
          <w:tcPr>
            <w:tcW w:type="dxa" w:w="3100"/>
            <w:tcMar>
              <w:top w:type="dxa" w:w="50"/>
              <w:left w:type="dxa" w:w="100"/>
              <w:bottom w:type="dxa" w:w="50"/>
              <w:right w:type="dxa" w:w="100"/>
            </w:tcMar>
          </w:tcPr>
          <w:p>
            <w:pPr>
              <w:jc w:val="center"/>
            </w:pPr>
            <w:r>
              <w:rPr>
                <w:b w:val="false"/>
                <w:bCs w:val="false"/>
                <w:sz w:val="20"/>
                <w:szCs w:val="20"/>
              </w:rPr>
              <w:t xml:space="preserve">(150+102)/2 = 126.0</w:t>
            </w:r>
          </w:p>
        </w:tc>
      </w:tr>
      <w:tr>
        <w:tc>
          <w:tcPr>
            <w:tcW w:type="dxa" w:w="1140"/>
            <w:shd w:fill="F2F2F2" w:val="clear"/>
            <w:tcMar>
              <w:top w:type="dxa" w:w="50"/>
              <w:left w:type="dxa" w:w="100"/>
              <w:bottom w:type="dxa" w:w="50"/>
              <w:right w:type="dxa" w:w="100"/>
            </w:tcMar>
          </w:tcPr>
          <w:p>
            <w:pPr>
              <w:jc w:val="left"/>
            </w:pPr>
            <w:r>
              <w:rPr>
                <w:b w:val="false"/>
                <w:bCs w:val="false"/>
                <w:sz w:val="20"/>
                <w:szCs w:val="20"/>
              </w:rPr>
              <w:t xml:space="preserve">2021</w:t>
            </w:r>
          </w:p>
        </w:tc>
        <w:tc>
          <w:tcPr>
            <w:tcW w:type="dxa" w:w="3100"/>
            <w:shd w:fill="F2F2F2" w:val="clear"/>
            <w:tcMar>
              <w:top w:type="dxa" w:w="50"/>
              <w:left w:type="dxa" w:w="100"/>
              <w:bottom w:type="dxa" w:w="50"/>
              <w:right w:type="dxa" w:w="100"/>
            </w:tcMar>
          </w:tcPr>
          <w:p>
            <w:pPr>
              <w:jc w:val="center"/>
            </w:pPr>
            <w:r>
              <w:rPr>
                <w:b w:val="false"/>
                <w:bCs w:val="false"/>
                <w:sz w:val="20"/>
                <w:szCs w:val="20"/>
              </w:rPr>
              <w:t xml:space="preserve">(9+10)/2 = 9.5</w:t>
            </w:r>
          </w:p>
        </w:tc>
        <w:tc>
          <w:tcPr>
            <w:tcW w:type="dxa" w:w="3100"/>
            <w:shd w:fill="F2F2F2" w:val="clear"/>
            <w:tcMar>
              <w:top w:type="dxa" w:w="50"/>
              <w:left w:type="dxa" w:w="100"/>
              <w:bottom w:type="dxa" w:w="50"/>
              <w:right w:type="dxa" w:w="100"/>
            </w:tcMar>
          </w:tcPr>
          <w:p>
            <w:pPr>
              <w:jc w:val="center"/>
            </w:pPr>
            <w:r>
              <w:rPr>
                <w:b w:val="false"/>
                <w:bCs w:val="false"/>
                <w:sz w:val="20"/>
                <w:szCs w:val="20"/>
              </w:rPr>
              <w:t xml:space="preserve">(316+633)/2 = 474.5</w:t>
            </w:r>
          </w:p>
        </w:tc>
        <w:tc>
          <w:tcPr>
            <w:tcW w:type="dxa" w:w="3100"/>
            <w:shd w:fill="F2F2F2" w:val="clear"/>
            <w:tcMar>
              <w:top w:type="dxa" w:w="50"/>
              <w:left w:type="dxa" w:w="100"/>
              <w:bottom w:type="dxa" w:w="50"/>
              <w:right w:type="dxa" w:w="100"/>
            </w:tcMar>
          </w:tcPr>
          <w:p>
            <w:pPr>
              <w:jc w:val="center"/>
            </w:pPr>
            <w:r>
              <w:rPr>
                <w:b w:val="false"/>
                <w:bCs w:val="false"/>
                <w:sz w:val="20"/>
                <w:szCs w:val="20"/>
              </w:rPr>
              <w:t xml:space="preserve">(102+523)/2 = 312.5</w:t>
            </w:r>
          </w:p>
        </w:tc>
      </w:tr>
      <w:tr>
        <w:tc>
          <w:tcPr>
            <w:tcW w:type="dxa" w:w="1140"/>
            <w:tcMar>
              <w:top w:type="dxa" w:w="50"/>
              <w:left w:type="dxa" w:w="100"/>
              <w:bottom w:type="dxa" w:w="50"/>
              <w:right w:type="dxa" w:w="100"/>
            </w:tcMar>
          </w:tcPr>
          <w:p>
            <w:pPr>
              <w:jc w:val="left"/>
            </w:pPr>
            <w:r>
              <w:rPr>
                <w:b w:val="false"/>
                <w:bCs w:val="false"/>
                <w:sz w:val="20"/>
                <w:szCs w:val="20"/>
              </w:rPr>
              <w:t xml:space="preserve">2022</w:t>
            </w:r>
          </w:p>
        </w:tc>
        <w:tc>
          <w:tcPr>
            <w:tcW w:type="dxa" w:w="3100"/>
            <w:tcMar>
              <w:top w:type="dxa" w:w="50"/>
              <w:left w:type="dxa" w:w="100"/>
              <w:bottom w:type="dxa" w:w="50"/>
              <w:right w:type="dxa" w:w="100"/>
            </w:tcMar>
          </w:tcPr>
          <w:p>
            <w:pPr>
              <w:jc w:val="center"/>
            </w:pPr>
            <w:r>
              <w:rPr>
                <w:b w:val="false"/>
                <w:bCs w:val="false"/>
                <w:sz w:val="20"/>
                <w:szCs w:val="20"/>
              </w:rPr>
              <w:t xml:space="preserve">(10+9)/2 = 9.5</w:t>
            </w:r>
          </w:p>
        </w:tc>
        <w:tc>
          <w:tcPr>
            <w:tcW w:type="dxa" w:w="3100"/>
            <w:tcMar>
              <w:top w:type="dxa" w:w="50"/>
              <w:left w:type="dxa" w:w="100"/>
              <w:bottom w:type="dxa" w:w="50"/>
              <w:right w:type="dxa" w:w="100"/>
            </w:tcMar>
          </w:tcPr>
          <w:p>
            <w:pPr>
              <w:jc w:val="center"/>
            </w:pPr>
            <w:r>
              <w:rPr>
                <w:b w:val="false"/>
                <w:bCs w:val="false"/>
                <w:sz w:val="20"/>
                <w:szCs w:val="20"/>
              </w:rPr>
              <w:t xml:space="preserve">(633+834)/2 = 733.5</w:t>
            </w:r>
          </w:p>
        </w:tc>
        <w:tc>
          <w:tcPr>
            <w:tcW w:type="dxa" w:w="3100"/>
            <w:tcMar>
              <w:top w:type="dxa" w:w="50"/>
              <w:left w:type="dxa" w:w="100"/>
              <w:bottom w:type="dxa" w:w="50"/>
              <w:right w:type="dxa" w:w="100"/>
            </w:tcMar>
          </w:tcPr>
          <w:p>
            <w:pPr>
              <w:jc w:val="center"/>
            </w:pPr>
            <w:r>
              <w:rPr>
                <w:b w:val="false"/>
                <w:bCs w:val="false"/>
                <w:sz w:val="20"/>
                <w:szCs w:val="20"/>
              </w:rPr>
              <w:t xml:space="preserve">(523+500)/2 = 511.5</w:t>
            </w:r>
          </w:p>
        </w:tc>
      </w:tr>
      <w:tr>
        <w:tc>
          <w:tcPr>
            <w:tcW w:type="dxa" w:w="1140"/>
            <w:shd w:fill="F2F2F2" w:val="clear"/>
            <w:tcMar>
              <w:top w:type="dxa" w:w="50"/>
              <w:left w:type="dxa" w:w="100"/>
              <w:bottom w:type="dxa" w:w="50"/>
              <w:right w:type="dxa" w:w="100"/>
            </w:tcMar>
          </w:tcPr>
          <w:p>
            <w:pPr>
              <w:jc w:val="left"/>
            </w:pPr>
            <w:r>
              <w:rPr>
                <w:b w:val="false"/>
                <w:bCs w:val="false"/>
                <w:sz w:val="20"/>
                <w:szCs w:val="20"/>
              </w:rPr>
              <w:t xml:space="preserve">2023</w:t>
            </w:r>
          </w:p>
        </w:tc>
        <w:tc>
          <w:tcPr>
            <w:tcW w:type="dxa" w:w="3100"/>
            <w:shd w:fill="F2F2F2" w:val="clear"/>
            <w:tcMar>
              <w:top w:type="dxa" w:w="50"/>
              <w:left w:type="dxa" w:w="100"/>
              <w:bottom w:type="dxa" w:w="50"/>
              <w:right w:type="dxa" w:w="100"/>
            </w:tcMar>
          </w:tcPr>
          <w:p>
            <w:pPr>
              <w:jc w:val="center"/>
            </w:pPr>
            <w:r>
              <w:rPr>
                <w:b w:val="false"/>
                <w:bCs w:val="false"/>
                <w:sz w:val="20"/>
                <w:szCs w:val="20"/>
              </w:rPr>
              <w:t xml:space="preserve">(9+9)/2 = 9.0</w:t>
            </w:r>
          </w:p>
        </w:tc>
        <w:tc>
          <w:tcPr>
            <w:tcW w:type="dxa" w:w="3100"/>
            <w:shd w:fill="F2F2F2" w:val="clear"/>
            <w:tcMar>
              <w:top w:type="dxa" w:w="50"/>
              <w:left w:type="dxa" w:w="100"/>
              <w:bottom w:type="dxa" w:w="50"/>
              <w:right w:type="dxa" w:w="100"/>
            </w:tcMar>
          </w:tcPr>
          <w:p>
            <w:pPr>
              <w:jc w:val="center"/>
            </w:pPr>
            <w:r>
              <w:rPr>
                <w:b w:val="false"/>
                <w:bCs w:val="false"/>
                <w:sz w:val="20"/>
                <w:szCs w:val="20"/>
              </w:rPr>
              <w:t xml:space="preserve">(834+883)/2 = 858.5</w:t>
            </w:r>
          </w:p>
        </w:tc>
        <w:tc>
          <w:tcPr>
            <w:tcW w:type="dxa" w:w="3100"/>
            <w:shd w:fill="F2F2F2" w:val="clear"/>
            <w:tcMar>
              <w:top w:type="dxa" w:w="50"/>
              <w:left w:type="dxa" w:w="100"/>
              <w:bottom w:type="dxa" w:w="50"/>
              <w:right w:type="dxa" w:w="100"/>
            </w:tcMar>
          </w:tcPr>
          <w:p>
            <w:pPr>
              <w:jc w:val="center"/>
            </w:pPr>
            <w:r>
              <w:rPr>
                <w:b w:val="false"/>
                <w:bCs w:val="false"/>
                <w:sz w:val="20"/>
                <w:szCs w:val="20"/>
              </w:rPr>
              <w:t xml:space="preserve">(500+493)/2 = 496.5</w:t>
            </w:r>
          </w:p>
        </w:tc>
      </w:tr>
      <w:tr>
        <w:tc>
          <w:tcPr>
            <w:tcW w:type="dxa" w:w="1140"/>
            <w:tcMar>
              <w:top w:type="dxa" w:w="50"/>
              <w:left w:type="dxa" w:w="100"/>
              <w:bottom w:type="dxa" w:w="50"/>
              <w:right w:type="dxa" w:w="100"/>
            </w:tcMar>
          </w:tcPr>
          <w:p>
            <w:pPr>
              <w:jc w:val="left"/>
            </w:pPr>
            <w:r>
              <w:rPr>
                <w:b w:val="false"/>
                <w:bCs w:val="false"/>
                <w:sz w:val="20"/>
                <w:szCs w:val="20"/>
              </w:rPr>
              <w:t xml:space="preserve">2024</w:t>
            </w:r>
          </w:p>
        </w:tc>
        <w:tc>
          <w:tcPr>
            <w:tcW w:type="dxa" w:w="3100"/>
            <w:tcMar>
              <w:top w:type="dxa" w:w="50"/>
              <w:left w:type="dxa" w:w="100"/>
              <w:bottom w:type="dxa" w:w="50"/>
              <w:right w:type="dxa" w:w="100"/>
            </w:tcMar>
          </w:tcPr>
          <w:p>
            <w:pPr>
              <w:jc w:val="center"/>
            </w:pPr>
            <w:r>
              <w:rPr>
                <w:b w:val="false"/>
                <w:bCs w:val="false"/>
                <w:sz w:val="20"/>
                <w:szCs w:val="20"/>
              </w:rPr>
              <w:t xml:space="preserve">(9+8)/2 = 8.5</w:t>
            </w:r>
          </w:p>
        </w:tc>
        <w:tc>
          <w:tcPr>
            <w:tcW w:type="dxa" w:w="3100"/>
            <w:tcMar>
              <w:top w:type="dxa" w:w="50"/>
              <w:left w:type="dxa" w:w="100"/>
              <w:bottom w:type="dxa" w:w="50"/>
              <w:right w:type="dxa" w:w="100"/>
            </w:tcMar>
          </w:tcPr>
          <w:p>
            <w:pPr>
              <w:jc w:val="center"/>
            </w:pPr>
            <w:r>
              <w:rPr>
                <w:b w:val="false"/>
                <w:bCs w:val="false"/>
                <w:sz w:val="20"/>
                <w:szCs w:val="20"/>
              </w:rPr>
              <w:t xml:space="preserve">(883+1,121)/2 = 1,002.0</w:t>
            </w:r>
          </w:p>
        </w:tc>
        <w:tc>
          <w:tcPr>
            <w:tcW w:type="dxa" w:w="3100"/>
            <w:tcMar>
              <w:top w:type="dxa" w:w="50"/>
              <w:left w:type="dxa" w:w="100"/>
              <w:bottom w:type="dxa" w:w="50"/>
              <w:right w:type="dxa" w:w="100"/>
            </w:tcMar>
          </w:tcPr>
          <w:p>
            <w:pPr>
              <w:jc w:val="center"/>
            </w:pPr>
            <w:r>
              <w:rPr>
                <w:b w:val="false"/>
                <w:bCs w:val="false"/>
                <w:sz w:val="20"/>
                <w:szCs w:val="20"/>
              </w:rPr>
              <w:t xml:space="preserve">(493+475)/2 = 484.0</w:t>
            </w:r>
          </w:p>
        </w:tc>
      </w:tr>
    </w:tbl>
    <w:p>
      <w:pPr>
        <w:spacing w:before="200"/>
      </w:pPr>
    </w:p>
    <w:p>
      <w:pPr>
        <w:pStyle w:val="Heading1"/>
        <w:spacing w:after="150" w:before="300"/>
      </w:pPr>
      <w:r>
        <w:t xml:space="preserve">5. Workings — Step 2: days outstanding and CCC (primary method)</w:t>
      </w:r>
    </w:p>
    <w:tbl>
      <w:tblPr>
        <w:tblW w:type="dxa" w:w="10440"/>
        <w:tblBorders>
          <w:top w:val="single" w:color="auto" w:sz="4"/>
          <w:left w:val="single" w:color="auto" w:sz="4"/>
          <w:bottom w:val="single" w:color="auto" w:sz="4"/>
          <w:right w:val="single" w:color="auto" w:sz="4"/>
          <w:insideH w:val="single" w:color="auto" w:sz="4"/>
          <w:insideV w:val="single" w:color="auto" w:sz="4"/>
        </w:tblBorders>
      </w:tblPr>
      <w:tblGrid>
        <w:gridCol w:w="700"/>
        <w:gridCol w:w="2500"/>
        <w:gridCol w:w="2500"/>
        <w:gridCol w:w="2500"/>
        <w:gridCol w:w="2240"/>
      </w:tblGrid>
      <w:tr>
        <w:trPr>
          <w:tblHeader/>
        </w:trPr>
        <w:tc>
          <w:tcPr>
            <w:tcW w:type="dxa" w:w="700"/>
            <w:shd w:fill="1F4E79" w:val="clear"/>
            <w:tcMar>
              <w:top w:type="dxa" w:w="60"/>
              <w:left w:type="dxa" w:w="100"/>
              <w:bottom w:type="dxa" w:w="60"/>
              <w:right w:type="dxa" w:w="100"/>
            </w:tcMar>
          </w:tcPr>
          <w:p>
            <w:pPr>
              <w:jc w:val="center"/>
            </w:pPr>
            <w:r>
              <w:rPr>
                <w:b/>
                <w:bCs/>
                <w:color w:val="FFFFFF"/>
                <w:sz w:val="20"/>
                <w:szCs w:val="20"/>
              </w:rPr>
              <w:t xml:space="preserve">Year</w:t>
            </w:r>
          </w:p>
        </w:tc>
        <w:tc>
          <w:tcPr>
            <w:tcW w:type="dxa" w:w="2500"/>
            <w:shd w:fill="1F4E79" w:val="clear"/>
            <w:tcMar>
              <w:top w:type="dxa" w:w="60"/>
              <w:left w:type="dxa" w:w="100"/>
              <w:bottom w:type="dxa" w:w="60"/>
              <w:right w:type="dxa" w:w="100"/>
            </w:tcMar>
          </w:tcPr>
          <w:p>
            <w:pPr>
              <w:jc w:val="center"/>
            </w:pPr>
            <w:r>
              <w:rPr>
                <w:b/>
                <w:bCs/>
                <w:color w:val="FFFFFF"/>
                <w:sz w:val="20"/>
                <w:szCs w:val="20"/>
              </w:rPr>
              <w:t xml:space="preserve">Inventory Days
(Avg Inv / Exp × 365)</w:t>
            </w:r>
          </w:p>
        </w:tc>
        <w:tc>
          <w:tcPr>
            <w:tcW w:type="dxa" w:w="2500"/>
            <w:shd w:fill="1F4E79" w:val="clear"/>
            <w:tcMar>
              <w:top w:type="dxa" w:w="60"/>
              <w:left w:type="dxa" w:w="100"/>
              <w:bottom w:type="dxa" w:w="60"/>
              <w:right w:type="dxa" w:w="100"/>
            </w:tcMar>
          </w:tcPr>
          <w:p>
            <w:pPr>
              <w:jc w:val="center"/>
            </w:pPr>
            <w:r>
              <w:rPr>
                <w:b/>
                <w:bCs/>
                <w:color w:val="FFFFFF"/>
                <w:sz w:val="20"/>
                <w:szCs w:val="20"/>
              </w:rPr>
              <w:t xml:space="preserve">Receivable Days
(Avg Recv / Rev × 365)</w:t>
            </w:r>
          </w:p>
        </w:tc>
        <w:tc>
          <w:tcPr>
            <w:tcW w:type="dxa" w:w="2500"/>
            <w:shd w:fill="1F4E79" w:val="clear"/>
            <w:tcMar>
              <w:top w:type="dxa" w:w="60"/>
              <w:left w:type="dxa" w:w="100"/>
              <w:bottom w:type="dxa" w:w="60"/>
              <w:right w:type="dxa" w:w="100"/>
            </w:tcMar>
          </w:tcPr>
          <w:p>
            <w:pPr>
              <w:jc w:val="center"/>
            </w:pPr>
            <w:r>
              <w:rPr>
                <w:b/>
                <w:bCs/>
                <w:color w:val="FFFFFF"/>
                <w:sz w:val="20"/>
                <w:szCs w:val="20"/>
              </w:rPr>
              <w:t xml:space="preserve">Payable Days
(Avg AP / Exp × 365)</w:t>
            </w:r>
          </w:p>
        </w:tc>
        <w:tc>
          <w:tcPr>
            <w:tcW w:type="dxa" w:w="2240"/>
            <w:shd w:fill="1F4E79" w:val="clear"/>
            <w:tcMar>
              <w:top w:type="dxa" w:w="60"/>
              <w:left w:type="dxa" w:w="100"/>
              <w:bottom w:type="dxa" w:w="60"/>
              <w:right w:type="dxa" w:w="100"/>
            </w:tcMar>
          </w:tcPr>
          <w:p>
            <w:pPr>
              <w:jc w:val="center"/>
            </w:pPr>
            <w:r>
              <w:rPr>
                <w:b/>
                <w:bCs/>
                <w:color w:val="FFFFFF"/>
                <w:sz w:val="20"/>
                <w:szCs w:val="20"/>
              </w:rPr>
              <w:t xml:space="preserve">CCC = Inv+Recv−Pay (days)</w:t>
            </w:r>
          </w:p>
        </w:tc>
      </w:tr>
      <w:tr>
        <w:tc>
          <w:tcPr>
            <w:tcW w:type="dxa" w:w="700"/>
            <w:tcMar>
              <w:top w:type="dxa" w:w="50"/>
              <w:left w:type="dxa" w:w="100"/>
              <w:bottom w:type="dxa" w:w="50"/>
              <w:right w:type="dxa" w:w="100"/>
            </w:tcMar>
          </w:tcPr>
          <w:p>
            <w:pPr>
              <w:jc w:val="left"/>
            </w:pPr>
            <w:r>
              <w:rPr>
                <w:b w:val="false"/>
                <w:bCs w:val="false"/>
                <w:sz w:val="20"/>
                <w:szCs w:val="20"/>
              </w:rPr>
              <w:t xml:space="preserve">2020</w:t>
            </w:r>
          </w:p>
        </w:tc>
        <w:tc>
          <w:tcPr>
            <w:tcW w:type="dxa" w:w="2500"/>
            <w:tcMar>
              <w:top w:type="dxa" w:w="50"/>
              <w:left w:type="dxa" w:w="100"/>
              <w:bottom w:type="dxa" w:w="50"/>
              <w:right w:type="dxa" w:w="100"/>
            </w:tcMar>
          </w:tcPr>
          <w:p>
            <w:pPr>
              <w:jc w:val="center"/>
            </w:pPr>
            <w:r>
              <w:rPr>
                <w:b w:val="false"/>
                <w:bCs w:val="false"/>
                <w:sz w:val="20"/>
                <w:szCs w:val="20"/>
              </w:rPr>
              <w:t xml:space="preserve">10.5/2,698×365 = 1.42</w:t>
            </w:r>
          </w:p>
        </w:tc>
        <w:tc>
          <w:tcPr>
            <w:tcW w:type="dxa" w:w="2500"/>
            <w:tcMar>
              <w:top w:type="dxa" w:w="50"/>
              <w:left w:type="dxa" w:w="100"/>
              <w:bottom w:type="dxa" w:w="50"/>
              <w:right w:type="dxa" w:w="100"/>
            </w:tcMar>
          </w:tcPr>
          <w:p>
            <w:pPr>
              <w:jc w:val="center"/>
            </w:pPr>
            <w:r>
              <w:rPr>
                <w:b w:val="false"/>
                <w:bCs w:val="false"/>
                <w:sz w:val="20"/>
                <w:szCs w:val="20"/>
              </w:rPr>
              <w:t xml:space="preserve">368.5/2,066×365 = 65.10</w:t>
            </w:r>
          </w:p>
        </w:tc>
        <w:tc>
          <w:tcPr>
            <w:tcW w:type="dxa" w:w="2500"/>
            <w:tcMar>
              <w:top w:type="dxa" w:w="50"/>
              <w:left w:type="dxa" w:w="100"/>
              <w:bottom w:type="dxa" w:w="50"/>
              <w:right w:type="dxa" w:w="100"/>
            </w:tcMar>
          </w:tcPr>
          <w:p>
            <w:pPr>
              <w:jc w:val="center"/>
            </w:pPr>
            <w:r>
              <w:rPr>
                <w:b w:val="false"/>
                <w:bCs w:val="false"/>
                <w:sz w:val="20"/>
                <w:szCs w:val="20"/>
              </w:rPr>
              <w:t xml:space="preserve">126.0/2,698×365 = 17.05</w:t>
            </w:r>
          </w:p>
        </w:tc>
        <w:tc>
          <w:tcPr>
            <w:tcW w:type="dxa" w:w="2240"/>
            <w:tcMar>
              <w:top w:type="dxa" w:w="50"/>
              <w:left w:type="dxa" w:w="100"/>
              <w:bottom w:type="dxa" w:w="50"/>
              <w:right w:type="dxa" w:w="100"/>
            </w:tcMar>
          </w:tcPr>
          <w:p>
            <w:pPr>
              <w:jc w:val="center"/>
            </w:pPr>
            <w:r>
              <w:rPr>
                <w:b/>
                <w:bCs/>
                <w:sz w:val="20"/>
                <w:szCs w:val="20"/>
              </w:rPr>
              <w:t xml:space="preserve">1.42+65.10−17.05 = 49.5</w:t>
            </w:r>
          </w:p>
        </w:tc>
      </w:tr>
      <w:tr>
        <w:tc>
          <w:tcPr>
            <w:tcW w:type="dxa" w:w="700"/>
            <w:shd w:fill="FFF2CC" w:val="clear"/>
            <w:tcMar>
              <w:top w:type="dxa" w:w="50"/>
              <w:left w:type="dxa" w:w="100"/>
              <w:bottom w:type="dxa" w:w="50"/>
              <w:right w:type="dxa" w:w="100"/>
            </w:tcMar>
          </w:tcPr>
          <w:p>
            <w:pPr>
              <w:jc w:val="left"/>
            </w:pPr>
            <w:r>
              <w:rPr>
                <w:b w:val="false"/>
                <w:bCs w:val="false"/>
                <w:sz w:val="20"/>
                <w:szCs w:val="20"/>
              </w:rPr>
              <w:t xml:space="preserve">2021</w:t>
            </w:r>
          </w:p>
        </w:tc>
        <w:tc>
          <w:tcPr>
            <w:tcW w:type="dxa" w:w="2500"/>
            <w:shd w:fill="FFF2CC" w:val="clear"/>
            <w:tcMar>
              <w:top w:type="dxa" w:w="50"/>
              <w:left w:type="dxa" w:w="100"/>
              <w:bottom w:type="dxa" w:w="50"/>
              <w:right w:type="dxa" w:w="100"/>
            </w:tcMar>
          </w:tcPr>
          <w:p>
            <w:pPr>
              <w:jc w:val="center"/>
            </w:pPr>
            <w:r>
              <w:rPr>
                <w:b w:val="false"/>
                <w:bCs w:val="false"/>
                <w:sz w:val="20"/>
                <w:szCs w:val="20"/>
              </w:rPr>
              <w:t xml:space="preserve">9.5/3,279×365 = 1.06</w:t>
            </w:r>
          </w:p>
        </w:tc>
        <w:tc>
          <w:tcPr>
            <w:tcW w:type="dxa" w:w="2500"/>
            <w:shd w:fill="FFF2CC" w:val="clear"/>
            <w:tcMar>
              <w:top w:type="dxa" w:w="50"/>
              <w:left w:type="dxa" w:w="100"/>
              <w:bottom w:type="dxa" w:w="50"/>
              <w:right w:type="dxa" w:w="100"/>
            </w:tcMar>
          </w:tcPr>
          <w:p>
            <w:pPr>
              <w:jc w:val="center"/>
            </w:pPr>
            <w:r>
              <w:rPr>
                <w:b w:val="false"/>
                <w:bCs w:val="false"/>
                <w:sz w:val="20"/>
                <w:szCs w:val="20"/>
              </w:rPr>
              <w:t xml:space="preserve">474.5/3,028×365 = 57.20</w:t>
            </w:r>
          </w:p>
        </w:tc>
        <w:tc>
          <w:tcPr>
            <w:tcW w:type="dxa" w:w="2500"/>
            <w:shd w:fill="FFF2CC" w:val="clear"/>
            <w:tcMar>
              <w:top w:type="dxa" w:w="50"/>
              <w:left w:type="dxa" w:w="100"/>
              <w:bottom w:type="dxa" w:w="50"/>
              <w:right w:type="dxa" w:w="100"/>
            </w:tcMar>
          </w:tcPr>
          <w:p>
            <w:pPr>
              <w:jc w:val="center"/>
            </w:pPr>
            <w:r>
              <w:rPr>
                <w:b w:val="false"/>
                <w:bCs w:val="false"/>
                <w:sz w:val="20"/>
                <w:szCs w:val="20"/>
              </w:rPr>
              <w:t xml:space="preserve">312.5/3,279×365 = 34.79</w:t>
            </w:r>
          </w:p>
        </w:tc>
        <w:tc>
          <w:tcPr>
            <w:tcW w:type="dxa" w:w="2240"/>
            <w:shd w:fill="FFF2CC" w:val="clear"/>
            <w:tcMar>
              <w:top w:type="dxa" w:w="50"/>
              <w:left w:type="dxa" w:w="100"/>
              <w:bottom w:type="dxa" w:w="50"/>
              <w:right w:type="dxa" w:w="100"/>
            </w:tcMar>
          </w:tcPr>
          <w:p>
            <w:pPr>
              <w:jc w:val="center"/>
            </w:pPr>
            <w:r>
              <w:rPr>
                <w:b/>
                <w:bCs/>
                <w:sz w:val="20"/>
                <w:szCs w:val="20"/>
              </w:rPr>
              <w:t xml:space="preserve">1.06+57.20−34.79 = 23.5</w:t>
            </w:r>
          </w:p>
        </w:tc>
      </w:tr>
      <w:tr>
        <w:tc>
          <w:tcPr>
            <w:tcW w:type="dxa" w:w="700"/>
            <w:tcMar>
              <w:top w:type="dxa" w:w="50"/>
              <w:left w:type="dxa" w:w="100"/>
              <w:bottom w:type="dxa" w:w="50"/>
              <w:right w:type="dxa" w:w="100"/>
            </w:tcMar>
          </w:tcPr>
          <w:p>
            <w:pPr>
              <w:jc w:val="left"/>
            </w:pPr>
            <w:r>
              <w:rPr>
                <w:b w:val="false"/>
                <w:bCs w:val="false"/>
                <w:sz w:val="20"/>
                <w:szCs w:val="20"/>
              </w:rPr>
              <w:t xml:space="preserve">2022</w:t>
            </w:r>
          </w:p>
        </w:tc>
        <w:tc>
          <w:tcPr>
            <w:tcW w:type="dxa" w:w="2500"/>
            <w:tcMar>
              <w:top w:type="dxa" w:w="50"/>
              <w:left w:type="dxa" w:w="100"/>
              <w:bottom w:type="dxa" w:w="50"/>
              <w:right w:type="dxa" w:w="100"/>
            </w:tcMar>
          </w:tcPr>
          <w:p>
            <w:pPr>
              <w:jc w:val="center"/>
            </w:pPr>
            <w:r>
              <w:rPr>
                <w:b w:val="false"/>
                <w:bCs w:val="false"/>
                <w:sz w:val="20"/>
                <w:szCs w:val="20"/>
              </w:rPr>
              <w:t xml:space="preserve">9.5/5,493×365 = 0.63</w:t>
            </w:r>
          </w:p>
        </w:tc>
        <w:tc>
          <w:tcPr>
            <w:tcW w:type="dxa" w:w="2500"/>
            <w:tcMar>
              <w:top w:type="dxa" w:w="50"/>
              <w:left w:type="dxa" w:w="100"/>
              <w:bottom w:type="dxa" w:w="50"/>
              <w:right w:type="dxa" w:w="100"/>
            </w:tcMar>
          </w:tcPr>
          <w:p>
            <w:pPr>
              <w:jc w:val="center"/>
            </w:pPr>
            <w:r>
              <w:rPr>
                <w:b w:val="false"/>
                <w:bCs w:val="false"/>
                <w:sz w:val="20"/>
                <w:szCs w:val="20"/>
              </w:rPr>
              <w:t xml:space="preserve">733.5/5,891×365 = 45.45</w:t>
            </w:r>
          </w:p>
        </w:tc>
        <w:tc>
          <w:tcPr>
            <w:tcW w:type="dxa" w:w="2500"/>
            <w:tcMar>
              <w:top w:type="dxa" w:w="50"/>
              <w:left w:type="dxa" w:w="100"/>
              <w:bottom w:type="dxa" w:w="50"/>
              <w:right w:type="dxa" w:w="100"/>
            </w:tcMar>
          </w:tcPr>
          <w:p>
            <w:pPr>
              <w:jc w:val="center"/>
            </w:pPr>
            <w:r>
              <w:rPr>
                <w:b w:val="false"/>
                <w:bCs w:val="false"/>
                <w:sz w:val="20"/>
                <w:szCs w:val="20"/>
              </w:rPr>
              <w:t xml:space="preserve">511.5/5,493×365 = 33.99</w:t>
            </w:r>
          </w:p>
        </w:tc>
        <w:tc>
          <w:tcPr>
            <w:tcW w:type="dxa" w:w="2240"/>
            <w:tcMar>
              <w:top w:type="dxa" w:w="50"/>
              <w:left w:type="dxa" w:w="100"/>
              <w:bottom w:type="dxa" w:w="50"/>
              <w:right w:type="dxa" w:w="100"/>
            </w:tcMar>
          </w:tcPr>
          <w:p>
            <w:pPr>
              <w:jc w:val="center"/>
            </w:pPr>
            <w:r>
              <w:rPr>
                <w:b/>
                <w:bCs/>
                <w:sz w:val="20"/>
                <w:szCs w:val="20"/>
              </w:rPr>
              <w:t xml:space="preserve">0.63+45.45−33.99 = 12.1</w:t>
            </w:r>
          </w:p>
        </w:tc>
      </w:tr>
      <w:tr>
        <w:tc>
          <w:tcPr>
            <w:tcW w:type="dxa" w:w="700"/>
            <w:shd w:fill="FFF2CC" w:val="clear"/>
            <w:tcMar>
              <w:top w:type="dxa" w:w="50"/>
              <w:left w:type="dxa" w:w="100"/>
              <w:bottom w:type="dxa" w:w="50"/>
              <w:right w:type="dxa" w:w="100"/>
            </w:tcMar>
          </w:tcPr>
          <w:p>
            <w:pPr>
              <w:jc w:val="left"/>
            </w:pPr>
            <w:r>
              <w:rPr>
                <w:b w:val="false"/>
                <w:bCs w:val="false"/>
                <w:sz w:val="20"/>
                <w:szCs w:val="20"/>
              </w:rPr>
              <w:t xml:space="preserve">2023</w:t>
            </w:r>
          </w:p>
        </w:tc>
        <w:tc>
          <w:tcPr>
            <w:tcW w:type="dxa" w:w="2500"/>
            <w:shd w:fill="FFF2CC" w:val="clear"/>
            <w:tcMar>
              <w:top w:type="dxa" w:w="50"/>
              <w:left w:type="dxa" w:w="100"/>
              <w:bottom w:type="dxa" w:w="50"/>
              <w:right w:type="dxa" w:w="100"/>
            </w:tcMar>
          </w:tcPr>
          <w:p>
            <w:pPr>
              <w:jc w:val="center"/>
            </w:pPr>
            <w:r>
              <w:rPr>
                <w:b w:val="false"/>
                <w:bCs w:val="false"/>
                <w:sz w:val="20"/>
                <w:szCs w:val="20"/>
              </w:rPr>
              <w:t xml:space="preserve">9.0/6,362×365 = 0.52</w:t>
            </w:r>
          </w:p>
        </w:tc>
        <w:tc>
          <w:tcPr>
            <w:tcW w:type="dxa" w:w="2500"/>
            <w:shd w:fill="FFF2CC" w:val="clear"/>
            <w:tcMar>
              <w:top w:type="dxa" w:w="50"/>
              <w:left w:type="dxa" w:w="100"/>
              <w:bottom w:type="dxa" w:w="50"/>
              <w:right w:type="dxa" w:w="100"/>
            </w:tcMar>
          </w:tcPr>
          <w:p>
            <w:pPr>
              <w:jc w:val="center"/>
            </w:pPr>
            <w:r>
              <w:rPr>
                <w:b w:val="false"/>
                <w:bCs w:val="false"/>
                <w:sz w:val="20"/>
                <w:szCs w:val="20"/>
              </w:rPr>
              <w:t xml:space="preserve">858.5/6,667×365 = 47.00</w:t>
            </w:r>
          </w:p>
        </w:tc>
        <w:tc>
          <w:tcPr>
            <w:tcW w:type="dxa" w:w="2500"/>
            <w:shd w:fill="FFF2CC" w:val="clear"/>
            <w:tcMar>
              <w:top w:type="dxa" w:w="50"/>
              <w:left w:type="dxa" w:w="100"/>
              <w:bottom w:type="dxa" w:w="50"/>
              <w:right w:type="dxa" w:w="100"/>
            </w:tcMar>
          </w:tcPr>
          <w:p>
            <w:pPr>
              <w:jc w:val="center"/>
            </w:pPr>
            <w:r>
              <w:rPr>
                <w:b w:val="false"/>
                <w:bCs w:val="false"/>
                <w:sz w:val="20"/>
                <w:szCs w:val="20"/>
              </w:rPr>
              <w:t xml:space="preserve">496.5/6,362×365 = 28.49</w:t>
            </w:r>
          </w:p>
        </w:tc>
        <w:tc>
          <w:tcPr>
            <w:tcW w:type="dxa" w:w="2240"/>
            <w:shd w:fill="FFF2CC" w:val="clear"/>
            <w:tcMar>
              <w:top w:type="dxa" w:w="50"/>
              <w:left w:type="dxa" w:w="100"/>
              <w:bottom w:type="dxa" w:w="50"/>
              <w:right w:type="dxa" w:w="100"/>
            </w:tcMar>
          </w:tcPr>
          <w:p>
            <w:pPr>
              <w:jc w:val="center"/>
            </w:pPr>
            <w:r>
              <w:rPr>
                <w:b/>
                <w:bCs/>
                <w:sz w:val="20"/>
                <w:szCs w:val="20"/>
              </w:rPr>
              <w:t xml:space="preserve">0.52+47.00−28.49 = 19.0</w:t>
            </w:r>
          </w:p>
        </w:tc>
      </w:tr>
      <w:tr>
        <w:tc>
          <w:tcPr>
            <w:tcW w:type="dxa" w:w="700"/>
            <w:tcMar>
              <w:top w:type="dxa" w:w="50"/>
              <w:left w:type="dxa" w:w="100"/>
              <w:bottom w:type="dxa" w:w="50"/>
              <w:right w:type="dxa" w:w="100"/>
            </w:tcMar>
          </w:tcPr>
          <w:p>
            <w:pPr>
              <w:jc w:val="left"/>
            </w:pPr>
            <w:r>
              <w:rPr>
                <w:b w:val="false"/>
                <w:bCs w:val="false"/>
                <w:sz w:val="20"/>
                <w:szCs w:val="20"/>
              </w:rPr>
              <w:t xml:space="preserve">2024</w:t>
            </w:r>
          </w:p>
        </w:tc>
        <w:tc>
          <w:tcPr>
            <w:tcW w:type="dxa" w:w="2500"/>
            <w:tcMar>
              <w:top w:type="dxa" w:w="50"/>
              <w:left w:type="dxa" w:w="100"/>
              <w:bottom w:type="dxa" w:w="50"/>
              <w:right w:type="dxa" w:w="100"/>
            </w:tcMar>
          </w:tcPr>
          <w:p>
            <w:pPr>
              <w:jc w:val="center"/>
            </w:pPr>
            <w:r>
              <w:rPr>
                <w:b w:val="false"/>
                <w:bCs w:val="false"/>
                <w:sz w:val="20"/>
                <w:szCs w:val="20"/>
              </w:rPr>
              <w:t xml:space="preserve">8.5/6,274×365 = 0.49</w:t>
            </w:r>
          </w:p>
        </w:tc>
        <w:tc>
          <w:tcPr>
            <w:tcW w:type="dxa" w:w="2500"/>
            <w:tcMar>
              <w:top w:type="dxa" w:w="50"/>
              <w:left w:type="dxa" w:w="100"/>
              <w:bottom w:type="dxa" w:w="50"/>
              <w:right w:type="dxa" w:w="100"/>
            </w:tcMar>
          </w:tcPr>
          <w:p>
            <w:pPr>
              <w:jc w:val="center"/>
            </w:pPr>
            <w:r>
              <w:rPr>
                <w:b w:val="false"/>
                <w:bCs w:val="false"/>
                <w:sz w:val="20"/>
                <w:szCs w:val="20"/>
              </w:rPr>
              <w:t xml:space="preserve">1,002.0/6,648×365 = 55.01</w:t>
            </w:r>
          </w:p>
        </w:tc>
        <w:tc>
          <w:tcPr>
            <w:tcW w:type="dxa" w:w="2500"/>
            <w:tcMar>
              <w:top w:type="dxa" w:w="50"/>
              <w:left w:type="dxa" w:w="100"/>
              <w:bottom w:type="dxa" w:w="50"/>
              <w:right w:type="dxa" w:w="100"/>
            </w:tcMar>
          </w:tcPr>
          <w:p>
            <w:pPr>
              <w:jc w:val="center"/>
            </w:pPr>
            <w:r>
              <w:rPr>
                <w:b w:val="false"/>
                <w:bCs w:val="false"/>
                <w:sz w:val="20"/>
                <w:szCs w:val="20"/>
              </w:rPr>
              <w:t xml:space="preserve">484.0/6,274×365 = 28.16</w:t>
            </w:r>
          </w:p>
        </w:tc>
        <w:tc>
          <w:tcPr>
            <w:tcW w:type="dxa" w:w="2240"/>
            <w:tcMar>
              <w:top w:type="dxa" w:w="50"/>
              <w:left w:type="dxa" w:w="100"/>
              <w:bottom w:type="dxa" w:w="50"/>
              <w:right w:type="dxa" w:w="100"/>
            </w:tcMar>
          </w:tcPr>
          <w:p>
            <w:pPr>
              <w:jc w:val="center"/>
            </w:pPr>
            <w:r>
              <w:rPr>
                <w:b/>
                <w:bCs/>
                <w:sz w:val="20"/>
                <w:szCs w:val="20"/>
              </w:rPr>
              <w:t xml:space="preserve">0.49+55.01−28.16 = 27.4</w:t>
            </w:r>
          </w:p>
        </w:tc>
      </w:tr>
    </w:tbl>
    <w:p>
      <w:pPr>
        <w:pStyle w:val="Heading1"/>
        <w:spacing w:after="150" w:before="300"/>
      </w:pPr>
      <w:r>
        <w:t xml:space="preserve">6. Double-check — alternative calculation using year-end balances only</w:t>
      </w:r>
    </w:p>
    <w:p>
      <w:pPr>
        <w:spacing w:after="160"/>
      </w:pPr>
      <w:r>
        <w:t xml:space="preserve">As a cross-check, the CCC was recalculated using only the year-end (closing) balance for each component, rather than the year's average. This is a simpler, commonly-used alternative that avoids relying on the prior year's closing figures, but is more sensitive to balance-sheet timing at year end.</w:t>
      </w:r>
    </w:p>
    <w:tbl>
      <w:tblPr>
        <w:tblW w:type="dxa" w:w="10440"/>
        <w:tblBorders>
          <w:top w:val="single" w:color="auto" w:sz="4"/>
          <w:left w:val="single" w:color="auto" w:sz="4"/>
          <w:bottom w:val="single" w:color="auto" w:sz="4"/>
          <w:right w:val="single" w:color="auto" w:sz="4"/>
          <w:insideH w:val="single" w:color="auto" w:sz="4"/>
          <w:insideV w:val="single" w:color="auto" w:sz="4"/>
        </w:tblBorders>
      </w:tblPr>
      <w:tblGrid>
        <w:gridCol w:w="700"/>
        <w:gridCol w:w="1700"/>
        <w:gridCol w:w="1700"/>
        <w:gridCol w:w="1700"/>
        <w:gridCol w:w="1700"/>
        <w:gridCol w:w="2940"/>
      </w:tblGrid>
      <w:tr>
        <w:trPr>
          <w:tblHeader/>
        </w:trPr>
        <w:tc>
          <w:tcPr>
            <w:tcW w:type="dxa" w:w="700"/>
            <w:shd w:fill="1F4E79" w:val="clear"/>
            <w:tcMar>
              <w:top w:type="dxa" w:w="60"/>
              <w:left w:type="dxa" w:w="100"/>
              <w:bottom w:type="dxa" w:w="60"/>
              <w:right w:type="dxa" w:w="100"/>
            </w:tcMar>
          </w:tcPr>
          <w:p>
            <w:pPr>
              <w:jc w:val="center"/>
            </w:pPr>
            <w:r>
              <w:rPr>
                <w:b/>
                <w:bCs/>
                <w:color w:val="FFFFFF"/>
                <w:sz w:val="20"/>
                <w:szCs w:val="20"/>
              </w:rPr>
              <w:t xml:space="preserve">Year</w:t>
            </w:r>
          </w:p>
        </w:tc>
        <w:tc>
          <w:tcPr>
            <w:tcW w:type="dxa" w:w="1700"/>
            <w:shd w:fill="1F4E79" w:val="clear"/>
            <w:tcMar>
              <w:top w:type="dxa" w:w="60"/>
              <w:left w:type="dxa" w:w="100"/>
              <w:bottom w:type="dxa" w:w="60"/>
              <w:right w:type="dxa" w:w="100"/>
            </w:tcMar>
          </w:tcPr>
          <w:p>
            <w:pPr>
              <w:jc w:val="center"/>
            </w:pPr>
            <w:r>
              <w:rPr>
                <w:b/>
                <w:bCs/>
                <w:color w:val="FFFFFF"/>
                <w:sz w:val="20"/>
                <w:szCs w:val="20"/>
              </w:rPr>
              <w:t xml:space="preserve">Inventory Days</w:t>
            </w:r>
          </w:p>
        </w:tc>
        <w:tc>
          <w:tcPr>
            <w:tcW w:type="dxa" w:w="1700"/>
            <w:shd w:fill="1F4E79" w:val="clear"/>
            <w:tcMar>
              <w:top w:type="dxa" w:w="60"/>
              <w:left w:type="dxa" w:w="100"/>
              <w:bottom w:type="dxa" w:w="60"/>
              <w:right w:type="dxa" w:w="100"/>
            </w:tcMar>
          </w:tcPr>
          <w:p>
            <w:pPr>
              <w:jc w:val="center"/>
            </w:pPr>
            <w:r>
              <w:rPr>
                <w:b/>
                <w:bCs/>
                <w:color w:val="FFFFFF"/>
                <w:sz w:val="20"/>
                <w:szCs w:val="20"/>
              </w:rPr>
              <w:t xml:space="preserve">Receivable Days</w:t>
            </w:r>
          </w:p>
        </w:tc>
        <w:tc>
          <w:tcPr>
            <w:tcW w:type="dxa" w:w="1700"/>
            <w:shd w:fill="1F4E79" w:val="clear"/>
            <w:tcMar>
              <w:top w:type="dxa" w:w="60"/>
              <w:left w:type="dxa" w:w="100"/>
              <w:bottom w:type="dxa" w:w="60"/>
              <w:right w:type="dxa" w:w="100"/>
            </w:tcMar>
          </w:tcPr>
          <w:p>
            <w:pPr>
              <w:jc w:val="center"/>
            </w:pPr>
            <w:r>
              <w:rPr>
                <w:b/>
                <w:bCs/>
                <w:color w:val="FFFFFF"/>
                <w:sz w:val="20"/>
                <w:szCs w:val="20"/>
              </w:rPr>
              <w:t xml:space="preserve">Payable Days</w:t>
            </w:r>
          </w:p>
        </w:tc>
        <w:tc>
          <w:tcPr>
            <w:tcW w:type="dxa" w:w="1700"/>
            <w:shd w:fill="1F4E79" w:val="clear"/>
            <w:tcMar>
              <w:top w:type="dxa" w:w="60"/>
              <w:left w:type="dxa" w:w="100"/>
              <w:bottom w:type="dxa" w:w="60"/>
              <w:right w:type="dxa" w:w="100"/>
            </w:tcMar>
          </w:tcPr>
          <w:p>
            <w:pPr>
              <w:jc w:val="center"/>
            </w:pPr>
            <w:r>
              <w:rPr>
                <w:b/>
                <w:bCs/>
                <w:color w:val="FFFFFF"/>
                <w:sz w:val="20"/>
                <w:szCs w:val="20"/>
              </w:rPr>
              <w:t xml:space="preserve">CCC (days)</w:t>
            </w:r>
          </w:p>
        </w:tc>
        <w:tc>
          <w:tcPr>
            <w:tcW w:type="dxa" w:w="2940"/>
            <w:shd w:fill="1F4E79" w:val="clear"/>
            <w:tcMar>
              <w:top w:type="dxa" w:w="60"/>
              <w:left w:type="dxa" w:w="100"/>
              <w:bottom w:type="dxa" w:w="60"/>
              <w:right w:type="dxa" w:w="100"/>
            </w:tcMar>
          </w:tcPr>
          <w:p>
            <w:pPr>
              <w:jc w:val="center"/>
            </w:pPr>
            <w:r>
              <w:rPr>
                <w:b/>
                <w:bCs/>
                <w:color w:val="FFFFFF"/>
                <w:sz w:val="20"/>
                <w:szCs w:val="20"/>
              </w:rPr>
              <w:t xml:space="preserve">Variance vs.
average-balance CCC</w:t>
            </w:r>
          </w:p>
        </w:tc>
      </w:tr>
      <w:tr>
        <w:tc>
          <w:tcPr>
            <w:tcW w:type="dxa" w:w="700"/>
            <w:tcMar>
              <w:top w:type="dxa" w:w="50"/>
              <w:left w:type="dxa" w:w="100"/>
              <w:bottom w:type="dxa" w:w="50"/>
              <w:right w:type="dxa" w:w="100"/>
            </w:tcMar>
          </w:tcPr>
          <w:p>
            <w:pPr>
              <w:jc w:val="left"/>
            </w:pPr>
            <w:r>
              <w:rPr>
                <w:b w:val="false"/>
                <w:bCs w:val="false"/>
                <w:sz w:val="20"/>
                <w:szCs w:val="20"/>
              </w:rPr>
              <w:t xml:space="preserve">2020</w:t>
            </w:r>
          </w:p>
        </w:tc>
        <w:tc>
          <w:tcPr>
            <w:tcW w:type="dxa" w:w="1700"/>
            <w:tcMar>
              <w:top w:type="dxa" w:w="50"/>
              <w:left w:type="dxa" w:w="100"/>
              <w:bottom w:type="dxa" w:w="50"/>
              <w:right w:type="dxa" w:w="100"/>
            </w:tcMar>
          </w:tcPr>
          <w:p>
            <w:pPr>
              <w:jc w:val="center"/>
            </w:pPr>
            <w:r>
              <w:rPr>
                <w:b w:val="false"/>
                <w:bCs w:val="false"/>
                <w:sz w:val="20"/>
                <w:szCs w:val="20"/>
              </w:rPr>
              <w:t xml:space="preserve">1.22</w:t>
            </w:r>
          </w:p>
        </w:tc>
        <w:tc>
          <w:tcPr>
            <w:tcW w:type="dxa" w:w="1700"/>
            <w:tcMar>
              <w:top w:type="dxa" w:w="50"/>
              <w:left w:type="dxa" w:w="100"/>
              <w:bottom w:type="dxa" w:w="50"/>
              <w:right w:type="dxa" w:w="100"/>
            </w:tcMar>
          </w:tcPr>
          <w:p>
            <w:pPr>
              <w:jc w:val="center"/>
            </w:pPr>
            <w:r>
              <w:rPr>
                <w:b w:val="false"/>
                <w:bCs w:val="false"/>
                <w:sz w:val="20"/>
                <w:szCs w:val="20"/>
              </w:rPr>
              <w:t xml:space="preserve">55.83</w:t>
            </w:r>
          </w:p>
        </w:tc>
        <w:tc>
          <w:tcPr>
            <w:tcW w:type="dxa" w:w="1700"/>
            <w:tcMar>
              <w:top w:type="dxa" w:w="50"/>
              <w:left w:type="dxa" w:w="100"/>
              <w:bottom w:type="dxa" w:w="50"/>
              <w:right w:type="dxa" w:w="100"/>
            </w:tcMar>
          </w:tcPr>
          <w:p>
            <w:pPr>
              <w:jc w:val="center"/>
            </w:pPr>
            <w:r>
              <w:rPr>
                <w:b w:val="false"/>
                <w:bCs w:val="false"/>
                <w:sz w:val="20"/>
                <w:szCs w:val="20"/>
              </w:rPr>
              <w:t xml:space="preserve">13.80</w:t>
            </w:r>
          </w:p>
        </w:tc>
        <w:tc>
          <w:tcPr>
            <w:tcW w:type="dxa" w:w="1700"/>
            <w:tcMar>
              <w:top w:type="dxa" w:w="50"/>
              <w:left w:type="dxa" w:w="100"/>
              <w:bottom w:type="dxa" w:w="50"/>
              <w:right w:type="dxa" w:w="100"/>
            </w:tcMar>
          </w:tcPr>
          <w:p>
            <w:pPr>
              <w:jc w:val="center"/>
            </w:pPr>
            <w:r>
              <w:rPr>
                <w:b w:val="false"/>
                <w:bCs w:val="false"/>
                <w:sz w:val="20"/>
                <w:szCs w:val="20"/>
              </w:rPr>
              <w:t xml:space="preserve">43.2</w:t>
            </w:r>
          </w:p>
        </w:tc>
        <w:tc>
          <w:tcPr>
            <w:tcW w:type="dxa" w:w="2940"/>
            <w:tcMar>
              <w:top w:type="dxa" w:w="50"/>
              <w:left w:type="dxa" w:w="100"/>
              <w:bottom w:type="dxa" w:w="50"/>
              <w:right w:type="dxa" w:w="100"/>
            </w:tcMar>
          </w:tcPr>
          <w:p>
            <w:pPr>
              <w:jc w:val="center"/>
            </w:pPr>
            <w:r>
              <w:rPr>
                <w:b w:val="false"/>
                <w:bCs w:val="false"/>
                <w:sz w:val="20"/>
                <w:szCs w:val="20"/>
              </w:rPr>
              <w:t xml:space="preserve">−6.2</w:t>
            </w:r>
          </w:p>
        </w:tc>
      </w:tr>
      <w:tr>
        <w:tc>
          <w:tcPr>
            <w:tcW w:type="dxa" w:w="700"/>
            <w:shd w:fill="F2F2F2" w:val="clear"/>
            <w:tcMar>
              <w:top w:type="dxa" w:w="50"/>
              <w:left w:type="dxa" w:w="100"/>
              <w:bottom w:type="dxa" w:w="50"/>
              <w:right w:type="dxa" w:w="100"/>
            </w:tcMar>
          </w:tcPr>
          <w:p>
            <w:pPr>
              <w:jc w:val="left"/>
            </w:pPr>
            <w:r>
              <w:rPr>
                <w:b w:val="false"/>
                <w:bCs w:val="false"/>
                <w:sz w:val="20"/>
                <w:szCs w:val="20"/>
              </w:rPr>
              <w:t xml:space="preserve">2021</w:t>
            </w:r>
          </w:p>
        </w:tc>
        <w:tc>
          <w:tcPr>
            <w:tcW w:type="dxa" w:w="1700"/>
            <w:shd w:fill="F2F2F2" w:val="clear"/>
            <w:tcMar>
              <w:top w:type="dxa" w:w="50"/>
              <w:left w:type="dxa" w:w="100"/>
              <w:bottom w:type="dxa" w:w="50"/>
              <w:right w:type="dxa" w:w="100"/>
            </w:tcMar>
          </w:tcPr>
          <w:p>
            <w:pPr>
              <w:jc w:val="center"/>
            </w:pPr>
            <w:r>
              <w:rPr>
                <w:b w:val="false"/>
                <w:bCs w:val="false"/>
                <w:sz w:val="20"/>
                <w:szCs w:val="20"/>
              </w:rPr>
              <w:t xml:space="preserve">1.11</w:t>
            </w:r>
          </w:p>
        </w:tc>
        <w:tc>
          <w:tcPr>
            <w:tcW w:type="dxa" w:w="1700"/>
            <w:shd w:fill="F2F2F2" w:val="clear"/>
            <w:tcMar>
              <w:top w:type="dxa" w:w="50"/>
              <w:left w:type="dxa" w:w="100"/>
              <w:bottom w:type="dxa" w:w="50"/>
              <w:right w:type="dxa" w:w="100"/>
            </w:tcMar>
          </w:tcPr>
          <w:p>
            <w:pPr>
              <w:jc w:val="center"/>
            </w:pPr>
            <w:r>
              <w:rPr>
                <w:b w:val="false"/>
                <w:bCs w:val="false"/>
                <w:sz w:val="20"/>
                <w:szCs w:val="20"/>
              </w:rPr>
              <w:t xml:space="preserve">76.30</w:t>
            </w:r>
          </w:p>
        </w:tc>
        <w:tc>
          <w:tcPr>
            <w:tcW w:type="dxa" w:w="1700"/>
            <w:shd w:fill="F2F2F2" w:val="clear"/>
            <w:tcMar>
              <w:top w:type="dxa" w:w="50"/>
              <w:left w:type="dxa" w:w="100"/>
              <w:bottom w:type="dxa" w:w="50"/>
              <w:right w:type="dxa" w:w="100"/>
            </w:tcMar>
          </w:tcPr>
          <w:p>
            <w:pPr>
              <w:jc w:val="center"/>
            </w:pPr>
            <w:r>
              <w:rPr>
                <w:b w:val="false"/>
                <w:bCs w:val="false"/>
                <w:sz w:val="20"/>
                <w:szCs w:val="20"/>
              </w:rPr>
              <w:t xml:space="preserve">58.22</w:t>
            </w:r>
          </w:p>
        </w:tc>
        <w:tc>
          <w:tcPr>
            <w:tcW w:type="dxa" w:w="1700"/>
            <w:shd w:fill="F2F2F2" w:val="clear"/>
            <w:tcMar>
              <w:top w:type="dxa" w:w="50"/>
              <w:left w:type="dxa" w:w="100"/>
              <w:bottom w:type="dxa" w:w="50"/>
              <w:right w:type="dxa" w:w="100"/>
            </w:tcMar>
          </w:tcPr>
          <w:p>
            <w:pPr>
              <w:jc w:val="center"/>
            </w:pPr>
            <w:r>
              <w:rPr>
                <w:b w:val="false"/>
                <w:bCs w:val="false"/>
                <w:sz w:val="20"/>
                <w:szCs w:val="20"/>
              </w:rPr>
              <w:t xml:space="preserve">19.2</w:t>
            </w:r>
          </w:p>
        </w:tc>
        <w:tc>
          <w:tcPr>
            <w:tcW w:type="dxa" w:w="2940"/>
            <w:shd w:fill="F2F2F2" w:val="clear"/>
            <w:tcMar>
              <w:top w:type="dxa" w:w="50"/>
              <w:left w:type="dxa" w:w="100"/>
              <w:bottom w:type="dxa" w:w="50"/>
              <w:right w:type="dxa" w:w="100"/>
            </w:tcMar>
          </w:tcPr>
          <w:p>
            <w:pPr>
              <w:jc w:val="center"/>
            </w:pPr>
            <w:r>
              <w:rPr>
                <w:b w:val="false"/>
                <w:bCs w:val="false"/>
                <w:sz w:val="20"/>
                <w:szCs w:val="20"/>
              </w:rPr>
              <w:t xml:space="preserve">−4.3</w:t>
            </w:r>
          </w:p>
        </w:tc>
      </w:tr>
      <w:tr>
        <w:tc>
          <w:tcPr>
            <w:tcW w:type="dxa" w:w="700"/>
            <w:tcMar>
              <w:top w:type="dxa" w:w="50"/>
              <w:left w:type="dxa" w:w="100"/>
              <w:bottom w:type="dxa" w:w="50"/>
              <w:right w:type="dxa" w:w="100"/>
            </w:tcMar>
          </w:tcPr>
          <w:p>
            <w:pPr>
              <w:jc w:val="left"/>
            </w:pPr>
            <w:r>
              <w:rPr>
                <w:b w:val="false"/>
                <w:bCs w:val="false"/>
                <w:sz w:val="20"/>
                <w:szCs w:val="20"/>
              </w:rPr>
              <w:t xml:space="preserve">2022</w:t>
            </w:r>
          </w:p>
        </w:tc>
        <w:tc>
          <w:tcPr>
            <w:tcW w:type="dxa" w:w="1700"/>
            <w:tcMar>
              <w:top w:type="dxa" w:w="50"/>
              <w:left w:type="dxa" w:w="100"/>
              <w:bottom w:type="dxa" w:w="50"/>
              <w:right w:type="dxa" w:w="100"/>
            </w:tcMar>
          </w:tcPr>
          <w:p>
            <w:pPr>
              <w:jc w:val="center"/>
            </w:pPr>
            <w:r>
              <w:rPr>
                <w:b w:val="false"/>
                <w:bCs w:val="false"/>
                <w:sz w:val="20"/>
                <w:szCs w:val="20"/>
              </w:rPr>
              <w:t xml:space="preserve">0.60</w:t>
            </w:r>
          </w:p>
        </w:tc>
        <w:tc>
          <w:tcPr>
            <w:tcW w:type="dxa" w:w="1700"/>
            <w:tcMar>
              <w:top w:type="dxa" w:w="50"/>
              <w:left w:type="dxa" w:w="100"/>
              <w:bottom w:type="dxa" w:w="50"/>
              <w:right w:type="dxa" w:w="100"/>
            </w:tcMar>
          </w:tcPr>
          <w:p>
            <w:pPr>
              <w:jc w:val="center"/>
            </w:pPr>
            <w:r>
              <w:rPr>
                <w:b w:val="false"/>
                <w:bCs w:val="false"/>
                <w:sz w:val="20"/>
                <w:szCs w:val="20"/>
              </w:rPr>
              <w:t xml:space="preserve">51.67</w:t>
            </w:r>
          </w:p>
        </w:tc>
        <w:tc>
          <w:tcPr>
            <w:tcW w:type="dxa" w:w="1700"/>
            <w:tcMar>
              <w:top w:type="dxa" w:w="50"/>
              <w:left w:type="dxa" w:w="100"/>
              <w:bottom w:type="dxa" w:w="50"/>
              <w:right w:type="dxa" w:w="100"/>
            </w:tcMar>
          </w:tcPr>
          <w:p>
            <w:pPr>
              <w:jc w:val="center"/>
            </w:pPr>
            <w:r>
              <w:rPr>
                <w:b w:val="false"/>
                <w:bCs w:val="false"/>
                <w:sz w:val="20"/>
                <w:szCs w:val="20"/>
              </w:rPr>
              <w:t xml:space="preserve">33.22</w:t>
            </w:r>
          </w:p>
        </w:tc>
        <w:tc>
          <w:tcPr>
            <w:tcW w:type="dxa" w:w="1700"/>
            <w:tcMar>
              <w:top w:type="dxa" w:w="50"/>
              <w:left w:type="dxa" w:w="100"/>
              <w:bottom w:type="dxa" w:w="50"/>
              <w:right w:type="dxa" w:w="100"/>
            </w:tcMar>
          </w:tcPr>
          <w:p>
            <w:pPr>
              <w:jc w:val="center"/>
            </w:pPr>
            <w:r>
              <w:rPr>
                <w:b w:val="false"/>
                <w:bCs w:val="false"/>
                <w:sz w:val="20"/>
                <w:szCs w:val="20"/>
              </w:rPr>
              <w:t xml:space="preserve">19.0</w:t>
            </w:r>
          </w:p>
        </w:tc>
        <w:tc>
          <w:tcPr>
            <w:tcW w:type="dxa" w:w="2940"/>
            <w:tcMar>
              <w:top w:type="dxa" w:w="50"/>
              <w:left w:type="dxa" w:w="100"/>
              <w:bottom w:type="dxa" w:w="50"/>
              <w:right w:type="dxa" w:w="100"/>
            </w:tcMar>
          </w:tcPr>
          <w:p>
            <w:pPr>
              <w:jc w:val="center"/>
            </w:pPr>
            <w:r>
              <w:rPr>
                <w:b w:val="false"/>
                <w:bCs w:val="false"/>
                <w:sz w:val="20"/>
                <w:szCs w:val="20"/>
              </w:rPr>
              <w:t xml:space="preserve">+6.9</w:t>
            </w:r>
          </w:p>
        </w:tc>
      </w:tr>
      <w:tr>
        <w:tc>
          <w:tcPr>
            <w:tcW w:type="dxa" w:w="700"/>
            <w:shd w:fill="F2F2F2" w:val="clear"/>
            <w:tcMar>
              <w:top w:type="dxa" w:w="50"/>
              <w:left w:type="dxa" w:w="100"/>
              <w:bottom w:type="dxa" w:w="50"/>
              <w:right w:type="dxa" w:w="100"/>
            </w:tcMar>
          </w:tcPr>
          <w:p>
            <w:pPr>
              <w:jc w:val="left"/>
            </w:pPr>
            <w:r>
              <w:rPr>
                <w:b w:val="false"/>
                <w:bCs w:val="false"/>
                <w:sz w:val="20"/>
                <w:szCs w:val="20"/>
              </w:rPr>
              <w:t xml:space="preserve">2023</w:t>
            </w:r>
          </w:p>
        </w:tc>
        <w:tc>
          <w:tcPr>
            <w:tcW w:type="dxa" w:w="1700"/>
            <w:shd w:fill="F2F2F2" w:val="clear"/>
            <w:tcMar>
              <w:top w:type="dxa" w:w="50"/>
              <w:left w:type="dxa" w:w="100"/>
              <w:bottom w:type="dxa" w:w="50"/>
              <w:right w:type="dxa" w:w="100"/>
            </w:tcMar>
          </w:tcPr>
          <w:p>
            <w:pPr>
              <w:jc w:val="center"/>
            </w:pPr>
            <w:r>
              <w:rPr>
                <w:b w:val="false"/>
                <w:bCs w:val="false"/>
                <w:sz w:val="20"/>
                <w:szCs w:val="20"/>
              </w:rPr>
              <w:t xml:space="preserve">0.52</w:t>
            </w:r>
          </w:p>
        </w:tc>
        <w:tc>
          <w:tcPr>
            <w:tcW w:type="dxa" w:w="1700"/>
            <w:shd w:fill="F2F2F2" w:val="clear"/>
            <w:tcMar>
              <w:top w:type="dxa" w:w="50"/>
              <w:left w:type="dxa" w:w="100"/>
              <w:bottom w:type="dxa" w:w="50"/>
              <w:right w:type="dxa" w:w="100"/>
            </w:tcMar>
          </w:tcPr>
          <w:p>
            <w:pPr>
              <w:jc w:val="center"/>
            </w:pPr>
            <w:r>
              <w:rPr>
                <w:b w:val="false"/>
                <w:bCs w:val="false"/>
                <w:sz w:val="20"/>
                <w:szCs w:val="20"/>
              </w:rPr>
              <w:t xml:space="preserve">48.34</w:t>
            </w:r>
          </w:p>
        </w:tc>
        <w:tc>
          <w:tcPr>
            <w:tcW w:type="dxa" w:w="1700"/>
            <w:shd w:fill="F2F2F2" w:val="clear"/>
            <w:tcMar>
              <w:top w:type="dxa" w:w="50"/>
              <w:left w:type="dxa" w:w="100"/>
              <w:bottom w:type="dxa" w:w="50"/>
              <w:right w:type="dxa" w:w="100"/>
            </w:tcMar>
          </w:tcPr>
          <w:p>
            <w:pPr>
              <w:jc w:val="center"/>
            </w:pPr>
            <w:r>
              <w:rPr>
                <w:b w:val="false"/>
                <w:bCs w:val="false"/>
                <w:sz w:val="20"/>
                <w:szCs w:val="20"/>
              </w:rPr>
              <w:t xml:space="preserve">28.28</w:t>
            </w:r>
          </w:p>
        </w:tc>
        <w:tc>
          <w:tcPr>
            <w:tcW w:type="dxa" w:w="1700"/>
            <w:shd w:fill="F2F2F2" w:val="clear"/>
            <w:tcMar>
              <w:top w:type="dxa" w:w="50"/>
              <w:left w:type="dxa" w:w="100"/>
              <w:bottom w:type="dxa" w:w="50"/>
              <w:right w:type="dxa" w:w="100"/>
            </w:tcMar>
          </w:tcPr>
          <w:p>
            <w:pPr>
              <w:jc w:val="center"/>
            </w:pPr>
            <w:r>
              <w:rPr>
                <w:b w:val="false"/>
                <w:bCs w:val="false"/>
                <w:sz w:val="20"/>
                <w:szCs w:val="20"/>
              </w:rPr>
              <w:t xml:space="preserve">20.6</w:t>
            </w:r>
          </w:p>
        </w:tc>
        <w:tc>
          <w:tcPr>
            <w:tcW w:type="dxa" w:w="2940"/>
            <w:shd w:fill="F2F2F2" w:val="clear"/>
            <w:tcMar>
              <w:top w:type="dxa" w:w="50"/>
              <w:left w:type="dxa" w:w="100"/>
              <w:bottom w:type="dxa" w:w="50"/>
              <w:right w:type="dxa" w:w="100"/>
            </w:tcMar>
          </w:tcPr>
          <w:p>
            <w:pPr>
              <w:jc w:val="center"/>
            </w:pPr>
            <w:r>
              <w:rPr>
                <w:b w:val="false"/>
                <w:bCs w:val="false"/>
                <w:sz w:val="20"/>
                <w:szCs w:val="20"/>
              </w:rPr>
              <w:t xml:space="preserve">+1.5</w:t>
            </w:r>
          </w:p>
        </w:tc>
      </w:tr>
      <w:tr>
        <w:tc>
          <w:tcPr>
            <w:tcW w:type="dxa" w:w="700"/>
            <w:tcMar>
              <w:top w:type="dxa" w:w="50"/>
              <w:left w:type="dxa" w:w="100"/>
              <w:bottom w:type="dxa" w:w="50"/>
              <w:right w:type="dxa" w:w="100"/>
            </w:tcMar>
          </w:tcPr>
          <w:p>
            <w:pPr>
              <w:jc w:val="left"/>
            </w:pPr>
            <w:r>
              <w:rPr>
                <w:b w:val="false"/>
                <w:bCs w:val="false"/>
                <w:sz w:val="20"/>
                <w:szCs w:val="20"/>
              </w:rPr>
              <w:t xml:space="preserve">2024</w:t>
            </w:r>
          </w:p>
        </w:tc>
        <w:tc>
          <w:tcPr>
            <w:tcW w:type="dxa" w:w="1700"/>
            <w:tcMar>
              <w:top w:type="dxa" w:w="50"/>
              <w:left w:type="dxa" w:w="100"/>
              <w:bottom w:type="dxa" w:w="50"/>
              <w:right w:type="dxa" w:w="100"/>
            </w:tcMar>
          </w:tcPr>
          <w:p>
            <w:pPr>
              <w:jc w:val="center"/>
            </w:pPr>
            <w:r>
              <w:rPr>
                <w:b w:val="false"/>
                <w:bCs w:val="false"/>
                <w:sz w:val="20"/>
                <w:szCs w:val="20"/>
              </w:rPr>
              <w:t xml:space="preserve">0.47</w:t>
            </w:r>
          </w:p>
        </w:tc>
        <w:tc>
          <w:tcPr>
            <w:tcW w:type="dxa" w:w="1700"/>
            <w:tcMar>
              <w:top w:type="dxa" w:w="50"/>
              <w:left w:type="dxa" w:w="100"/>
              <w:bottom w:type="dxa" w:w="50"/>
              <w:right w:type="dxa" w:w="100"/>
            </w:tcMar>
          </w:tcPr>
          <w:p>
            <w:pPr>
              <w:jc w:val="center"/>
            </w:pPr>
            <w:r>
              <w:rPr>
                <w:b w:val="false"/>
                <w:bCs w:val="false"/>
                <w:sz w:val="20"/>
                <w:szCs w:val="20"/>
              </w:rPr>
              <w:t xml:space="preserve">61.55</w:t>
            </w:r>
          </w:p>
        </w:tc>
        <w:tc>
          <w:tcPr>
            <w:tcW w:type="dxa" w:w="1700"/>
            <w:tcMar>
              <w:top w:type="dxa" w:w="50"/>
              <w:left w:type="dxa" w:w="100"/>
              <w:bottom w:type="dxa" w:w="50"/>
              <w:right w:type="dxa" w:w="100"/>
            </w:tcMar>
          </w:tcPr>
          <w:p>
            <w:pPr>
              <w:jc w:val="center"/>
            </w:pPr>
            <w:r>
              <w:rPr>
                <w:b w:val="false"/>
                <w:bCs w:val="false"/>
                <w:sz w:val="20"/>
                <w:szCs w:val="20"/>
              </w:rPr>
              <w:t xml:space="preserve">27.63</w:t>
            </w:r>
          </w:p>
        </w:tc>
        <w:tc>
          <w:tcPr>
            <w:tcW w:type="dxa" w:w="1700"/>
            <w:tcMar>
              <w:top w:type="dxa" w:w="50"/>
              <w:left w:type="dxa" w:w="100"/>
              <w:bottom w:type="dxa" w:w="50"/>
              <w:right w:type="dxa" w:w="100"/>
            </w:tcMar>
          </w:tcPr>
          <w:p>
            <w:pPr>
              <w:jc w:val="center"/>
            </w:pPr>
            <w:r>
              <w:rPr>
                <w:b w:val="false"/>
                <w:bCs w:val="false"/>
                <w:sz w:val="20"/>
                <w:szCs w:val="20"/>
              </w:rPr>
              <w:t xml:space="preserve">34.4</w:t>
            </w:r>
          </w:p>
        </w:tc>
        <w:tc>
          <w:tcPr>
            <w:tcW w:type="dxa" w:w="2940"/>
            <w:tcMar>
              <w:top w:type="dxa" w:w="50"/>
              <w:left w:type="dxa" w:w="100"/>
              <w:bottom w:type="dxa" w:w="50"/>
              <w:right w:type="dxa" w:w="100"/>
            </w:tcMar>
          </w:tcPr>
          <w:p>
            <w:pPr>
              <w:jc w:val="center"/>
            </w:pPr>
            <w:r>
              <w:rPr>
                <w:b w:val="false"/>
                <w:bCs w:val="false"/>
                <w:sz w:val="20"/>
                <w:szCs w:val="20"/>
              </w:rPr>
              <w:t xml:space="preserve">+7.0</w:t>
            </w:r>
          </w:p>
        </w:tc>
      </w:tr>
    </w:tbl>
    <w:p>
      <w:pPr>
        <w:spacing w:after="160"/>
      </w:pPr>
      <w:r>
        <w:t xml:space="preserve">The two methods tell the same directional story in every year (a sharp fall from 2020 to 2022, then a rise into 2024), which confirms the trend is real and not an artefact of the averaging method. The dollar-level gap between the two methods is largest in years where the balance moved sharply within the year (e.g. 2021 and 2024, both of which included large swings in receivables and payables), which is expected.</w:t>
      </w:r>
    </w:p>
    <w:p>
      <w:pPr>
        <w:pStyle w:val="Heading1"/>
        <w:spacing w:after="150" w:before="300"/>
      </w:pPr>
      <w:r>
        <w:t xml:space="preserve">7. Summary — CCC by year (average-balance method)</w:t>
      </w:r>
    </w:p>
    <w:tbl>
      <w:tblPr>
        <w:tblW w:type="dxa" w:w="10440"/>
        <w:tblBorders>
          <w:top w:val="single" w:color="auto" w:sz="4"/>
          <w:left w:val="single" w:color="auto" w:sz="4"/>
          <w:bottom w:val="single" w:color="auto" w:sz="4"/>
          <w:right w:val="single" w:color="auto" w:sz="4"/>
          <w:insideH w:val="single" w:color="auto" w:sz="4"/>
          <w:insideV w:val="single" w:color="auto" w:sz="4"/>
        </w:tblBorders>
      </w:tblPr>
      <w:tblGrid>
        <w:gridCol w:w="2440"/>
        <w:gridCol w:w="1600"/>
        <w:gridCol w:w="1600"/>
        <w:gridCol w:w="1600"/>
        <w:gridCol w:w="1600"/>
        <w:gridCol w:w="1600"/>
      </w:tblGrid>
      <w:tr>
        <w:tc>
          <w:tcPr>
            <w:tcW w:type="dxa" w:w="2440"/>
            <w:shd w:fill="1F4E79" w:val="clear"/>
            <w:tcMar>
              <w:top w:type="dxa" w:w="60"/>
              <w:left w:type="dxa" w:w="100"/>
              <w:bottom w:type="dxa" w:w="60"/>
              <w:right w:type="dxa" w:w="100"/>
            </w:tcMar>
          </w:tcPr>
          <w:p>
            <w:pPr>
              <w:jc w:val="center"/>
            </w:pPr>
            <w:r>
              <w:rPr>
                <w:b/>
                <w:bCs/>
                <w:color w:val="FFFFFF"/>
                <w:sz w:val="20"/>
                <w:szCs w:val="20"/>
              </w:rPr>
              <w:t xml:space="preserve">Cash Conversion Cycle (days)</w:t>
            </w:r>
          </w:p>
        </w:tc>
        <w:tc>
          <w:tcPr>
            <w:tcW w:type="dxa" w:w="1600"/>
            <w:shd w:fill="FFF2CC" w:val="clear"/>
            <w:tcMar>
              <w:top w:type="dxa" w:w="50"/>
              <w:left w:type="dxa" w:w="100"/>
              <w:bottom w:type="dxa" w:w="50"/>
              <w:right w:type="dxa" w:w="100"/>
            </w:tcMar>
          </w:tcPr>
          <w:p>
            <w:pPr>
              <w:jc w:val="center"/>
            </w:pPr>
            <w:r>
              <w:rPr>
                <w:b/>
                <w:bCs/>
                <w:sz w:val="20"/>
                <w:szCs w:val="20"/>
              </w:rPr>
              <w:t xml:space="preserve">49.5</w:t>
            </w:r>
          </w:p>
        </w:tc>
        <w:tc>
          <w:tcPr>
            <w:tcW w:type="dxa" w:w="1600"/>
            <w:shd w:fill="FFF2CC" w:val="clear"/>
            <w:tcMar>
              <w:top w:type="dxa" w:w="50"/>
              <w:left w:type="dxa" w:w="100"/>
              <w:bottom w:type="dxa" w:w="50"/>
              <w:right w:type="dxa" w:w="100"/>
            </w:tcMar>
          </w:tcPr>
          <w:p>
            <w:pPr>
              <w:jc w:val="center"/>
            </w:pPr>
            <w:r>
              <w:rPr>
                <w:b/>
                <w:bCs/>
                <w:sz w:val="20"/>
                <w:szCs w:val="20"/>
              </w:rPr>
              <w:t xml:space="preserve">23.5</w:t>
            </w:r>
          </w:p>
        </w:tc>
        <w:tc>
          <w:tcPr>
            <w:tcW w:type="dxa" w:w="1600"/>
            <w:shd w:fill="FFF2CC" w:val="clear"/>
            <w:tcMar>
              <w:top w:type="dxa" w:w="50"/>
              <w:left w:type="dxa" w:w="100"/>
              <w:bottom w:type="dxa" w:w="50"/>
              <w:right w:type="dxa" w:w="100"/>
            </w:tcMar>
          </w:tcPr>
          <w:p>
            <w:pPr>
              <w:jc w:val="center"/>
            </w:pPr>
            <w:r>
              <w:rPr>
                <w:b/>
                <w:bCs/>
                <w:sz w:val="20"/>
                <w:szCs w:val="20"/>
              </w:rPr>
              <w:t xml:space="preserve">12.1</w:t>
            </w:r>
          </w:p>
        </w:tc>
        <w:tc>
          <w:tcPr>
            <w:tcW w:type="dxa" w:w="1600"/>
            <w:shd w:fill="FFF2CC" w:val="clear"/>
            <w:tcMar>
              <w:top w:type="dxa" w:w="50"/>
              <w:left w:type="dxa" w:w="100"/>
              <w:bottom w:type="dxa" w:w="50"/>
              <w:right w:type="dxa" w:w="100"/>
            </w:tcMar>
          </w:tcPr>
          <w:p>
            <w:pPr>
              <w:jc w:val="center"/>
            </w:pPr>
            <w:r>
              <w:rPr>
                <w:b/>
                <w:bCs/>
                <w:sz w:val="20"/>
                <w:szCs w:val="20"/>
              </w:rPr>
              <w:t xml:space="preserve">19.0</w:t>
            </w:r>
          </w:p>
        </w:tc>
        <w:tc>
          <w:tcPr>
            <w:tcW w:type="dxa" w:w="1600"/>
            <w:shd w:fill="FFF2CC" w:val="clear"/>
            <w:tcMar>
              <w:top w:type="dxa" w:w="50"/>
              <w:left w:type="dxa" w:w="100"/>
              <w:bottom w:type="dxa" w:w="50"/>
              <w:right w:type="dxa" w:w="100"/>
            </w:tcMar>
          </w:tcPr>
          <w:p>
            <w:pPr>
              <w:jc w:val="center"/>
            </w:pPr>
            <w:r>
              <w:rPr>
                <w:b/>
                <w:bCs/>
                <w:sz w:val="20"/>
                <w:szCs w:val="20"/>
              </w:rPr>
              <w:t xml:space="preserve">27.4</w:t>
            </w:r>
          </w:p>
        </w:tc>
      </w:tr>
      <w:tr>
        <w:tc>
          <w:tcPr>
            <w:tcW w:type="dxa" w:w="2440"/>
            <w:tcMar>
              <w:top w:type="dxa" w:w="50"/>
              <w:left w:type="dxa" w:w="100"/>
              <w:bottom w:type="dxa" w:w="50"/>
              <w:right w:type="dxa" w:w="100"/>
            </w:tcMar>
          </w:tcPr>
          <w:p>
            <w:pPr>
              <w:jc w:val="left"/>
            </w:pPr>
            <w:r>
              <w:rPr>
                <w:b w:val="false"/>
                <w:bCs w:val="false"/>
                <w:sz w:val="20"/>
                <w:szCs w:val="20"/>
              </w:rPr>
              <w:t xml:space="preserve">Year-on-year change (days)</w:t>
            </w:r>
          </w:p>
        </w:tc>
        <w:tc>
          <w:tcPr>
            <w:tcW w:type="dxa" w:w="1600"/>
            <w:tcMar>
              <w:top w:type="dxa" w:w="50"/>
              <w:left w:type="dxa" w:w="100"/>
              <w:bottom w:type="dxa" w:w="50"/>
              <w:right w:type="dxa" w:w="100"/>
            </w:tcMar>
          </w:tcPr>
          <w:p>
            <w:pPr>
              <w:jc w:val="center"/>
            </w:pPr>
            <w:r>
              <w:rPr>
                <w:b w:val="false"/>
                <w:bCs w:val="false"/>
                <w:sz w:val="20"/>
                <w:szCs w:val="20"/>
              </w:rPr>
              <w:t xml:space="preserve">—</w:t>
            </w:r>
          </w:p>
        </w:tc>
        <w:tc>
          <w:tcPr>
            <w:tcW w:type="dxa" w:w="1600"/>
            <w:tcMar>
              <w:top w:type="dxa" w:w="50"/>
              <w:left w:type="dxa" w:w="100"/>
              <w:bottom w:type="dxa" w:w="50"/>
              <w:right w:type="dxa" w:w="100"/>
            </w:tcMar>
          </w:tcPr>
          <w:p>
            <w:pPr>
              <w:jc w:val="center"/>
            </w:pPr>
            <w:r>
              <w:rPr>
                <w:b w:val="false"/>
                <w:bCs w:val="false"/>
                <w:sz w:val="20"/>
                <w:szCs w:val="20"/>
              </w:rPr>
              <w:t xml:space="preserve">−26.0</w:t>
            </w:r>
          </w:p>
        </w:tc>
        <w:tc>
          <w:tcPr>
            <w:tcW w:type="dxa" w:w="1600"/>
            <w:tcMar>
              <w:top w:type="dxa" w:w="50"/>
              <w:left w:type="dxa" w:w="100"/>
              <w:bottom w:type="dxa" w:w="50"/>
              <w:right w:type="dxa" w:w="100"/>
            </w:tcMar>
          </w:tcPr>
          <w:p>
            <w:pPr>
              <w:jc w:val="center"/>
            </w:pPr>
            <w:r>
              <w:rPr>
                <w:b w:val="false"/>
                <w:bCs w:val="false"/>
                <w:sz w:val="20"/>
                <w:szCs w:val="20"/>
              </w:rPr>
              <w:t xml:space="preserve">−11.4</w:t>
            </w:r>
          </w:p>
        </w:tc>
        <w:tc>
          <w:tcPr>
            <w:tcW w:type="dxa" w:w="1600"/>
            <w:tcMar>
              <w:top w:type="dxa" w:w="50"/>
              <w:left w:type="dxa" w:w="100"/>
              <w:bottom w:type="dxa" w:w="50"/>
              <w:right w:type="dxa" w:w="100"/>
            </w:tcMar>
          </w:tcPr>
          <w:p>
            <w:pPr>
              <w:jc w:val="center"/>
            </w:pPr>
            <w:r>
              <w:rPr>
                <w:b w:val="false"/>
                <w:bCs w:val="false"/>
                <w:sz w:val="20"/>
                <w:szCs w:val="20"/>
              </w:rPr>
              <w:t xml:space="preserve">+6.9</w:t>
            </w:r>
          </w:p>
        </w:tc>
        <w:tc>
          <w:tcPr>
            <w:tcW w:type="dxa" w:w="1600"/>
            <w:tcMar>
              <w:top w:type="dxa" w:w="50"/>
              <w:left w:type="dxa" w:w="100"/>
              <w:bottom w:type="dxa" w:w="50"/>
              <w:right w:type="dxa" w:w="100"/>
            </w:tcMar>
          </w:tcPr>
          <w:p>
            <w:pPr>
              <w:jc w:val="center"/>
            </w:pPr>
            <w:r>
              <w:rPr>
                <w:b w:val="false"/>
                <w:bCs w:val="false"/>
                <w:sz w:val="20"/>
                <w:szCs w:val="20"/>
              </w:rPr>
              <w:t xml:space="preserve">+8.3</w:t>
            </w:r>
          </w:p>
        </w:tc>
      </w:tr>
    </w:tbl>
    <w:p>
      <w:pPr>
        <w:spacing w:before="250"/>
      </w:pPr>
    </w:p>
    <w:p>
      <w:pPr>
        <w:pStyle w:val="Heading1"/>
        <w:spacing w:after="150" w:before="300"/>
      </w:pPr>
      <w:r>
        <w:t xml:space="preserve">8. Explanation of significant year-on-year changes</w:t>
      </w:r>
    </w:p>
    <w:p>
      <w:pPr>
        <w:pStyle w:val="Heading2"/>
        <w:spacing w:after="120" w:before="240"/>
      </w:pPr>
      <w:r>
        <w:t xml:space="preserve">2020 → 2021: CCC fell from 49.5 to 23.5 days (−26.0 days)</w:t>
      </w:r>
    </w:p>
    <w:p>
      <w:pPr>
        <w:spacing w:after="160"/>
      </w:pPr>
      <w:r>
        <w:t xml:space="preserve">This was the largest single-year swing in the five-year period and was driven mainly by payables, not by a deterioration in collections. Payable Days roughly doubled, from 17.0 to 34.8 days, because Hyatt completed its acquisition of Apple Leisure Group (ALG) in 2021 — visible in the balance sheet as goodwill jumping from $288m to $2,965m and intangibles from $385m to $1,977m. The acquisition brought in a much larger, faster-turning distribution and destination-management business with a correspondingly larger trade payables base (accounts payable rose from $102m to $523m). Receivable Days also fell (65.1 to 57.2 days) as revenue began recovering from the depressed, pandemic-distorted 2020 base faster than receivables grew. Inventory Days remained negligible throughout, as expected for a hotel operator with only minor food-and-beverage stock.</w:t>
      </w:r>
    </w:p>
    <w:p>
      <w:pPr>
        <w:pStyle w:val="Heading2"/>
        <w:spacing w:after="120" w:before="240"/>
      </w:pPr>
      <w:r>
        <w:t xml:space="preserve">2021 → 2022: CCC fell further, from 23.5 to 12.1 days (−11.4 days)</w:t>
      </w:r>
    </w:p>
    <w:p>
      <w:pPr>
        <w:spacing w:after="160"/>
      </w:pPr>
      <w:r>
        <w:t xml:space="preserve">This was primarily a receivables story. As global travel demand rebounded strongly post-pandemic, total revenue nearly doubled (from $3,028m to $5,891m), while receivables grew much more slowly (from $633m to $834m). This pulled Receivable Days down from 57.2 to 45.5 days. Payable Days were broadly stable (34.8 to 34.0 days) as the now fully-integrated ALG cost base normalised. The net effect was a continued, steady improvement in cash conversion as the business scaled back up faster than working capital did.</w:t>
      </w:r>
    </w:p>
    <w:p>
      <w:pPr>
        <w:pStyle w:val="Heading2"/>
        <w:spacing w:after="120" w:before="240"/>
      </w:pPr>
      <w:r>
        <w:t xml:space="preserve">2022 → 2023: CCC rose from 12.1 to 19.0 days (+6.9 days)</w:t>
      </w:r>
    </w:p>
    <w:p>
      <w:pPr>
        <w:spacing w:after="160"/>
      </w:pPr>
      <w:r>
        <w:t xml:space="preserve">This partial reversal came from two directions moving against Hyatt at the same time. Receivable Days ticked up slightly (45.5 to 47.0 days) as revenue growth slowed to +13% while receivables grew a similar amount, so little further benefit was left to extract. More significantly, Payable Days fell from 34.0 to 28.5 days: accounts payable declined slightly in dollar terms ($500m to $493m) even as the operating cost base grew (+16%), implying Hyatt was paying suppliers somewhat faster (or supplier mix shifted toward faster-paying categories) than in the immediate post-acquisition years. The combined effect — receivables consuming slightly more cash and payables funding slightly less — pushed the cycle back out.</w:t>
      </w:r>
    </w:p>
    <w:p>
      <w:pPr>
        <w:pStyle w:val="Heading2"/>
        <w:spacing w:after="120" w:before="240"/>
      </w:pPr>
      <w:r>
        <w:t xml:space="preserve">2023 → 2024: CCC rose from 19.0 to 27.4 days (+8.3 days)</w:t>
      </w:r>
    </w:p>
    <w:p>
      <w:pPr>
        <w:spacing w:after="160"/>
      </w:pPr>
      <w:r>
        <w:t xml:space="preserve">This was the second-largest year-on-year move and was again dominated by receivables. Receivables, net jumped 27% (from $883m to $1,121m) while total revenue was essentially flat (−0.3%, from $6,667m to $6,648m — 2024's revenue presentation was also reclassified into base/incentive/franchise fee lines, but the total is comparable). This pushed Receivable Days up sharply, from 47.0 to 55.0 days. Payable Days were little changed (28.5 to 28.2 days). A receivables balance growing substantially faster than revenue, with no offsetting movement in payables, is generally a signal worth monitoring — it can reflect growth in higher-margin but slower-paying revenue streams (e.g. incentive management fees, which are often billed and collected later than franchise fees), extended customer/owner payment terms, or a build-up that could point to future collection risk. It is not automatically a red flag for a hotel manager/franchisor with well-capitalised institutional hotel-owner customers, but it is the standout driver of the 2024 increase and would be the first thing to investigate further (e.g. via the receivables ageing note, if disclosed).</w:t>
      </w:r>
    </w:p>
    <w:p>
      <w:pPr>
        <w:pStyle w:val="Heading2"/>
        <w:spacing w:after="120" w:before="240"/>
      </w:pPr>
      <w:r>
        <w:t xml:space="preserve">Overall pattern across 2020–2024</w:t>
      </w:r>
    </w:p>
    <w:p>
      <w:pPr>
        <w:spacing w:after="160"/>
      </w:pPr>
      <w:r>
        <w:t xml:space="preserve">Inventory Days are immaterial throughout (never exceeding 1.5 days) because Hyatt is an asset-light hotel manager/franchisor rather than a goods business — this is expected and not a point of concern. The larger story is: (1) a sharp, acquisition- and recovery-driven improvement in cash conversion from 2020 to 2022, followed by (2) a steady give-back of that improvement in 2023–2024, driven almost entirely by receivables growing faster than revenue while payables stayed roughly flat. By 2024, the CCC (27.4 days) remained well below the 2020 pandemic-distorted peak (49.5 days) but had reversed more than two-thirds of the 2020–2022 improvement.</w:t>
      </w:r>
    </w:p>
    <w:p>
      <w:pPr>
        <w:pStyle w:val="Heading1"/>
        <w:spacing w:after="150" w:before="300"/>
      </w:pPr>
      <w:r>
        <w:t xml:space="preserve">9. Caveats</w:t>
      </w:r>
    </w:p>
    <w:p>
      <w:pPr>
        <w:pStyle w:val="ListParagraph"/>
        <w:numPr>
          <w:ilvl w:val="0"/>
          <w:numId w:val="1"/>
        </w:numPr>
        <w:spacing w:after="80"/>
      </w:pPr>
      <w:r>
        <w:t xml:space="preserve">"Direct and selling, general &amp; administrative expenses" is used as a COGS proxy in the absence of a disclosed cost-of-sales line; a different proxy (e.g. total costs and expenses including D&amp;A and reimbursed costs) would shift the absolute day-counts but not the year-on-year direction of travel, since the same denominator convention is applied consistently across all five years.</w:t>
      </w:r>
    </w:p>
    <w:p>
      <w:pPr>
        <w:pStyle w:val="ListParagraph"/>
        <w:numPr>
          <w:ilvl w:val="0"/>
          <w:numId w:val="1"/>
        </w:numPr>
        <w:spacing w:after="80"/>
      </w:pPr>
      <w:r>
        <w:t xml:space="preserve">2023 figures for direct/SG&amp;A expenses reflect the amount as originally reported in the FY2023 10-K ($6,362m); the FY2024 10-K's comparative column restates this to $6,378m following a minor line-item reclassification. The difference is immaterial to the CCC (≈0.1 days).</w:t>
      </w:r>
    </w:p>
    <w:p>
      <w:pPr>
        <w:pStyle w:val="ListParagraph"/>
        <w:numPr>
          <w:ilvl w:val="0"/>
          <w:numId w:val="1"/>
        </w:numPr>
        <w:spacing w:after="80"/>
      </w:pPr>
      <w:r>
        <w:t xml:space="preserve">Receivables are presented net of allowance for doubtful accounts in all years, per Hyatt's balance sheet presentation.</w:t>
      </w:r>
    </w:p>
    <w:sectPr>
      <w:pgSz w:w="12240" w:h="15840" w:orient="portrait"/>
      <w:pgMar w:top="900" w:right="900" w:bottom="900" w:left="900" w:header="708" w:footer="708" w:gutter="0"/>
      <w:pgNumType/>
      <w:docGrid w:linePitch="360"/>
    </w:sectPr>
  </w:body>
</w:document>
</file>

<file path=word/comments.xml><?xml version="1.0" encoding="utf-8"?>
<w:comment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pPr>
        <w:spacing w:after="0" w:line="240" w:lineRule="auto"/>
      </w:pPr>
      <w:r>
        <w:rPr>
          <w:rStyle w:val="EndnoteReference"/>
        </w:rPr>
        <w:endnoteRef/>
      </w:r>
      <w:r>
        <w:separator/>
      </w:r>
    </w:p>
  </w:endnote>
  <w:endnote w:type="continuationSeparator" w:id="0">
    <w:p>
      <w:pPr>
        <w:spacing w:after="0" w:line="240" w:lineRule="auto"/>
      </w:pPr>
      <w:r>
        <w:rPr>
          <w:rStyle w:val="EndnoteReference"/>
        </w:rPr>
        <w:endnoteRef/>
      </w: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pPr>
        <w:spacing w:after="0" w:line="240" w:lineRule="auto"/>
      </w:pPr>
      <w:r>
        <w:rPr>
          <w:rStyle w:val="FootnoteReference"/>
        </w:rPr>
        <w:footnoteRef/>
      </w:r>
      <w:r>
        <w:separator/>
      </w:r>
    </w:p>
  </w:footnote>
  <w:footnote w:type="continuationSeparator" w:id="0">
    <w:p>
      <w:pPr>
        <w:spacing w:after="0" w:line="240" w:lineRule="auto"/>
      </w:pPr>
      <w:r>
        <w:rPr>
          <w:rStyle w:val="FootnoteReference"/>
        </w:rPr>
        <w:footnoteRef/>
      </w: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1" w15:restartNumberingAfterBreak="0">
    <w:multiLevelType w:val="hybridMultilevel"/>
    <w:lvl w:ilvl="0" w15:tentative="1">
      <w:start w:val="1"/>
      <w:numFmt w:val="bullet"/>
      <w:lvlText w:val="●"/>
      <w:lvlJc w:val="left"/>
      <w:pPr>
        <w:ind w:left="720" w:hanging="360"/>
      </w:pPr>
    </w:lvl>
    <w:lvl w:ilvl="1" w15:tentative="1">
      <w:start w:val="1"/>
      <w:numFmt w:val="bullet"/>
      <w:lvlText w:val="○"/>
      <w:lvlJc w:val="left"/>
      <w:pPr>
        <w:ind w:left="1440" w:hanging="360"/>
      </w:pPr>
    </w:lvl>
    <w:lvl w:ilvl="2" w15:tentative="1">
      <w:start w:val="1"/>
      <w:numFmt w:val="bullet"/>
      <w:lvlText w:val="■"/>
      <w:lvlJc w:val="left"/>
      <w:pPr>
        <w:ind w:left="2160" w:hanging="360"/>
      </w:pPr>
    </w:lvl>
    <w:lvl w:ilvl="3" w15:tentative="1">
      <w:start w:val="1"/>
      <w:numFmt w:val="bullet"/>
      <w:lvlText w:val="●"/>
      <w:lvlJc w:val="left"/>
      <w:pPr>
        <w:ind w:left="2880" w:hanging="360"/>
      </w:pPr>
    </w:lvl>
    <w:lvl w:ilvl="4" w15:tentative="1">
      <w:start w:val="1"/>
      <w:numFmt w:val="bullet"/>
      <w:lvlText w:val="○"/>
      <w:lvlJc w:val="left"/>
      <w:pPr>
        <w:ind w:left="3600" w:hanging="360"/>
      </w:pPr>
    </w:lvl>
    <w:lvl w:ilvl="5" w15:tentative="1">
      <w:start w:val="1"/>
      <w:numFmt w:val="bullet"/>
      <w:lvlText w:val="■"/>
      <w:lvlJc w:val="left"/>
      <w:pPr>
        <w:ind w:left="4320" w:hanging="360"/>
      </w:pPr>
    </w:lvl>
    <w:lvl w:ilvl="6" w15:tentative="1">
      <w:start w:val="1"/>
      <w:numFmt w:val="bullet"/>
      <w:lvlText w:val="●"/>
      <w:lvlJc w:val="left"/>
      <w:pPr>
        <w:ind w:left="5040" w:hanging="360"/>
      </w:pPr>
    </w:lvl>
    <w:lvl w:ilvl="7" w15:tentative="1">
      <w:start w:val="1"/>
      <w:numFmt w:val="bullet"/>
      <w:lvlText w:val="●"/>
      <w:lvlJc w:val="left"/>
      <w:pPr>
        <w:ind w:left="5760" w:hanging="360"/>
      </w:pPr>
    </w:lvl>
    <w:lvl w:ilvl="8" w15:tentative="1">
      <w:start w:val="1"/>
      <w:numFmt w:val="bullet"/>
      <w:lvlText w:val="●"/>
      <w:lvlJc w:val="left"/>
      <w:pPr>
        <w:ind w:left="6480" w:hanging="360"/>
      </w:pPr>
    </w:lvl>
  </w:abstractNum>
  <w:num w:numId="1">
    <w:abstractNumId w:val="1"/>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evenAndOddHeaders w:val="false"/>
  <w:compat>
    <w:compatSetting w:val="15" w:name="compatibilityMode" w:uri="http://schemas.microsoft.com/office/word"/>
  </w:compat>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pPrDefault/>
  </w:docDefaults>
  <w:style w:type="paragraph" w:styleId="Title">
    <w:name w:val="Title"/>
    <w:basedOn w:val="Normal"/>
    <w:next w:val="Normal"/>
    <w:qFormat/>
    <w:rPr>
      <w:sz w:val="56"/>
      <w:szCs w:val="56"/>
    </w:rPr>
  </w:style>
  <w:style w:type="paragraph" w:styleId="Heading1">
    <w:name w:val="Heading 1"/>
    <w:basedOn w:val="Normal"/>
    <w:next w:val="Normal"/>
    <w:qFormat/>
    <w:rPr>
      <w:color w:val="2E74B5"/>
      <w:sz w:val="32"/>
      <w:szCs w:val="32"/>
    </w:rPr>
  </w:style>
  <w:style w:type="paragraph" w:styleId="Heading2">
    <w:name w:val="Heading 2"/>
    <w:basedOn w:val="Normal"/>
    <w:next w:val="Normal"/>
    <w:qFormat/>
    <w:rPr>
      <w:color w:val="2E74B5"/>
      <w:sz w:val="26"/>
      <w:szCs w:val="2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color w:val="0563C1"/>
      <w:u w:val="single"/>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 w:type="character" w:styleId="EndnoteReference">
    <w:name w:val="end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styleId="EndnoteTextChar">
    <w:name w:val="Endnote Text Char"/>
    <w:basedOn w:val="DefaultParagraphFont"/>
    <w:link w:val="EndnoteText"/>
    <w:uiPriority w:val="99"/>
    <w:semiHidden/>
    <w:unhideWhenUsed/>
    <w:rPr>
      <w:sz w:val="20"/>
      <w:szCs w:val="20"/>
    </w:rPr>
  </w:style>
</w:styles>
</file>

<file path=word/_rels/comments.xml.rels><?xml version="1.0" encoding="UTF-8"?><Relationships xmlns="http://schemas.openxmlformats.org/package/2006/relationships"/>
</file>

<file path=word/_rels/document.xml.rels><?xml version="1.0" encoding="UTF-8"?><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otnotes" Target="footnotes.xml"/><Relationship Id="rId4" Type="http://schemas.openxmlformats.org/officeDocument/2006/relationships/endnotes" Target="endnotes.xml"/><Relationship Id="rId5" Type="http://schemas.openxmlformats.org/officeDocument/2006/relationships/settings" Target="settings.xml"/><Relationship Id="rId6" Type="http://schemas.openxmlformats.org/officeDocument/2006/relationships/comments" Target="comments.xml"/><Relationship Id="rId7" Type="http://schemas.openxmlformats.org/officeDocument/2006/relationships/fontTable" Target="fontTable.xml"/></Relationships>
</file>

<file path=word/_rels/endnotes.xml.rels><?xml version="1.0" encoding="UTF-8"?><Relationships xmlns="http://schemas.openxmlformats.org/package/2006/relationships"/>
</file>

<file path=word/_rels/fontTable.xml.rels><?xml version="1.0" encoding="UTF-8"?><Relationships xmlns="http://schemas.openxmlformats.org/package/2006/relationships"/>
</file>

<file path=word/_rels/footnotes.xml.rels><?xml version="1.0" encoding="UTF-8"?><Relationships xmlns="http://schemas.openxmlformats.org/package/2006/relationships"/>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Un-named</cp:lastModifiedBy>
  <cp:revision>1</cp:revision>
  <dcterms:created xsi:type="dcterms:W3CDTF">2026-08-07T11:02:42.998Z</dcterms:created>
  <dcterms:modified xsi:type="dcterms:W3CDTF">2026-08-07T11:02:42.998Z</dcterms:modified>
</cp:coreProperties>
</file>

<file path=docProps/custom.xml><?xml version="1.0" encoding="utf-8"?>
<Properties xmlns="http://schemas.openxmlformats.org/officeDocument/2006/custom-properties" xmlns:vt="http://schemas.openxmlformats.org/officeDocument/2006/docPropsVTypes"/>
</file>