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1A1D289" w:rsidR="00986B43" w:rsidRPr="00297727"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7727">
              <w:rPr>
                <w:rFonts w:ascii="Times New Roman" w:hAnsi="Times New Roman" w:cs="Times New Roman"/>
                <w:bCs/>
                <w:color w:val="auto"/>
                <w:sz w:val="48"/>
              </w:rPr>
              <w:t>Sandra John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5E002F9" w:rsidR="009C337F" w:rsidRPr="00297727"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297727">
              <w:rPr>
                <w:rFonts w:ascii="Times New Roman" w:hAnsi="Times New Roman" w:cs="Times New Roman"/>
                <w:b/>
                <w:color w:val="auto"/>
                <w:sz w:val="48"/>
              </w:rPr>
              <w:t xml:space="preserve"> </w:t>
            </w:r>
            <w:r w:rsidR="00297727" w:rsidRPr="00297727">
              <w:rPr>
                <w:rFonts w:ascii="Times New Roman" w:hAnsi="Times New Roman" w:cs="Times New Roman"/>
                <w:bCs/>
                <w:color w:val="auto"/>
                <w:sz w:val="48"/>
              </w:rPr>
              <w:t>sandz_d_j@hotmail.com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70775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C00C6">
              <w:rPr>
                <w:rFonts w:ascii="Times New Roman" w:hAnsi="Times New Roman" w:cs="Times New Roman"/>
                <w:b/>
                <w:color w:val="auto"/>
                <w:sz w:val="48"/>
              </w:rPr>
              <w:t xml:space="preserve">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B445710"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Banerjee, S. (2010) ‘Living well with dementia: Development of the National Dementia Strategy for England’, International Journal of Geriatric Psychiatry, vol 25, pp 917-22.</w:t>
      </w:r>
    </w:p>
    <w:p w14:paraId="07CD061D"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Banerjee, S. (2013) ‘Developing policy that works for dementia: National and </w:t>
      </w:r>
      <w:proofErr w:type="gramStart"/>
      <w:r w:rsidRPr="008B1237">
        <w:rPr>
          <w:rFonts w:ascii="Times New Roman" w:eastAsiaTheme="minorHAnsi" w:hAnsi="Times New Roman" w:cs="Times New Roman"/>
          <w:iCs/>
          <w:color w:val="auto"/>
          <w:kern w:val="2"/>
          <w:sz w:val="24"/>
          <w:szCs w:val="24"/>
          <w:lang w:eastAsia="en-US"/>
          <w14:ligatures w14:val="standardContextual"/>
        </w:rPr>
        <w:t>global  lessons</w:t>
      </w:r>
      <w:proofErr w:type="gramEnd"/>
      <w:r w:rsidRPr="008B1237">
        <w:rPr>
          <w:rFonts w:ascii="Times New Roman" w:eastAsiaTheme="minorHAnsi" w:hAnsi="Times New Roman" w:cs="Times New Roman"/>
          <w:iCs/>
          <w:color w:val="auto"/>
          <w:kern w:val="2"/>
          <w:sz w:val="24"/>
          <w:szCs w:val="24"/>
          <w:lang w:eastAsia="en-US"/>
          <w14:ligatures w14:val="standardContextual"/>
        </w:rPr>
        <w:t xml:space="preserve"> in what makes a difference’, in H. de Waal, C. </w:t>
      </w:r>
      <w:proofErr w:type="spellStart"/>
      <w:r w:rsidRPr="008B1237">
        <w:rPr>
          <w:rFonts w:ascii="Times New Roman" w:eastAsiaTheme="minorHAnsi" w:hAnsi="Times New Roman" w:cs="Times New Roman"/>
          <w:iCs/>
          <w:color w:val="auto"/>
          <w:kern w:val="2"/>
          <w:sz w:val="24"/>
          <w:szCs w:val="24"/>
          <w:lang w:eastAsia="en-US"/>
          <w14:ligatures w14:val="standardContextual"/>
        </w:rPr>
        <w:t>Lyketsos</w:t>
      </w:r>
      <w:proofErr w:type="spellEnd"/>
      <w:r w:rsidRPr="008B1237">
        <w:rPr>
          <w:rFonts w:ascii="Times New Roman" w:eastAsiaTheme="minorHAnsi" w:hAnsi="Times New Roman" w:cs="Times New Roman"/>
          <w:iCs/>
          <w:color w:val="auto"/>
          <w:kern w:val="2"/>
          <w:sz w:val="24"/>
          <w:szCs w:val="24"/>
          <w:lang w:eastAsia="en-US"/>
          <w14:ligatures w14:val="standardContextual"/>
        </w:rPr>
        <w:t>, D. Ames and J. O’Brien (eds) Designing and delivering dementia services, Oxford: Wiley Blackwell, pp 119-25.</w:t>
      </w:r>
    </w:p>
    <w:p w14:paraId="5F703F67"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Bartlett, R. (2014) ‘Citizenship in action: The lived experiences of citizens with dementia who campaign for social change’, Disability &amp; Society, vol 29, no 8, pp 1291-304.</w:t>
      </w:r>
    </w:p>
    <w:p w14:paraId="703D4D73"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Brammer, A. (2020) </w:t>
      </w:r>
      <w:r w:rsidRPr="008B1237">
        <w:rPr>
          <w:rFonts w:ascii="Times New Roman" w:eastAsiaTheme="minorHAnsi" w:hAnsi="Times New Roman" w:cs="Times New Roman"/>
          <w:i/>
          <w:iCs/>
          <w:color w:val="auto"/>
          <w:kern w:val="2"/>
          <w:sz w:val="24"/>
          <w:szCs w:val="24"/>
          <w:lang w:eastAsia="en-US"/>
          <w14:ligatures w14:val="standardContextual"/>
        </w:rPr>
        <w:t xml:space="preserve">Social work law. </w:t>
      </w:r>
      <w:r w:rsidRPr="008B1237">
        <w:rPr>
          <w:rFonts w:ascii="Times New Roman" w:eastAsiaTheme="minorHAnsi" w:hAnsi="Times New Roman" w:cs="Times New Roman"/>
          <w:color w:val="auto"/>
          <w:kern w:val="2"/>
          <w:sz w:val="24"/>
          <w:szCs w:val="24"/>
          <w:lang w:eastAsia="en-US"/>
          <w14:ligatures w14:val="standardContextual"/>
        </w:rPr>
        <w:t>Fifth edition. Harlow, England: Pearson.</w:t>
      </w:r>
    </w:p>
    <w:p w14:paraId="7AD1185B"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Cahill, S. (2018) </w:t>
      </w:r>
      <w:r w:rsidRPr="008B1237">
        <w:rPr>
          <w:rFonts w:ascii="Times New Roman" w:eastAsiaTheme="minorHAnsi" w:hAnsi="Times New Roman" w:cs="Times New Roman"/>
          <w:i/>
          <w:color w:val="auto"/>
          <w:kern w:val="2"/>
          <w:sz w:val="24"/>
          <w:szCs w:val="24"/>
          <w:lang w:eastAsia="en-US"/>
          <w14:ligatures w14:val="standardContextual"/>
        </w:rPr>
        <w:t>Dementia and human rights</w:t>
      </w:r>
      <w:r w:rsidRPr="008B1237">
        <w:rPr>
          <w:rFonts w:ascii="Times New Roman" w:eastAsiaTheme="minorHAnsi" w:hAnsi="Times New Roman" w:cs="Times New Roman"/>
          <w:iCs/>
          <w:color w:val="auto"/>
          <w:kern w:val="2"/>
          <w:sz w:val="24"/>
          <w:szCs w:val="24"/>
          <w:lang w:eastAsia="en-US"/>
          <w14:ligatures w14:val="standardContextual"/>
        </w:rPr>
        <w:t>. Bristol, UK: Policy Press. Available at: https://doi.org/10.56687/9781447331384.</w:t>
      </w:r>
    </w:p>
    <w:p w14:paraId="42A04455" w14:textId="77777777" w:rsidR="008B1237" w:rsidRPr="008B1237" w:rsidRDefault="008B1237" w:rsidP="00D26CDA">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Caplan, G. (1965) </w:t>
      </w:r>
      <w:r w:rsidRPr="008B1237">
        <w:rPr>
          <w:rFonts w:ascii="Times New Roman" w:eastAsiaTheme="minorHAnsi" w:hAnsi="Times New Roman" w:cs="Times New Roman"/>
          <w:i/>
          <w:iCs/>
          <w:color w:val="auto"/>
          <w:kern w:val="2"/>
          <w:sz w:val="24"/>
          <w:szCs w:val="24"/>
          <w:lang w:eastAsia="en-US"/>
          <w14:ligatures w14:val="standardContextual"/>
        </w:rPr>
        <w:t>Principles of Preventative Psychiatry.</w:t>
      </w:r>
      <w:r w:rsidRPr="008B1237">
        <w:rPr>
          <w:rFonts w:ascii="Times New Roman" w:eastAsiaTheme="minorHAnsi" w:hAnsi="Times New Roman" w:cs="Times New Roman"/>
          <w:color w:val="auto"/>
          <w:kern w:val="2"/>
          <w:sz w:val="24"/>
          <w:szCs w:val="24"/>
          <w:lang w:eastAsia="en-US"/>
          <w14:ligatures w14:val="standardContextual"/>
        </w:rPr>
        <w:t xml:space="preserve"> London: Tavistock</w:t>
      </w:r>
    </w:p>
    <w:p w14:paraId="196A52AA"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Citizen’s information Ireland, (2023) Assisted Decision-Making (Capacity) 2015. Available at: Assisted Decision-Making (Capacity) Act 2015 (citizensinformation.ie) Accessed 10 </w:t>
      </w:r>
      <w:proofErr w:type="gramStart"/>
      <w:r w:rsidRPr="008B1237">
        <w:rPr>
          <w:rFonts w:ascii="Times New Roman" w:eastAsiaTheme="minorHAnsi" w:hAnsi="Times New Roman" w:cs="Times New Roman"/>
          <w:iCs/>
          <w:color w:val="auto"/>
          <w:kern w:val="2"/>
          <w:sz w:val="24"/>
          <w:szCs w:val="24"/>
          <w:lang w:eastAsia="en-US"/>
          <w14:ligatures w14:val="standardContextual"/>
        </w:rPr>
        <w:t>December,</w:t>
      </w:r>
      <w:proofErr w:type="gramEnd"/>
      <w:r w:rsidRPr="008B1237">
        <w:rPr>
          <w:rFonts w:ascii="Times New Roman" w:eastAsiaTheme="minorHAnsi" w:hAnsi="Times New Roman" w:cs="Times New Roman"/>
          <w:iCs/>
          <w:color w:val="auto"/>
          <w:kern w:val="2"/>
          <w:sz w:val="24"/>
          <w:szCs w:val="24"/>
          <w:lang w:eastAsia="en-US"/>
          <w14:ligatures w14:val="standardContextual"/>
        </w:rPr>
        <w:t xml:space="preserve"> 2023.</w:t>
      </w:r>
    </w:p>
    <w:p w14:paraId="1EF1F8CF"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Czaja, S.J. et al. (2018) ‘Improving Social Support for Older Adults Through Technology: Findings </w:t>
      </w:r>
      <w:proofErr w:type="gramStart"/>
      <w:r w:rsidRPr="008B1237">
        <w:rPr>
          <w:rFonts w:ascii="Times New Roman" w:eastAsiaTheme="minorHAnsi" w:hAnsi="Times New Roman" w:cs="Times New Roman"/>
          <w:color w:val="auto"/>
          <w:kern w:val="2"/>
          <w:sz w:val="24"/>
          <w:szCs w:val="24"/>
          <w:lang w:eastAsia="en-US"/>
          <w14:ligatures w14:val="standardContextual"/>
        </w:rPr>
        <w:t>From</w:t>
      </w:r>
      <w:proofErr w:type="gramEnd"/>
      <w:r w:rsidRPr="008B1237">
        <w:rPr>
          <w:rFonts w:ascii="Times New Roman" w:eastAsiaTheme="minorHAnsi" w:hAnsi="Times New Roman" w:cs="Times New Roman"/>
          <w:color w:val="auto"/>
          <w:kern w:val="2"/>
          <w:sz w:val="24"/>
          <w:szCs w:val="24"/>
          <w:lang w:eastAsia="en-US"/>
          <w14:ligatures w14:val="standardContextual"/>
        </w:rPr>
        <w:t xml:space="preserve"> the PRISM Randomized Controlled Trial’, The Gerontologist, 58(3), pp. 467–477. Available at: </w:t>
      </w:r>
      <w:hyperlink r:id="rId11" w:history="1">
        <w:r w:rsidRPr="008B1237">
          <w:rPr>
            <w:rFonts w:ascii="Times New Roman" w:eastAsiaTheme="minorHAnsi" w:hAnsi="Times New Roman" w:cs="Times New Roman"/>
            <w:color w:val="auto"/>
            <w:kern w:val="2"/>
            <w:sz w:val="24"/>
            <w:szCs w:val="24"/>
            <w:lang w:eastAsia="en-US"/>
            <w14:ligatures w14:val="standardContextual"/>
          </w:rPr>
          <w:t>https://doi.org/10.1093/geront/gnw249</w:t>
        </w:r>
      </w:hyperlink>
      <w:r w:rsidRPr="008B1237">
        <w:rPr>
          <w:rFonts w:ascii="Times New Roman" w:eastAsiaTheme="minorHAnsi" w:hAnsi="Times New Roman" w:cs="Times New Roman"/>
          <w:color w:val="auto"/>
          <w:kern w:val="2"/>
          <w:sz w:val="24"/>
          <w:szCs w:val="24"/>
          <w:lang w:eastAsia="en-US"/>
          <w14:ligatures w14:val="standardContextual"/>
        </w:rPr>
        <w:t>.</w:t>
      </w:r>
    </w:p>
    <w:p w14:paraId="43E2E7C1"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Dalton, D.S., Cruickshanks, K. J., Klein, B. E. K., Klein, R., Wiley, T. L., and </w:t>
      </w:r>
      <w:proofErr w:type="spellStart"/>
      <w:r w:rsidRPr="008B1237">
        <w:rPr>
          <w:rFonts w:ascii="Times New Roman" w:eastAsiaTheme="minorHAnsi" w:hAnsi="Times New Roman" w:cs="Times New Roman"/>
          <w:color w:val="auto"/>
          <w:kern w:val="2"/>
          <w:sz w:val="24"/>
          <w:szCs w:val="24"/>
          <w:lang w:eastAsia="en-US"/>
          <w14:ligatures w14:val="standardContextual"/>
        </w:rPr>
        <w:t>Nondahl</w:t>
      </w:r>
      <w:proofErr w:type="spellEnd"/>
      <w:r w:rsidRPr="008B1237">
        <w:rPr>
          <w:rFonts w:ascii="Times New Roman" w:eastAsiaTheme="minorHAnsi" w:hAnsi="Times New Roman" w:cs="Times New Roman"/>
          <w:color w:val="auto"/>
          <w:kern w:val="2"/>
          <w:sz w:val="24"/>
          <w:szCs w:val="24"/>
          <w:lang w:eastAsia="en-US"/>
          <w14:ligatures w14:val="standardContextual"/>
        </w:rPr>
        <w:t xml:space="preserve">, D. M. (2008) </w:t>
      </w:r>
      <w:r w:rsidRPr="008B1237">
        <w:rPr>
          <w:rFonts w:ascii="Times New Roman" w:eastAsiaTheme="minorHAnsi" w:hAnsi="Times New Roman" w:cs="Times New Roman"/>
          <w:i/>
          <w:iCs/>
          <w:color w:val="auto"/>
          <w:kern w:val="2"/>
          <w:sz w:val="24"/>
          <w:szCs w:val="24"/>
          <w:lang w:eastAsia="en-US"/>
          <w14:ligatures w14:val="standardContextual"/>
        </w:rPr>
        <w:t>“The Impact of Hearing Loss on Quality of Life in Older Adults</w:t>
      </w:r>
      <w:r w:rsidRPr="008B1237">
        <w:rPr>
          <w:rFonts w:ascii="Times New Roman" w:eastAsiaTheme="minorHAnsi" w:hAnsi="Times New Roman" w:cs="Times New Roman"/>
          <w:color w:val="auto"/>
          <w:kern w:val="2"/>
          <w:sz w:val="24"/>
          <w:szCs w:val="24"/>
          <w:lang w:eastAsia="en-US"/>
          <w14:ligatures w14:val="standardContextual"/>
        </w:rPr>
        <w:t xml:space="preserve">,” The Gerontologist, vol. 43, no. 5, pp. 661–668, 2003, </w:t>
      </w:r>
      <w:proofErr w:type="spellStart"/>
      <w:r w:rsidRPr="008B1237">
        <w:rPr>
          <w:rFonts w:ascii="Times New Roman" w:eastAsiaTheme="minorHAnsi" w:hAnsi="Times New Roman" w:cs="Times New Roman"/>
          <w:color w:val="auto"/>
          <w:kern w:val="2"/>
          <w:sz w:val="24"/>
          <w:szCs w:val="24"/>
          <w:lang w:eastAsia="en-US"/>
          <w14:ligatures w14:val="standardContextual"/>
        </w:rPr>
        <w:t>doi</w:t>
      </w:r>
      <w:proofErr w:type="spellEnd"/>
      <w:r w:rsidRPr="008B1237">
        <w:rPr>
          <w:rFonts w:ascii="Times New Roman" w:eastAsiaTheme="minorHAnsi" w:hAnsi="Times New Roman" w:cs="Times New Roman"/>
          <w:color w:val="auto"/>
          <w:kern w:val="2"/>
          <w:sz w:val="24"/>
          <w:szCs w:val="24"/>
          <w:lang w:eastAsia="en-US"/>
          <w14:ligatures w14:val="standardContextual"/>
        </w:rPr>
        <w:t>: 10.1093/</w:t>
      </w:r>
      <w:proofErr w:type="spellStart"/>
      <w:r w:rsidRPr="008B1237">
        <w:rPr>
          <w:rFonts w:ascii="Times New Roman" w:eastAsiaTheme="minorHAnsi" w:hAnsi="Times New Roman" w:cs="Times New Roman"/>
          <w:color w:val="auto"/>
          <w:kern w:val="2"/>
          <w:sz w:val="24"/>
          <w:szCs w:val="24"/>
          <w:lang w:eastAsia="en-US"/>
          <w14:ligatures w14:val="standardContextual"/>
        </w:rPr>
        <w:t>geront</w:t>
      </w:r>
      <w:proofErr w:type="spellEnd"/>
      <w:r w:rsidRPr="008B1237">
        <w:rPr>
          <w:rFonts w:ascii="Times New Roman" w:eastAsiaTheme="minorHAnsi" w:hAnsi="Times New Roman" w:cs="Times New Roman"/>
          <w:color w:val="auto"/>
          <w:kern w:val="2"/>
          <w:sz w:val="24"/>
          <w:szCs w:val="24"/>
          <w:lang w:eastAsia="en-US"/>
          <w14:ligatures w14:val="standardContextual"/>
        </w:rPr>
        <w:t>/43.5.661.</w:t>
      </w:r>
    </w:p>
    <w:p w14:paraId="72E1A6AF"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De Waal, H., </w:t>
      </w:r>
      <w:proofErr w:type="spellStart"/>
      <w:r w:rsidRPr="008B1237">
        <w:rPr>
          <w:rFonts w:ascii="Times New Roman" w:eastAsiaTheme="minorHAnsi" w:hAnsi="Times New Roman" w:cs="Times New Roman"/>
          <w:iCs/>
          <w:color w:val="auto"/>
          <w:kern w:val="2"/>
          <w:sz w:val="24"/>
          <w:szCs w:val="24"/>
          <w:lang w:eastAsia="en-US"/>
          <w14:ligatures w14:val="standardContextual"/>
        </w:rPr>
        <w:t>Lyketsos</w:t>
      </w:r>
      <w:proofErr w:type="spellEnd"/>
      <w:r w:rsidRPr="008B1237">
        <w:rPr>
          <w:rFonts w:ascii="Times New Roman" w:eastAsiaTheme="minorHAnsi" w:hAnsi="Times New Roman" w:cs="Times New Roman"/>
          <w:iCs/>
          <w:color w:val="auto"/>
          <w:kern w:val="2"/>
          <w:sz w:val="24"/>
          <w:szCs w:val="24"/>
          <w:lang w:eastAsia="en-US"/>
          <w14:ligatures w14:val="standardContextual"/>
        </w:rPr>
        <w:t>, C., Ames, D., and O’Brien, J. (2013) ‘Designing and</w:t>
      </w:r>
    </w:p>
    <w:p w14:paraId="55C48407"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delivering dementia services’, Oxford: Wiley &amp; Sons Ltd.</w:t>
      </w:r>
    </w:p>
    <w:p w14:paraId="6F09F581"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shd w:val="clear" w:color="auto" w:fill="FFFFFF"/>
          <w:lang w:eastAsia="en-US"/>
          <w14:ligatures w14:val="standardContextual"/>
        </w:rPr>
      </w:pPr>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Dixon, J. (2023) ‘The Problem of Adult Safeguarding’, in Adult Safeguarding Observed. Bristol: Policy Press. Available at: </w:t>
      </w:r>
      <w:hyperlink r:id="rId12" w:history="1">
        <w:r w:rsidRPr="008B1237">
          <w:rPr>
            <w:rFonts w:ascii="Times New Roman" w:eastAsiaTheme="minorHAnsi" w:hAnsi="Times New Roman" w:cs="Times New Roman"/>
            <w:color w:val="auto"/>
            <w:kern w:val="2"/>
            <w:sz w:val="24"/>
            <w:szCs w:val="24"/>
            <w:shd w:val="clear" w:color="auto" w:fill="FFFFFF"/>
            <w:lang w:eastAsia="en-US"/>
            <w14:ligatures w14:val="standardContextual"/>
          </w:rPr>
          <w:t>https://doi.org/10.47674/9781447357315.001</w:t>
        </w:r>
      </w:hyperlink>
      <w:r w:rsidRPr="008B1237">
        <w:rPr>
          <w:rFonts w:ascii="Times New Roman" w:eastAsiaTheme="minorHAnsi" w:hAnsi="Times New Roman" w:cs="Times New Roman"/>
          <w:color w:val="auto"/>
          <w:kern w:val="2"/>
          <w:sz w:val="24"/>
          <w:szCs w:val="24"/>
          <w:shd w:val="clear" w:color="auto" w:fill="FFFFFF"/>
          <w:lang w:eastAsia="en-US"/>
          <w14:ligatures w14:val="standardContextual"/>
        </w:rPr>
        <w:t>.</w:t>
      </w:r>
    </w:p>
    <w:p w14:paraId="6C1C4474"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lastRenderedPageBreak/>
        <w:t xml:space="preserve">Dixon, J., Donnelly. S., Campbell, J., and Laing, J. (2021) ‘Safeguarding People Living with Dementia: How Social Workers Can Use Supported Decision-Making Strategies to Support the Human Rights of Individuals during Adult Safeguarding Enquiries,’ </w:t>
      </w:r>
      <w:r w:rsidRPr="008B1237">
        <w:rPr>
          <w:rFonts w:ascii="Times New Roman" w:eastAsiaTheme="minorHAnsi" w:hAnsi="Times New Roman" w:cs="Times New Roman"/>
          <w:i/>
          <w:color w:val="auto"/>
          <w:kern w:val="2"/>
          <w:sz w:val="24"/>
          <w:szCs w:val="24"/>
          <w:lang w:eastAsia="en-US"/>
          <w14:ligatures w14:val="standardContextual"/>
        </w:rPr>
        <w:t>The British Journal of Social</w:t>
      </w:r>
      <w:r w:rsidRPr="008B1237">
        <w:rPr>
          <w:rFonts w:ascii="Times New Roman" w:eastAsiaTheme="minorHAnsi" w:hAnsi="Times New Roman" w:cs="Times New Roman"/>
          <w:iCs/>
          <w:color w:val="auto"/>
          <w:kern w:val="2"/>
          <w:sz w:val="24"/>
          <w:szCs w:val="24"/>
          <w:lang w:eastAsia="en-US"/>
          <w14:ligatures w14:val="standardContextual"/>
        </w:rPr>
        <w:t xml:space="preserve"> Work, Volume 52, Issue 3, April 2022, Pages 1307–1324, https://doi-org.ezproxy.uwtsd.ac.uk/10.1093/bjsw/bcab119</w:t>
      </w:r>
    </w:p>
    <w:p w14:paraId="137B1A3E"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European Parliament, (2016) Protection of Vulnerable Adults. Available at: EPRS_</w:t>
      </w:r>
      <w:proofErr w:type="gramStart"/>
      <w:r w:rsidRPr="008B1237">
        <w:rPr>
          <w:rFonts w:ascii="Times New Roman" w:eastAsiaTheme="minorHAnsi" w:hAnsi="Times New Roman" w:cs="Times New Roman"/>
          <w:iCs/>
          <w:color w:val="auto"/>
          <w:kern w:val="2"/>
          <w:sz w:val="24"/>
          <w:szCs w:val="24"/>
          <w:lang w:eastAsia="en-US"/>
          <w14:ligatures w14:val="standardContextual"/>
        </w:rPr>
        <w:t>STU(</w:t>
      </w:r>
      <w:proofErr w:type="gramEnd"/>
      <w:r w:rsidRPr="008B1237">
        <w:rPr>
          <w:rFonts w:ascii="Times New Roman" w:eastAsiaTheme="minorHAnsi" w:hAnsi="Times New Roman" w:cs="Times New Roman"/>
          <w:iCs/>
          <w:color w:val="auto"/>
          <w:kern w:val="2"/>
          <w:sz w:val="24"/>
          <w:szCs w:val="24"/>
          <w:lang w:eastAsia="en-US"/>
          <w14:ligatures w14:val="standardContextual"/>
        </w:rPr>
        <w:t>2016)581388_EN.pdf (europa.eu) (Accessed 12 December, 2023).</w:t>
      </w:r>
    </w:p>
    <w:p w14:paraId="74AA78FD"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Fook, J. (ed.) (2022) </w:t>
      </w:r>
      <w:r w:rsidRPr="008B1237">
        <w:rPr>
          <w:rFonts w:ascii="Times New Roman" w:eastAsiaTheme="minorHAnsi" w:hAnsi="Times New Roman" w:cs="Times New Roman"/>
          <w:i/>
          <w:iCs/>
          <w:color w:val="auto"/>
          <w:kern w:val="2"/>
          <w:sz w:val="24"/>
          <w:szCs w:val="24"/>
          <w:lang w:eastAsia="en-US"/>
          <w14:ligatures w14:val="standardContextual"/>
        </w:rPr>
        <w:t>Practicing critical reflection in social care organisations</w:t>
      </w:r>
      <w:r w:rsidRPr="008B1237">
        <w:rPr>
          <w:rFonts w:ascii="Times New Roman" w:eastAsiaTheme="minorHAnsi" w:hAnsi="Times New Roman" w:cs="Times New Roman"/>
          <w:color w:val="auto"/>
          <w:kern w:val="2"/>
          <w:sz w:val="24"/>
          <w:szCs w:val="24"/>
          <w:lang w:eastAsia="en-US"/>
          <w14:ligatures w14:val="standardContextual"/>
        </w:rPr>
        <w:t>. Milton Keynes: Taylor &amp; Francis Group.</w:t>
      </w:r>
    </w:p>
    <w:p w14:paraId="4AF07227" w14:textId="77777777" w:rsidR="008B1237" w:rsidRPr="008B1237" w:rsidRDefault="008B1237" w:rsidP="00D26CDA">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Frost, N. (2021) </w:t>
      </w:r>
      <w:r w:rsidRPr="008B1237">
        <w:rPr>
          <w:rFonts w:ascii="Times New Roman" w:eastAsiaTheme="minorHAnsi" w:hAnsi="Times New Roman" w:cs="Times New Roman"/>
          <w:i/>
          <w:iCs/>
          <w:color w:val="auto"/>
          <w:kern w:val="2"/>
          <w:sz w:val="24"/>
          <w:szCs w:val="24"/>
          <w:lang w:eastAsia="en-US"/>
          <w14:ligatures w14:val="standardContextual"/>
        </w:rPr>
        <w:t>Safeguarding children and young people: a guide for professionals working together</w:t>
      </w:r>
      <w:r w:rsidRPr="008B1237">
        <w:rPr>
          <w:rFonts w:ascii="Times New Roman" w:eastAsiaTheme="minorHAnsi" w:hAnsi="Times New Roman" w:cs="Times New Roman"/>
          <w:color w:val="auto"/>
          <w:kern w:val="2"/>
          <w:sz w:val="24"/>
          <w:szCs w:val="24"/>
          <w:lang w:eastAsia="en-US"/>
          <w14:ligatures w14:val="standardContextual"/>
        </w:rPr>
        <w:t xml:space="preserve">. </w:t>
      </w:r>
      <w:proofErr w:type="gramStart"/>
      <w:r w:rsidRPr="008B1237">
        <w:rPr>
          <w:rFonts w:ascii="Times New Roman" w:eastAsiaTheme="minorHAnsi" w:hAnsi="Times New Roman" w:cs="Times New Roman"/>
          <w:color w:val="auto"/>
          <w:kern w:val="2"/>
          <w:sz w:val="24"/>
          <w:szCs w:val="24"/>
          <w:lang w:eastAsia="en-US"/>
          <w14:ligatures w14:val="standardContextual"/>
        </w:rPr>
        <w:t>London ;</w:t>
      </w:r>
      <w:proofErr w:type="gramEnd"/>
      <w:r w:rsidRPr="008B1237">
        <w:rPr>
          <w:rFonts w:ascii="Times New Roman" w:eastAsiaTheme="minorHAnsi" w:hAnsi="Times New Roman" w:cs="Times New Roman"/>
          <w:color w:val="auto"/>
          <w:kern w:val="2"/>
          <w:sz w:val="24"/>
          <w:szCs w:val="24"/>
          <w:lang w:eastAsia="en-US"/>
          <w14:ligatures w14:val="standardContextual"/>
        </w:rPr>
        <w:t xml:space="preserve"> SAGE Publications.</w:t>
      </w:r>
    </w:p>
    <w:p w14:paraId="05581FE8"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Future generations commissioner for Wales. (2023) </w:t>
      </w:r>
      <w:r w:rsidRPr="008B1237">
        <w:rPr>
          <w:rFonts w:ascii="Times New Roman" w:eastAsiaTheme="minorHAnsi" w:hAnsi="Times New Roman" w:cs="Times New Roman"/>
          <w:i/>
          <w:iCs/>
          <w:color w:val="auto"/>
          <w:kern w:val="2"/>
          <w:sz w:val="24"/>
          <w:szCs w:val="24"/>
          <w:lang w:eastAsia="en-US"/>
          <w14:ligatures w14:val="standardContextual"/>
        </w:rPr>
        <w:t>Newsletter</w:t>
      </w:r>
      <w:r w:rsidRPr="008B1237">
        <w:rPr>
          <w:rFonts w:ascii="Times New Roman" w:eastAsiaTheme="minorHAnsi" w:hAnsi="Times New Roman" w:cs="Times New Roman"/>
          <w:color w:val="auto"/>
          <w:kern w:val="2"/>
          <w:sz w:val="24"/>
          <w:szCs w:val="24"/>
          <w:lang w:eastAsia="en-US"/>
          <w14:ligatures w14:val="standardContextual"/>
        </w:rPr>
        <w:t xml:space="preserve">. Available at: </w:t>
      </w:r>
      <w:hyperlink r:id="rId13" w:history="1">
        <w:r w:rsidRPr="008B1237">
          <w:rPr>
            <w:rFonts w:ascii="Times New Roman" w:eastAsiaTheme="minorHAnsi" w:hAnsi="Times New Roman" w:cs="Times New Roman"/>
            <w:color w:val="auto"/>
            <w:kern w:val="2"/>
            <w:sz w:val="24"/>
            <w:szCs w:val="24"/>
            <w:lang w:eastAsia="en-US"/>
            <w14:ligatures w14:val="standardContextual"/>
          </w:rPr>
          <w:t>Our Newsletters – The Future Generations Commissioner for Wales</w:t>
        </w:r>
      </w:hyperlink>
      <w:r w:rsidRPr="008B1237">
        <w:rPr>
          <w:rFonts w:ascii="Times New Roman" w:eastAsiaTheme="minorHAnsi" w:hAnsi="Times New Roman" w:cs="Times New Roman"/>
          <w:color w:val="auto"/>
          <w:kern w:val="2"/>
          <w:sz w:val="24"/>
          <w:szCs w:val="24"/>
          <w:lang w:eastAsia="en-US"/>
          <w14:ligatures w14:val="standardContextual"/>
        </w:rPr>
        <w:t xml:space="preserve">  Accessed: </w:t>
      </w:r>
      <w:proofErr w:type="gramStart"/>
      <w:r w:rsidRPr="008B1237">
        <w:rPr>
          <w:rFonts w:ascii="Times New Roman" w:eastAsiaTheme="minorHAnsi" w:hAnsi="Times New Roman" w:cs="Times New Roman"/>
          <w:color w:val="auto"/>
          <w:kern w:val="2"/>
          <w:sz w:val="24"/>
          <w:szCs w:val="24"/>
          <w:lang w:eastAsia="en-US"/>
          <w14:ligatures w14:val="standardContextual"/>
        </w:rPr>
        <w:t>29.12.23</w:t>
      </w:r>
      <w:proofErr w:type="gramEnd"/>
    </w:p>
    <w:p w14:paraId="20CCC3AD"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proofErr w:type="spellStart"/>
      <w:r w:rsidRPr="008B1237">
        <w:rPr>
          <w:rFonts w:ascii="Times New Roman" w:eastAsiaTheme="minorHAnsi" w:hAnsi="Times New Roman" w:cs="Times New Roman"/>
          <w:iCs/>
          <w:color w:val="auto"/>
          <w:kern w:val="2"/>
          <w:sz w:val="24"/>
          <w:szCs w:val="24"/>
          <w:lang w:eastAsia="en-US"/>
          <w14:ligatures w14:val="standardContextual"/>
        </w:rPr>
        <w:t>Fyson</w:t>
      </w:r>
      <w:proofErr w:type="spellEnd"/>
      <w:r w:rsidRPr="008B1237">
        <w:rPr>
          <w:rFonts w:ascii="Times New Roman" w:eastAsiaTheme="minorHAnsi" w:hAnsi="Times New Roman" w:cs="Times New Roman"/>
          <w:iCs/>
          <w:color w:val="auto"/>
          <w:kern w:val="2"/>
          <w:sz w:val="24"/>
          <w:szCs w:val="24"/>
          <w:lang w:eastAsia="en-US"/>
          <w14:ligatures w14:val="standardContextual"/>
        </w:rPr>
        <w:t xml:space="preserve">, R. (2015) “Building an Evidence Base for Adult Safeguarding? Problems with the Reliability and Validity of Adult Safeguarding Databases,” </w:t>
      </w:r>
      <w:r w:rsidRPr="008B1237">
        <w:rPr>
          <w:rFonts w:ascii="Times New Roman" w:eastAsiaTheme="minorHAnsi" w:hAnsi="Times New Roman" w:cs="Times New Roman"/>
          <w:i/>
          <w:color w:val="auto"/>
          <w:kern w:val="2"/>
          <w:sz w:val="24"/>
          <w:szCs w:val="24"/>
          <w:lang w:eastAsia="en-US"/>
          <w14:ligatures w14:val="standardContextual"/>
        </w:rPr>
        <w:t>The British journal of social work</w:t>
      </w:r>
      <w:r w:rsidRPr="008B1237">
        <w:rPr>
          <w:rFonts w:ascii="Times New Roman" w:eastAsiaTheme="minorHAnsi" w:hAnsi="Times New Roman" w:cs="Times New Roman"/>
          <w:iCs/>
          <w:color w:val="auto"/>
          <w:kern w:val="2"/>
          <w:sz w:val="24"/>
          <w:szCs w:val="24"/>
          <w:lang w:eastAsia="en-US"/>
          <w14:ligatures w14:val="standardContextual"/>
        </w:rPr>
        <w:t>, 45(3), pp. 932–948. Available at: https://doi.org/10.1093/bjsw/bct163.</w:t>
      </w:r>
    </w:p>
    <w:p w14:paraId="6A7B86C2"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Gibbs’ reflective cycle is a seminal theory in reflective practice (Gibbs, 1988, as cited in Jasper, 2013).</w:t>
      </w:r>
    </w:p>
    <w:p w14:paraId="1FEDA22F" w14:textId="77777777" w:rsidR="008B1237" w:rsidRPr="008B1237" w:rsidRDefault="008B1237" w:rsidP="00D26CDA">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Golan, N. (1974) Crisis Theory. In Turner, F., (ed) </w:t>
      </w:r>
      <w:r w:rsidRPr="008B1237">
        <w:rPr>
          <w:rFonts w:ascii="Times New Roman" w:eastAsiaTheme="minorHAnsi" w:hAnsi="Times New Roman" w:cs="Times New Roman"/>
          <w:i/>
          <w:iCs/>
          <w:color w:val="auto"/>
          <w:kern w:val="2"/>
          <w:sz w:val="24"/>
          <w:szCs w:val="24"/>
          <w:lang w:eastAsia="en-US"/>
          <w14:ligatures w14:val="standardContextual"/>
        </w:rPr>
        <w:t xml:space="preserve">Social Work Treatment: </w:t>
      </w:r>
      <w:proofErr w:type="spellStart"/>
      <w:r w:rsidRPr="008B1237">
        <w:rPr>
          <w:rFonts w:ascii="Times New Roman" w:eastAsiaTheme="minorHAnsi" w:hAnsi="Times New Roman" w:cs="Times New Roman"/>
          <w:i/>
          <w:iCs/>
          <w:color w:val="auto"/>
          <w:kern w:val="2"/>
          <w:sz w:val="24"/>
          <w:szCs w:val="24"/>
          <w:lang w:eastAsia="en-US"/>
          <w14:ligatures w14:val="standardContextual"/>
        </w:rPr>
        <w:t>Ineterlocking</w:t>
      </w:r>
      <w:proofErr w:type="spellEnd"/>
      <w:r w:rsidRPr="008B1237">
        <w:rPr>
          <w:rFonts w:ascii="Times New Roman" w:eastAsiaTheme="minorHAnsi" w:hAnsi="Times New Roman" w:cs="Times New Roman"/>
          <w:i/>
          <w:iCs/>
          <w:color w:val="auto"/>
          <w:kern w:val="2"/>
          <w:sz w:val="24"/>
          <w:szCs w:val="24"/>
          <w:lang w:eastAsia="en-US"/>
          <w14:ligatures w14:val="standardContextual"/>
        </w:rPr>
        <w:t xml:space="preserve"> Theoretical Approaches.</w:t>
      </w:r>
      <w:r w:rsidRPr="008B1237">
        <w:rPr>
          <w:rFonts w:ascii="Times New Roman" w:eastAsiaTheme="minorHAnsi" w:hAnsi="Times New Roman" w:cs="Times New Roman"/>
          <w:color w:val="auto"/>
          <w:kern w:val="2"/>
          <w:sz w:val="24"/>
          <w:szCs w:val="24"/>
          <w:lang w:eastAsia="en-US"/>
          <w14:ligatures w14:val="standardContextual"/>
        </w:rPr>
        <w:t xml:space="preserve"> New York: Free Press pp. 421 - 439.</w:t>
      </w:r>
    </w:p>
    <w:p w14:paraId="7A73B984"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Hanna, S. and Nash, M. (2012) Don’t Have to Shout’ -- Vocal Behaviour in Social Work Communication’, Social work education, 31(4), pp. 485–497. Available at: </w:t>
      </w:r>
      <w:hyperlink r:id="rId14" w:history="1">
        <w:r w:rsidRPr="008B1237">
          <w:rPr>
            <w:rFonts w:ascii="Times New Roman" w:eastAsiaTheme="minorHAnsi" w:hAnsi="Times New Roman" w:cs="Times New Roman"/>
            <w:color w:val="auto"/>
            <w:kern w:val="2"/>
            <w:sz w:val="24"/>
            <w:szCs w:val="24"/>
            <w:lang w:eastAsia="en-US"/>
            <w14:ligatures w14:val="standardContextual"/>
          </w:rPr>
          <w:t>https://doi.org/10.1080/02615479.2011.564610</w:t>
        </w:r>
      </w:hyperlink>
      <w:r w:rsidRPr="008B1237">
        <w:rPr>
          <w:rFonts w:ascii="Times New Roman" w:eastAsiaTheme="minorHAnsi" w:hAnsi="Times New Roman" w:cs="Times New Roman"/>
          <w:color w:val="auto"/>
          <w:kern w:val="2"/>
          <w:sz w:val="24"/>
          <w:szCs w:val="24"/>
          <w:lang w:eastAsia="en-US"/>
          <w14:ligatures w14:val="standardContextual"/>
        </w:rPr>
        <w:t>.</w:t>
      </w:r>
    </w:p>
    <w:p w14:paraId="44A0F1FE"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Higham, P.E. (2020) </w:t>
      </w:r>
      <w:r w:rsidRPr="008B1237">
        <w:rPr>
          <w:rFonts w:ascii="Times New Roman" w:eastAsiaTheme="minorHAnsi" w:hAnsi="Times New Roman" w:cs="Times New Roman"/>
          <w:i/>
          <w:iCs/>
          <w:color w:val="auto"/>
          <w:kern w:val="2"/>
          <w:sz w:val="24"/>
          <w:szCs w:val="24"/>
          <w:lang w:eastAsia="en-US"/>
          <w14:ligatures w14:val="standardContextual"/>
        </w:rPr>
        <w:t xml:space="preserve">Communication and interviewing skills for practice in social work, </w:t>
      </w:r>
      <w:proofErr w:type="gramStart"/>
      <w:r w:rsidRPr="008B1237">
        <w:rPr>
          <w:rFonts w:ascii="Times New Roman" w:eastAsiaTheme="minorHAnsi" w:hAnsi="Times New Roman" w:cs="Times New Roman"/>
          <w:i/>
          <w:iCs/>
          <w:color w:val="auto"/>
          <w:kern w:val="2"/>
          <w:sz w:val="24"/>
          <w:szCs w:val="24"/>
          <w:lang w:eastAsia="en-US"/>
          <w14:ligatures w14:val="standardContextual"/>
        </w:rPr>
        <w:t>counselling</w:t>
      </w:r>
      <w:proofErr w:type="gramEnd"/>
      <w:r w:rsidRPr="008B1237">
        <w:rPr>
          <w:rFonts w:ascii="Times New Roman" w:eastAsiaTheme="minorHAnsi" w:hAnsi="Times New Roman" w:cs="Times New Roman"/>
          <w:i/>
          <w:iCs/>
          <w:color w:val="auto"/>
          <w:kern w:val="2"/>
          <w:sz w:val="24"/>
          <w:szCs w:val="24"/>
          <w:lang w:eastAsia="en-US"/>
          <w14:ligatures w14:val="standardContextual"/>
        </w:rPr>
        <w:t xml:space="preserve"> and the health professions</w:t>
      </w:r>
      <w:r w:rsidRPr="008B1237">
        <w:rPr>
          <w:rFonts w:ascii="Times New Roman" w:eastAsiaTheme="minorHAnsi" w:hAnsi="Times New Roman" w:cs="Times New Roman"/>
          <w:color w:val="auto"/>
          <w:kern w:val="2"/>
          <w:sz w:val="24"/>
          <w:szCs w:val="24"/>
          <w:lang w:eastAsia="en-US"/>
          <w14:ligatures w14:val="standardContextual"/>
        </w:rPr>
        <w:t xml:space="preserve">. </w:t>
      </w:r>
      <w:proofErr w:type="gramStart"/>
      <w:r w:rsidRPr="008B1237">
        <w:rPr>
          <w:rFonts w:ascii="Times New Roman" w:eastAsiaTheme="minorHAnsi" w:hAnsi="Times New Roman" w:cs="Times New Roman"/>
          <w:color w:val="auto"/>
          <w:kern w:val="2"/>
          <w:sz w:val="24"/>
          <w:szCs w:val="24"/>
          <w:lang w:eastAsia="en-US"/>
          <w14:ligatures w14:val="standardContextual"/>
        </w:rPr>
        <w:t>London ;</w:t>
      </w:r>
      <w:proofErr w:type="gramEnd"/>
      <w:r w:rsidRPr="008B1237">
        <w:rPr>
          <w:rFonts w:ascii="Times New Roman" w:eastAsiaTheme="minorHAnsi" w:hAnsi="Times New Roman" w:cs="Times New Roman"/>
          <w:color w:val="auto"/>
          <w:kern w:val="2"/>
          <w:sz w:val="24"/>
          <w:szCs w:val="24"/>
          <w:lang w:eastAsia="en-US"/>
          <w14:ligatures w14:val="standardContextual"/>
        </w:rPr>
        <w:t xml:space="preserve"> Routledge.</w:t>
      </w:r>
    </w:p>
    <w:p w14:paraId="6D706C9F" w14:textId="77777777" w:rsidR="008B1237" w:rsidRPr="008B1237" w:rsidRDefault="008B1237" w:rsidP="008B1237">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Hobart, C., and Frankel, J. (2009) </w:t>
      </w:r>
      <w:r w:rsidRPr="008B1237">
        <w:rPr>
          <w:rFonts w:ascii="Times New Roman" w:eastAsiaTheme="minorHAnsi" w:hAnsi="Times New Roman" w:cs="Times New Roman"/>
          <w:i/>
          <w:iCs/>
          <w:color w:val="auto"/>
          <w:kern w:val="2"/>
          <w:sz w:val="24"/>
          <w:szCs w:val="24"/>
          <w:lang w:eastAsia="en-US"/>
          <w14:ligatures w14:val="standardContextual"/>
        </w:rPr>
        <w:t>Good practice in safeguarding children.</w:t>
      </w:r>
      <w:r w:rsidRPr="008B1237">
        <w:rPr>
          <w:rFonts w:ascii="Times New Roman" w:eastAsiaTheme="minorHAnsi" w:hAnsi="Times New Roman" w:cs="Times New Roman"/>
          <w:color w:val="auto"/>
          <w:kern w:val="2"/>
          <w:sz w:val="24"/>
          <w:szCs w:val="24"/>
          <w:lang w:eastAsia="en-US"/>
          <w14:ligatures w14:val="standardContextual"/>
        </w:rPr>
        <w:t xml:space="preserve"> 3rd ed. Cheltenham: Nelson Thornes.</w:t>
      </w:r>
    </w:p>
    <w:p w14:paraId="0D03F751"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Hoffman, D. and Rowe, J. (John J. (2006) </w:t>
      </w:r>
      <w:r w:rsidRPr="008B1237">
        <w:rPr>
          <w:rFonts w:ascii="Times New Roman" w:eastAsiaTheme="minorHAnsi" w:hAnsi="Times New Roman" w:cs="Times New Roman"/>
          <w:i/>
          <w:color w:val="auto"/>
          <w:kern w:val="2"/>
          <w:sz w:val="24"/>
          <w:szCs w:val="24"/>
          <w:lang w:eastAsia="en-US"/>
          <w14:ligatures w14:val="standardContextual"/>
        </w:rPr>
        <w:t xml:space="preserve">Human rights in the </w:t>
      </w:r>
      <w:proofErr w:type="gramStart"/>
      <w:r w:rsidRPr="008B1237">
        <w:rPr>
          <w:rFonts w:ascii="Times New Roman" w:eastAsiaTheme="minorHAnsi" w:hAnsi="Times New Roman" w:cs="Times New Roman"/>
          <w:i/>
          <w:color w:val="auto"/>
          <w:kern w:val="2"/>
          <w:sz w:val="24"/>
          <w:szCs w:val="24"/>
          <w:lang w:eastAsia="en-US"/>
          <w14:ligatures w14:val="standardContextual"/>
        </w:rPr>
        <w:t>UK :</w:t>
      </w:r>
      <w:proofErr w:type="gramEnd"/>
      <w:r w:rsidRPr="008B1237">
        <w:rPr>
          <w:rFonts w:ascii="Times New Roman" w:eastAsiaTheme="minorHAnsi" w:hAnsi="Times New Roman" w:cs="Times New Roman"/>
          <w:i/>
          <w:color w:val="auto"/>
          <w:kern w:val="2"/>
          <w:sz w:val="24"/>
          <w:szCs w:val="24"/>
          <w:lang w:eastAsia="en-US"/>
          <w14:ligatures w14:val="standardContextual"/>
        </w:rPr>
        <w:t xml:space="preserve"> an introduction to the Human Rights Act 1998.</w:t>
      </w:r>
      <w:r w:rsidRPr="008B1237">
        <w:rPr>
          <w:rFonts w:ascii="Times New Roman" w:eastAsiaTheme="minorHAnsi" w:hAnsi="Times New Roman" w:cs="Times New Roman"/>
          <w:iCs/>
          <w:color w:val="auto"/>
          <w:kern w:val="2"/>
          <w:sz w:val="24"/>
          <w:szCs w:val="24"/>
          <w:lang w:eastAsia="en-US"/>
          <w14:ligatures w14:val="standardContextual"/>
        </w:rPr>
        <w:t xml:space="preserve"> 2nd ed. London: Pearson Longman.</w:t>
      </w:r>
    </w:p>
    <w:p w14:paraId="6C339319"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lastRenderedPageBreak/>
        <w:t xml:space="preserve">Kong, C., Coggon, J., Cooper, P., Dunn, M., Keane, A. (eds) (2023) </w:t>
      </w:r>
      <w:r w:rsidRPr="008B1237">
        <w:rPr>
          <w:rFonts w:ascii="Times New Roman" w:eastAsiaTheme="minorHAnsi" w:hAnsi="Times New Roman" w:cs="Times New Roman"/>
          <w:i/>
          <w:color w:val="auto"/>
          <w:kern w:val="2"/>
          <w:sz w:val="24"/>
          <w:szCs w:val="24"/>
          <w:lang w:eastAsia="en-US"/>
          <w14:ligatures w14:val="standardContextual"/>
        </w:rPr>
        <w:t xml:space="preserve">Capacity, </w:t>
      </w:r>
      <w:proofErr w:type="gramStart"/>
      <w:r w:rsidRPr="008B1237">
        <w:rPr>
          <w:rFonts w:ascii="Times New Roman" w:eastAsiaTheme="minorHAnsi" w:hAnsi="Times New Roman" w:cs="Times New Roman"/>
          <w:i/>
          <w:color w:val="auto"/>
          <w:kern w:val="2"/>
          <w:sz w:val="24"/>
          <w:szCs w:val="24"/>
          <w:lang w:eastAsia="en-US"/>
          <w14:ligatures w14:val="standardContextual"/>
        </w:rPr>
        <w:t>participation</w:t>
      </w:r>
      <w:proofErr w:type="gramEnd"/>
      <w:r w:rsidRPr="008B1237">
        <w:rPr>
          <w:rFonts w:ascii="Times New Roman" w:eastAsiaTheme="minorHAnsi" w:hAnsi="Times New Roman" w:cs="Times New Roman"/>
          <w:i/>
          <w:color w:val="auto"/>
          <w:kern w:val="2"/>
          <w:sz w:val="24"/>
          <w:szCs w:val="24"/>
          <w:lang w:eastAsia="en-US"/>
          <w14:ligatures w14:val="standardContextual"/>
        </w:rPr>
        <w:t xml:space="preserve"> and values in comparative legal perspective </w:t>
      </w:r>
      <w:r w:rsidRPr="008B1237">
        <w:rPr>
          <w:rFonts w:ascii="Times New Roman" w:eastAsiaTheme="minorHAnsi" w:hAnsi="Times New Roman" w:cs="Times New Roman"/>
          <w:iCs/>
          <w:color w:val="auto"/>
          <w:kern w:val="2"/>
          <w:sz w:val="24"/>
          <w:szCs w:val="24"/>
          <w:lang w:eastAsia="en-US"/>
          <w14:ligatures w14:val="standardContextual"/>
        </w:rPr>
        <w:t>(</w:t>
      </w:r>
      <w:proofErr w:type="spellStart"/>
      <w:r w:rsidRPr="008B1237">
        <w:rPr>
          <w:rFonts w:ascii="Times New Roman" w:eastAsiaTheme="minorHAnsi" w:hAnsi="Times New Roman" w:cs="Times New Roman"/>
          <w:iCs/>
          <w:color w:val="auto"/>
          <w:kern w:val="2"/>
          <w:sz w:val="24"/>
          <w:szCs w:val="24"/>
          <w:lang w:eastAsia="en-US"/>
          <w14:ligatures w14:val="standardContextual"/>
        </w:rPr>
        <w:t>ebook</w:t>
      </w:r>
      <w:proofErr w:type="spellEnd"/>
      <w:r w:rsidRPr="008B1237">
        <w:rPr>
          <w:rFonts w:ascii="Times New Roman" w:eastAsiaTheme="minorHAnsi" w:hAnsi="Times New Roman" w:cs="Times New Roman"/>
          <w:iCs/>
          <w:color w:val="auto"/>
          <w:kern w:val="2"/>
          <w:sz w:val="24"/>
          <w:szCs w:val="24"/>
          <w:lang w:eastAsia="en-US"/>
          <w14:ligatures w14:val="standardContextual"/>
        </w:rPr>
        <w:t>). Bristol, United Kingdom: Bristol University Press.</w:t>
      </w:r>
    </w:p>
    <w:p w14:paraId="119F1A86"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Koprowska, Juliet. (2008) </w:t>
      </w:r>
      <w:r w:rsidRPr="008B1237">
        <w:rPr>
          <w:rFonts w:ascii="Times New Roman" w:eastAsiaTheme="minorHAnsi" w:hAnsi="Times New Roman" w:cs="Times New Roman"/>
          <w:i/>
          <w:iCs/>
          <w:color w:val="auto"/>
          <w:kern w:val="2"/>
          <w:sz w:val="24"/>
          <w:szCs w:val="24"/>
          <w:lang w:eastAsia="en-US"/>
          <w14:ligatures w14:val="standardContextual"/>
        </w:rPr>
        <w:t>Communication and interpersonal skills in social work.</w:t>
      </w:r>
      <w:r w:rsidRPr="008B1237">
        <w:rPr>
          <w:rFonts w:ascii="Times New Roman" w:eastAsiaTheme="minorHAnsi" w:hAnsi="Times New Roman" w:cs="Times New Roman"/>
          <w:color w:val="auto"/>
          <w:kern w:val="2"/>
          <w:sz w:val="24"/>
          <w:szCs w:val="24"/>
          <w:lang w:eastAsia="en-US"/>
          <w14:ligatures w14:val="standardContextual"/>
        </w:rPr>
        <w:t xml:space="preserve"> 2nd edition. Exeter: Learning Matters.</w:t>
      </w:r>
    </w:p>
    <w:p w14:paraId="1FC944A6"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Local Authority, (2023) ‘Mid-Year Estimates of Population’.  Available at: </w:t>
      </w:r>
      <w:hyperlink r:id="rId15" w:history="1">
        <w:r w:rsidRPr="008B1237">
          <w:rPr>
            <w:rFonts w:ascii="Times New Roman" w:eastAsiaTheme="minorHAnsi" w:hAnsi="Times New Roman" w:cs="Times New Roman"/>
            <w:color w:val="auto"/>
            <w:kern w:val="2"/>
            <w:sz w:val="24"/>
            <w:szCs w:val="24"/>
            <w:lang w:eastAsia="en-US"/>
            <w14:ligatures w14:val="standardContextual"/>
          </w:rPr>
          <w:t>Swansea_Population_2021_(Jan-23).pdf</w:t>
        </w:r>
      </w:hyperlink>
      <w:r w:rsidRPr="008B1237">
        <w:rPr>
          <w:rFonts w:ascii="Times New Roman" w:eastAsiaTheme="minorHAnsi" w:hAnsi="Times New Roman" w:cs="Times New Roman"/>
          <w:color w:val="auto"/>
          <w:kern w:val="2"/>
          <w:sz w:val="24"/>
          <w:szCs w:val="24"/>
          <w:lang w:eastAsia="en-US"/>
          <w14:ligatures w14:val="standardContextual"/>
        </w:rPr>
        <w:t xml:space="preserve">   Accessed: 10.11.23.</w:t>
      </w:r>
    </w:p>
    <w:p w14:paraId="075B501A"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Mantell, A. (2009) </w:t>
      </w:r>
      <w:r w:rsidRPr="008B1237">
        <w:rPr>
          <w:rFonts w:ascii="Times New Roman" w:eastAsiaTheme="minorHAnsi" w:hAnsi="Times New Roman" w:cs="Times New Roman"/>
          <w:i/>
          <w:iCs/>
          <w:color w:val="auto"/>
          <w:kern w:val="2"/>
          <w:sz w:val="24"/>
          <w:szCs w:val="24"/>
          <w:lang w:eastAsia="en-US"/>
          <w14:ligatures w14:val="standardContextual"/>
        </w:rPr>
        <w:t>Social Work Skills with Adults.</w:t>
      </w:r>
      <w:r w:rsidRPr="008B1237">
        <w:rPr>
          <w:rFonts w:ascii="Times New Roman" w:eastAsiaTheme="minorHAnsi" w:hAnsi="Times New Roman" w:cs="Times New Roman"/>
          <w:color w:val="auto"/>
          <w:kern w:val="2"/>
          <w:sz w:val="24"/>
          <w:szCs w:val="24"/>
          <w:lang w:eastAsia="en-US"/>
          <w14:ligatures w14:val="standardContextual"/>
        </w:rPr>
        <w:t xml:space="preserve"> Exeter: Learning Matters LTD.</w:t>
      </w:r>
    </w:p>
    <w:p w14:paraId="551CA6F9"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Mantell, A. (2013) </w:t>
      </w:r>
      <w:r w:rsidRPr="008B1237">
        <w:rPr>
          <w:rFonts w:ascii="Times New Roman" w:eastAsiaTheme="minorHAnsi" w:hAnsi="Times New Roman" w:cs="Times New Roman"/>
          <w:i/>
          <w:iCs/>
          <w:color w:val="auto"/>
          <w:kern w:val="2"/>
          <w:sz w:val="24"/>
          <w:szCs w:val="24"/>
          <w:lang w:eastAsia="en-US"/>
          <w14:ligatures w14:val="standardContextual"/>
        </w:rPr>
        <w:t>Skills for Social Work Practice.</w:t>
      </w:r>
      <w:r w:rsidRPr="008B1237">
        <w:rPr>
          <w:rFonts w:ascii="Times New Roman" w:eastAsiaTheme="minorHAnsi" w:hAnsi="Times New Roman" w:cs="Times New Roman"/>
          <w:color w:val="auto"/>
          <w:kern w:val="2"/>
          <w:sz w:val="24"/>
          <w:szCs w:val="24"/>
          <w:lang w:eastAsia="en-US"/>
          <w14:ligatures w14:val="standardContextual"/>
        </w:rPr>
        <w:t xml:space="preserve"> Exeter: Learning Matters LTD</w:t>
      </w:r>
    </w:p>
    <w:p w14:paraId="473E7AC5"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Manthorpe, J. and Samsi, K. (2013) “‘Inherently Risky?’: Personal Budgets for People with Dementia and the Risks of Financial Abuse: Findings from an Interview-Based Study with Adult Safeguarding Coordinators,” The British journal of social work, 43(5), pp. 889–903. Available at: https://doi.org/10.1093/bjsw/bcs023</w:t>
      </w:r>
    </w:p>
    <w:p w14:paraId="42F8A903"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Martin, R. (2010) </w:t>
      </w:r>
      <w:r w:rsidRPr="008B1237">
        <w:rPr>
          <w:rFonts w:ascii="Times New Roman" w:eastAsiaTheme="minorHAnsi" w:hAnsi="Times New Roman" w:cs="Times New Roman"/>
          <w:i/>
          <w:iCs/>
          <w:color w:val="auto"/>
          <w:kern w:val="2"/>
          <w:sz w:val="24"/>
          <w:szCs w:val="24"/>
          <w:lang w:eastAsia="en-US"/>
          <w14:ligatures w14:val="standardContextual"/>
        </w:rPr>
        <w:t>Social work assessment</w:t>
      </w:r>
      <w:r w:rsidRPr="008B1237">
        <w:rPr>
          <w:rFonts w:ascii="Times New Roman" w:eastAsiaTheme="minorHAnsi" w:hAnsi="Times New Roman" w:cs="Times New Roman"/>
          <w:color w:val="auto"/>
          <w:kern w:val="2"/>
          <w:sz w:val="24"/>
          <w:szCs w:val="24"/>
          <w:lang w:eastAsia="en-US"/>
          <w14:ligatures w14:val="standardContextual"/>
        </w:rPr>
        <w:t>. Exeter: Learning Matters.</w:t>
      </w:r>
    </w:p>
    <w:p w14:paraId="5878C2F0"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Mathias. (2015). Thinking Like a Social Worker: Examining the Meaning of Critical Thinking in Social Work. </w:t>
      </w:r>
      <w:r w:rsidRPr="008B1237">
        <w:rPr>
          <w:rFonts w:ascii="Times New Roman" w:eastAsiaTheme="minorHAnsi" w:hAnsi="Times New Roman" w:cs="Times New Roman"/>
          <w:i/>
          <w:iCs/>
          <w:color w:val="auto"/>
          <w:kern w:val="2"/>
          <w:sz w:val="24"/>
          <w:szCs w:val="24"/>
          <w:lang w:eastAsia="en-US"/>
          <w14:ligatures w14:val="standardContextual"/>
        </w:rPr>
        <w:t>Journal of Social Work Education</w:t>
      </w:r>
      <w:r w:rsidRPr="008B1237">
        <w:rPr>
          <w:rFonts w:ascii="Times New Roman" w:eastAsiaTheme="minorHAnsi" w:hAnsi="Times New Roman" w:cs="Times New Roman"/>
          <w:color w:val="auto"/>
          <w:kern w:val="2"/>
          <w:sz w:val="24"/>
          <w:szCs w:val="24"/>
          <w:lang w:eastAsia="en-US"/>
          <w14:ligatures w14:val="standardContextual"/>
        </w:rPr>
        <w:t>, </w:t>
      </w:r>
      <w:r w:rsidRPr="008B1237">
        <w:rPr>
          <w:rFonts w:ascii="Times New Roman" w:eastAsiaTheme="minorHAnsi" w:hAnsi="Times New Roman" w:cs="Times New Roman"/>
          <w:i/>
          <w:iCs/>
          <w:color w:val="auto"/>
          <w:kern w:val="2"/>
          <w:sz w:val="24"/>
          <w:szCs w:val="24"/>
          <w:lang w:eastAsia="en-US"/>
          <w14:ligatures w14:val="standardContextual"/>
        </w:rPr>
        <w:t>51</w:t>
      </w:r>
      <w:r w:rsidRPr="008B1237">
        <w:rPr>
          <w:rFonts w:ascii="Times New Roman" w:eastAsiaTheme="minorHAnsi" w:hAnsi="Times New Roman" w:cs="Times New Roman"/>
          <w:color w:val="auto"/>
          <w:kern w:val="2"/>
          <w:sz w:val="24"/>
          <w:szCs w:val="24"/>
          <w:lang w:eastAsia="en-US"/>
          <w14:ligatures w14:val="standardContextual"/>
        </w:rPr>
        <w:t xml:space="preserve">(3), 457–474. </w:t>
      </w:r>
      <w:hyperlink r:id="rId16" w:history="1">
        <w:r w:rsidRPr="008B1237">
          <w:rPr>
            <w:rFonts w:ascii="Times New Roman" w:eastAsiaTheme="minorHAnsi" w:hAnsi="Times New Roman" w:cs="Times New Roman"/>
            <w:color w:val="auto"/>
            <w:kern w:val="2"/>
            <w:sz w:val="24"/>
            <w:szCs w:val="24"/>
            <w:lang w:eastAsia="en-US"/>
            <w14:ligatures w14:val="standardContextual"/>
          </w:rPr>
          <w:t>https://doi.org/10.1080/10437797.2015.1043196</w:t>
        </w:r>
      </w:hyperlink>
    </w:p>
    <w:p w14:paraId="2BDB4BC7"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McMillen, J. C., Morris, L., &amp; Sherraden, M. (2004). ‘Ending social work’s grudge match: Problems versus </w:t>
      </w:r>
      <w:proofErr w:type="gramStart"/>
      <w:r w:rsidRPr="008B1237">
        <w:rPr>
          <w:rFonts w:ascii="Times New Roman" w:eastAsiaTheme="minorHAnsi" w:hAnsi="Times New Roman" w:cs="Times New Roman"/>
          <w:color w:val="auto"/>
          <w:kern w:val="2"/>
          <w:sz w:val="24"/>
          <w:szCs w:val="24"/>
          <w:lang w:eastAsia="en-US"/>
          <w14:ligatures w14:val="standardContextual"/>
        </w:rPr>
        <w:t>strengths’</w:t>
      </w:r>
      <w:proofErr w:type="gramEnd"/>
      <w:r w:rsidRPr="008B1237">
        <w:rPr>
          <w:rFonts w:ascii="Times New Roman" w:eastAsiaTheme="minorHAnsi" w:hAnsi="Times New Roman" w:cs="Times New Roman"/>
          <w:color w:val="auto"/>
          <w:kern w:val="2"/>
          <w:sz w:val="24"/>
          <w:szCs w:val="24"/>
          <w:lang w:eastAsia="en-US"/>
          <w14:ligatures w14:val="standardContextual"/>
        </w:rPr>
        <w:t>. </w:t>
      </w:r>
      <w:r w:rsidRPr="008B1237">
        <w:rPr>
          <w:rFonts w:ascii="Times New Roman" w:eastAsiaTheme="minorHAnsi" w:hAnsi="Times New Roman" w:cs="Times New Roman"/>
          <w:i/>
          <w:iCs/>
          <w:color w:val="auto"/>
          <w:kern w:val="2"/>
          <w:sz w:val="24"/>
          <w:szCs w:val="24"/>
          <w:lang w:eastAsia="en-US"/>
          <w14:ligatures w14:val="standardContextual"/>
        </w:rPr>
        <w:t>Families in Society: The Journal of Contemporary Social Services</w:t>
      </w:r>
      <w:r w:rsidRPr="008B1237">
        <w:rPr>
          <w:rFonts w:ascii="Times New Roman" w:eastAsiaTheme="minorHAnsi" w:hAnsi="Times New Roman" w:cs="Times New Roman"/>
          <w:color w:val="auto"/>
          <w:kern w:val="2"/>
          <w:sz w:val="24"/>
          <w:szCs w:val="24"/>
          <w:lang w:eastAsia="en-US"/>
          <w14:ligatures w14:val="standardContextual"/>
        </w:rPr>
        <w:t>, </w:t>
      </w:r>
      <w:r w:rsidRPr="008B1237">
        <w:rPr>
          <w:rFonts w:ascii="Times New Roman" w:eastAsiaTheme="minorHAnsi" w:hAnsi="Times New Roman" w:cs="Times New Roman"/>
          <w:i/>
          <w:iCs/>
          <w:color w:val="auto"/>
          <w:kern w:val="2"/>
          <w:sz w:val="24"/>
          <w:szCs w:val="24"/>
          <w:lang w:eastAsia="en-US"/>
          <w14:ligatures w14:val="standardContextual"/>
        </w:rPr>
        <w:t>85</w:t>
      </w:r>
      <w:r w:rsidRPr="008B1237">
        <w:rPr>
          <w:rFonts w:ascii="Times New Roman" w:eastAsiaTheme="minorHAnsi" w:hAnsi="Times New Roman" w:cs="Times New Roman"/>
          <w:color w:val="auto"/>
          <w:kern w:val="2"/>
          <w:sz w:val="24"/>
          <w:szCs w:val="24"/>
          <w:lang w:eastAsia="en-US"/>
          <w14:ligatures w14:val="standardContextual"/>
        </w:rPr>
        <w:t>(3).</w:t>
      </w:r>
    </w:p>
    <w:p w14:paraId="16F6DBED"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Milner, J. </w:t>
      </w:r>
      <w:r w:rsidRPr="008B1237">
        <w:rPr>
          <w:rFonts w:ascii="Times New Roman" w:eastAsiaTheme="minorHAnsi" w:hAnsi="Times New Roman" w:cs="Times New Roman"/>
          <w:i/>
          <w:iCs/>
          <w:color w:val="auto"/>
          <w:kern w:val="2"/>
          <w:sz w:val="24"/>
          <w:szCs w:val="24"/>
          <w:lang w:eastAsia="en-US"/>
          <w14:ligatures w14:val="standardContextual"/>
        </w:rPr>
        <w:t>et al.</w:t>
      </w:r>
      <w:r w:rsidRPr="008B1237">
        <w:rPr>
          <w:rFonts w:ascii="Times New Roman" w:eastAsiaTheme="minorHAnsi" w:hAnsi="Times New Roman" w:cs="Times New Roman"/>
          <w:color w:val="auto"/>
          <w:kern w:val="2"/>
          <w:sz w:val="24"/>
          <w:szCs w:val="24"/>
          <w:lang w:eastAsia="en-US"/>
          <w14:ligatures w14:val="standardContextual"/>
        </w:rPr>
        <w:t> (2015) </w:t>
      </w:r>
      <w:r w:rsidRPr="008B1237">
        <w:rPr>
          <w:rFonts w:ascii="Times New Roman" w:eastAsiaTheme="minorHAnsi" w:hAnsi="Times New Roman" w:cs="Times New Roman"/>
          <w:i/>
          <w:iCs/>
          <w:color w:val="auto"/>
          <w:kern w:val="2"/>
          <w:sz w:val="24"/>
          <w:szCs w:val="24"/>
          <w:lang w:eastAsia="en-US"/>
          <w14:ligatures w14:val="standardContextual"/>
        </w:rPr>
        <w:t>Assessment in social work</w:t>
      </w:r>
      <w:r w:rsidRPr="008B1237">
        <w:rPr>
          <w:rFonts w:ascii="Times New Roman" w:eastAsiaTheme="minorHAnsi" w:hAnsi="Times New Roman" w:cs="Times New Roman"/>
          <w:color w:val="auto"/>
          <w:kern w:val="2"/>
          <w:sz w:val="24"/>
          <w:szCs w:val="24"/>
          <w:lang w:eastAsia="en-US"/>
          <w14:ligatures w14:val="standardContextual"/>
        </w:rPr>
        <w:t>. 4th ed. London: Macmillan Education.</w:t>
      </w:r>
    </w:p>
    <w:p w14:paraId="175FC348" w14:textId="77777777" w:rsidR="008B1237" w:rsidRPr="008B1237" w:rsidRDefault="008B1237" w:rsidP="00942812">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Moore, D. and Jones, K. (2012) </w:t>
      </w:r>
      <w:r w:rsidRPr="008B1237">
        <w:rPr>
          <w:rFonts w:ascii="Times New Roman" w:eastAsiaTheme="minorHAnsi" w:hAnsi="Times New Roman" w:cs="Times New Roman"/>
          <w:i/>
          <w:color w:val="auto"/>
          <w:kern w:val="2"/>
          <w:sz w:val="24"/>
          <w:szCs w:val="24"/>
          <w:lang w:eastAsia="en-US"/>
          <w14:ligatures w14:val="standardContextual"/>
        </w:rPr>
        <w:t>Social work and dementia</w:t>
      </w:r>
      <w:r w:rsidRPr="008B1237">
        <w:rPr>
          <w:rFonts w:ascii="Times New Roman" w:eastAsiaTheme="minorHAnsi" w:hAnsi="Times New Roman" w:cs="Times New Roman"/>
          <w:iCs/>
          <w:color w:val="auto"/>
          <w:kern w:val="2"/>
          <w:sz w:val="24"/>
          <w:szCs w:val="24"/>
          <w:lang w:eastAsia="en-US"/>
          <w14:ligatures w14:val="standardContextual"/>
        </w:rPr>
        <w:t xml:space="preserve">. </w:t>
      </w:r>
      <w:proofErr w:type="gramStart"/>
      <w:r w:rsidRPr="008B1237">
        <w:rPr>
          <w:rFonts w:ascii="Times New Roman" w:eastAsiaTheme="minorHAnsi" w:hAnsi="Times New Roman" w:cs="Times New Roman"/>
          <w:iCs/>
          <w:color w:val="auto"/>
          <w:kern w:val="2"/>
          <w:sz w:val="24"/>
          <w:szCs w:val="24"/>
          <w:lang w:eastAsia="en-US"/>
          <w14:ligatures w14:val="standardContextual"/>
        </w:rPr>
        <w:t>London ;</w:t>
      </w:r>
      <w:proofErr w:type="gramEnd"/>
      <w:r w:rsidRPr="008B1237">
        <w:rPr>
          <w:rFonts w:ascii="Times New Roman" w:eastAsiaTheme="minorHAnsi" w:hAnsi="Times New Roman" w:cs="Times New Roman"/>
          <w:iCs/>
          <w:color w:val="auto"/>
          <w:kern w:val="2"/>
          <w:sz w:val="24"/>
          <w:szCs w:val="24"/>
          <w:lang w:eastAsia="en-US"/>
          <w14:ligatures w14:val="standardContextual"/>
        </w:rPr>
        <w:t xml:space="preserve"> Learning Matters.</w:t>
      </w:r>
    </w:p>
    <w:p w14:paraId="4FD34CC4"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NSPCC (2022) Gillick Competency and Fraser Guidelines. Available at: Gillick competence and Fraser guidelines | NSPCC Learning.  (Accessed: 25 October 2023).</w:t>
      </w:r>
    </w:p>
    <w:p w14:paraId="7834CA19"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O’Loughlin, M. and O’Loughlin, S. (eds) (2016) </w:t>
      </w:r>
      <w:r w:rsidRPr="008B1237">
        <w:rPr>
          <w:rFonts w:ascii="Times New Roman" w:eastAsiaTheme="minorHAnsi" w:hAnsi="Times New Roman" w:cs="Times New Roman"/>
          <w:i/>
          <w:color w:val="auto"/>
          <w:kern w:val="2"/>
          <w:sz w:val="24"/>
          <w:szCs w:val="24"/>
          <w:lang w:eastAsia="en-US"/>
          <w14:ligatures w14:val="standardContextual"/>
        </w:rPr>
        <w:t>Social work with children and families</w:t>
      </w:r>
      <w:r w:rsidRPr="008B1237">
        <w:rPr>
          <w:rFonts w:ascii="Times New Roman" w:eastAsiaTheme="minorHAnsi" w:hAnsi="Times New Roman" w:cs="Times New Roman"/>
          <w:iCs/>
          <w:color w:val="auto"/>
          <w:kern w:val="2"/>
          <w:sz w:val="24"/>
          <w:szCs w:val="24"/>
          <w:lang w:eastAsia="en-US"/>
          <w14:ligatures w14:val="standardContextual"/>
        </w:rPr>
        <w:t>. Fourth edition. London: Learning Matters, an imprint of SAGE Publications Ltd.</w:t>
      </w:r>
    </w:p>
    <w:p w14:paraId="1C3A2B8D"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bdr w:val="none" w:sz="0" w:space="0" w:color="auto" w:frame="1"/>
          <w:shd w:val="clear" w:color="auto" w:fill="FFFFFF"/>
          <w:lang w:eastAsia="en-US"/>
          <w14:ligatures w14:val="standardContextual"/>
        </w:rPr>
      </w:pPr>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P </w:t>
      </w:r>
      <w:proofErr w:type="spellStart"/>
      <w:r w:rsidRPr="008B1237">
        <w:rPr>
          <w:rFonts w:ascii="Times New Roman" w:eastAsiaTheme="minorHAnsi" w:hAnsi="Times New Roman" w:cs="Times New Roman"/>
          <w:color w:val="auto"/>
          <w:kern w:val="2"/>
          <w:sz w:val="24"/>
          <w:szCs w:val="24"/>
          <w:shd w:val="clear" w:color="auto" w:fill="FFFFFF"/>
          <w:lang w:eastAsia="en-US"/>
          <w14:ligatures w14:val="standardContextual"/>
        </w:rPr>
        <w:t>Bodenmann</w:t>
      </w:r>
      <w:proofErr w:type="spellEnd"/>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 P </w:t>
      </w:r>
      <w:proofErr w:type="spellStart"/>
      <w:r w:rsidRPr="008B1237">
        <w:rPr>
          <w:rFonts w:ascii="Times New Roman" w:eastAsiaTheme="minorHAnsi" w:hAnsi="Times New Roman" w:cs="Times New Roman"/>
          <w:color w:val="auto"/>
          <w:kern w:val="2"/>
          <w:sz w:val="24"/>
          <w:szCs w:val="24"/>
          <w:shd w:val="clear" w:color="auto" w:fill="FFFFFF"/>
          <w:lang w:eastAsia="en-US"/>
          <w14:ligatures w14:val="standardContextual"/>
        </w:rPr>
        <w:t>Singy</w:t>
      </w:r>
      <w:proofErr w:type="spellEnd"/>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 M </w:t>
      </w:r>
      <w:proofErr w:type="spellStart"/>
      <w:r w:rsidRPr="008B1237">
        <w:rPr>
          <w:rFonts w:ascii="Times New Roman" w:eastAsiaTheme="minorHAnsi" w:hAnsi="Times New Roman" w:cs="Times New Roman"/>
          <w:color w:val="auto"/>
          <w:kern w:val="2"/>
          <w:sz w:val="24"/>
          <w:szCs w:val="24"/>
          <w:shd w:val="clear" w:color="auto" w:fill="FFFFFF"/>
          <w:lang w:eastAsia="en-US"/>
          <w14:ligatures w14:val="standardContextual"/>
        </w:rPr>
        <w:t>Graells</w:t>
      </w:r>
      <w:proofErr w:type="spellEnd"/>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 E Schmutz, T </w:t>
      </w:r>
      <w:proofErr w:type="spellStart"/>
      <w:r w:rsidRPr="008B1237">
        <w:rPr>
          <w:rFonts w:ascii="Times New Roman" w:eastAsiaTheme="minorHAnsi" w:hAnsi="Times New Roman" w:cs="Times New Roman"/>
          <w:color w:val="auto"/>
          <w:kern w:val="2"/>
          <w:sz w:val="24"/>
          <w:szCs w:val="24"/>
          <w:shd w:val="clear" w:color="auto" w:fill="FFFFFF"/>
          <w:lang w:eastAsia="en-US"/>
          <w14:ligatures w14:val="standardContextual"/>
        </w:rPr>
        <w:t>Sebaï</w:t>
      </w:r>
      <w:proofErr w:type="spellEnd"/>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 V Favre, J </w:t>
      </w:r>
      <w:proofErr w:type="spellStart"/>
      <w:r w:rsidRPr="008B1237">
        <w:rPr>
          <w:rFonts w:ascii="Times New Roman" w:eastAsiaTheme="minorHAnsi" w:hAnsi="Times New Roman" w:cs="Times New Roman"/>
          <w:color w:val="auto"/>
          <w:kern w:val="2"/>
          <w:sz w:val="24"/>
          <w:szCs w:val="24"/>
          <w:shd w:val="clear" w:color="auto" w:fill="FFFFFF"/>
          <w:lang w:eastAsia="en-US"/>
          <w14:ligatures w14:val="standardContextual"/>
        </w:rPr>
        <w:t>Richème-Roos</w:t>
      </w:r>
      <w:proofErr w:type="spellEnd"/>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 O Cantero, K </w:t>
      </w:r>
      <w:proofErr w:type="spellStart"/>
      <w:r w:rsidRPr="008B1237">
        <w:rPr>
          <w:rFonts w:ascii="Times New Roman" w:eastAsiaTheme="minorHAnsi" w:hAnsi="Times New Roman" w:cs="Times New Roman"/>
          <w:color w:val="auto"/>
          <w:kern w:val="2"/>
          <w:sz w:val="24"/>
          <w:szCs w:val="24"/>
          <w:shd w:val="clear" w:color="auto" w:fill="FFFFFF"/>
          <w:lang w:eastAsia="en-US"/>
          <w14:ligatures w14:val="standardContextual"/>
        </w:rPr>
        <w:t>Morisod</w:t>
      </w:r>
      <w:proofErr w:type="spellEnd"/>
      <w:r w:rsidRPr="008B1237">
        <w:rPr>
          <w:rFonts w:ascii="Times New Roman" w:eastAsiaTheme="minorHAnsi" w:hAnsi="Times New Roman" w:cs="Times New Roman"/>
          <w:color w:val="auto"/>
          <w:kern w:val="2"/>
          <w:sz w:val="24"/>
          <w:szCs w:val="24"/>
          <w:shd w:val="clear" w:color="auto" w:fill="FFFFFF"/>
          <w:lang w:eastAsia="en-US"/>
          <w14:ligatures w14:val="standardContextual"/>
        </w:rPr>
        <w:t xml:space="preserve">, VS Grazioli, (2022). ‘Improving communication with hard of hearing and D/deaf patients: a </w:t>
      </w:r>
      <w:r w:rsidRPr="008B1237">
        <w:rPr>
          <w:rFonts w:ascii="Times New Roman" w:eastAsiaTheme="minorHAnsi" w:hAnsi="Times New Roman" w:cs="Times New Roman"/>
          <w:color w:val="auto"/>
          <w:kern w:val="2"/>
          <w:sz w:val="24"/>
          <w:szCs w:val="24"/>
          <w:shd w:val="clear" w:color="auto" w:fill="FFFFFF"/>
          <w:lang w:eastAsia="en-US"/>
          <w14:ligatures w14:val="standardContextual"/>
        </w:rPr>
        <w:lastRenderedPageBreak/>
        <w:t>capacity-building intervention’, </w:t>
      </w:r>
      <w:r w:rsidRPr="008B1237">
        <w:rPr>
          <w:rFonts w:ascii="Times New Roman" w:eastAsiaTheme="minorHAnsi" w:hAnsi="Times New Roman" w:cs="Times New Roman"/>
          <w:i/>
          <w:iCs/>
          <w:color w:val="auto"/>
          <w:kern w:val="2"/>
          <w:sz w:val="24"/>
          <w:szCs w:val="24"/>
          <w:bdr w:val="none" w:sz="0" w:space="0" w:color="auto" w:frame="1"/>
          <w:shd w:val="clear" w:color="auto" w:fill="FFFFFF"/>
          <w:lang w:eastAsia="en-US"/>
          <w14:ligatures w14:val="standardContextual"/>
        </w:rPr>
        <w:t>European Journal of Public Health</w:t>
      </w:r>
      <w:r w:rsidRPr="008B1237">
        <w:rPr>
          <w:rFonts w:ascii="Times New Roman" w:eastAsiaTheme="minorHAnsi" w:hAnsi="Times New Roman" w:cs="Times New Roman"/>
          <w:color w:val="auto"/>
          <w:kern w:val="2"/>
          <w:sz w:val="24"/>
          <w:szCs w:val="24"/>
          <w:shd w:val="clear" w:color="auto" w:fill="FFFFFF"/>
          <w:lang w:eastAsia="en-US"/>
          <w14:ligatures w14:val="standardContextual"/>
        </w:rPr>
        <w:t>, Volume 32, Issue Supplement_3, October 2022, ckac129.178, </w:t>
      </w:r>
      <w:hyperlink r:id="rId17" w:history="1">
        <w:r w:rsidRPr="008B1237">
          <w:rPr>
            <w:rFonts w:ascii="Times New Roman" w:eastAsiaTheme="minorHAnsi" w:hAnsi="Times New Roman" w:cs="Times New Roman"/>
            <w:color w:val="auto"/>
            <w:kern w:val="2"/>
            <w:sz w:val="24"/>
            <w:szCs w:val="24"/>
            <w:bdr w:val="none" w:sz="0" w:space="0" w:color="auto" w:frame="1"/>
            <w:shd w:val="clear" w:color="auto" w:fill="FFFFFF"/>
            <w:lang w:eastAsia="en-US"/>
            <w14:ligatures w14:val="standardContextual"/>
          </w:rPr>
          <w:t>https://doi.org/10.1093/eurpub/ckac129.178</w:t>
        </w:r>
      </w:hyperlink>
    </w:p>
    <w:p w14:paraId="7EA58D78"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Pack, M. and Cargill, J. (eds) (2015) </w:t>
      </w:r>
      <w:r w:rsidRPr="008B1237">
        <w:rPr>
          <w:rFonts w:ascii="Times New Roman" w:eastAsiaTheme="minorHAnsi" w:hAnsi="Times New Roman" w:cs="Times New Roman"/>
          <w:i/>
          <w:iCs/>
          <w:color w:val="auto"/>
          <w:kern w:val="2"/>
          <w:sz w:val="24"/>
          <w:szCs w:val="24"/>
          <w:lang w:eastAsia="en-US"/>
          <w14:ligatures w14:val="standardContextual"/>
        </w:rPr>
        <w:t>Evidence discovery and assessment in social work practice</w:t>
      </w:r>
      <w:r w:rsidRPr="008B1237">
        <w:rPr>
          <w:rFonts w:ascii="Times New Roman" w:eastAsiaTheme="minorHAnsi" w:hAnsi="Times New Roman" w:cs="Times New Roman"/>
          <w:color w:val="auto"/>
          <w:kern w:val="2"/>
          <w:sz w:val="24"/>
          <w:szCs w:val="24"/>
          <w:lang w:eastAsia="en-US"/>
          <w14:ligatures w14:val="standardContextual"/>
        </w:rPr>
        <w:t>. Hershey, Pennsylvania: Information Science Reference. Available at: https://doi.org/10.4018/978-1-4666-6563-7. (Accessed: 16 May 2023).</w:t>
      </w:r>
    </w:p>
    <w:p w14:paraId="30313F36"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Palmer, A.D. et al. (2019) ‘The Impact of Communication Impairments on the Social Relationships of Older Adults: Pathways to Psychological Well-Being’, Journal of speech, language, and hearing research, 62(1), pp. 1–21. Available at: https://doi.org/10.1044/2018_JSLHR-S-17-0495.</w:t>
      </w:r>
    </w:p>
    <w:p w14:paraId="6C52D5F4"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Prys, C., Hodges, </w:t>
      </w:r>
      <w:proofErr w:type="gramStart"/>
      <w:r w:rsidRPr="008B1237">
        <w:rPr>
          <w:rFonts w:ascii="Times New Roman" w:eastAsiaTheme="minorHAnsi" w:hAnsi="Times New Roman" w:cs="Times New Roman"/>
          <w:color w:val="auto"/>
          <w:kern w:val="2"/>
          <w:sz w:val="24"/>
          <w:szCs w:val="24"/>
          <w:lang w:eastAsia="en-US"/>
          <w14:ligatures w14:val="standardContextual"/>
        </w:rPr>
        <w:t>R.</w:t>
      </w:r>
      <w:proofErr w:type="gramEnd"/>
      <w:r w:rsidRPr="008B1237">
        <w:rPr>
          <w:rFonts w:ascii="Times New Roman" w:eastAsiaTheme="minorHAnsi" w:hAnsi="Times New Roman" w:cs="Times New Roman"/>
          <w:color w:val="auto"/>
          <w:kern w:val="2"/>
          <w:sz w:val="24"/>
          <w:szCs w:val="24"/>
          <w:lang w:eastAsia="en-US"/>
          <w14:ligatures w14:val="standardContextual"/>
        </w:rPr>
        <w:t xml:space="preserve"> and Roberts, G.W. (2021) ‘Rhetoric and reality: A critical review of language policy and legislation governing official minority language use in health and Social Care in Wales’, </w:t>
      </w:r>
      <w:r w:rsidRPr="008B1237">
        <w:rPr>
          <w:rFonts w:ascii="Times New Roman" w:eastAsiaTheme="minorHAnsi" w:hAnsi="Times New Roman" w:cs="Times New Roman"/>
          <w:i/>
          <w:iCs/>
          <w:color w:val="auto"/>
          <w:kern w:val="2"/>
          <w:sz w:val="24"/>
          <w:szCs w:val="24"/>
          <w:lang w:eastAsia="en-US"/>
          <w14:ligatures w14:val="standardContextual"/>
        </w:rPr>
        <w:t>Articles</w:t>
      </w:r>
      <w:r w:rsidRPr="008B1237">
        <w:rPr>
          <w:rFonts w:ascii="Times New Roman" w:eastAsiaTheme="minorHAnsi" w:hAnsi="Times New Roman" w:cs="Times New Roman"/>
          <w:color w:val="auto"/>
          <w:kern w:val="2"/>
          <w:sz w:val="24"/>
          <w:szCs w:val="24"/>
          <w:lang w:eastAsia="en-US"/>
          <w14:ligatures w14:val="standardContextual"/>
        </w:rPr>
        <w:t xml:space="preserve">, (15–16), pp. 87–110. doi:10.7202/1078478ar. </w:t>
      </w:r>
    </w:p>
    <w:p w14:paraId="40E6DB97" w14:textId="77777777" w:rsidR="008B1237" w:rsidRPr="008B1237" w:rsidRDefault="008B1237" w:rsidP="00942812">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 xml:space="preserve">Rogers, J., Bright, L. and Davies, H. (2015) </w:t>
      </w:r>
      <w:r w:rsidRPr="008B1237">
        <w:rPr>
          <w:rFonts w:ascii="Times New Roman" w:eastAsiaTheme="minorHAnsi" w:hAnsi="Times New Roman" w:cs="Times New Roman"/>
          <w:i/>
          <w:iCs/>
          <w:color w:val="auto"/>
          <w:kern w:val="2"/>
          <w:sz w:val="24"/>
          <w:szCs w:val="24"/>
          <w:lang w:eastAsia="en-US"/>
          <w14:ligatures w14:val="standardContextual"/>
        </w:rPr>
        <w:t>Social work with adults.</w:t>
      </w:r>
      <w:r w:rsidRPr="008B1237">
        <w:rPr>
          <w:rFonts w:ascii="Times New Roman" w:eastAsiaTheme="minorHAnsi" w:hAnsi="Times New Roman" w:cs="Times New Roman"/>
          <w:iCs/>
          <w:color w:val="auto"/>
          <w:kern w:val="2"/>
          <w:sz w:val="24"/>
          <w:szCs w:val="24"/>
          <w:lang w:eastAsia="en-US"/>
          <w14:ligatures w14:val="standardContextual"/>
        </w:rPr>
        <w:t>1</w:t>
      </w:r>
      <w:r w:rsidRPr="008B1237">
        <w:rPr>
          <w:rFonts w:ascii="Times New Roman" w:eastAsiaTheme="minorHAnsi" w:hAnsi="Times New Roman" w:cs="Times New Roman"/>
          <w:iCs/>
          <w:color w:val="auto"/>
          <w:kern w:val="2"/>
          <w:sz w:val="24"/>
          <w:szCs w:val="24"/>
          <w:vertAlign w:val="superscript"/>
          <w:lang w:eastAsia="en-US"/>
          <w14:ligatures w14:val="standardContextual"/>
        </w:rPr>
        <w:t>st</w:t>
      </w:r>
      <w:r w:rsidRPr="008B1237">
        <w:rPr>
          <w:rFonts w:ascii="Times New Roman" w:eastAsiaTheme="minorHAnsi" w:hAnsi="Times New Roman" w:cs="Times New Roman"/>
          <w:iCs/>
          <w:color w:val="auto"/>
          <w:kern w:val="2"/>
          <w:sz w:val="24"/>
          <w:szCs w:val="24"/>
          <w:lang w:eastAsia="en-US"/>
          <w14:ligatures w14:val="standardContextual"/>
        </w:rPr>
        <w:t xml:space="preserve"> </w:t>
      </w:r>
      <w:proofErr w:type="spellStart"/>
      <w:r w:rsidRPr="008B1237">
        <w:rPr>
          <w:rFonts w:ascii="Times New Roman" w:eastAsiaTheme="minorHAnsi" w:hAnsi="Times New Roman" w:cs="Times New Roman"/>
          <w:iCs/>
          <w:color w:val="auto"/>
          <w:kern w:val="2"/>
          <w:sz w:val="24"/>
          <w:szCs w:val="24"/>
          <w:lang w:eastAsia="en-US"/>
          <w14:ligatures w14:val="standardContextual"/>
        </w:rPr>
        <w:t>edn</w:t>
      </w:r>
      <w:proofErr w:type="spellEnd"/>
      <w:r w:rsidRPr="008B1237">
        <w:rPr>
          <w:rFonts w:ascii="Times New Roman" w:eastAsiaTheme="minorHAnsi" w:hAnsi="Times New Roman" w:cs="Times New Roman"/>
          <w:iCs/>
          <w:color w:val="auto"/>
          <w:kern w:val="2"/>
          <w:sz w:val="24"/>
          <w:szCs w:val="24"/>
          <w:lang w:eastAsia="en-US"/>
          <w14:ligatures w14:val="standardContextual"/>
        </w:rPr>
        <w:t>. London: SAGE Publications.</w:t>
      </w:r>
    </w:p>
    <w:p w14:paraId="738303B3"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Social Care Wales (2017a) Codes of Professional Practice for Social Care. Available at: </w:t>
      </w:r>
      <w:hyperlink r:id="rId18" w:history="1">
        <w:r w:rsidRPr="008B1237">
          <w:rPr>
            <w:rFonts w:ascii="Times New Roman" w:eastAsiaTheme="minorHAnsi" w:hAnsi="Times New Roman" w:cs="Times New Roman"/>
            <w:color w:val="auto"/>
            <w:kern w:val="2"/>
            <w:sz w:val="24"/>
            <w:szCs w:val="24"/>
            <w:lang w:eastAsia="en-US"/>
            <w14:ligatures w14:val="standardContextual"/>
          </w:rPr>
          <w:t>untitled (</w:t>
        </w:r>
        <w:proofErr w:type="spellStart"/>
        <w:r w:rsidRPr="008B1237">
          <w:rPr>
            <w:rFonts w:ascii="Times New Roman" w:eastAsiaTheme="minorHAnsi" w:hAnsi="Times New Roman" w:cs="Times New Roman"/>
            <w:color w:val="auto"/>
            <w:kern w:val="2"/>
            <w:sz w:val="24"/>
            <w:szCs w:val="24"/>
            <w:lang w:eastAsia="en-US"/>
            <w14:ligatures w14:val="standardContextual"/>
          </w:rPr>
          <w:t>socialcare.wales</w:t>
        </w:r>
        <w:proofErr w:type="spellEnd"/>
        <w:r w:rsidRPr="008B1237">
          <w:rPr>
            <w:rFonts w:ascii="Times New Roman" w:eastAsiaTheme="minorHAnsi" w:hAnsi="Times New Roman" w:cs="Times New Roman"/>
            <w:color w:val="auto"/>
            <w:kern w:val="2"/>
            <w:sz w:val="24"/>
            <w:szCs w:val="24"/>
            <w:lang w:eastAsia="en-US"/>
            <w14:ligatures w14:val="standardContextual"/>
          </w:rPr>
          <w:t>)</w:t>
        </w:r>
      </w:hyperlink>
      <w:r w:rsidRPr="008B1237">
        <w:rPr>
          <w:rFonts w:ascii="Times New Roman" w:eastAsiaTheme="minorHAnsi" w:hAnsi="Times New Roman" w:cs="Times New Roman"/>
          <w:color w:val="auto"/>
          <w:kern w:val="2"/>
          <w:sz w:val="24"/>
          <w:szCs w:val="24"/>
          <w:lang w:eastAsia="en-US"/>
          <w14:ligatures w14:val="standardContextual"/>
        </w:rPr>
        <w:t xml:space="preserve"> (Accessed: 18 January 2024).</w:t>
      </w:r>
    </w:p>
    <w:p w14:paraId="0431CDB0" w14:textId="77777777" w:rsidR="008B1237" w:rsidRPr="008B1237" w:rsidRDefault="008B1237" w:rsidP="00942812">
      <w:pPr>
        <w:overflowPunct/>
        <w:autoSpaceDE/>
        <w:autoSpaceDN/>
        <w:adjustRightInd/>
        <w:spacing w:after="160" w:line="48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Social Care Wales (2017b) Collaborative Communication Skills Programme. Available at: https://socialcare.wales/cms_assets/file-uploads/More-information-about-the-Collaborative-Communication-Skills-Programme.pdf (Accessed: 14 February 2023).</w:t>
      </w:r>
    </w:p>
    <w:p w14:paraId="05AC7C88"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Thompson, S. and Thompson, N. (2018) </w:t>
      </w:r>
      <w:r w:rsidRPr="008B1237">
        <w:rPr>
          <w:rFonts w:ascii="Times New Roman" w:eastAsiaTheme="minorHAnsi" w:hAnsi="Times New Roman" w:cs="Times New Roman"/>
          <w:i/>
          <w:iCs/>
          <w:color w:val="auto"/>
          <w:kern w:val="2"/>
          <w:sz w:val="24"/>
          <w:szCs w:val="24"/>
          <w:lang w:eastAsia="en-US"/>
          <w14:ligatures w14:val="standardContextual"/>
        </w:rPr>
        <w:t>The critically reflective practitioner.</w:t>
      </w:r>
      <w:r w:rsidRPr="008B1237">
        <w:rPr>
          <w:rFonts w:ascii="Times New Roman" w:eastAsiaTheme="minorHAnsi" w:hAnsi="Times New Roman" w:cs="Times New Roman"/>
          <w:color w:val="auto"/>
          <w:kern w:val="2"/>
          <w:sz w:val="24"/>
          <w:szCs w:val="24"/>
          <w:lang w:eastAsia="en-US"/>
          <w14:ligatures w14:val="standardContextual"/>
        </w:rPr>
        <w:t xml:space="preserve"> Second edition. London: Palgrave.</w:t>
      </w:r>
    </w:p>
    <w:p w14:paraId="45322B99" w14:textId="77777777" w:rsidR="008B1237" w:rsidRPr="008B1237" w:rsidRDefault="008B1237" w:rsidP="004B5B53">
      <w:pPr>
        <w:overflowPunct/>
        <w:autoSpaceDE/>
        <w:autoSpaceDN/>
        <w:adjustRightInd/>
        <w:spacing w:after="160" w:line="360" w:lineRule="auto"/>
        <w:jc w:val="both"/>
        <w:textAlignment w:val="auto"/>
        <w:rPr>
          <w:rFonts w:ascii="Times New Roman" w:eastAsiaTheme="minorHAnsi" w:hAnsi="Times New Roman" w:cs="Times New Roman"/>
          <w:iCs/>
          <w:color w:val="auto"/>
          <w:kern w:val="2"/>
          <w:sz w:val="24"/>
          <w:szCs w:val="24"/>
          <w:lang w:eastAsia="en-US"/>
          <w14:ligatures w14:val="standardContextual"/>
        </w:rPr>
      </w:pPr>
      <w:r w:rsidRPr="008B1237">
        <w:rPr>
          <w:rFonts w:ascii="Times New Roman" w:eastAsiaTheme="minorHAnsi" w:hAnsi="Times New Roman" w:cs="Times New Roman"/>
          <w:iCs/>
          <w:color w:val="auto"/>
          <w:kern w:val="2"/>
          <w:sz w:val="24"/>
          <w:szCs w:val="24"/>
          <w:lang w:eastAsia="en-US"/>
          <w14:ligatures w14:val="standardContextual"/>
        </w:rPr>
        <w:t>Welsh Government, (2017c) Social Services and Well-Being Wales Act 2014. Part 3. Available at: part-3-code-of-practice-assessing-the-needs-of-individuals.pdf (</w:t>
      </w:r>
      <w:proofErr w:type="spellStart"/>
      <w:proofErr w:type="gramStart"/>
      <w:r w:rsidRPr="008B1237">
        <w:rPr>
          <w:rFonts w:ascii="Times New Roman" w:eastAsiaTheme="minorHAnsi" w:hAnsi="Times New Roman" w:cs="Times New Roman"/>
          <w:iCs/>
          <w:color w:val="auto"/>
          <w:kern w:val="2"/>
          <w:sz w:val="24"/>
          <w:szCs w:val="24"/>
          <w:lang w:eastAsia="en-US"/>
          <w14:ligatures w14:val="standardContextual"/>
        </w:rPr>
        <w:t>gov.wales</w:t>
      </w:r>
      <w:proofErr w:type="spellEnd"/>
      <w:proofErr w:type="gramEnd"/>
      <w:r w:rsidRPr="008B1237">
        <w:rPr>
          <w:rFonts w:ascii="Times New Roman" w:eastAsiaTheme="minorHAnsi" w:hAnsi="Times New Roman" w:cs="Times New Roman"/>
          <w:iCs/>
          <w:color w:val="auto"/>
          <w:kern w:val="2"/>
          <w:sz w:val="24"/>
          <w:szCs w:val="24"/>
          <w:lang w:eastAsia="en-US"/>
          <w14:ligatures w14:val="standardContextual"/>
        </w:rPr>
        <w:t xml:space="preserve">) (Accessed 12 February 24). </w:t>
      </w:r>
    </w:p>
    <w:p w14:paraId="30BF5D48"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Welsh Government, (2021). </w:t>
      </w:r>
      <w:r w:rsidRPr="008B1237">
        <w:rPr>
          <w:rFonts w:ascii="Times New Roman" w:eastAsiaTheme="minorHAnsi" w:hAnsi="Times New Roman" w:cs="Times New Roman"/>
          <w:i/>
          <w:iCs/>
          <w:color w:val="auto"/>
          <w:kern w:val="2"/>
          <w:sz w:val="24"/>
          <w:szCs w:val="24"/>
          <w:lang w:eastAsia="en-US"/>
          <w14:ligatures w14:val="standardContextual"/>
        </w:rPr>
        <w:t xml:space="preserve">Safeguarding. </w:t>
      </w:r>
      <w:r w:rsidRPr="008B1237">
        <w:rPr>
          <w:rFonts w:ascii="Times New Roman" w:eastAsiaTheme="minorHAnsi" w:hAnsi="Times New Roman" w:cs="Times New Roman"/>
          <w:color w:val="auto"/>
          <w:kern w:val="2"/>
          <w:sz w:val="24"/>
          <w:szCs w:val="24"/>
          <w:lang w:eastAsia="en-US"/>
          <w14:ligatures w14:val="standardContextual"/>
        </w:rPr>
        <w:t xml:space="preserve">Available at: </w:t>
      </w:r>
      <w:hyperlink r:id="rId19" w:history="1">
        <w:r w:rsidRPr="008B1237">
          <w:rPr>
            <w:rFonts w:ascii="Times New Roman" w:eastAsiaTheme="minorHAnsi" w:hAnsi="Times New Roman" w:cs="Times New Roman"/>
            <w:color w:val="auto"/>
            <w:kern w:val="2"/>
            <w:sz w:val="24"/>
            <w:szCs w:val="24"/>
            <w:lang w:eastAsia="en-US"/>
            <w14:ligatures w14:val="standardContextual"/>
          </w:rPr>
          <w:t>Safeguarding | Law Wales (</w:t>
        </w:r>
        <w:proofErr w:type="spellStart"/>
        <w:proofErr w:type="gramStart"/>
        <w:r w:rsidRPr="008B1237">
          <w:rPr>
            <w:rFonts w:ascii="Times New Roman" w:eastAsiaTheme="minorHAnsi" w:hAnsi="Times New Roman" w:cs="Times New Roman"/>
            <w:color w:val="auto"/>
            <w:kern w:val="2"/>
            <w:sz w:val="24"/>
            <w:szCs w:val="24"/>
            <w:lang w:eastAsia="en-US"/>
            <w14:ligatures w14:val="standardContextual"/>
          </w:rPr>
          <w:t>gov.wales</w:t>
        </w:r>
        <w:proofErr w:type="spellEnd"/>
        <w:proofErr w:type="gramEnd"/>
        <w:r w:rsidRPr="008B1237">
          <w:rPr>
            <w:rFonts w:ascii="Times New Roman" w:eastAsiaTheme="minorHAnsi" w:hAnsi="Times New Roman" w:cs="Times New Roman"/>
            <w:color w:val="auto"/>
            <w:kern w:val="2"/>
            <w:sz w:val="24"/>
            <w:szCs w:val="24"/>
            <w:lang w:eastAsia="en-US"/>
            <w14:ligatures w14:val="standardContextual"/>
          </w:rPr>
          <w:t>)</w:t>
        </w:r>
      </w:hyperlink>
      <w:r w:rsidRPr="008B1237">
        <w:rPr>
          <w:rFonts w:ascii="Times New Roman" w:eastAsiaTheme="minorHAnsi" w:hAnsi="Times New Roman" w:cs="Times New Roman"/>
          <w:color w:val="auto"/>
          <w:kern w:val="2"/>
          <w:sz w:val="24"/>
          <w:szCs w:val="24"/>
          <w:lang w:eastAsia="en-US"/>
          <w14:ligatures w14:val="standardContextual"/>
        </w:rPr>
        <w:t xml:space="preserve"> (Accessed: 1 December 2023).</w:t>
      </w:r>
    </w:p>
    <w:p w14:paraId="386A5EAF"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Welsh Government, (2023). </w:t>
      </w:r>
      <w:r w:rsidRPr="008B1237">
        <w:rPr>
          <w:rFonts w:ascii="Times New Roman" w:eastAsiaTheme="minorHAnsi" w:hAnsi="Times New Roman" w:cs="Times New Roman"/>
          <w:i/>
          <w:iCs/>
          <w:color w:val="auto"/>
          <w:kern w:val="2"/>
          <w:sz w:val="24"/>
          <w:szCs w:val="24"/>
          <w:lang w:eastAsia="en-US"/>
          <w14:ligatures w14:val="standardContextual"/>
        </w:rPr>
        <w:t>Loneliness (National Survey for Wales): April 2022 to March 2023.</w:t>
      </w:r>
      <w:r w:rsidRPr="008B1237">
        <w:rPr>
          <w:rFonts w:ascii="Times New Roman" w:eastAsiaTheme="minorHAnsi" w:hAnsi="Times New Roman" w:cs="Times New Roman"/>
          <w:color w:val="auto"/>
          <w:kern w:val="2"/>
          <w:sz w:val="24"/>
          <w:szCs w:val="24"/>
          <w:lang w:eastAsia="en-US"/>
          <w14:ligatures w14:val="standardContextual"/>
        </w:rPr>
        <w:t xml:space="preserve"> Available at: </w:t>
      </w:r>
      <w:hyperlink r:id="rId20" w:history="1">
        <w:r w:rsidRPr="008B1237">
          <w:rPr>
            <w:rFonts w:ascii="Times New Roman" w:eastAsiaTheme="minorHAnsi" w:hAnsi="Times New Roman" w:cs="Times New Roman"/>
            <w:color w:val="auto"/>
            <w:kern w:val="2"/>
            <w:sz w:val="24"/>
            <w:szCs w:val="24"/>
            <w:lang w:eastAsia="en-US"/>
            <w14:ligatures w14:val="standardContextual"/>
          </w:rPr>
          <w:t>https://www.gov.wales/loneliness-national-survey-wales-april-2022-march-2023-html</w:t>
        </w:r>
      </w:hyperlink>
      <w:r w:rsidRPr="008B1237">
        <w:rPr>
          <w:rFonts w:ascii="Times New Roman" w:eastAsiaTheme="minorHAnsi" w:hAnsi="Times New Roman" w:cs="Times New Roman"/>
          <w:color w:val="auto"/>
          <w:kern w:val="2"/>
          <w:sz w:val="24"/>
          <w:szCs w:val="24"/>
          <w:lang w:eastAsia="en-US"/>
          <w14:ligatures w14:val="standardContextual"/>
        </w:rPr>
        <w:t xml:space="preserve"> (Accessed 7 February 2024).</w:t>
      </w:r>
    </w:p>
    <w:p w14:paraId="63BF3D02"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i/>
          <w:color w:val="auto"/>
          <w:kern w:val="2"/>
          <w:sz w:val="24"/>
          <w:szCs w:val="24"/>
          <w:lang w:eastAsia="en-US"/>
          <w14:ligatures w14:val="standardContextual"/>
        </w:rPr>
        <w:lastRenderedPageBreak/>
        <w:t xml:space="preserve">Welsh Language (Wales) Measure 2011. </w:t>
      </w:r>
      <w:r w:rsidRPr="008B1237">
        <w:rPr>
          <w:rFonts w:ascii="Times New Roman" w:eastAsiaTheme="minorHAnsi" w:hAnsi="Times New Roman" w:cs="Times New Roman"/>
          <w:color w:val="auto"/>
          <w:kern w:val="2"/>
          <w:sz w:val="24"/>
          <w:szCs w:val="24"/>
          <w:lang w:eastAsia="en-US"/>
          <w14:ligatures w14:val="standardContextual"/>
        </w:rPr>
        <w:t xml:space="preserve">Available at: </w:t>
      </w:r>
      <w:hyperlink r:id="rId21" w:history="1">
        <w:r w:rsidRPr="008B1237">
          <w:rPr>
            <w:rFonts w:ascii="Times New Roman" w:eastAsiaTheme="minorHAnsi" w:hAnsi="Times New Roman" w:cs="Times New Roman"/>
            <w:color w:val="auto"/>
            <w:kern w:val="2"/>
            <w:sz w:val="24"/>
            <w:szCs w:val="24"/>
            <w:lang w:eastAsia="en-US"/>
            <w14:ligatures w14:val="standardContextual"/>
          </w:rPr>
          <w:t>Welsh Language (Wales) Measure 2011 (legislation.gov.uk)</w:t>
        </w:r>
      </w:hyperlink>
      <w:r w:rsidRPr="008B1237">
        <w:rPr>
          <w:rFonts w:ascii="Times New Roman" w:eastAsiaTheme="minorHAnsi" w:hAnsi="Times New Roman" w:cs="Times New Roman"/>
          <w:color w:val="auto"/>
          <w:kern w:val="2"/>
          <w:sz w:val="24"/>
          <w:szCs w:val="24"/>
          <w:lang w:eastAsia="en-US"/>
          <w14:ligatures w14:val="standardContextual"/>
        </w:rPr>
        <w:t xml:space="preserve"> (Accessed: 20.12.23).</w:t>
      </w:r>
    </w:p>
    <w:p w14:paraId="3A9462F9" w14:textId="77777777" w:rsidR="008B1237" w:rsidRPr="008B1237" w:rsidRDefault="008B1237" w:rsidP="008B1237">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Williams, J. (2017), "Adult safeguarding in Wales: one step in the right direction", The Journal of Adult Protection, Vol. 19 No. 4, pp. 175-186. </w:t>
      </w:r>
      <w:hyperlink r:id="rId22" w:history="1">
        <w:r w:rsidRPr="008B1237">
          <w:rPr>
            <w:rFonts w:ascii="Times New Roman" w:eastAsiaTheme="minorHAnsi" w:hAnsi="Times New Roman" w:cs="Times New Roman"/>
            <w:color w:val="auto"/>
            <w:kern w:val="2"/>
            <w:sz w:val="24"/>
            <w:szCs w:val="24"/>
            <w:lang w:eastAsia="en-US"/>
            <w14:ligatures w14:val="standardContextual"/>
          </w:rPr>
          <w:t>https://doi.org/10.1108/JAP-05-2017-0021</w:t>
        </w:r>
      </w:hyperlink>
    </w:p>
    <w:p w14:paraId="69A5BDDA"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 xml:space="preserve">Wilson, H. (2020) ‘Social Work Assessment: What Are We Meant </w:t>
      </w:r>
      <w:proofErr w:type="gramStart"/>
      <w:r w:rsidRPr="008B1237">
        <w:rPr>
          <w:rFonts w:ascii="Times New Roman" w:eastAsiaTheme="minorHAnsi" w:hAnsi="Times New Roman" w:cs="Times New Roman"/>
          <w:color w:val="auto"/>
          <w:kern w:val="2"/>
          <w:sz w:val="24"/>
          <w:szCs w:val="24"/>
          <w:lang w:eastAsia="en-US"/>
          <w14:ligatures w14:val="standardContextual"/>
        </w:rPr>
        <w:t>To</w:t>
      </w:r>
      <w:proofErr w:type="gramEnd"/>
      <w:r w:rsidRPr="008B1237">
        <w:rPr>
          <w:rFonts w:ascii="Times New Roman" w:eastAsiaTheme="minorHAnsi" w:hAnsi="Times New Roman" w:cs="Times New Roman"/>
          <w:color w:val="auto"/>
          <w:kern w:val="2"/>
          <w:sz w:val="24"/>
          <w:szCs w:val="24"/>
          <w:lang w:eastAsia="en-US"/>
          <w14:ligatures w14:val="standardContextual"/>
        </w:rPr>
        <w:t xml:space="preserve"> Assess?’, </w:t>
      </w:r>
      <w:r w:rsidRPr="008B1237">
        <w:rPr>
          <w:rFonts w:ascii="Times New Roman" w:eastAsiaTheme="minorHAnsi" w:hAnsi="Times New Roman" w:cs="Times New Roman"/>
          <w:i/>
          <w:iCs/>
          <w:color w:val="auto"/>
          <w:kern w:val="2"/>
          <w:sz w:val="24"/>
          <w:szCs w:val="24"/>
          <w:lang w:eastAsia="en-US"/>
          <w14:ligatures w14:val="standardContextual"/>
        </w:rPr>
        <w:t>Ethics and social welfare</w:t>
      </w:r>
      <w:r w:rsidRPr="008B1237">
        <w:rPr>
          <w:rFonts w:ascii="Times New Roman" w:eastAsiaTheme="minorHAnsi" w:hAnsi="Times New Roman" w:cs="Times New Roman"/>
          <w:color w:val="auto"/>
          <w:kern w:val="2"/>
          <w:sz w:val="24"/>
          <w:szCs w:val="24"/>
          <w:lang w:eastAsia="en-US"/>
          <w14:ligatures w14:val="standardContextual"/>
        </w:rPr>
        <w:t xml:space="preserve">, 14(1), pp. 84–88. Available at: </w:t>
      </w:r>
      <w:hyperlink r:id="rId23" w:history="1">
        <w:r w:rsidRPr="008B1237">
          <w:rPr>
            <w:rFonts w:ascii="Times New Roman" w:eastAsiaTheme="minorHAnsi" w:hAnsi="Times New Roman" w:cs="Times New Roman"/>
            <w:color w:val="auto"/>
            <w:kern w:val="2"/>
            <w:sz w:val="24"/>
            <w:szCs w:val="24"/>
            <w:lang w:eastAsia="en-US"/>
            <w14:ligatures w14:val="standardContextual"/>
          </w:rPr>
          <w:t>https://doi.org/10.1080/17496535.2019.1686046</w:t>
        </w:r>
      </w:hyperlink>
      <w:r w:rsidRPr="008B1237">
        <w:rPr>
          <w:rFonts w:ascii="Times New Roman" w:eastAsiaTheme="minorHAnsi" w:hAnsi="Times New Roman" w:cs="Times New Roman"/>
          <w:color w:val="auto"/>
          <w:kern w:val="2"/>
          <w:sz w:val="24"/>
          <w:szCs w:val="24"/>
          <w:lang w:eastAsia="en-US"/>
          <w14:ligatures w14:val="standardContextual"/>
        </w:rPr>
        <w:t>.</w:t>
      </w:r>
    </w:p>
    <w:p w14:paraId="16713468" w14:textId="77777777" w:rsidR="008B1237" w:rsidRPr="008B1237" w:rsidRDefault="008B1237" w:rsidP="00942812">
      <w:pPr>
        <w:overflowPunct/>
        <w:autoSpaceDE/>
        <w:autoSpaceDN/>
        <w:adjustRightInd/>
        <w:spacing w:after="160" w:line="360" w:lineRule="auto"/>
        <w:textAlignment w:val="auto"/>
        <w:rPr>
          <w:rFonts w:ascii="Times New Roman" w:eastAsiaTheme="minorHAnsi" w:hAnsi="Times New Roman" w:cs="Times New Roman"/>
          <w:color w:val="auto"/>
          <w:kern w:val="2"/>
          <w:sz w:val="24"/>
          <w:szCs w:val="24"/>
          <w:lang w:eastAsia="en-US"/>
          <w14:ligatures w14:val="standardContextual"/>
        </w:rPr>
      </w:pPr>
      <w:r w:rsidRPr="008B1237">
        <w:rPr>
          <w:rFonts w:ascii="Times New Roman" w:eastAsiaTheme="minorHAnsi" w:hAnsi="Times New Roman" w:cs="Times New Roman"/>
          <w:color w:val="auto"/>
          <w:kern w:val="2"/>
          <w:sz w:val="24"/>
          <w:szCs w:val="24"/>
          <w:lang w:eastAsia="en-US"/>
          <w14:ligatures w14:val="standardContextual"/>
        </w:rPr>
        <w:t>Yeh, B. (2006) </w:t>
      </w:r>
      <w:r w:rsidRPr="008B1237">
        <w:rPr>
          <w:rFonts w:ascii="Times New Roman" w:eastAsiaTheme="minorHAnsi" w:hAnsi="Times New Roman" w:cs="Times New Roman"/>
          <w:i/>
          <w:iCs/>
          <w:color w:val="auto"/>
          <w:kern w:val="2"/>
          <w:sz w:val="24"/>
          <w:szCs w:val="24"/>
          <w:lang w:eastAsia="en-US"/>
          <w14:ligatures w14:val="standardContextual"/>
        </w:rPr>
        <w:t>Intercultural interactions in multicultural contexts: “Third tongue” communications</w:t>
      </w:r>
      <w:r w:rsidRPr="008B1237">
        <w:rPr>
          <w:rFonts w:ascii="Times New Roman" w:eastAsiaTheme="minorHAnsi" w:hAnsi="Times New Roman" w:cs="Times New Roman"/>
          <w:color w:val="auto"/>
          <w:kern w:val="2"/>
          <w:sz w:val="24"/>
          <w:szCs w:val="24"/>
          <w:lang w:eastAsia="en-US"/>
          <w14:ligatures w14:val="standardContextual"/>
        </w:rPr>
        <w:t>.</w:t>
      </w: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73B8D32" w14:textId="77777777" w:rsidR="00B73EF7" w:rsidRDefault="00B73EF7" w:rsidP="00EE5BC3">
      <w:pPr>
        <w:jc w:val="center"/>
        <w:rPr>
          <w:b/>
          <w:sz w:val="28"/>
          <w:szCs w:val="28"/>
        </w:rPr>
      </w:pPr>
    </w:p>
    <w:p w14:paraId="4201DB01" w14:textId="77777777" w:rsidR="00B73EF7" w:rsidRDefault="00B73EF7" w:rsidP="00EE5BC3">
      <w:pPr>
        <w:jc w:val="center"/>
        <w:rPr>
          <w:b/>
          <w:sz w:val="28"/>
          <w:szCs w:val="28"/>
        </w:rPr>
      </w:pPr>
    </w:p>
    <w:p w14:paraId="7461AA84" w14:textId="77777777" w:rsidR="00B73EF7" w:rsidRDefault="00B73EF7" w:rsidP="00EE5BC3">
      <w:pPr>
        <w:jc w:val="center"/>
        <w:rPr>
          <w:b/>
          <w:sz w:val="28"/>
          <w:szCs w:val="28"/>
        </w:rPr>
      </w:pPr>
    </w:p>
    <w:p w14:paraId="7047BA81" w14:textId="5C3B9220"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920CE63" w:rsidR="00E559CE" w:rsidRPr="00B17FA0" w:rsidRDefault="00E559CE" w:rsidP="00B94443">
            <w:pPr>
              <w:jc w:val="both"/>
              <w:rPr>
                <w:sz w:val="24"/>
                <w:szCs w:val="24"/>
              </w:rPr>
            </w:pPr>
            <w:r w:rsidRPr="00B17FA0">
              <w:rPr>
                <w:sz w:val="24"/>
                <w:szCs w:val="24"/>
              </w:rPr>
              <w:t>1</w:t>
            </w:r>
            <w:r w:rsidR="001F13BA">
              <w:rPr>
                <w:sz w:val="24"/>
                <w:szCs w:val="24"/>
              </w:rPr>
              <w:t xml:space="preserve"> </w:t>
            </w:r>
          </w:p>
        </w:tc>
        <w:tc>
          <w:tcPr>
            <w:tcW w:w="5094" w:type="dxa"/>
          </w:tcPr>
          <w:p w14:paraId="4504991A" w14:textId="5451B522" w:rsidR="00E559CE" w:rsidRPr="00B17FA0" w:rsidRDefault="00C14F97" w:rsidP="00B94443">
            <w:pPr>
              <w:jc w:val="both"/>
              <w:rPr>
                <w:sz w:val="24"/>
                <w:szCs w:val="24"/>
              </w:rPr>
            </w:pPr>
            <w:r>
              <w:rPr>
                <w:sz w:val="24"/>
                <w:szCs w:val="24"/>
              </w:rPr>
              <w:t>8.11.23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D36EE2D" w:rsidR="00E559CE" w:rsidRPr="00B17FA0" w:rsidRDefault="00C14F97" w:rsidP="00B94443">
            <w:pPr>
              <w:jc w:val="both"/>
              <w:rPr>
                <w:sz w:val="24"/>
                <w:szCs w:val="24"/>
              </w:rPr>
            </w:pPr>
            <w:r>
              <w:rPr>
                <w:sz w:val="24"/>
                <w:szCs w:val="24"/>
              </w:rPr>
              <w:t>6.2.24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067EE6D" w:rsidR="00E559CE" w:rsidRPr="00B17FA0" w:rsidRDefault="006438A1" w:rsidP="00B94443">
            <w:pPr>
              <w:jc w:val="both"/>
              <w:rPr>
                <w:sz w:val="24"/>
                <w:szCs w:val="24"/>
              </w:rPr>
            </w:pPr>
            <w:r>
              <w:rPr>
                <w:sz w:val="24"/>
                <w:szCs w:val="24"/>
              </w:rPr>
              <w:t>22.6.24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A260F9" w:rsidR="00E559CE" w:rsidRPr="00B17FA0" w:rsidRDefault="001F13BA" w:rsidP="00B94443">
            <w:pPr>
              <w:jc w:val="both"/>
              <w:rPr>
                <w:sz w:val="24"/>
                <w:szCs w:val="24"/>
              </w:rPr>
            </w:pPr>
            <w:r>
              <w:rPr>
                <w:sz w:val="24"/>
                <w:szCs w:val="24"/>
              </w:rPr>
              <w:t>16.8.24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7869DB1" w:rsidR="004923DA" w:rsidRPr="001F13B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1F13BA">
        <w:rPr>
          <w:bCs/>
          <w:sz w:val="24"/>
          <w:szCs w:val="24"/>
        </w:rPr>
        <w:t>Sandra John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13134F6" w:rsidR="00390074" w:rsidRPr="001F13BA"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1F13BA">
        <w:rPr>
          <w:b/>
          <w:sz w:val="24"/>
          <w:szCs w:val="24"/>
        </w:rPr>
        <w:t xml:space="preserve"> </w:t>
      </w:r>
      <w:r w:rsidR="001F13BA">
        <w:rPr>
          <w:bCs/>
          <w:sz w:val="24"/>
          <w:szCs w:val="24"/>
        </w:rPr>
        <w:t>1402247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515C802" w:rsidR="004923DA" w:rsidRPr="001F13B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1F13BA">
        <w:rPr>
          <w:b/>
          <w:sz w:val="24"/>
          <w:szCs w:val="24"/>
        </w:rPr>
        <w:t xml:space="preserve"> </w:t>
      </w:r>
    </w:p>
    <w:p w14:paraId="23C8C57F" w14:textId="33B7C89B" w:rsidR="008A3581" w:rsidRPr="008A3581" w:rsidRDefault="008A3581"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90 </w:t>
      </w:r>
      <w:proofErr w:type="spellStart"/>
      <w:r>
        <w:rPr>
          <w:bCs/>
          <w:sz w:val="24"/>
          <w:szCs w:val="24"/>
        </w:rPr>
        <w:t>Rhosnewydd</w:t>
      </w:r>
      <w:proofErr w:type="spellEnd"/>
      <w:r>
        <w:rPr>
          <w:bCs/>
          <w:sz w:val="24"/>
          <w:szCs w:val="24"/>
        </w:rPr>
        <w:t>,</w:t>
      </w:r>
    </w:p>
    <w:p w14:paraId="637D8F22" w14:textId="5E0D4095" w:rsidR="004923DA" w:rsidRPr="008A3581" w:rsidRDefault="008A3581"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Tumble,</w:t>
      </w:r>
    </w:p>
    <w:p w14:paraId="62E8FF90" w14:textId="370C6B14" w:rsidR="004923DA" w:rsidRDefault="008A3581"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Carmarthenshire</w:t>
      </w:r>
    </w:p>
    <w:p w14:paraId="2E249E29" w14:textId="7FCF34FA" w:rsidR="00E62A79" w:rsidRPr="008A3581" w:rsidRDefault="00E62A79"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SA14 6LD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4D9C3BD" w:rsidR="004923DA" w:rsidRPr="00E62A7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E62A79">
        <w:rPr>
          <w:bCs/>
          <w:sz w:val="24"/>
          <w:szCs w:val="24"/>
        </w:rPr>
        <w:t>07855454314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092F828" w:rsidR="004923DA" w:rsidRPr="00E62A7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62A79">
        <w:rPr>
          <w:b/>
          <w:sz w:val="24"/>
          <w:szCs w:val="24"/>
        </w:rPr>
        <w:t xml:space="preserve"> </w:t>
      </w:r>
      <w:r w:rsidR="00E62A79">
        <w:rPr>
          <w:bCs/>
          <w:sz w:val="24"/>
          <w:szCs w:val="24"/>
        </w:rPr>
        <w:t>sandz</w:t>
      </w:r>
      <w:r w:rsidR="00297727">
        <w:rPr>
          <w:bCs/>
          <w:sz w:val="24"/>
          <w:szCs w:val="24"/>
        </w:rPr>
        <w:t>_d_j@hotmail.com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2ECE2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5551A" w:rsidRPr="0085551A">
        <w:rPr>
          <w:bCs/>
          <w:sz w:val="24"/>
          <w:szCs w:val="24"/>
        </w:rPr>
        <w:t>August</w:t>
      </w:r>
      <w:r w:rsidR="0085551A">
        <w:rPr>
          <w:bCs/>
          <w:sz w:val="24"/>
          <w:szCs w:val="24"/>
        </w:rPr>
        <w:t xml:space="preserve">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2D40EBF7" w:rsidR="00B17FA0" w:rsidRPr="0085551A" w:rsidRDefault="0085551A" w:rsidP="00FF7EBB">
      <w:pPr>
        <w:pBdr>
          <w:top w:val="single" w:sz="6" w:space="1" w:color="auto"/>
          <w:left w:val="single" w:sz="6" w:space="1" w:color="auto"/>
          <w:bottom w:val="single" w:sz="6" w:space="1" w:color="auto"/>
          <w:right w:val="single" w:sz="6" w:space="1" w:color="auto"/>
        </w:pBdr>
        <w:jc w:val="both"/>
        <w:rPr>
          <w:bCs/>
          <w:sz w:val="24"/>
          <w:szCs w:val="24"/>
        </w:rPr>
      </w:pPr>
      <w:r w:rsidRPr="0085551A">
        <w:rPr>
          <w:bCs/>
          <w:sz w:val="24"/>
          <w:szCs w:val="24"/>
        </w:rPr>
        <w:t>August 2021</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7203F9" w14:textId="0DDBCF14" w:rsidR="0085551A" w:rsidRPr="0085551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85551A">
        <w:rPr>
          <w:b/>
          <w:sz w:val="24"/>
          <w:szCs w:val="24"/>
        </w:rPr>
        <w:t xml:space="preserve"> </w:t>
      </w:r>
      <w:r w:rsidR="0085551A">
        <w:rPr>
          <w:bCs/>
          <w:sz w:val="24"/>
          <w:szCs w:val="24"/>
        </w:rPr>
        <w:t xml:space="preserve"> Community Initial Assessment Team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8D2DC05" w:rsidR="00986C0B" w:rsidRPr="00DA5682" w:rsidRDefault="005507F1">
            <w:pPr>
              <w:rPr>
                <w:sz w:val="24"/>
                <w:szCs w:val="24"/>
              </w:rPr>
            </w:pPr>
            <w:r>
              <w:rPr>
                <w:sz w:val="24"/>
                <w:szCs w:val="24"/>
              </w:rPr>
              <w:t>Sandra John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354D0EF" w:rsidR="00986C0B" w:rsidRPr="00DA5682" w:rsidRDefault="005507F1">
            <w:pPr>
              <w:rPr>
                <w:sz w:val="24"/>
                <w:szCs w:val="24"/>
              </w:rPr>
            </w:pPr>
            <w:r>
              <w:rPr>
                <w:sz w:val="24"/>
                <w:szCs w:val="24"/>
              </w:rPr>
              <w:t>Community Initial Assessment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E3FD1B0" w:rsidR="00986C0B" w:rsidRPr="00DA5682" w:rsidRDefault="005507F1">
            <w:pPr>
              <w:rPr>
                <w:sz w:val="24"/>
                <w:szCs w:val="24"/>
              </w:rPr>
            </w:pPr>
            <w:r>
              <w:rPr>
                <w:sz w:val="24"/>
                <w:szCs w:val="24"/>
              </w:rPr>
              <w:t xml:space="preserve">Helen </w:t>
            </w:r>
            <w:r w:rsidR="00117712">
              <w:rPr>
                <w:sz w:val="24"/>
                <w:szCs w:val="24"/>
              </w:rPr>
              <w:t>O’Sullivan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EF5A666" w:rsidR="00986C0B" w:rsidRPr="00DA5682" w:rsidRDefault="00117712">
            <w:pPr>
              <w:rPr>
                <w:sz w:val="24"/>
                <w:szCs w:val="24"/>
              </w:rPr>
            </w:pPr>
            <w:r>
              <w:rPr>
                <w:sz w:val="24"/>
                <w:szCs w:val="24"/>
              </w:rPr>
              <w:t>Helen O’Sullivan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823358E" w:rsidR="00986C0B" w:rsidRPr="00DA5682" w:rsidRDefault="00986C0B" w:rsidP="00986C0B">
      <w:pPr>
        <w:rPr>
          <w:sz w:val="24"/>
          <w:szCs w:val="24"/>
        </w:rPr>
      </w:pPr>
      <w:r w:rsidRPr="00DA5682">
        <w:rPr>
          <w:sz w:val="24"/>
          <w:szCs w:val="24"/>
        </w:rPr>
        <w:t>Signed</w:t>
      </w:r>
      <w:r w:rsidR="00117712">
        <w:rPr>
          <w:sz w:val="24"/>
          <w:szCs w:val="24"/>
        </w:rPr>
        <w:t xml:space="preserve">: </w:t>
      </w:r>
      <w:r w:rsidR="00F41691" w:rsidRPr="00F41691">
        <w:rPr>
          <w:rFonts w:eastAsia="Calibri"/>
          <w:noProof/>
          <w:color w:val="auto"/>
          <w:sz w:val="24"/>
          <w:szCs w:val="24"/>
        </w:rPr>
        <w:drawing>
          <wp:inline distT="0" distB="0" distL="0" distR="0" wp14:anchorId="0D5932D7" wp14:editId="01385488">
            <wp:extent cx="1068019" cy="350520"/>
            <wp:effectExtent l="0" t="0" r="0" b="0"/>
            <wp:docPr id="1" name="Picture 1" descr="A black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line on a white surface&#10;&#10;Description automatically generated"/>
                    <pic:cNvPicPr>
                      <a:picLocks noChangeAspect="1" noChangeArrowheads="1"/>
                    </pic:cNvPicPr>
                  </pic:nvPicPr>
                  <pic:blipFill>
                    <a:blip r:embed="rId24" cstate="print">
                      <a:biLevel thresh="50000"/>
                      <a:extLst>
                        <a:ext uri="{28A0092B-C50C-407E-A947-70E740481C1C}">
                          <a14:useLocalDpi xmlns:a14="http://schemas.microsoft.com/office/drawing/2010/main" val="0"/>
                        </a:ext>
                      </a:extLst>
                    </a:blip>
                    <a:srcRect/>
                    <a:stretch>
                      <a:fillRect/>
                    </a:stretch>
                  </pic:blipFill>
                  <pic:spPr bwMode="auto">
                    <a:xfrm>
                      <a:off x="0" y="0"/>
                      <a:ext cx="1111189" cy="364688"/>
                    </a:xfrm>
                    <a:prstGeom prst="rect">
                      <a:avLst/>
                    </a:prstGeom>
                    <a:noFill/>
                    <a:ln>
                      <a:noFill/>
                    </a:ln>
                  </pic:spPr>
                </pic:pic>
              </a:graphicData>
            </a:graphic>
          </wp:inline>
        </w:drawing>
      </w:r>
      <w:r w:rsidRPr="00DA5682">
        <w:rPr>
          <w:sz w:val="24"/>
          <w:szCs w:val="24"/>
        </w:rPr>
        <w:t xml:space="preserve"> Print Name</w:t>
      </w:r>
      <w:r w:rsidR="00F41691">
        <w:rPr>
          <w:sz w:val="24"/>
          <w:szCs w:val="24"/>
        </w:rPr>
        <w:t xml:space="preserve">: Sandra John                      </w:t>
      </w:r>
      <w:r w:rsidRPr="00DA5682">
        <w:rPr>
          <w:sz w:val="24"/>
          <w:szCs w:val="24"/>
        </w:rPr>
        <w:t>Date:</w:t>
      </w:r>
      <w:r w:rsidR="00F41691">
        <w:rPr>
          <w:sz w:val="24"/>
          <w:szCs w:val="24"/>
        </w:rPr>
        <w:t xml:space="preserve"> </w:t>
      </w:r>
      <w:r w:rsidR="001E57CD">
        <w:rPr>
          <w:sz w:val="24"/>
          <w:szCs w:val="24"/>
        </w:rPr>
        <w:t>10.10.23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5"/>
      <w:footerReference w:type="default" r:id="rId2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D60C2" w14:textId="77777777" w:rsidR="00633CAE" w:rsidRDefault="00633CAE">
      <w:r>
        <w:separator/>
      </w:r>
    </w:p>
  </w:endnote>
  <w:endnote w:type="continuationSeparator" w:id="0">
    <w:p w14:paraId="70E2EF07" w14:textId="77777777" w:rsidR="00633CAE" w:rsidRDefault="00633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39C93" w14:textId="77777777" w:rsidR="00633CAE" w:rsidRDefault="00633CAE">
      <w:r>
        <w:separator/>
      </w:r>
    </w:p>
  </w:footnote>
  <w:footnote w:type="continuationSeparator" w:id="0">
    <w:p w14:paraId="10450658" w14:textId="77777777" w:rsidR="00633CAE" w:rsidRDefault="00633C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1AE"/>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581"/>
    <w:rsid w:val="000F1599"/>
    <w:rsid w:val="000F1769"/>
    <w:rsid w:val="000F1A97"/>
    <w:rsid w:val="000F42AE"/>
    <w:rsid w:val="000F6196"/>
    <w:rsid w:val="000F6BC3"/>
    <w:rsid w:val="0010312C"/>
    <w:rsid w:val="00105026"/>
    <w:rsid w:val="0010662B"/>
    <w:rsid w:val="00106DC7"/>
    <w:rsid w:val="00112391"/>
    <w:rsid w:val="00114F52"/>
    <w:rsid w:val="0011771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7CD"/>
    <w:rsid w:val="001F13B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7727"/>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C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03C"/>
    <w:rsid w:val="004968E2"/>
    <w:rsid w:val="004A2A49"/>
    <w:rsid w:val="004A4AFF"/>
    <w:rsid w:val="004A5A64"/>
    <w:rsid w:val="004B5553"/>
    <w:rsid w:val="004B5B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07F1"/>
    <w:rsid w:val="00557D77"/>
    <w:rsid w:val="00562EAA"/>
    <w:rsid w:val="00563B58"/>
    <w:rsid w:val="005640C4"/>
    <w:rsid w:val="0056684C"/>
    <w:rsid w:val="00574A0C"/>
    <w:rsid w:val="00576E73"/>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CAE"/>
    <w:rsid w:val="006438A1"/>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9BA"/>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150"/>
    <w:rsid w:val="007872F2"/>
    <w:rsid w:val="007873F9"/>
    <w:rsid w:val="007908E0"/>
    <w:rsid w:val="00793EB3"/>
    <w:rsid w:val="00794205"/>
    <w:rsid w:val="0079422A"/>
    <w:rsid w:val="007A1F6A"/>
    <w:rsid w:val="007A628F"/>
    <w:rsid w:val="007A6419"/>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51A"/>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581"/>
    <w:rsid w:val="008B07DE"/>
    <w:rsid w:val="008B1237"/>
    <w:rsid w:val="008B1309"/>
    <w:rsid w:val="008B28E7"/>
    <w:rsid w:val="008B67F6"/>
    <w:rsid w:val="008C00C6"/>
    <w:rsid w:val="008C14C7"/>
    <w:rsid w:val="008C2FFB"/>
    <w:rsid w:val="008C633F"/>
    <w:rsid w:val="008C6EEA"/>
    <w:rsid w:val="008C7770"/>
    <w:rsid w:val="008C79C7"/>
    <w:rsid w:val="008D03B0"/>
    <w:rsid w:val="008D2150"/>
    <w:rsid w:val="008D5813"/>
    <w:rsid w:val="008D5999"/>
    <w:rsid w:val="008D634E"/>
    <w:rsid w:val="008D778A"/>
    <w:rsid w:val="008D78C9"/>
    <w:rsid w:val="008E0094"/>
    <w:rsid w:val="008E3195"/>
    <w:rsid w:val="008E5A35"/>
    <w:rsid w:val="008F127E"/>
    <w:rsid w:val="008F32D9"/>
    <w:rsid w:val="00902A65"/>
    <w:rsid w:val="00903932"/>
    <w:rsid w:val="009079BD"/>
    <w:rsid w:val="00912BD9"/>
    <w:rsid w:val="00916FB2"/>
    <w:rsid w:val="00920E5B"/>
    <w:rsid w:val="00926436"/>
    <w:rsid w:val="00926C53"/>
    <w:rsid w:val="0093018C"/>
    <w:rsid w:val="00940BB4"/>
    <w:rsid w:val="00942812"/>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EF7"/>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2148"/>
    <w:rsid w:val="00C14F9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6CDA"/>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691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2A7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691"/>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uturegenerations.wales/resources_posts/our-newsletters/" TargetMode="External"/><Relationship Id="rId18" Type="http://schemas.openxmlformats.org/officeDocument/2006/relationships/hyperlink" Target="https://socialcare.wales/cms-assets/documents/Code-of-Professional-Practice-for-Social-Care-web-version.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legislation.gov.uk/mwa/2011/1/contents/enacted" TargetMode="External"/><Relationship Id="rId7" Type="http://schemas.openxmlformats.org/officeDocument/2006/relationships/webSettings" Target="webSettings.xml"/><Relationship Id="rId12" Type="http://schemas.openxmlformats.org/officeDocument/2006/relationships/hyperlink" Target="https://doi.org/10.47674/9781447357315.001" TargetMode="External"/><Relationship Id="rId17" Type="http://schemas.openxmlformats.org/officeDocument/2006/relationships/hyperlink" Target="https://doi.org/10.1093/eurpub/ckac129.178"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80/10437797.2015.1043196" TargetMode="External"/><Relationship Id="rId20" Type="http://schemas.openxmlformats.org/officeDocument/2006/relationships/hyperlink" Target="https://www.gov.wales/loneliness-national-survey-wales-april-2022-march-2023-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geront/gnw249"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file:///C:\Users\sandra.john\OneDrive%20-%20Swansea%20Council%20-%20Cyngor%20Abertawe\Downloads\Swansea_Population_2021_(Jan-23).pdf" TargetMode="External"/><Relationship Id="rId23" Type="http://schemas.openxmlformats.org/officeDocument/2006/relationships/hyperlink" Target="https://doi.org/10.1080/17496535.2019.1686046"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law.gov.wales/safeguard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2615479.2011.564610" TargetMode="External"/><Relationship Id="rId22" Type="http://schemas.openxmlformats.org/officeDocument/2006/relationships/hyperlink" Target="https://doi.org/10.1108/JAP-05-2017-002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31</TotalTime>
  <Pages>16</Pages>
  <Words>3572</Words>
  <Characters>20364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Sandra John</cp:lastModifiedBy>
  <cp:revision>24</cp:revision>
  <cp:lastPrinted>2020-02-11T19:20:00Z</cp:lastPrinted>
  <dcterms:created xsi:type="dcterms:W3CDTF">2024-02-09T08:02:00Z</dcterms:created>
  <dcterms:modified xsi:type="dcterms:W3CDTF">2024-02-14T20:46:00Z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