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2094A4"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65F36557"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4583ADEC"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67B3FF1D"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7F4EE734"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1108B6C5" w14:textId="77777777" w:rsidR="00DD502E" w:rsidRDefault="00946F3D">
      <w:pPr>
        <w:spacing w:after="220" w:line="360" w:lineRule="auto"/>
        <w:jc w:val="center"/>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Global Forces Shaping a UK Multinational in 2024–2025</w:t>
      </w:r>
    </w:p>
    <w:p w14:paraId="1658673B" w14:textId="77777777" w:rsidR="00DD502E" w:rsidRDefault="00946F3D">
      <w:pPr>
        <w:spacing w:after="220" w:line="360" w:lineRule="auto"/>
        <w:jc w:val="center"/>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Chosen Company: Unilever plc (UK-based multinational consumer goods company)</w:t>
      </w:r>
    </w:p>
    <w:p w14:paraId="587CF6BB" w14:textId="10C4D6FC" w:rsidR="00DD502E" w:rsidRDefault="00946F3D">
      <w:pPr>
        <w:spacing w:after="220" w:line="360" w:lineRule="auto"/>
        <w:jc w:val="center"/>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Student’s Name</w:t>
      </w:r>
      <w:r w:rsidR="00891C75">
        <w:rPr>
          <w:rFonts w:ascii="Times New Roman Regular" w:eastAsia="Times New Roman" w:hAnsi="Times New Roman Regular" w:cs="Times New Roman Regular"/>
          <w:sz w:val="24"/>
          <w:szCs w:val="24"/>
        </w:rPr>
        <w:t>: Merecan Diego Stefan</w:t>
      </w:r>
    </w:p>
    <w:p w14:paraId="0D9B9635" w14:textId="06A2817C" w:rsidR="00891C75" w:rsidRDefault="00891C75">
      <w:pPr>
        <w:spacing w:after="220" w:line="360" w:lineRule="auto"/>
        <w:jc w:val="center"/>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Student ID: 23</w:t>
      </w:r>
      <w:r w:rsidR="00946F3D">
        <w:rPr>
          <w:rFonts w:ascii="Times New Roman Regular" w:eastAsia="Times New Roman" w:hAnsi="Times New Roman Regular" w:cs="Times New Roman Regular"/>
          <w:sz w:val="24"/>
          <w:szCs w:val="24"/>
        </w:rPr>
        <w:t>25936</w:t>
      </w:r>
    </w:p>
    <w:p w14:paraId="4D125BE5" w14:textId="77777777" w:rsidR="00DD502E" w:rsidRDefault="00946F3D">
      <w:pPr>
        <w:spacing w:after="220" w:line="360" w:lineRule="auto"/>
        <w:jc w:val="center"/>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Institutional Affiliation</w:t>
      </w:r>
    </w:p>
    <w:p w14:paraId="545C329D" w14:textId="19B448FF" w:rsidR="00DD502E" w:rsidRDefault="00946F3D">
      <w:pPr>
        <w:spacing w:after="220" w:line="360" w:lineRule="auto"/>
        <w:jc w:val="center"/>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Due Date</w:t>
      </w:r>
    </w:p>
    <w:p w14:paraId="700E8361"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77D311FA"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776599AE"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0FC59DC7"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2B428E9F"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33662D7F"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71EC42C4"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0FCA4D0C"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5EFA71CA"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48EC4792"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2B82892D" w14:textId="77777777" w:rsidR="00DD502E" w:rsidRDefault="00DD502E">
      <w:pPr>
        <w:spacing w:after="220" w:line="360" w:lineRule="auto"/>
        <w:jc w:val="both"/>
        <w:rPr>
          <w:rFonts w:ascii="Times New Roman Regular" w:eastAsia="Times New Roman" w:hAnsi="Times New Roman Regular" w:cs="Times New Roman Regular"/>
          <w:sz w:val="24"/>
          <w:szCs w:val="24"/>
        </w:rPr>
      </w:pPr>
    </w:p>
    <w:sdt>
      <w:sdtPr>
        <w:rPr>
          <w:rFonts w:ascii="Times New Roman Regular" w:hAnsi="Times New Roman Regular" w:cs="Times New Roman Regular"/>
          <w:sz w:val="24"/>
          <w:szCs w:val="24"/>
        </w:rPr>
        <w:id w:val="1308817022"/>
        <w:docPartObj>
          <w:docPartGallery w:val="Table of Contents"/>
          <w:docPartUnique/>
        </w:docPartObj>
      </w:sdtPr>
      <w:sdtEndPr/>
      <w:sdtContent>
        <w:p w14:paraId="49D554B8" w14:textId="77777777" w:rsidR="00DD502E" w:rsidRDefault="00946F3D">
          <w:pPr>
            <w:widowControl w:val="0"/>
            <w:tabs>
              <w:tab w:val="right" w:leader="dot" w:pos="8640"/>
            </w:tabs>
            <w:spacing w:before="60" w:after="0" w:line="360" w:lineRule="auto"/>
            <w:jc w:val="center"/>
            <w:rPr>
              <w:rFonts w:ascii="Times New Roman Regular" w:hAnsi="Times New Roman Regular" w:cs="Times New Roman Regular"/>
              <w:sz w:val="24"/>
              <w:szCs w:val="24"/>
              <w:lang w:val="en-US"/>
            </w:rPr>
          </w:pPr>
          <w:r>
            <w:rPr>
              <w:rFonts w:ascii="Times New Roman Regular" w:hAnsi="Times New Roman Regular" w:cs="Times New Roman Regular"/>
              <w:sz w:val="24"/>
              <w:szCs w:val="24"/>
              <w:lang w:val="en-US"/>
            </w:rPr>
            <w:t>Table of Contents</w:t>
          </w:r>
        </w:p>
        <w:p w14:paraId="181FFABA" w14:textId="77777777" w:rsidR="00DD502E" w:rsidRDefault="00946F3D">
          <w:pPr>
            <w:widowControl w:val="0"/>
            <w:tabs>
              <w:tab w:val="right" w:leader="dot" w:pos="8640"/>
            </w:tabs>
            <w:spacing w:before="60" w:after="0" w:line="360" w:lineRule="auto"/>
            <w:rPr>
              <w:rFonts w:ascii="Times New Roman Regular" w:hAnsi="Times New Roman Regular" w:cs="Times New Roman Regular"/>
              <w:b/>
              <w:color w:val="000000"/>
              <w:sz w:val="24"/>
              <w:szCs w:val="24"/>
            </w:rPr>
          </w:pPr>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TOC \h \u \z \t "Heading 1,1,Heading 2,2,Heading 3,3,Heading 4,4,Heading 5,5,Heading 6,6,"</w:instrText>
          </w:r>
          <w:r>
            <w:rPr>
              <w:rFonts w:ascii="Times New Roman Regular" w:hAnsi="Times New Roman Regular" w:cs="Times New Roman Regular"/>
              <w:sz w:val="24"/>
              <w:szCs w:val="24"/>
            </w:rPr>
            <w:fldChar w:fldCharType="separate"/>
          </w:r>
          <w:hyperlink>
            <w:r>
              <w:rPr>
                <w:rFonts w:ascii="Times New Roman Regular" w:hAnsi="Times New Roman Regular" w:cs="Times New Roman Regular"/>
                <w:b/>
                <w:color w:val="000000"/>
                <w:sz w:val="24"/>
                <w:szCs w:val="24"/>
              </w:rPr>
              <w:t>1. Introduction</w:t>
            </w:r>
            <w:r>
              <w:rPr>
                <w:rFonts w:ascii="Times New Roman Regular" w:hAnsi="Times New Roman Regular" w:cs="Times New Roman Regular"/>
                <w:b/>
                <w:color w:val="000000"/>
                <w:sz w:val="24"/>
                <w:szCs w:val="24"/>
              </w:rPr>
              <w:tab/>
            </w:r>
          </w:hyperlink>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b/>
              <w:sz w:val="24"/>
              <w:szCs w:val="24"/>
            </w:rPr>
            <w:t>2</w:t>
          </w:r>
          <w:r>
            <w:rPr>
              <w:rFonts w:ascii="Times New Roman Regular" w:hAnsi="Times New Roman Regular" w:cs="Times New Roman Regular"/>
              <w:sz w:val="24"/>
              <w:szCs w:val="24"/>
            </w:rPr>
            <w:fldChar w:fldCharType="end"/>
          </w:r>
        </w:p>
        <w:p w14:paraId="1DE269EB" w14:textId="77777777" w:rsidR="00DD502E" w:rsidRDefault="00946F3D">
          <w:pPr>
            <w:widowControl w:val="0"/>
            <w:tabs>
              <w:tab w:val="right" w:leader="dot" w:pos="8640"/>
            </w:tabs>
            <w:spacing w:before="60" w:after="0" w:line="360" w:lineRule="auto"/>
            <w:rPr>
              <w:rFonts w:ascii="Times New Roman Regular" w:hAnsi="Times New Roman Regular" w:cs="Times New Roman Regular"/>
              <w:b/>
              <w:color w:val="000000"/>
              <w:sz w:val="24"/>
              <w:szCs w:val="24"/>
            </w:rPr>
          </w:pPr>
          <w:hyperlink>
            <w:r>
              <w:rPr>
                <w:rFonts w:ascii="Times New Roman Regular" w:hAnsi="Times New Roman Regular" w:cs="Times New Roman Regular"/>
                <w:b/>
                <w:color w:val="000000"/>
                <w:sz w:val="24"/>
                <w:szCs w:val="24"/>
              </w:rPr>
              <w:t>2. Opportunities and Challenges</w:t>
            </w:r>
            <w:r>
              <w:rPr>
                <w:rFonts w:ascii="Times New Roman Regular" w:hAnsi="Times New Roman Regular" w:cs="Times New Roman Regular"/>
                <w:b/>
                <w:color w:val="000000"/>
                <w:sz w:val="24"/>
                <w:szCs w:val="24"/>
              </w:rPr>
              <w:tab/>
            </w:r>
          </w:hyperlink>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b/>
              <w:sz w:val="24"/>
              <w:szCs w:val="24"/>
            </w:rPr>
            <w:t>3</w:t>
          </w:r>
          <w:r>
            <w:rPr>
              <w:rFonts w:ascii="Times New Roman Regular" w:hAnsi="Times New Roman Regular" w:cs="Times New Roman Regular"/>
              <w:sz w:val="24"/>
              <w:szCs w:val="24"/>
            </w:rPr>
            <w:fldChar w:fldCharType="end"/>
          </w:r>
        </w:p>
        <w:p w14:paraId="120626A1" w14:textId="77777777" w:rsidR="00DD502E" w:rsidRDefault="00946F3D">
          <w:pPr>
            <w:widowControl w:val="0"/>
            <w:tabs>
              <w:tab w:val="right" w:leader="dot" w:pos="8640"/>
            </w:tabs>
            <w:spacing w:before="60" w:after="0" w:line="360" w:lineRule="auto"/>
            <w:ind w:left="360"/>
            <w:rPr>
              <w:rFonts w:ascii="Times New Roman Regular" w:hAnsi="Times New Roman Regular" w:cs="Times New Roman Regular"/>
              <w:color w:val="000000"/>
              <w:sz w:val="24"/>
              <w:szCs w:val="24"/>
            </w:rPr>
          </w:pPr>
          <w:hyperlink>
            <w:r>
              <w:rPr>
                <w:rFonts w:ascii="Times New Roman Regular" w:hAnsi="Times New Roman Regular" w:cs="Times New Roman Regular"/>
                <w:color w:val="000000"/>
                <w:sz w:val="24"/>
                <w:szCs w:val="24"/>
              </w:rPr>
              <w:t>2.1 Artificial Intelligence (AI)</w:t>
            </w:r>
            <w:r>
              <w:rPr>
                <w:rFonts w:ascii="Times New Roman Regular" w:hAnsi="Times New Roman Regular" w:cs="Times New Roman Regular"/>
                <w:color w:val="000000"/>
                <w:sz w:val="24"/>
                <w:szCs w:val="24"/>
              </w:rPr>
              <w:tab/>
            </w:r>
          </w:hyperlink>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3</w:t>
          </w:r>
          <w:r>
            <w:rPr>
              <w:rFonts w:ascii="Times New Roman Regular" w:hAnsi="Times New Roman Regular" w:cs="Times New Roman Regular"/>
              <w:sz w:val="24"/>
              <w:szCs w:val="24"/>
            </w:rPr>
            <w:fldChar w:fldCharType="end"/>
          </w:r>
        </w:p>
        <w:p w14:paraId="1104A231" w14:textId="77777777" w:rsidR="00DD502E" w:rsidRDefault="00946F3D">
          <w:pPr>
            <w:widowControl w:val="0"/>
            <w:tabs>
              <w:tab w:val="right" w:leader="dot" w:pos="8640"/>
            </w:tabs>
            <w:spacing w:before="60" w:after="0" w:line="360" w:lineRule="auto"/>
            <w:ind w:left="360"/>
            <w:rPr>
              <w:rFonts w:ascii="Times New Roman Regular" w:hAnsi="Times New Roman Regular" w:cs="Times New Roman Regular"/>
              <w:color w:val="000000"/>
              <w:sz w:val="24"/>
              <w:szCs w:val="24"/>
            </w:rPr>
          </w:pPr>
          <w:hyperlink>
            <w:r>
              <w:rPr>
                <w:rFonts w:ascii="Times New Roman Regular" w:hAnsi="Times New Roman Regular" w:cs="Times New Roman Regular"/>
                <w:color w:val="000000"/>
                <w:sz w:val="24"/>
                <w:szCs w:val="24"/>
              </w:rPr>
              <w:t>2.2 Geopolitical Tensions</w:t>
            </w:r>
            <w:r>
              <w:rPr>
                <w:rFonts w:ascii="Times New Roman Regular" w:hAnsi="Times New Roman Regular" w:cs="Times New Roman Regular"/>
                <w:color w:val="000000"/>
                <w:sz w:val="24"/>
                <w:szCs w:val="24"/>
              </w:rPr>
              <w:tab/>
            </w:r>
          </w:hyperlink>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3</w:t>
          </w:r>
          <w:r>
            <w:rPr>
              <w:rFonts w:ascii="Times New Roman Regular" w:hAnsi="Times New Roman Regular" w:cs="Times New Roman Regular"/>
              <w:sz w:val="24"/>
              <w:szCs w:val="24"/>
            </w:rPr>
            <w:fldChar w:fldCharType="end"/>
          </w:r>
        </w:p>
        <w:p w14:paraId="79CEF203" w14:textId="77777777" w:rsidR="00DD502E" w:rsidRDefault="00946F3D">
          <w:pPr>
            <w:widowControl w:val="0"/>
            <w:tabs>
              <w:tab w:val="right" w:leader="dot" w:pos="8640"/>
            </w:tabs>
            <w:spacing w:before="60" w:after="0" w:line="360" w:lineRule="auto"/>
            <w:ind w:left="360"/>
            <w:rPr>
              <w:rFonts w:ascii="Times New Roman Regular" w:hAnsi="Times New Roman Regular" w:cs="Times New Roman Regular"/>
              <w:color w:val="000000"/>
              <w:sz w:val="24"/>
              <w:szCs w:val="24"/>
            </w:rPr>
          </w:pPr>
          <w:hyperlink>
            <w:r>
              <w:rPr>
                <w:rFonts w:ascii="Times New Roman Regular" w:hAnsi="Times New Roman Regular" w:cs="Times New Roman Regular"/>
                <w:color w:val="000000"/>
                <w:sz w:val="24"/>
                <w:szCs w:val="24"/>
              </w:rPr>
              <w:t>2.3 Sustainability Regulations (EU CSRD)</w:t>
            </w:r>
            <w:r>
              <w:rPr>
                <w:rFonts w:ascii="Times New Roman Regular" w:hAnsi="Times New Roman Regular" w:cs="Times New Roman Regular"/>
                <w:color w:val="000000"/>
                <w:sz w:val="24"/>
                <w:szCs w:val="24"/>
              </w:rPr>
              <w:tab/>
            </w:r>
          </w:hyperlink>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4</w:t>
          </w:r>
          <w:r>
            <w:rPr>
              <w:rFonts w:ascii="Times New Roman Regular" w:hAnsi="Times New Roman Regular" w:cs="Times New Roman Regular"/>
              <w:sz w:val="24"/>
              <w:szCs w:val="24"/>
            </w:rPr>
            <w:fldChar w:fldCharType="end"/>
          </w:r>
        </w:p>
        <w:p w14:paraId="1327507C" w14:textId="77777777" w:rsidR="00DD502E" w:rsidRDefault="00946F3D">
          <w:pPr>
            <w:widowControl w:val="0"/>
            <w:tabs>
              <w:tab w:val="right" w:leader="dot" w:pos="8640"/>
            </w:tabs>
            <w:spacing w:before="60" w:after="0" w:line="360" w:lineRule="auto"/>
            <w:rPr>
              <w:rFonts w:ascii="Times New Roman Regular" w:hAnsi="Times New Roman Regular" w:cs="Times New Roman Regular"/>
              <w:b/>
              <w:color w:val="000000"/>
              <w:sz w:val="24"/>
              <w:szCs w:val="24"/>
            </w:rPr>
          </w:pPr>
          <w:hyperlink>
            <w:r>
              <w:rPr>
                <w:rFonts w:ascii="Times New Roman Regular" w:hAnsi="Times New Roman Regular" w:cs="Times New Roman Regular"/>
                <w:b/>
                <w:color w:val="000000"/>
                <w:sz w:val="24"/>
                <w:szCs w:val="24"/>
              </w:rPr>
              <w:t>3. Impact on Unilever’s Strategy and Competitiveness</w:t>
            </w:r>
            <w:r>
              <w:rPr>
                <w:rFonts w:ascii="Times New Roman Regular" w:hAnsi="Times New Roman Regular" w:cs="Times New Roman Regular"/>
                <w:b/>
                <w:color w:val="000000"/>
                <w:sz w:val="24"/>
                <w:szCs w:val="24"/>
              </w:rPr>
              <w:tab/>
            </w:r>
          </w:hyperlink>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b/>
              <w:sz w:val="24"/>
              <w:szCs w:val="24"/>
            </w:rPr>
            <w:t>5</w:t>
          </w:r>
          <w:r>
            <w:rPr>
              <w:rFonts w:ascii="Times New Roman Regular" w:hAnsi="Times New Roman Regular" w:cs="Times New Roman Regular"/>
              <w:sz w:val="24"/>
              <w:szCs w:val="24"/>
            </w:rPr>
            <w:fldChar w:fldCharType="end"/>
          </w:r>
        </w:p>
        <w:p w14:paraId="66474E08" w14:textId="77777777" w:rsidR="00DD502E" w:rsidRDefault="00946F3D">
          <w:pPr>
            <w:widowControl w:val="0"/>
            <w:tabs>
              <w:tab w:val="right" w:leader="dot" w:pos="8640"/>
            </w:tabs>
            <w:spacing w:before="60" w:after="0" w:line="360" w:lineRule="auto"/>
            <w:ind w:left="360"/>
            <w:rPr>
              <w:rFonts w:ascii="Times New Roman Regular" w:hAnsi="Times New Roman Regular" w:cs="Times New Roman Regular"/>
              <w:color w:val="000000"/>
              <w:sz w:val="24"/>
              <w:szCs w:val="24"/>
            </w:rPr>
          </w:pPr>
          <w:hyperlink>
            <w:r>
              <w:rPr>
                <w:rFonts w:ascii="Times New Roman Regular" w:hAnsi="Times New Roman Regular" w:cs="Times New Roman Regular"/>
                <w:color w:val="000000"/>
                <w:sz w:val="24"/>
                <w:szCs w:val="24"/>
              </w:rPr>
              <w:t>3.1 Market Positioning</w:t>
            </w:r>
            <w:r>
              <w:rPr>
                <w:rFonts w:ascii="Times New Roman Regular" w:hAnsi="Times New Roman Regular" w:cs="Times New Roman Regular"/>
                <w:color w:val="000000"/>
                <w:sz w:val="24"/>
                <w:szCs w:val="24"/>
              </w:rPr>
              <w:tab/>
            </w:r>
          </w:hyperlink>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5</w:t>
          </w:r>
          <w:r>
            <w:rPr>
              <w:rFonts w:ascii="Times New Roman Regular" w:hAnsi="Times New Roman Regular" w:cs="Times New Roman Regular"/>
              <w:sz w:val="24"/>
              <w:szCs w:val="24"/>
            </w:rPr>
            <w:fldChar w:fldCharType="end"/>
          </w:r>
        </w:p>
        <w:p w14:paraId="58897075" w14:textId="77777777" w:rsidR="00DD502E" w:rsidRDefault="00946F3D">
          <w:pPr>
            <w:widowControl w:val="0"/>
            <w:tabs>
              <w:tab w:val="right" w:leader="dot" w:pos="8640"/>
            </w:tabs>
            <w:spacing w:before="60" w:after="0" w:line="360" w:lineRule="auto"/>
            <w:ind w:left="360"/>
            <w:rPr>
              <w:rFonts w:ascii="Times New Roman Regular" w:hAnsi="Times New Roman Regular" w:cs="Times New Roman Regular"/>
              <w:color w:val="000000"/>
              <w:sz w:val="24"/>
              <w:szCs w:val="24"/>
            </w:rPr>
          </w:pPr>
          <w:hyperlink>
            <w:r>
              <w:rPr>
                <w:rFonts w:ascii="Times New Roman Regular" w:hAnsi="Times New Roman Regular" w:cs="Times New Roman Regular"/>
                <w:color w:val="000000"/>
                <w:sz w:val="24"/>
                <w:szCs w:val="24"/>
              </w:rPr>
              <w:t>3.2 Innovation and R&amp;D (Research and Development)</w:t>
            </w:r>
            <w:r>
              <w:rPr>
                <w:rFonts w:ascii="Times New Roman Regular" w:hAnsi="Times New Roman Regular" w:cs="Times New Roman Regular"/>
                <w:color w:val="000000"/>
                <w:sz w:val="24"/>
                <w:szCs w:val="24"/>
              </w:rPr>
              <w:tab/>
            </w:r>
          </w:hyperlink>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5</w:t>
          </w:r>
          <w:r>
            <w:rPr>
              <w:rFonts w:ascii="Times New Roman Regular" w:hAnsi="Times New Roman Regular" w:cs="Times New Roman Regular"/>
              <w:sz w:val="24"/>
              <w:szCs w:val="24"/>
            </w:rPr>
            <w:fldChar w:fldCharType="end"/>
          </w:r>
        </w:p>
        <w:p w14:paraId="2BAC1365" w14:textId="77777777" w:rsidR="00DD502E" w:rsidRDefault="00946F3D">
          <w:pPr>
            <w:widowControl w:val="0"/>
            <w:tabs>
              <w:tab w:val="right" w:leader="dot" w:pos="8640"/>
            </w:tabs>
            <w:spacing w:before="60" w:after="0" w:line="360" w:lineRule="auto"/>
            <w:ind w:left="360"/>
            <w:rPr>
              <w:rFonts w:ascii="Times New Roman Regular" w:hAnsi="Times New Roman Regular" w:cs="Times New Roman Regular"/>
              <w:color w:val="000000"/>
              <w:sz w:val="24"/>
              <w:szCs w:val="24"/>
            </w:rPr>
          </w:pPr>
          <w:hyperlink>
            <w:r>
              <w:rPr>
                <w:rFonts w:ascii="Times New Roman Regular" w:hAnsi="Times New Roman Regular" w:cs="Times New Roman Regular"/>
                <w:color w:val="000000"/>
                <w:sz w:val="24"/>
                <w:szCs w:val="24"/>
              </w:rPr>
              <w:t>3.3 Talent Management</w:t>
            </w:r>
            <w:r>
              <w:rPr>
                <w:rFonts w:ascii="Times New Roman Regular" w:hAnsi="Times New Roman Regular" w:cs="Times New Roman Regular"/>
                <w:color w:val="000000"/>
                <w:sz w:val="24"/>
                <w:szCs w:val="24"/>
              </w:rPr>
              <w:tab/>
            </w:r>
          </w:hyperlink>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6</w:t>
          </w:r>
          <w:r>
            <w:rPr>
              <w:rFonts w:ascii="Times New Roman Regular" w:hAnsi="Times New Roman Regular" w:cs="Times New Roman Regular"/>
              <w:sz w:val="24"/>
              <w:szCs w:val="24"/>
            </w:rPr>
            <w:fldChar w:fldCharType="end"/>
          </w:r>
        </w:p>
        <w:p w14:paraId="0370C9D6" w14:textId="77777777" w:rsidR="00DD502E" w:rsidRDefault="00946F3D">
          <w:pPr>
            <w:widowControl w:val="0"/>
            <w:tabs>
              <w:tab w:val="right" w:leader="dot" w:pos="8640"/>
            </w:tabs>
            <w:spacing w:before="60" w:after="0" w:line="360" w:lineRule="auto"/>
            <w:ind w:left="360"/>
            <w:rPr>
              <w:rFonts w:ascii="Times New Roman Regular" w:hAnsi="Times New Roman Regular" w:cs="Times New Roman Regular"/>
              <w:color w:val="000000"/>
              <w:sz w:val="24"/>
              <w:szCs w:val="24"/>
            </w:rPr>
          </w:pPr>
          <w:hyperlink>
            <w:r>
              <w:rPr>
                <w:rFonts w:ascii="Times New Roman Regular" w:hAnsi="Times New Roman Regular" w:cs="Times New Roman Regular"/>
                <w:color w:val="000000"/>
                <w:sz w:val="24"/>
                <w:szCs w:val="24"/>
              </w:rPr>
              <w:t>3.4 Competition</w:t>
            </w:r>
            <w:r>
              <w:rPr>
                <w:rFonts w:ascii="Times New Roman Regular" w:hAnsi="Times New Roman Regular" w:cs="Times New Roman Regular"/>
                <w:color w:val="000000"/>
                <w:sz w:val="24"/>
                <w:szCs w:val="24"/>
              </w:rPr>
              <w:tab/>
            </w:r>
          </w:hyperlink>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6</w:t>
          </w:r>
          <w:r>
            <w:rPr>
              <w:rFonts w:ascii="Times New Roman Regular" w:hAnsi="Times New Roman Regular" w:cs="Times New Roman Regular"/>
              <w:sz w:val="24"/>
              <w:szCs w:val="24"/>
            </w:rPr>
            <w:fldChar w:fldCharType="end"/>
          </w:r>
        </w:p>
        <w:p w14:paraId="18FBB671" w14:textId="77777777" w:rsidR="00DD502E" w:rsidRDefault="00946F3D">
          <w:pPr>
            <w:widowControl w:val="0"/>
            <w:tabs>
              <w:tab w:val="right" w:leader="dot" w:pos="8640"/>
            </w:tabs>
            <w:spacing w:before="60" w:after="0" w:line="360" w:lineRule="auto"/>
            <w:rPr>
              <w:rFonts w:ascii="Times New Roman Regular" w:hAnsi="Times New Roman Regular" w:cs="Times New Roman Regular"/>
              <w:b/>
              <w:color w:val="000000"/>
              <w:sz w:val="24"/>
              <w:szCs w:val="24"/>
            </w:rPr>
          </w:pPr>
          <w:hyperlink>
            <w:r>
              <w:rPr>
                <w:rFonts w:ascii="Times New Roman Regular" w:hAnsi="Times New Roman Regular" w:cs="Times New Roman Regular"/>
                <w:b/>
                <w:color w:val="000000"/>
                <w:sz w:val="24"/>
                <w:szCs w:val="24"/>
              </w:rPr>
              <w:t>4. Strategic Recommendations</w:t>
            </w:r>
            <w:r>
              <w:rPr>
                <w:rFonts w:ascii="Times New Roman Regular" w:hAnsi="Times New Roman Regular" w:cs="Times New Roman Regular"/>
                <w:b/>
                <w:color w:val="000000"/>
                <w:sz w:val="24"/>
                <w:szCs w:val="24"/>
              </w:rPr>
              <w:tab/>
            </w:r>
          </w:hyperlink>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b/>
              <w:sz w:val="24"/>
              <w:szCs w:val="24"/>
            </w:rPr>
            <w:t>7</w:t>
          </w:r>
          <w:r>
            <w:rPr>
              <w:rFonts w:ascii="Times New Roman Regular" w:hAnsi="Times New Roman Regular" w:cs="Times New Roman Regular"/>
              <w:sz w:val="24"/>
              <w:szCs w:val="24"/>
            </w:rPr>
            <w:fldChar w:fldCharType="end"/>
          </w:r>
        </w:p>
        <w:p w14:paraId="0B92BA29" w14:textId="77777777" w:rsidR="00DD502E" w:rsidRDefault="00946F3D">
          <w:pPr>
            <w:widowControl w:val="0"/>
            <w:tabs>
              <w:tab w:val="right" w:leader="dot" w:pos="8640"/>
            </w:tabs>
            <w:spacing w:before="60" w:after="0" w:line="360" w:lineRule="auto"/>
            <w:rPr>
              <w:rFonts w:ascii="Times New Roman Regular" w:hAnsi="Times New Roman Regular" w:cs="Times New Roman Regular"/>
              <w:b/>
              <w:color w:val="000000"/>
              <w:sz w:val="24"/>
              <w:szCs w:val="24"/>
            </w:rPr>
          </w:pPr>
          <w:hyperlink>
            <w:r>
              <w:rPr>
                <w:rFonts w:ascii="Times New Roman Regular" w:hAnsi="Times New Roman Regular" w:cs="Times New Roman Regular"/>
                <w:b/>
                <w:color w:val="000000"/>
                <w:sz w:val="24"/>
                <w:szCs w:val="24"/>
              </w:rPr>
              <w:t>5. Conclusion</w:t>
            </w:r>
            <w:r>
              <w:rPr>
                <w:rFonts w:ascii="Times New Roman Regular" w:hAnsi="Times New Roman Regular" w:cs="Times New Roman Regular"/>
                <w:b/>
                <w:color w:val="000000"/>
                <w:sz w:val="24"/>
                <w:szCs w:val="24"/>
              </w:rPr>
              <w:tab/>
            </w:r>
          </w:hyperlink>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b/>
              <w:sz w:val="24"/>
              <w:szCs w:val="24"/>
            </w:rPr>
            <w:t>8</w:t>
          </w:r>
          <w:r>
            <w:rPr>
              <w:rFonts w:ascii="Times New Roman Regular" w:hAnsi="Times New Roman Regular" w:cs="Times New Roman Regular"/>
              <w:sz w:val="24"/>
              <w:szCs w:val="24"/>
            </w:rPr>
            <w:fldChar w:fldCharType="end"/>
          </w:r>
        </w:p>
        <w:p w14:paraId="16FC77B6" w14:textId="77777777" w:rsidR="00DD502E" w:rsidRDefault="00946F3D">
          <w:pPr>
            <w:widowControl w:val="0"/>
            <w:tabs>
              <w:tab w:val="right" w:leader="dot" w:pos="8640"/>
            </w:tabs>
            <w:spacing w:before="60" w:after="0" w:line="360" w:lineRule="auto"/>
            <w:rPr>
              <w:rFonts w:ascii="Times New Roman Regular" w:hAnsi="Times New Roman Regular" w:cs="Times New Roman Regular"/>
              <w:b/>
              <w:color w:val="000000"/>
              <w:sz w:val="24"/>
              <w:szCs w:val="24"/>
            </w:rPr>
          </w:pPr>
          <w:hyperlink>
            <w:r>
              <w:rPr>
                <w:rFonts w:ascii="Times New Roman Regular" w:hAnsi="Times New Roman Regular" w:cs="Times New Roman Regular"/>
                <w:b/>
                <w:color w:val="000000"/>
                <w:sz w:val="24"/>
                <w:szCs w:val="24"/>
              </w:rPr>
              <w:t>Reference List</w:t>
            </w:r>
            <w:r>
              <w:rPr>
                <w:rFonts w:ascii="Times New Roman Regular" w:hAnsi="Times New Roman Regular" w:cs="Times New Roman Regular"/>
                <w:b/>
                <w:color w:val="000000"/>
                <w:sz w:val="24"/>
                <w:szCs w:val="24"/>
              </w:rPr>
              <w:tab/>
            </w:r>
          </w:hyperlink>
          <w:r>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PAGEREF  \h </w:instrText>
          </w:r>
          <w:r>
            <w:rPr>
              <w:rFonts w:ascii="Times New Roman Regular" w:hAnsi="Times New Roman Regular" w:cs="Times New Roman Regular"/>
              <w:sz w:val="24"/>
              <w:szCs w:val="24"/>
            </w:rPr>
          </w:r>
          <w:r>
            <w:rPr>
              <w:rFonts w:ascii="Times New Roman Regular" w:hAnsi="Times New Roman Regular" w:cs="Times New Roman Regular"/>
              <w:sz w:val="24"/>
              <w:szCs w:val="24"/>
            </w:rPr>
            <w:fldChar w:fldCharType="separate"/>
          </w:r>
          <w:r>
            <w:rPr>
              <w:rFonts w:ascii="Times New Roman Regular" w:hAnsi="Times New Roman Regular" w:cs="Times New Roman Regular"/>
              <w:b/>
              <w:sz w:val="24"/>
              <w:szCs w:val="24"/>
            </w:rPr>
            <w:t>8</w:t>
          </w:r>
          <w:r>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fldChar w:fldCharType="end"/>
          </w:r>
        </w:p>
      </w:sdtContent>
    </w:sdt>
    <w:p w14:paraId="6E893929" w14:textId="77777777" w:rsidR="00DD502E" w:rsidRDefault="00DD502E">
      <w:pPr>
        <w:spacing w:after="220" w:line="360" w:lineRule="auto"/>
        <w:jc w:val="both"/>
        <w:rPr>
          <w:rFonts w:ascii="Times New Roman Regular" w:eastAsia="Times New Roman" w:hAnsi="Times New Roman Regular" w:cs="Times New Roman Regular"/>
          <w:sz w:val="24"/>
          <w:szCs w:val="24"/>
        </w:rPr>
      </w:pPr>
      <w:bookmarkStart w:id="0" w:name="_oarnvyyr97ux" w:colFirst="0" w:colLast="0"/>
      <w:bookmarkEnd w:id="0"/>
    </w:p>
    <w:p w14:paraId="2162D501"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67924B9F"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726BFECE"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341B2231"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0FFB874C"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3F822BC0"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7FD546FA"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3410EA0B"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07EF8031" w14:textId="77777777" w:rsidR="00DD502E" w:rsidRDefault="00DD502E">
      <w:pPr>
        <w:spacing w:after="220" w:line="360" w:lineRule="auto"/>
        <w:jc w:val="center"/>
        <w:rPr>
          <w:rFonts w:ascii="Times New Roman Regular" w:eastAsia="Times New Roman" w:hAnsi="Times New Roman Regular" w:cs="Times New Roman Regular"/>
          <w:sz w:val="24"/>
          <w:szCs w:val="24"/>
        </w:rPr>
      </w:pPr>
    </w:p>
    <w:p w14:paraId="0A158343" w14:textId="77777777" w:rsidR="00DD502E" w:rsidRDefault="00946F3D">
      <w:pPr>
        <w:pStyle w:val="Heading1"/>
        <w:spacing w:before="280" w:after="280" w:line="360" w:lineRule="auto"/>
        <w:jc w:val="center"/>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1. Introduction</w:t>
      </w:r>
    </w:p>
    <w:p w14:paraId="7659624D"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Globalisation is the rising connectivity of national economies via trade, technology, and financial flows, which changes how firms compete and function internationally (OECD, 2023). It gives multinational companies (MNEs) access to new markets, resources, and innovations but also complicated global hazards. Modern corporate globalisation is characterised by digital change, sustainability imperatives, and geopolitical unpredictability, not only free trade and capital mobility. Post-pandemic digitalisation an</w:t>
      </w:r>
      <w:r>
        <w:rPr>
          <w:rFonts w:ascii="Times New Roman Regular" w:eastAsia="Times New Roman" w:hAnsi="Times New Roman Regular" w:cs="Times New Roman Regular"/>
          <w:sz w:val="24"/>
          <w:szCs w:val="24"/>
        </w:rPr>
        <w:t>d interconnection have increased uncertainty due to supply chain disruptions, changing trade alliances, and the pressing need for transparent sustainability reporting (Mikalef, Krogstie &amp; Pappas, 2021). Unilever plc, a UK-based multinational consumer products corporation, illustrates how global pressures drive international strategy. Unilever is a noteworthy case study because to its size and dedication to ethical and sustainable business practices, with operations in over 190 countries and more than 400 br</w:t>
      </w:r>
      <w:r>
        <w:rPr>
          <w:rFonts w:ascii="Times New Roman Regular" w:eastAsia="Times New Roman" w:hAnsi="Times New Roman Regular" w:cs="Times New Roman Regular"/>
          <w:sz w:val="24"/>
          <w:szCs w:val="24"/>
        </w:rPr>
        <w:t>ands including Dove, Knorr, and Ben &amp; Jerry's</w:t>
      </w:r>
      <w:r>
        <w:rPr>
          <w:rFonts w:ascii="Times New Roman Regular" w:eastAsia="Times New Roman" w:hAnsi="Times New Roman Regular" w:cs="Times New Roman Regular"/>
          <w:sz w:val="24"/>
          <w:szCs w:val="24"/>
          <w:lang w:val="en-US"/>
        </w:rPr>
        <w:t xml:space="preserve"> </w:t>
      </w:r>
      <w:r>
        <w:rPr>
          <w:rFonts w:ascii="Times New Roman Regular" w:eastAsia="Times New Roman" w:hAnsi="Times New Roman Regular" w:cs="Times New Roman Regular"/>
          <w:sz w:val="24"/>
          <w:szCs w:val="24"/>
          <w:lang w:val="en-US" w:eastAsia="zh-CN"/>
        </w:rPr>
        <w:t>(Unilever PLC, 2024)</w:t>
      </w:r>
      <w:r>
        <w:rPr>
          <w:rFonts w:ascii="Times New Roman Regular" w:eastAsia="Times New Roman" w:hAnsi="Times New Roman Regular" w:cs="Times New Roman Regular"/>
          <w:sz w:val="24"/>
          <w:szCs w:val="24"/>
        </w:rPr>
        <w:t>. The firm’s vast global supply chain, digital transformation initiatives, and adherence to environmental, social, and governance (ESG) principles position it at the intersection of current global business challenges and opportunities. This essay critically analyses the influence of three major forces, artificial intelligence (AI) adoption, geopolitical disruptions, and European Union (EU) sustainability regulations, on Unilever’s competitiveness, innovation, and global strategy. The report concludes with s</w:t>
      </w:r>
      <w:r>
        <w:rPr>
          <w:rFonts w:ascii="Times New Roman Regular" w:eastAsia="Times New Roman" w:hAnsi="Times New Roman Regular" w:cs="Times New Roman Regular"/>
          <w:sz w:val="24"/>
          <w:szCs w:val="24"/>
        </w:rPr>
        <w:t>trategic suggestions for Unilever's long-term resilience and development.</w:t>
      </w:r>
    </w:p>
    <w:p w14:paraId="5E1D1051" w14:textId="77777777" w:rsidR="00DD502E" w:rsidRDefault="00946F3D">
      <w:pPr>
        <w:pStyle w:val="Heading1"/>
        <w:spacing w:before="280" w:after="280" w:line="360" w:lineRule="auto"/>
        <w:jc w:val="center"/>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2. Opportunities and Challenges</w:t>
      </w:r>
    </w:p>
    <w:p w14:paraId="1C07E64B" w14:textId="77777777" w:rsidR="00DD502E" w:rsidRDefault="00946F3D">
      <w:pPr>
        <w:pStyle w:val="Heading2"/>
        <w:spacing w:before="280" w:after="280" w:line="360" w:lineRule="auto"/>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2.1 Artificial Intelligence (AI)</w:t>
      </w:r>
    </w:p>
    <w:p w14:paraId="761A902D"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Artificial intelligence (AI) is changing how MNEs optimise operations and create value. AI can boost Unilever's productivity, innovation, and customer service. Automation, algorithmic modelling, and predictive analytics may improve production, inventories, and logistics. AI has increased productivity by 20% in certain companies (Goswami, Mehta and Iyer, 2024). The “Digital Voice of Consumer” initiative at Unilever uses real-time social-media data to discover consumer preferences, allowing rapid product crea</w:t>
      </w:r>
      <w:r>
        <w:rPr>
          <w:rFonts w:ascii="Times New Roman Regular" w:eastAsia="Times New Roman" w:hAnsi="Times New Roman Regular" w:cs="Times New Roman Regular"/>
          <w:sz w:val="24"/>
          <w:szCs w:val="24"/>
        </w:rPr>
        <w:t>tion and targeted marketing (Mikalef, Krogstie and Pappas, 2021). By testing sustainable formulations using machine-learning simulations, AI accelerates the firm's Clean Future plan to reduce chemical waste and environmental effect.</w:t>
      </w:r>
    </w:p>
    <w:p w14:paraId="741A12BE"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However, AI adoption presents problems. Ethics and governance issues include algorithmic bias, opaque decision-making, and data-privacy hazards may damage stakeholder confidence (Winfield and Jirotka, 2020). To preserve trust, Unilever must comply with the General Data Protection Regulation (GDPR) since its digital-marketing systems handle personal data. The corporation cannot expand innovation evenly across markets due to a worldwide AI skills gap (OECD, 2023). Investment in responsible-AI frameworks and i</w:t>
      </w:r>
      <w:r>
        <w:rPr>
          <w:rFonts w:ascii="Times New Roman Regular" w:eastAsia="Times New Roman" w:hAnsi="Times New Roman Regular" w:cs="Times New Roman Regular"/>
          <w:sz w:val="24"/>
          <w:szCs w:val="24"/>
        </w:rPr>
        <w:t>nternal digital literacy are essential to turning technology adoption into sustainable competitive advantage.</w:t>
      </w:r>
    </w:p>
    <w:p w14:paraId="274E01BB" w14:textId="77777777" w:rsidR="00DD502E" w:rsidRDefault="00946F3D">
      <w:pPr>
        <w:pStyle w:val="Heading2"/>
        <w:spacing w:before="280" w:after="280" w:line="360" w:lineRule="auto"/>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2.2 Geopolitical Tensions</w:t>
      </w:r>
    </w:p>
    <w:p w14:paraId="76A51C67"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lang w:val="en-US"/>
        </w:rPr>
      </w:pPr>
      <w:r>
        <w:rPr>
          <w:rFonts w:ascii="Times New Roman Regular" w:eastAsia="Times New Roman" w:hAnsi="Times New Roman Regular" w:cs="Times New Roman Regular"/>
          <w:sz w:val="24"/>
          <w:szCs w:val="24"/>
        </w:rPr>
        <w:t>Geopolitical tensions include Red Sea corridor interruptions, Brexit trade volatility, and China-Taiwan relations uncertainty affect Unilever's worldwide network. These factors provide possibilities and restrictions. Regional diversity offers an opportunity. Unilever uses “multi-local” sourcing to locate production hubs near consuming areas due to supply-chain fragmentation. This minimises mobility dependence and boosts resilience. New trade agreements, such as the UK's with India and ASEAN, allow Unilever'</w:t>
      </w:r>
      <w:r>
        <w:rPr>
          <w:rFonts w:ascii="Times New Roman Regular" w:eastAsia="Times New Roman" w:hAnsi="Times New Roman Regular" w:cs="Times New Roman Regular"/>
          <w:sz w:val="24"/>
          <w:szCs w:val="24"/>
        </w:rPr>
        <w:t>s mass-market brands to develop fast in high-growth consumer regions. These activities support the firm's localisation strategy, boosting flexibility and scalability</w:t>
      </w:r>
      <w:r>
        <w:rPr>
          <w:rFonts w:ascii="Times New Roman Regular" w:eastAsia="Times New Roman" w:hAnsi="Times New Roman Regular" w:cs="Times New Roman Regular"/>
          <w:sz w:val="24"/>
          <w:szCs w:val="24"/>
          <w:lang w:val="en-US"/>
        </w:rPr>
        <w:t xml:space="preserve"> </w:t>
      </w:r>
      <w:r>
        <w:rPr>
          <w:rFonts w:ascii="Times New Roman Regular" w:eastAsia="Times New Roman" w:hAnsi="Times New Roman Regular" w:cs="Times New Roman Regular"/>
          <w:sz w:val="24"/>
          <w:szCs w:val="24"/>
          <w:lang w:val="en-US" w:eastAsia="zh-CN"/>
        </w:rPr>
        <w:t>(Unilever PLC, 2023).</w:t>
      </w:r>
    </w:p>
    <w:p w14:paraId="373F8179"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lang w:val="en-US"/>
        </w:rPr>
      </w:pPr>
      <w:r>
        <w:rPr>
          <w:rFonts w:ascii="Times New Roman Regular" w:eastAsia="Times New Roman" w:hAnsi="Times New Roman Regular" w:cs="Times New Roman Regular"/>
          <w:sz w:val="24"/>
          <w:szCs w:val="24"/>
        </w:rPr>
        <w:t>However, global volatility poses severe problems. Conflicts and sanctions increase energy and logistical costs, shipping delays, and supply bottlenecks. The OECD (2023) cautions that “geo-economic fragmentation” threatens global value chains, forcing businesses to rethink sourcing. Rising inflation and exchange-rate volatility cut profitability. FullScope Insights (2024) reports that Asia-Middle East tensions have risen consumer-goods corporations' raw-material prices, requiring pricing changes and contract</w:t>
      </w:r>
      <w:r>
        <w:rPr>
          <w:rFonts w:ascii="Times New Roman Regular" w:eastAsia="Times New Roman" w:hAnsi="Times New Roman Regular" w:cs="Times New Roman Regular"/>
          <w:sz w:val="24"/>
          <w:szCs w:val="24"/>
        </w:rPr>
        <w:t>ual renegotiations. In addition, reputational risk comes with geopolitics. In politically sensitive areas, Unilever may face criticism or boycotts that contradict its ethical brand image. For a sustainable, fair corporation, affiliation with contentious governments might damage stakeholder trust. Managing these challenges demands subtle diplomacy and comprehensive supplier ESG screening to maintain corporate principles</w:t>
      </w:r>
      <w:r>
        <w:rPr>
          <w:rFonts w:ascii="Times New Roman Regular" w:eastAsia="Times New Roman" w:hAnsi="Times New Roman Regular" w:cs="Times New Roman Regular"/>
          <w:sz w:val="24"/>
          <w:szCs w:val="24"/>
          <w:lang w:val="en-US"/>
        </w:rPr>
        <w:t xml:space="preserve"> </w:t>
      </w:r>
      <w:r>
        <w:rPr>
          <w:rFonts w:ascii="Times New Roman Regular" w:eastAsia="Times New Roman" w:hAnsi="Times New Roman Regular" w:cs="Times New Roman Regular"/>
          <w:sz w:val="24"/>
          <w:szCs w:val="24"/>
          <w:lang w:val="en-US" w:eastAsia="zh-CN"/>
        </w:rPr>
        <w:t>(Unilever PLC, 2024).</w:t>
      </w:r>
    </w:p>
    <w:p w14:paraId="1A56C192" w14:textId="77777777" w:rsidR="00DD502E" w:rsidRDefault="00946F3D">
      <w:pPr>
        <w:pStyle w:val="Heading2"/>
        <w:spacing w:before="280" w:after="280" w:line="360" w:lineRule="auto"/>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2.3 Sustainability Regulations (EU CSRD)</w:t>
      </w:r>
    </w:p>
    <w:p w14:paraId="0D4CC3E0"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The introduction of the European Union’s Corporate Sustainability Reporting Directive (CSRD) is reshaping global expectations of corporate transparency. Disclosure under twofold materiality requires enterprises to examine commercial implications on society and environmental hazards (CyberPeace Institute, 2024). For Unilever, this evolving framework presents clear opportunities. CSRD alignment strengthens the company's leadership in sustainability, its Sustainable Living Plan predates most rivals. Transparen</w:t>
      </w:r>
      <w:r>
        <w:rPr>
          <w:rFonts w:ascii="Times New Roman Regular" w:eastAsia="Times New Roman" w:hAnsi="Times New Roman Regular" w:cs="Times New Roman Regular"/>
          <w:sz w:val="24"/>
          <w:szCs w:val="24"/>
        </w:rPr>
        <w:t xml:space="preserve">t ESG performers have greater values and reduced capital costs (S&amp;P Global, 2024). Early compliance shows proactive environmental care, boosting reputation. </w:t>
      </w:r>
    </w:p>
    <w:p w14:paraId="550326F0"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Compliance also presents significant issues. Data gathering, digital monitoring, and third-party verification across a large supplier base are needed for CSRD reporting (BDO, 2024). Gathering emissions, resource-use, and labour metrics from thousands of sites is administratively difficult. Additionally, uneven enforcement across jurisdictions may affect competitiveness. The Institutional Investors Group on Climate Change (IIGCC, 2024) cautions that decreasing EU rules might punish corporations with strict r</w:t>
      </w:r>
      <w:r>
        <w:rPr>
          <w:rFonts w:ascii="Times New Roman Regular" w:eastAsia="Times New Roman" w:hAnsi="Times New Roman Regular" w:cs="Times New Roman Regular"/>
          <w:sz w:val="24"/>
          <w:szCs w:val="24"/>
        </w:rPr>
        <w:t>eporting relative to those in less regulated markets.  Adaptation timelines further complicate planning. Despite an extension to 2027 (Fintech Global, 2025), Unilever must invest early in integrated sustainability-data systems and training to prepare. The company must balance compliance costs with long-term strategic rewards to ensure openness leads to performance improvement rather than bureaucratic reporting.</w:t>
      </w:r>
    </w:p>
    <w:p w14:paraId="74F9B8B9" w14:textId="77777777" w:rsidR="00DD502E" w:rsidRDefault="00946F3D">
      <w:pPr>
        <w:pStyle w:val="Heading1"/>
        <w:numPr>
          <w:ilvl w:val="0"/>
          <w:numId w:val="1"/>
        </w:numPr>
        <w:spacing w:before="280" w:after="280" w:line="360" w:lineRule="auto"/>
        <w:jc w:val="center"/>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Impact on Unilever’s Strategy and Competitiveness</w:t>
      </w:r>
    </w:p>
    <w:p w14:paraId="2B3094DC" w14:textId="77777777" w:rsidR="00DD502E" w:rsidRDefault="00946F3D">
      <w:pPr>
        <w:pStyle w:val="Heading2"/>
        <w:spacing w:before="280" w:after="280" w:line="360" w:lineRule="auto"/>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3.1 Market Positioning</w:t>
      </w:r>
    </w:p>
    <w:p w14:paraId="01CB74F2"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Artificial intelligence (AI) has significantly enhanced Unilever’s ability to refine its market positioning within the fast-moving consumer goods (FMCG) sector. AI algorithms analyse consumer data at scale to reveal geographical preferences, cultural differences, and buying habits. This allows hyper-localized marketing campaigns and bespoke products that appeal to varied consumers. The company's “Digital Voice of Consumer” technology combines sentiment analysis and social listening to determine changing cus</w:t>
      </w:r>
      <w:r>
        <w:rPr>
          <w:rFonts w:ascii="Times New Roman Regular" w:eastAsia="Times New Roman" w:hAnsi="Times New Roman Regular" w:cs="Times New Roman Regular"/>
          <w:sz w:val="24"/>
          <w:szCs w:val="24"/>
        </w:rPr>
        <w:t>tomer expectations in real time, allowing quick marketing message and formulation adaption (Mikalef, Krogstie and Pappas, 2021). This data-driven marketing skill helps Unilever compete in a tight-margin, high-brand-substitution environment. Regulatory openness under the Corporate Sustainability Reporting Directive (CSRD) boosts Unilever's brand reputation among ethical customers. Transparent sustainability disclosures build trust and correspond with the ideals of a rising ESG-focused customer base (S&amp;P Glob</w:t>
      </w:r>
      <w:r>
        <w:rPr>
          <w:rFonts w:ascii="Times New Roman Regular" w:eastAsia="Times New Roman" w:hAnsi="Times New Roman Regular" w:cs="Times New Roman Regular"/>
          <w:sz w:val="24"/>
          <w:szCs w:val="24"/>
        </w:rPr>
        <w:t>al, 2024). Thus, technical agility and sustainability compliance strengthen Unilever's premium market position as a responsible global leader.</w:t>
      </w:r>
    </w:p>
    <w:p w14:paraId="75522427" w14:textId="77777777" w:rsidR="00DD502E" w:rsidRDefault="00946F3D">
      <w:pPr>
        <w:pStyle w:val="Heading2"/>
        <w:spacing w:before="280" w:after="280" w:line="360" w:lineRule="auto"/>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3.2 Innovation and R&amp;D (Research and Development)</w:t>
      </w:r>
    </w:p>
    <w:p w14:paraId="6B41EDDE"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Unilever's R&amp;D has also changed due to AI and big data. Machine-learning techniques anticipate customer reactions to product variants and simulate novel formulas, speeding up research. The corporation can expand innovation more effectively and assist its Clean Future mission to remove fossil-fuel-derived chemicals from cleaning products. Using predictive analytics in its innovation pipeline, Unilever can save costs and development time while fulfilling sustainability goals. As algorithmic decision-making be</w:t>
      </w:r>
      <w:r>
        <w:rPr>
          <w:rFonts w:ascii="Times New Roman Regular" w:eastAsia="Times New Roman" w:hAnsi="Times New Roman Regular" w:cs="Times New Roman Regular"/>
          <w:sz w:val="24"/>
          <w:szCs w:val="24"/>
        </w:rPr>
        <w:t>comes more common, ethical and governance issues arise</w:t>
      </w:r>
      <w:r>
        <w:rPr>
          <w:rFonts w:ascii="Times New Roman Regular" w:eastAsia="Times New Roman" w:hAnsi="Times New Roman Regular" w:cs="Times New Roman Regular"/>
          <w:sz w:val="24"/>
          <w:szCs w:val="24"/>
          <w:lang w:val="en-US"/>
        </w:rPr>
        <w:t xml:space="preserve"> </w:t>
      </w:r>
      <w:r>
        <w:rPr>
          <w:rFonts w:ascii="Times New Roman Regular" w:eastAsia="Times New Roman" w:hAnsi="Times New Roman Regular" w:cs="Times New Roman Regular"/>
          <w:sz w:val="24"/>
          <w:szCs w:val="24"/>
          <w:lang w:val="en-US" w:eastAsia="zh-CN"/>
        </w:rPr>
        <w:t>(Unilever PLC, 2024)</w:t>
      </w:r>
      <w:r>
        <w:rPr>
          <w:rFonts w:ascii="Times New Roman Regular" w:eastAsia="Times New Roman" w:hAnsi="Times New Roman Regular" w:cs="Times New Roman Regular"/>
          <w:sz w:val="24"/>
          <w:szCs w:val="24"/>
        </w:rPr>
        <w:t>. Unregulated AI usage risks data bias, opaque decision processes, and customer distrust, according to Winfield and Jirotka (2020). Thus, Unilever must combine innovation efficiency with ethical responsibility and openness in algorithmic design and monitoring. Failure to address these challenges might damage brand trust and prompt regulatory attention, eroding AI's competitive benefits.</w:t>
      </w:r>
    </w:p>
    <w:p w14:paraId="5B4F5E99" w14:textId="77777777" w:rsidR="00DD502E" w:rsidRDefault="00946F3D">
      <w:pPr>
        <w:pStyle w:val="Heading2"/>
        <w:spacing w:before="280" w:after="280" w:line="360" w:lineRule="auto"/>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3.3 Talent Management</w:t>
      </w:r>
    </w:p>
    <w:p w14:paraId="0EED04A7"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Further strategic implications include workforce change. The OECD (2023) notes a worldwide scarcity of AI-competent individuals and sustainability specialists, which hinders enterprises' use of modern technology. Strategic adaptation for Unilever requires recruiting and upskilling in data analytics, sustainable accounting, and risk management. The corporation invests in digital academies and leadership courses to develop technical and ethical skills. According to Mikalef et al. (2021), organisations that co</w:t>
      </w:r>
      <w:r>
        <w:rPr>
          <w:rFonts w:ascii="Times New Roman Regular" w:eastAsia="Times New Roman" w:hAnsi="Times New Roman Regular" w:cs="Times New Roman Regular"/>
          <w:sz w:val="24"/>
          <w:szCs w:val="24"/>
        </w:rPr>
        <w:t>mbine technological proficiency with responsible governance outperform rivals in innovation and long-term adaptation. Unilever improves operational efficiency and produces a workforce that can maintain competitive advantage in a volatile global context by integrating digital literacy and ESG awareness into its human-capital strategy. Technological and human capital alignment helps the company manage complexity across its globally dispersed activities.</w:t>
      </w:r>
    </w:p>
    <w:p w14:paraId="35D831D1" w14:textId="77777777" w:rsidR="00DD502E" w:rsidRDefault="00946F3D">
      <w:pPr>
        <w:pStyle w:val="Heading2"/>
        <w:spacing w:before="280" w:after="280" w:line="360" w:lineRule="auto"/>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3.4 Competition</w:t>
      </w:r>
    </w:p>
    <w:p w14:paraId="41FBECC7"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lang w:val="en-US"/>
        </w:rPr>
      </w:pPr>
      <w:r>
        <w:rPr>
          <w:rFonts w:ascii="Times New Roman Regular" w:eastAsia="Times New Roman" w:hAnsi="Times New Roman Regular" w:cs="Times New Roman Regular"/>
          <w:sz w:val="24"/>
          <w:szCs w:val="24"/>
        </w:rPr>
        <w:t>AI, geopolitics, and sustainability affect Unilever's competitiveness in many ways. Sustainability and transparency measures boost stakeholder legitimacy, investor trust, and brand loyalty. The CSRD strengthens Unilever's public accountability and sustainable leadership (CyberPeace Institute, 2024). Compliance's financial and administrative overhead might temporarily reduce corporate margins (BDO, 2024). Geopolitical diversity reduces regional disruptions, while AI-driven supply-chain knowledge optimises ri</w:t>
      </w:r>
      <w:r>
        <w:rPr>
          <w:rFonts w:ascii="Times New Roman Regular" w:eastAsia="Times New Roman" w:hAnsi="Times New Roman Regular" w:cs="Times New Roman Regular"/>
          <w:sz w:val="24"/>
          <w:szCs w:val="24"/>
        </w:rPr>
        <w:t>sk detection and resource allocation. These changes promote long-term stability but need ongoing digital infrastructure and data governance investment. Management continues to struggle with the conflict between standardising for operational efficiency and localisation for market resiliency. Unilever must strike the appropriate mix to sustain scale benefits without sacrificing flexibility</w:t>
      </w:r>
      <w:r>
        <w:rPr>
          <w:rFonts w:ascii="Times New Roman Regular" w:eastAsia="Times New Roman" w:hAnsi="Times New Roman Regular" w:cs="Times New Roman Regular"/>
          <w:sz w:val="24"/>
          <w:szCs w:val="24"/>
          <w:lang w:val="en-US"/>
        </w:rPr>
        <w:t xml:space="preserve"> </w:t>
      </w:r>
      <w:r>
        <w:rPr>
          <w:rFonts w:ascii="Times New Roman Regular" w:eastAsia="Times New Roman" w:hAnsi="Times New Roman Regular" w:cs="Times New Roman Regular"/>
          <w:sz w:val="24"/>
          <w:szCs w:val="24"/>
          <w:lang w:val="en-US" w:eastAsia="zh-CN"/>
        </w:rPr>
        <w:t>(Unilever PLC, 2024).</w:t>
      </w:r>
    </w:p>
    <w:p w14:paraId="78B75D90" w14:textId="77777777" w:rsidR="00DD502E" w:rsidRDefault="00946F3D">
      <w:pPr>
        <w:pStyle w:val="Heading1"/>
        <w:spacing w:before="280" w:after="280" w:line="360" w:lineRule="auto"/>
        <w:jc w:val="center"/>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4. Strategic Recommendations</w:t>
      </w:r>
    </w:p>
    <w:p w14:paraId="2D8D6443"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Unilever must implement an integrated plan to improve ethical governance, operational resilience, and sustainability leadership in light of the challenges and possibilities outlined.</w:t>
      </w:r>
    </w:p>
    <w:p w14:paraId="244C1710" w14:textId="77777777" w:rsidR="00DD502E" w:rsidRDefault="00946F3D">
      <w:pPr>
        <w:spacing w:after="220" w:line="360" w:lineRule="auto"/>
        <w:jc w:val="both"/>
        <w:rPr>
          <w:rFonts w:ascii="Times New Roman Regular" w:eastAsia="Times New Roman" w:hAnsi="Times New Roman Regular" w:cs="Times New Roman Regular"/>
          <w:b/>
          <w:sz w:val="24"/>
          <w:szCs w:val="24"/>
        </w:rPr>
      </w:pPr>
      <w:r>
        <w:rPr>
          <w:rFonts w:ascii="Times New Roman Regular" w:eastAsia="Times New Roman" w:hAnsi="Times New Roman Regular" w:cs="Times New Roman Regular"/>
          <w:b/>
          <w:sz w:val="24"/>
          <w:szCs w:val="24"/>
        </w:rPr>
        <w:t>Recommendation 1: Strengthen AI Governance and Ethical Oversight</w:t>
      </w:r>
    </w:p>
    <w:p w14:paraId="161D878C"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Unilever should create a Responsible AI Charter that promotes justice, openness, and inclusion in algorithmic design and data use (Winfield and Jirotka, 2020). Internal audits and ethics boards assure privacy compliance and responsibility. Collaboration with academic and business consortia like the OECD AI Observatory may help companies benchmark and share information to meet evolving international standards (OECD, 2023).</w:t>
      </w:r>
    </w:p>
    <w:p w14:paraId="05E5CB52" w14:textId="77777777" w:rsidR="00DD502E" w:rsidRDefault="00946F3D">
      <w:pPr>
        <w:spacing w:after="220" w:line="360" w:lineRule="auto"/>
        <w:jc w:val="both"/>
        <w:rPr>
          <w:rFonts w:ascii="Times New Roman Regular" w:eastAsia="Times New Roman" w:hAnsi="Times New Roman Regular" w:cs="Times New Roman Regular"/>
          <w:b/>
          <w:sz w:val="24"/>
          <w:szCs w:val="24"/>
        </w:rPr>
      </w:pPr>
      <w:r>
        <w:rPr>
          <w:rFonts w:ascii="Times New Roman Regular" w:eastAsia="Times New Roman" w:hAnsi="Times New Roman Regular" w:cs="Times New Roman Regular"/>
          <w:b/>
          <w:sz w:val="24"/>
          <w:szCs w:val="24"/>
        </w:rPr>
        <w:t>Recommendation 2: Enhance Supply Chain Resilience</w:t>
      </w:r>
    </w:p>
    <w:p w14:paraId="5BB5CAE0"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Unilever could use AI-enabled risk mapping tools to predict supply-chain disruptions in real time during geopolitical instability (Goswami, Mehta and Iyer, 2024). Diversifying sourcing to South Asia and Eastern Europe reduces vulnerability to Red Sea and East Asian trade channels. The multi-local strategy would increase flexibility and cost efficiency.</w:t>
      </w:r>
    </w:p>
    <w:p w14:paraId="6834D527" w14:textId="77777777" w:rsidR="00DD502E" w:rsidRDefault="00946F3D">
      <w:pPr>
        <w:spacing w:after="220" w:line="360" w:lineRule="auto"/>
        <w:jc w:val="both"/>
        <w:rPr>
          <w:rFonts w:ascii="Times New Roman Regular" w:eastAsia="Times New Roman" w:hAnsi="Times New Roman Regular" w:cs="Times New Roman Regular"/>
          <w:b/>
          <w:sz w:val="24"/>
          <w:szCs w:val="24"/>
        </w:rPr>
      </w:pPr>
      <w:r>
        <w:rPr>
          <w:rFonts w:ascii="Times New Roman Regular" w:eastAsia="Times New Roman" w:hAnsi="Times New Roman Regular" w:cs="Times New Roman Regular"/>
          <w:b/>
          <w:sz w:val="24"/>
          <w:szCs w:val="24"/>
        </w:rPr>
        <w:t>Recommendation 3: Leverage Sustainability as a Competitive Advantage</w:t>
      </w:r>
    </w:p>
    <w:p w14:paraId="4DE23AF1"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Unilever could use sustainability disclosures as a competitive advantage rather than just a legislative requirement. Openly sharing high-quality ESG indicators may boost brand trust and attract sustainability-focused investors (S&amp;P Global, 2024). Sustainability KPIs in CEO performance assessments would reinforce responsibility and long-term thinking (BDO, 2024).</w:t>
      </w:r>
    </w:p>
    <w:p w14:paraId="7AFC2077" w14:textId="77777777" w:rsidR="00DD502E" w:rsidRDefault="00946F3D">
      <w:pPr>
        <w:spacing w:after="220" w:line="360" w:lineRule="auto"/>
        <w:jc w:val="both"/>
        <w:rPr>
          <w:rFonts w:ascii="Times New Roman Regular" w:eastAsia="Times New Roman" w:hAnsi="Times New Roman Regular" w:cs="Times New Roman Regular"/>
          <w:b/>
          <w:sz w:val="24"/>
          <w:szCs w:val="24"/>
        </w:rPr>
      </w:pPr>
      <w:r>
        <w:rPr>
          <w:rFonts w:ascii="Times New Roman Regular" w:eastAsia="Times New Roman" w:hAnsi="Times New Roman Regular" w:cs="Times New Roman Regular"/>
          <w:b/>
          <w:sz w:val="24"/>
          <w:szCs w:val="24"/>
        </w:rPr>
        <w:t>Recommendation 4: Invest in Talent and Cross-Functional Capability Building</w:t>
      </w:r>
    </w:p>
    <w:p w14:paraId="35766B2B"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Internal AI academies and sustainability training may improve digital skills and promote responsible innovation. University and research partnerships should advance ethical AI design, data analytics, and green innovation to create a workforce that can drive Unilever's global transformation goal.</w:t>
      </w:r>
    </w:p>
    <w:p w14:paraId="1AFA26B7" w14:textId="77777777" w:rsidR="00DD502E" w:rsidRDefault="00946F3D">
      <w:pPr>
        <w:pStyle w:val="Heading1"/>
        <w:spacing w:before="280" w:after="280" w:line="360" w:lineRule="auto"/>
        <w:jc w:val="center"/>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5. Conclusion</w:t>
      </w:r>
    </w:p>
    <w:p w14:paraId="09AC0902" w14:textId="77777777" w:rsidR="00DD502E" w:rsidRDefault="00946F3D">
      <w:pPr>
        <w:spacing w:after="220" w:line="360" w:lineRule="auto"/>
        <w:ind w:firstLine="720"/>
        <w:jc w:val="both"/>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In conclusion, volatility, fast digitisation, and sustainability consciousness describe globalisation today. These changes face Unilever with strategic and operational challenges. AI boosts efficiency and creativity, while geopolitical diversity strengthens resilience in unpredictable times. EU Corporate Sustainability Reporting Directive (CSRD) compliance boosts transparency, investor trust, and brand validity. These prospects are limited by ethical governance, compliance expenses, and competence limitatio</w:t>
      </w:r>
      <w:r>
        <w:rPr>
          <w:rFonts w:ascii="Times New Roman Regular" w:eastAsia="Times New Roman" w:hAnsi="Times New Roman Regular" w:cs="Times New Roman Regular"/>
          <w:sz w:val="24"/>
          <w:szCs w:val="24"/>
        </w:rPr>
        <w:t>ns. Unilever must promote responsible AI, supply-chain agility, and sustainability to succeed. The technologically savvy, ethically regulated, and sustainability-driven multinational may maintain its leadership by proactively adjusting to these global dynamics. Maintaining long-term competitiveness and global relevance requires understanding and adapting strategically to the changing global business environment.</w:t>
      </w:r>
    </w:p>
    <w:p w14:paraId="27E252FE" w14:textId="77777777" w:rsidR="00DD502E" w:rsidRDefault="00DD502E">
      <w:pPr>
        <w:spacing w:after="220" w:line="360" w:lineRule="auto"/>
        <w:ind w:firstLine="720"/>
        <w:jc w:val="both"/>
        <w:rPr>
          <w:rFonts w:ascii="Times New Roman Regular" w:eastAsia="Times New Roman" w:hAnsi="Times New Roman Regular" w:cs="Times New Roman Regular"/>
          <w:sz w:val="24"/>
          <w:szCs w:val="24"/>
        </w:rPr>
      </w:pPr>
    </w:p>
    <w:p w14:paraId="309695C5" w14:textId="77777777" w:rsidR="00DD502E" w:rsidRDefault="00DD502E">
      <w:pPr>
        <w:spacing w:after="220" w:line="360" w:lineRule="auto"/>
        <w:ind w:firstLine="720"/>
        <w:jc w:val="both"/>
        <w:rPr>
          <w:rFonts w:ascii="Times New Roman Regular" w:eastAsia="Times New Roman" w:hAnsi="Times New Roman Regular" w:cs="Times New Roman Regular"/>
          <w:sz w:val="24"/>
          <w:szCs w:val="24"/>
        </w:rPr>
      </w:pPr>
    </w:p>
    <w:p w14:paraId="1BFC6296" w14:textId="77777777" w:rsidR="00DD502E" w:rsidRDefault="00DD502E">
      <w:pPr>
        <w:spacing w:after="220" w:line="360" w:lineRule="auto"/>
        <w:ind w:firstLine="720"/>
        <w:jc w:val="both"/>
        <w:rPr>
          <w:rFonts w:ascii="Times New Roman Regular" w:eastAsia="Times New Roman" w:hAnsi="Times New Roman Regular" w:cs="Times New Roman Regular"/>
          <w:sz w:val="24"/>
          <w:szCs w:val="24"/>
        </w:rPr>
      </w:pPr>
    </w:p>
    <w:p w14:paraId="3C5EDAED" w14:textId="77777777" w:rsidR="00DD502E" w:rsidRDefault="00DD502E">
      <w:pPr>
        <w:spacing w:after="220" w:line="360" w:lineRule="auto"/>
        <w:ind w:firstLine="720"/>
        <w:jc w:val="both"/>
        <w:rPr>
          <w:rFonts w:ascii="Times New Roman Regular" w:eastAsia="Times New Roman" w:hAnsi="Times New Roman Regular" w:cs="Times New Roman Regular"/>
          <w:sz w:val="24"/>
          <w:szCs w:val="24"/>
        </w:rPr>
      </w:pPr>
    </w:p>
    <w:p w14:paraId="1E01860C" w14:textId="77777777" w:rsidR="00DD502E" w:rsidRDefault="00DD502E">
      <w:pPr>
        <w:spacing w:after="220" w:line="360" w:lineRule="auto"/>
        <w:ind w:firstLine="720"/>
        <w:jc w:val="both"/>
        <w:rPr>
          <w:rFonts w:ascii="Times New Roman Regular" w:eastAsia="Times New Roman" w:hAnsi="Times New Roman Regular" w:cs="Times New Roman Regular"/>
          <w:sz w:val="24"/>
          <w:szCs w:val="24"/>
        </w:rPr>
      </w:pPr>
    </w:p>
    <w:p w14:paraId="3B804CEE" w14:textId="77777777" w:rsidR="00DD502E" w:rsidRDefault="00DD502E">
      <w:pPr>
        <w:spacing w:after="220" w:line="360" w:lineRule="auto"/>
        <w:ind w:firstLine="720"/>
        <w:jc w:val="both"/>
        <w:rPr>
          <w:rFonts w:ascii="Times New Roman Regular" w:eastAsia="Times New Roman" w:hAnsi="Times New Roman Regular" w:cs="Times New Roman Regular"/>
          <w:sz w:val="24"/>
          <w:szCs w:val="24"/>
        </w:rPr>
      </w:pPr>
    </w:p>
    <w:p w14:paraId="441426BE" w14:textId="77777777" w:rsidR="00DD502E" w:rsidRDefault="00DD502E">
      <w:pPr>
        <w:spacing w:after="220" w:line="360" w:lineRule="auto"/>
        <w:ind w:firstLine="720"/>
        <w:jc w:val="both"/>
        <w:rPr>
          <w:rFonts w:ascii="Times New Roman Regular" w:eastAsia="Times New Roman" w:hAnsi="Times New Roman Regular" w:cs="Times New Roman Regular"/>
          <w:sz w:val="24"/>
          <w:szCs w:val="24"/>
        </w:rPr>
      </w:pPr>
    </w:p>
    <w:p w14:paraId="541F3086" w14:textId="77777777" w:rsidR="00DD502E" w:rsidRDefault="00DD502E">
      <w:pPr>
        <w:spacing w:after="220" w:line="360" w:lineRule="auto"/>
        <w:ind w:firstLine="720"/>
        <w:jc w:val="both"/>
        <w:rPr>
          <w:rFonts w:ascii="Times New Roman Regular" w:eastAsia="Times New Roman" w:hAnsi="Times New Roman Regular" w:cs="Times New Roman Regular"/>
          <w:sz w:val="24"/>
          <w:szCs w:val="24"/>
        </w:rPr>
      </w:pPr>
    </w:p>
    <w:p w14:paraId="4B9554ED" w14:textId="77777777" w:rsidR="00DD502E" w:rsidRDefault="00DD502E">
      <w:pPr>
        <w:spacing w:after="220" w:line="360" w:lineRule="auto"/>
        <w:ind w:firstLine="720"/>
        <w:jc w:val="both"/>
        <w:rPr>
          <w:rFonts w:ascii="Times New Roman Regular" w:eastAsia="Times New Roman" w:hAnsi="Times New Roman Regular" w:cs="Times New Roman Regular"/>
          <w:sz w:val="24"/>
          <w:szCs w:val="24"/>
        </w:rPr>
      </w:pPr>
    </w:p>
    <w:p w14:paraId="3AE7F68B" w14:textId="77777777" w:rsidR="00DD502E" w:rsidRDefault="00DD502E">
      <w:pPr>
        <w:spacing w:after="220" w:line="360" w:lineRule="auto"/>
        <w:ind w:firstLine="720"/>
        <w:jc w:val="both"/>
        <w:rPr>
          <w:rFonts w:ascii="Times New Roman Regular" w:eastAsia="Times New Roman" w:hAnsi="Times New Roman Regular" w:cs="Times New Roman Regular"/>
          <w:sz w:val="24"/>
          <w:szCs w:val="24"/>
        </w:rPr>
      </w:pPr>
    </w:p>
    <w:p w14:paraId="6FEA024B" w14:textId="77777777" w:rsidR="00DD502E" w:rsidRDefault="00DD502E">
      <w:pPr>
        <w:spacing w:after="220" w:line="360" w:lineRule="auto"/>
        <w:ind w:firstLine="720"/>
        <w:jc w:val="both"/>
        <w:rPr>
          <w:rFonts w:ascii="Times New Roman Regular" w:eastAsia="Times New Roman" w:hAnsi="Times New Roman Regular" w:cs="Times New Roman Regular"/>
          <w:sz w:val="24"/>
          <w:szCs w:val="24"/>
        </w:rPr>
      </w:pPr>
    </w:p>
    <w:p w14:paraId="7F66E23D" w14:textId="77777777" w:rsidR="00DD502E" w:rsidRDefault="00DD502E">
      <w:pPr>
        <w:spacing w:after="220" w:line="360" w:lineRule="auto"/>
        <w:ind w:firstLine="720"/>
        <w:jc w:val="both"/>
        <w:rPr>
          <w:rFonts w:ascii="Times New Roman Regular" w:eastAsia="Times New Roman" w:hAnsi="Times New Roman Regular" w:cs="Times New Roman Regular"/>
          <w:sz w:val="24"/>
          <w:szCs w:val="24"/>
        </w:rPr>
      </w:pPr>
    </w:p>
    <w:p w14:paraId="29024D0D" w14:textId="77777777" w:rsidR="00DD502E" w:rsidRDefault="00DD502E">
      <w:pPr>
        <w:spacing w:after="220" w:line="360" w:lineRule="auto"/>
        <w:ind w:firstLine="720"/>
        <w:jc w:val="both"/>
        <w:rPr>
          <w:rFonts w:ascii="Times New Roman Regular" w:eastAsia="Times New Roman" w:hAnsi="Times New Roman Regular" w:cs="Times New Roman Regular"/>
          <w:sz w:val="24"/>
          <w:szCs w:val="24"/>
        </w:rPr>
      </w:pPr>
    </w:p>
    <w:p w14:paraId="5852AE2F" w14:textId="77777777" w:rsidR="00DD502E" w:rsidRDefault="00DD502E">
      <w:pPr>
        <w:spacing w:after="220" w:line="360" w:lineRule="auto"/>
        <w:ind w:firstLine="720"/>
        <w:jc w:val="both"/>
        <w:rPr>
          <w:rFonts w:ascii="Times New Roman Regular" w:eastAsia="Times New Roman" w:hAnsi="Times New Roman Regular" w:cs="Times New Roman Regular"/>
          <w:sz w:val="24"/>
          <w:szCs w:val="24"/>
        </w:rPr>
      </w:pPr>
    </w:p>
    <w:p w14:paraId="76F11F55" w14:textId="77777777" w:rsidR="00DD502E" w:rsidRDefault="00DD502E">
      <w:pPr>
        <w:spacing w:after="220" w:line="360" w:lineRule="auto"/>
        <w:ind w:firstLine="720"/>
        <w:jc w:val="both"/>
        <w:rPr>
          <w:rFonts w:ascii="Times New Roman Regular" w:eastAsia="Times New Roman" w:hAnsi="Times New Roman Regular" w:cs="Times New Roman Regular"/>
          <w:sz w:val="24"/>
          <w:szCs w:val="24"/>
        </w:rPr>
      </w:pPr>
    </w:p>
    <w:p w14:paraId="1B4BED0D" w14:textId="77777777" w:rsidR="00DD502E" w:rsidRDefault="00946F3D">
      <w:pPr>
        <w:pStyle w:val="Heading1"/>
        <w:spacing w:before="280" w:line="360" w:lineRule="auto"/>
        <w:rPr>
          <w:rFonts w:ascii="Times New Roman Regular" w:eastAsia="Times New Roman" w:hAnsi="Times New Roman Regular" w:cs="Times New Roman Regular"/>
          <w:sz w:val="24"/>
          <w:szCs w:val="24"/>
        </w:rPr>
      </w:pPr>
      <w:r>
        <w:rPr>
          <w:rFonts w:ascii="Times New Roman Regular" w:eastAsia="Times New Roman" w:hAnsi="Times New Roman Regular" w:cs="Times New Roman Regular"/>
          <w:sz w:val="24"/>
          <w:szCs w:val="24"/>
        </w:rPr>
        <w:t>Reference List</w:t>
      </w:r>
    </w:p>
    <w:p w14:paraId="4AD1D839" w14:textId="77777777" w:rsidR="00DD502E" w:rsidRDefault="00DD502E">
      <w:pPr>
        <w:spacing w:beforeLines="100" w:before="240" w:after="20"/>
      </w:pPr>
    </w:p>
    <w:p w14:paraId="6F60EE00" w14:textId="77777777" w:rsidR="00DD502E" w:rsidRDefault="00946F3D">
      <w:pPr>
        <w:pStyle w:val="p1"/>
        <w:spacing w:beforeLines="100" w:before="240" w:after="20"/>
      </w:pPr>
      <w:r>
        <w:t xml:space="preserve">BDO Global. (2024) </w:t>
      </w:r>
      <w:r>
        <w:rPr>
          <w:i/>
          <w:iCs/>
        </w:rPr>
        <w:t>Navigating CSRD reporting and the Omnibus: What companies should know</w:t>
      </w:r>
      <w:r>
        <w:t xml:space="preserve">. Available at: </w:t>
      </w:r>
      <w:hyperlink r:id="rId8" w:history="1">
        <w:r>
          <w:rPr>
            <w:rStyle w:val="Hyperlink"/>
          </w:rPr>
          <w:t>https://www.bdo.com/insights/sustainability-and-esg/navigating-csrd-reporting-and-the-omnibus-what-companies-should-know</w:t>
        </w:r>
      </w:hyperlink>
      <w:r>
        <w:t xml:space="preserve"> (Accessed: 13 October 2025).</w:t>
      </w:r>
    </w:p>
    <w:p w14:paraId="74977A65" w14:textId="77777777" w:rsidR="00DD502E" w:rsidRDefault="00946F3D">
      <w:pPr>
        <w:pStyle w:val="p1"/>
        <w:spacing w:beforeLines="100" w:before="240" w:after="20"/>
      </w:pPr>
      <w:r>
        <w:t xml:space="preserve">Brock, J. and Murphy, S. (2024) ‘Adoption of Artificial Intelligence in a professional service industry: A TOE framework analysis’, </w:t>
      </w:r>
      <w:r>
        <w:rPr>
          <w:i/>
          <w:iCs/>
        </w:rPr>
        <w:t>Technological Forecasting and Social Change</w:t>
      </w:r>
      <w:r>
        <w:t xml:space="preserve">, 200, p. 123567. Available at: </w:t>
      </w:r>
      <w:hyperlink r:id="rId9" w:history="1">
        <w:r>
          <w:rPr>
            <w:rStyle w:val="Hyperlink"/>
          </w:rPr>
          <w:t>https://www.sciencedirect.com/science/article/pii/S0040162524000477</w:t>
        </w:r>
      </w:hyperlink>
      <w:r>
        <w:t xml:space="preserve"> (Accessed: 13 October 2025).</w:t>
      </w:r>
    </w:p>
    <w:p w14:paraId="723F7364" w14:textId="77777777" w:rsidR="00DD502E" w:rsidRDefault="00946F3D">
      <w:pPr>
        <w:pStyle w:val="p1"/>
        <w:spacing w:beforeLines="100" w:before="240" w:after="20"/>
      </w:pPr>
      <w:r>
        <w:t xml:space="preserve">CyberPeace Institute. (2024) </w:t>
      </w:r>
      <w:r>
        <w:rPr>
          <w:i/>
          <w:iCs/>
        </w:rPr>
        <w:t>The new EU Corporate Sustainability Reporting Directive (CSRD) is here: Stand out with cyber volunteering</w:t>
      </w:r>
      <w:r>
        <w:t xml:space="preserve">. Available at: </w:t>
      </w:r>
      <w:hyperlink r:id="rId10" w:history="1">
        <w:r>
          <w:rPr>
            <w:rStyle w:val="Hyperlink"/>
          </w:rPr>
          <w:t>https://cyberpeaceinstitute.org/news/the-new-eu-corporate-sustainability-reporting-directive-eu-csrd-is-here-stand-out-with-cyber-volunteering/</w:t>
        </w:r>
      </w:hyperlink>
      <w:r>
        <w:t xml:space="preserve"> (Accessed: 13 October 2025).</w:t>
      </w:r>
    </w:p>
    <w:p w14:paraId="073AC987" w14:textId="77777777" w:rsidR="00DD502E" w:rsidRDefault="00946F3D">
      <w:pPr>
        <w:pStyle w:val="p1"/>
        <w:spacing w:beforeLines="100" w:before="240" w:after="20"/>
      </w:pPr>
      <w:r>
        <w:t xml:space="preserve">Fintech Global. (2025) </w:t>
      </w:r>
      <w:r>
        <w:rPr>
          <w:i/>
          <w:iCs/>
        </w:rPr>
        <w:t>EU extends sustainability reporting timeline to 2027</w:t>
      </w:r>
      <w:r>
        <w:t xml:space="preserve">. Available at: </w:t>
      </w:r>
      <w:hyperlink r:id="rId11" w:history="1">
        <w:r>
          <w:rPr>
            <w:rStyle w:val="Hyperlink"/>
          </w:rPr>
          <w:t>https://fintech.global/2025/10/13/eu-extends-sustainability-reporting-timeline-to-2027/</w:t>
        </w:r>
      </w:hyperlink>
      <w:r>
        <w:t xml:space="preserve"> (Accessed: 13 October 2025).</w:t>
      </w:r>
    </w:p>
    <w:p w14:paraId="7551FFCE" w14:textId="77777777" w:rsidR="00DD502E" w:rsidRDefault="00946F3D">
      <w:pPr>
        <w:pStyle w:val="p1"/>
        <w:spacing w:beforeLines="100" w:before="240" w:after="20"/>
      </w:pPr>
      <w:r>
        <w:t xml:space="preserve">FullScope Insights. (2024) </w:t>
      </w:r>
      <w:r>
        <w:rPr>
          <w:i/>
          <w:iCs/>
        </w:rPr>
        <w:t>CSRD: Implications for multinational companies</w:t>
      </w:r>
      <w:r>
        <w:t xml:space="preserve">. Available at: </w:t>
      </w:r>
      <w:hyperlink r:id="rId12" w:history="1">
        <w:r>
          <w:rPr>
            <w:rStyle w:val="Hyperlink"/>
          </w:rPr>
          <w:t>https://fullscopeinsights.com/fsi-blog/csrd-implications-for-multinational-companies/</w:t>
        </w:r>
      </w:hyperlink>
      <w:r>
        <w:t xml:space="preserve"> (Accessed: 13 October 2025).</w:t>
      </w:r>
    </w:p>
    <w:p w14:paraId="65CF71C7" w14:textId="77777777" w:rsidR="00DD502E" w:rsidRDefault="00946F3D">
      <w:pPr>
        <w:pStyle w:val="p1"/>
        <w:spacing w:beforeLines="100" w:before="240" w:after="20"/>
      </w:pPr>
      <w:r>
        <w:t xml:space="preserve">Goswami, M., Mehta, P. and Iyer, L. (2024) ‘Artificial intelligence and firm-level productivity’, </w:t>
      </w:r>
      <w:r>
        <w:rPr>
          <w:i/>
          <w:iCs/>
        </w:rPr>
        <w:t>Journal of Economic Behavior &amp; Organization</w:t>
      </w:r>
      <w:r>
        <w:t xml:space="preserve">, 224, pp. 151–167. Available at: </w:t>
      </w:r>
      <w:hyperlink r:id="rId13" w:history="1">
        <w:r>
          <w:rPr>
            <w:rStyle w:val="Hyperlink"/>
          </w:rPr>
          <w:t>https://www.sciencedirect.com/science/article/pii/S0167268123001531</w:t>
        </w:r>
      </w:hyperlink>
      <w:r>
        <w:t xml:space="preserve"> (Accessed: 13 October 2025).</w:t>
      </w:r>
    </w:p>
    <w:p w14:paraId="624CC75E" w14:textId="77777777" w:rsidR="00DD502E" w:rsidRDefault="00946F3D">
      <w:pPr>
        <w:pStyle w:val="p1"/>
        <w:spacing w:beforeLines="100" w:before="240" w:after="20"/>
      </w:pPr>
      <w:r>
        <w:t xml:space="preserve">IIGCC (Institutional Investors Group on Climate Change). (2024) </w:t>
      </w:r>
      <w:r>
        <w:rPr>
          <w:i/>
          <w:iCs/>
        </w:rPr>
        <w:t>Weakening the EU’s sustainability rules risks damaging competitiveness and growth</w:t>
      </w:r>
      <w:r>
        <w:t xml:space="preserve">. Available at: </w:t>
      </w:r>
      <w:hyperlink r:id="rId14" w:history="1">
        <w:r>
          <w:rPr>
            <w:rStyle w:val="Hyperlink"/>
          </w:rPr>
          <w:t>https://www.iigcc.org/media-centre/weakening-eus-sustainability-rules-risks-damaging-competitiveness-and-growth-warn-companies-investors</w:t>
        </w:r>
      </w:hyperlink>
      <w:r>
        <w:t xml:space="preserve"> (Accessed: 13 October 2025).</w:t>
      </w:r>
    </w:p>
    <w:p w14:paraId="36894674" w14:textId="77777777" w:rsidR="00DD502E" w:rsidRDefault="00946F3D">
      <w:pPr>
        <w:pStyle w:val="p1"/>
        <w:spacing w:beforeLines="100" w:before="240" w:after="20"/>
      </w:pPr>
      <w:r>
        <w:t xml:space="preserve">Kumar, R. and Sharma, A. (2024) ‘Exploring the factors driving AI adoption in production: a systematic review’, </w:t>
      </w:r>
      <w:r>
        <w:rPr>
          <w:i/>
          <w:iCs/>
        </w:rPr>
        <w:t>AI &amp; Society</w:t>
      </w:r>
      <w:r>
        <w:t xml:space="preserve">, 39(2), pp. 523–542. Available at: </w:t>
      </w:r>
      <w:hyperlink r:id="rId15" w:history="1">
        <w:r>
          <w:rPr>
            <w:rStyle w:val="Hyperlink"/>
          </w:rPr>
          <w:t>https://link.springer.com/article/10.1007/s10799-024-00436-z</w:t>
        </w:r>
      </w:hyperlink>
      <w:r>
        <w:t xml:space="preserve"> (Accessed: 13 October 2025).</w:t>
      </w:r>
    </w:p>
    <w:p w14:paraId="4B6099CB" w14:textId="77777777" w:rsidR="00DD502E" w:rsidRDefault="00946F3D">
      <w:pPr>
        <w:pStyle w:val="p1"/>
        <w:spacing w:beforeLines="100" w:before="240" w:after="20"/>
      </w:pPr>
      <w:r>
        <w:t xml:space="preserve">Mikalef, P., Krogstie, J. and Pappas, I. (2021) ‘Artificial intelligence and business value: A literature review and synthesis’, </w:t>
      </w:r>
      <w:r>
        <w:rPr>
          <w:i/>
          <w:iCs/>
        </w:rPr>
        <w:t>Information Systems Frontiers</w:t>
      </w:r>
      <w:r>
        <w:t xml:space="preserve">, 23(5), pp. 1261–1277. Available at: </w:t>
      </w:r>
      <w:hyperlink r:id="rId16" w:history="1">
        <w:r>
          <w:rPr>
            <w:rStyle w:val="Hyperlink"/>
          </w:rPr>
          <w:t>https://link.springer.com/article/10.1007/s10796-021-10186-w</w:t>
        </w:r>
      </w:hyperlink>
      <w:r>
        <w:t xml:space="preserve"> (Accessed: 13 October 2025).</w:t>
      </w:r>
    </w:p>
    <w:p w14:paraId="53F8EFCA" w14:textId="77777777" w:rsidR="00DD502E" w:rsidRDefault="00946F3D">
      <w:pPr>
        <w:pStyle w:val="p1"/>
        <w:spacing w:beforeLines="100" w:before="240" w:after="20"/>
      </w:pPr>
      <w:r>
        <w:t xml:space="preserve">Nwosu, F., Ogundipe, O. and Adeleke, K. (2024) ‘Adoption of artificial intelligence tools by retail organisations’, </w:t>
      </w:r>
      <w:r>
        <w:rPr>
          <w:i/>
          <w:iCs/>
        </w:rPr>
        <w:t>Journal of Supply Chain Management</w:t>
      </w:r>
      <w:r>
        <w:t xml:space="preserve">, 6(3), pp. 232–245. Available at: </w:t>
      </w:r>
      <w:hyperlink r:id="rId17" w:history="1">
        <w:r>
          <w:rPr>
            <w:rStyle w:val="Hyperlink"/>
          </w:rPr>
          <w:t>https://ideas.repec.org/a/aza/jscm00/y2024v6i3p232-245.html</w:t>
        </w:r>
      </w:hyperlink>
      <w:r>
        <w:t xml:space="preserve"> (Accessed: 13 October 2025).</w:t>
      </w:r>
    </w:p>
    <w:p w14:paraId="1013F991" w14:textId="77777777" w:rsidR="00DD502E" w:rsidRDefault="00946F3D">
      <w:pPr>
        <w:pStyle w:val="p1"/>
        <w:spacing w:beforeLines="100" w:before="240" w:after="20"/>
      </w:pPr>
      <w:r>
        <w:t xml:space="preserve">OECD. (2023) </w:t>
      </w:r>
      <w:r>
        <w:rPr>
          <w:i/>
          <w:iCs/>
        </w:rPr>
        <w:t>The adoption of artificial intelligence in firms</w:t>
      </w:r>
      <w:r>
        <w:t xml:space="preserve">. Paris: Organisation for Economic Co-operation and Development. Available at: </w:t>
      </w:r>
      <w:hyperlink r:id="rId18" w:history="1">
        <w:r>
          <w:rPr>
            <w:rStyle w:val="Hyperlink"/>
          </w:rPr>
          <w:t>https://www.oecd.org/en/publications/the-adoption-of-artificial-intelligence-in-firms_f9ef33c3-en.html</w:t>
        </w:r>
      </w:hyperlink>
      <w:r>
        <w:t xml:space="preserve"> (Accessed: 13 October 2025).</w:t>
      </w:r>
    </w:p>
    <w:p w14:paraId="6959F9B4" w14:textId="77777777" w:rsidR="00DD502E" w:rsidRDefault="00946F3D">
      <w:pPr>
        <w:pStyle w:val="p1"/>
        <w:spacing w:beforeLines="100" w:before="240" w:after="20"/>
      </w:pPr>
      <w:r>
        <w:t xml:space="preserve">S&amp;P Global. (2024) </w:t>
      </w:r>
      <w:r>
        <w:rPr>
          <w:i/>
          <w:iCs/>
        </w:rPr>
        <w:t>The tradeoffs of EU proposals to simplify sustainability reporting</w:t>
      </w:r>
      <w:r>
        <w:t xml:space="preserve">. Available at: </w:t>
      </w:r>
      <w:hyperlink r:id="rId19" w:history="1">
        <w:r>
          <w:rPr>
            <w:rStyle w:val="Hyperlink"/>
          </w:rPr>
          <w:t>https://www.spglobal.com/sustainable1/en/insights/special-editorial/the-tradeoffs-of-eu-proposals-to-simplify-sustainability-reporting</w:t>
        </w:r>
      </w:hyperlink>
      <w:r>
        <w:t xml:space="preserve"> (Accessed: 13 October 2025).</w:t>
      </w:r>
    </w:p>
    <w:p w14:paraId="3BCD59EA" w14:textId="77777777" w:rsidR="00DD502E" w:rsidRDefault="00946F3D">
      <w:pPr>
        <w:pStyle w:val="p1"/>
        <w:spacing w:beforeLines="100" w:before="240" w:after="20"/>
      </w:pPr>
      <w:r>
        <w:t xml:space="preserve">Winfield, A.F. and Jirotka, M. (2020) ‘Ethical governance is essential to building trust in robotics and artificial intelligence systems’, </w:t>
      </w:r>
      <w:r>
        <w:rPr>
          <w:i/>
          <w:iCs/>
        </w:rPr>
        <w:t>Philosophical Transactions of the Royal Society A</w:t>
      </w:r>
      <w:r>
        <w:t>, 378(2166). Available at: https://royalsocietypublishing.org/doi/10.1098/rsta.2019.0168 (Accessed: 13 October 2025).</w:t>
      </w:r>
    </w:p>
    <w:sectPr w:rsidR="00DD502E">
      <w:headerReference w:type="default" r:id="rId20"/>
      <w:pgSz w:w="12240" w:h="15840"/>
      <w:pgMar w:top="1440" w:right="1800" w:bottom="1440" w:left="180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04B919" w14:textId="77777777" w:rsidR="00946F3D" w:rsidRDefault="00946F3D">
      <w:pPr>
        <w:spacing w:after="0"/>
      </w:pPr>
      <w:r>
        <w:separator/>
      </w:r>
    </w:p>
  </w:endnote>
  <w:endnote w:type="continuationSeparator" w:id="0">
    <w:p w14:paraId="3CA721AF" w14:textId="77777777" w:rsidR="00946F3D" w:rsidRDefault="00946F3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Times New Roman Regular">
    <w:altName w:val="Times New Roman"/>
    <w:panose1 w:val="020B0604020202020204"/>
    <w:charset w:val="00"/>
    <w:family w:val="auto"/>
    <w:pitch w:val="default"/>
    <w:sig w:usb0="E0000AFF" w:usb1="00007843" w:usb2="00000001" w:usb3="00000000" w:csb0="400001BF" w:csb1="DFF7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98AC9B" w14:textId="77777777" w:rsidR="00DD502E" w:rsidRDefault="00946F3D">
      <w:pPr>
        <w:spacing w:after="0"/>
      </w:pPr>
      <w:r>
        <w:separator/>
      </w:r>
    </w:p>
  </w:footnote>
  <w:footnote w:type="continuationSeparator" w:id="0">
    <w:p w14:paraId="4CD2D58C" w14:textId="77777777" w:rsidR="00DD502E" w:rsidRDefault="00946F3D">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46EBC0" w14:textId="77777777" w:rsidR="00DD502E" w:rsidRDefault="00946F3D">
    <w:pPr>
      <w:pStyle w:val="Header"/>
    </w:pPr>
    <w:r>
      <w:rPr>
        <w:noProof/>
      </w:rPr>
      <mc:AlternateContent>
        <mc:Choice Requires="wps">
          <w:drawing>
            <wp:anchor distT="0" distB="0" distL="114300" distR="114300" simplePos="0" relativeHeight="251659264" behindDoc="0" locked="0" layoutInCell="1" allowOverlap="1" wp14:anchorId="7AFEEC52" wp14:editId="20BD05C5">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E931356" w14:textId="77777777" w:rsidR="00DD502E" w:rsidRDefault="00946F3D">
                          <w:pPr>
                            <w:pStyle w:val="Head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WPZxIhAgAAYAQAAA4AAABkcnMvZTJvRG9jLnhtbK1UTYvbMBC9F/of&#10;hO6NnZQuIcRZ0g0phdBdyJaeFVmOBfpCUmKnv75Pcpxdtj3soRd5pBm90Xsz4+V9rxU5Cx+kNRWd&#10;TkpKhOG2luZY0Z/P209zSkJkpmbKGlHRiwj0fvXxw7JzCzGzrVW18AQgJiw6V9E2RrcoisBboVmY&#10;WCcMnI31mkVs/bGoPeuArlUxK8u7orO+dt5yEQJON4OTXhH9ewBt00guNpaftDBxQPVCsQhKoZUu&#10;0FV+bdMIHh+bJohIVEXBNOYVSWAf0lqslmxx9My1kl+fwN7zhDecNJMGSW9QGxYZOXn5F5SW3Ntg&#10;mzjhVhcDkawIWEzLN9rsW+ZE5gKpg7uJHv4fLP9xfvJE1hWdUWKYRsGfRR/JV9uTWVKnc2GBoL1D&#10;WOxxjJ4ZzwMOE+m+8Tp9QYfAD20vN20TGE+X5rP5vISLwzdugF+8XHc+xG/CapKMinoUL2vKzrsQ&#10;h9AxJGUzdiuVygVUhnQVvfv8pcwXbh6AK4McicTw2GTF/tBfmR1sfQExb4fGCI5vJZLvWIhPzKMT&#10;8GDMSnzE0iiLJPZqUdJa//tf5ykeBYKXkg6dVVGDQaJEfTcoHADjaPjROIyGOekHi1adYgYdzyYu&#10;+KhGs/FW/8IArVMOuJjhyFTROJoPcehuDCAX63UOOjkvj+1wAW3nWNyZveMpTRIyuPUpQsyscRJo&#10;UOWqGxovV+k6JKmzX+9z1MuPYfU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HWPZxIhAgAA&#10;YAQAAA4AAAAAAAAAAQAgAAAAHwEAAGRycy9lMm9Eb2MueG1sUEsFBgAAAAAGAAYAWQEAALIFAAAA&#10;AA==&#10;">
              <v:fill on="f" focussize="0,0"/>
              <v:stroke on="f" weight="0.5pt"/>
              <v:imagedata o:title=""/>
              <o:lock v:ext="edit" aspectratio="f"/>
              <v:textbox inset="0mm,0mm,0mm,0mm" style="mso-fit-shape-to-text:t;">
                <w:txbxContent>
                  <w:p w14:paraId="1C2185E7">
                    <w:pPr>
                      <w:pStyle w:val="11"/>
                    </w:pPr>
                    <w:r>
                      <w:fldChar w:fldCharType="begin"/>
                    </w:r>
                    <w:r>
                      <w:instrText xml:space="preserve"> PAGE  \* MERGEFORMAT </w:instrText>
                    </w:r>
                    <w:r>
                      <w:fldChar w:fldCharType="separate"/>
                    </w:r>
                    <w:r>
                      <w:t>1</w:t>
                    </w:r>
                    <w:r>
                      <w:fldChar w:fldCharType="end"/>
                    </w:r>
                  </w:p>
                </w:txbxContent>
              </v:textbox>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8FE49CE"/>
    <w:multiLevelType w:val="multilevel"/>
    <w:tmpl w:val="F8FE49CE"/>
    <w:lvl w:ilvl="0">
      <w:start w:val="3"/>
      <w:numFmt w:val="decimal"/>
      <w:lvlText w:val="%1."/>
      <w:lvlJc w:val="left"/>
      <w:pPr>
        <w:ind w:left="0" w:firstLine="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458452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502E"/>
    <w:rsid w:val="00811D84"/>
    <w:rsid w:val="00891C75"/>
    <w:rsid w:val="00946F3D"/>
    <w:rsid w:val="00C250A8"/>
    <w:rsid w:val="00DD502E"/>
    <w:rsid w:val="19FF6CD1"/>
    <w:rsid w:val="3BEF361A"/>
    <w:rsid w:val="5D7F2E5E"/>
    <w:rsid w:val="7EAFB2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A1C0679"/>
  <w15:docId w15:val="{EA271FB3-3AD2-5343-B33B-7019910EE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Default Paragraph Font" w:semiHidden="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pPr>
      <w:spacing w:after="120"/>
    </w:pPr>
    <w:rPr>
      <w:rFonts w:ascii="Georgia" w:eastAsia="Georgia" w:hAnsi="Georgia" w:cs="Georgia"/>
      <w:sz w:val="22"/>
      <w:szCs w:val="22"/>
      <w:lang w:val="en"/>
    </w:rPr>
  </w:style>
  <w:style w:type="paragraph" w:styleId="Heading1">
    <w:name w:val="heading 1"/>
    <w:basedOn w:val="Normal"/>
    <w:next w:val="Normal"/>
    <w:pPr>
      <w:spacing w:after="0"/>
      <w:outlineLvl w:val="0"/>
    </w:pPr>
    <w:rPr>
      <w:rFonts w:ascii="SimSun" w:eastAsia="SimSun" w:hAnsi="SimSun" w:cs="SimSun"/>
      <w:b/>
      <w:color w:val="000000"/>
      <w:sz w:val="48"/>
      <w:szCs w:val="48"/>
    </w:rPr>
  </w:style>
  <w:style w:type="paragraph" w:styleId="Heading2">
    <w:name w:val="heading 2"/>
    <w:basedOn w:val="Normal"/>
    <w:next w:val="Normal"/>
    <w:pPr>
      <w:spacing w:after="0"/>
      <w:outlineLvl w:val="1"/>
    </w:pPr>
    <w:rPr>
      <w:rFonts w:ascii="SimSun" w:eastAsia="SimSun" w:hAnsi="SimSun" w:cs="SimSun"/>
      <w:b/>
      <w:color w:val="000000"/>
      <w:sz w:val="36"/>
      <w:szCs w:val="36"/>
    </w:rPr>
  </w:style>
  <w:style w:type="paragraph" w:styleId="Heading3">
    <w:name w:val="heading 3"/>
    <w:basedOn w:val="Normal"/>
    <w:next w:val="Normal"/>
    <w:pPr>
      <w:spacing w:after="0"/>
      <w:outlineLvl w:val="2"/>
    </w:pPr>
    <w:rPr>
      <w:rFonts w:ascii="SimSun" w:eastAsia="SimSun" w:hAnsi="SimSun" w:cs="SimSun"/>
      <w:b/>
      <w:color w:val="000000"/>
      <w:sz w:val="27"/>
      <w:szCs w:val="27"/>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yperlink">
    <w:name w:val="Hyperlink"/>
    <w:basedOn w:val="DefaultParagraphFont"/>
    <w:rPr>
      <w:color w:val="0000FF"/>
      <w:u w:val="single"/>
    </w:rPr>
  </w:style>
  <w:style w:type="paragraph" w:styleId="Subtitle">
    <w:name w:val="Subtitle"/>
    <w:basedOn w:val="Normal"/>
    <w:next w:val="Normal"/>
    <w:pPr>
      <w:keepNext/>
      <w:keepLines/>
      <w:spacing w:before="360" w:after="80"/>
    </w:pPr>
    <w:rPr>
      <w:i/>
      <w:color w:val="666666"/>
      <w:sz w:val="48"/>
      <w:szCs w:val="48"/>
    </w:rPr>
  </w:style>
  <w:style w:type="paragraph" w:styleId="Title">
    <w:name w:val="Title"/>
    <w:basedOn w:val="Normal"/>
    <w:next w:val="Normal"/>
    <w:pPr>
      <w:keepNext/>
      <w:keepLines/>
      <w:spacing w:before="480"/>
    </w:pPr>
    <w:rPr>
      <w:b/>
      <w:sz w:val="72"/>
      <w:szCs w:val="72"/>
    </w:rPr>
  </w:style>
  <w:style w:type="table" w:customStyle="1" w:styleId="TableNormal0">
    <w:name w:val="TableNormal"/>
    <w:tblPr>
      <w:tblCellMar>
        <w:top w:w="100" w:type="dxa"/>
        <w:left w:w="100" w:type="dxa"/>
        <w:bottom w:w="100" w:type="dxa"/>
        <w:right w:w="100" w:type="dxa"/>
      </w:tblCellMar>
    </w:tblPr>
  </w:style>
  <w:style w:type="paragraph" w:customStyle="1" w:styleId="p1">
    <w:name w:val="p1"/>
    <w:rPr>
      <w:rFonts w:ascii="Helvetica Neue" w:eastAsia="Helvetica Neue" w:hAnsi="Helvetica Neue"/>
      <w:sz w:val="26"/>
      <w:szCs w:val="26"/>
      <w:lang w:val="en-US" w:eastAsia="zh-CN"/>
    </w:rPr>
  </w:style>
  <w:style w:type="character" w:customStyle="1" w:styleId="s1">
    <w:name w:val="s1"/>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do.com/insights/sustainability-and-esg/navigating-csrd-reporting-and-the-omnibus-what-companies-should-know?utm_source=chatgpt.com" TargetMode="External"/><Relationship Id="rId13" Type="http://schemas.openxmlformats.org/officeDocument/2006/relationships/hyperlink" Target="https://www.sciencedirect.com/science/article/pii/S0167268123001531?utm_source=chatgpt.com" TargetMode="External"/><Relationship Id="rId18" Type="http://schemas.openxmlformats.org/officeDocument/2006/relationships/hyperlink" Target="https://www.oecd.org/en/publications/the-adoption-of-artificial-intelligence-in-firms_f9ef33c3-en.html?utm_source=chatgpt.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fullscopeinsights.com/fsi-blog/csrd-implications-for-multinational-companies/?utm_source=chatgpt.com" TargetMode="External"/><Relationship Id="rId17" Type="http://schemas.openxmlformats.org/officeDocument/2006/relationships/hyperlink" Target="https://ideas.repec.org/a/aza/jscm00/y2024v6i3p232-245.html?utm_source=chatgpt.com" TargetMode="External"/><Relationship Id="rId2" Type="http://schemas.openxmlformats.org/officeDocument/2006/relationships/numbering" Target="numbering.xml"/><Relationship Id="rId16" Type="http://schemas.openxmlformats.org/officeDocument/2006/relationships/hyperlink" Target="https://link.springer.com/article/10.1007/s10796-021-10186-w?utm_source=chatgpt.co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tech.global/2025/10/13/eu-extends-sustainability-reporting-timeline-to-2027/?utm_source=chatgpt.com" TargetMode="External"/><Relationship Id="rId5" Type="http://schemas.openxmlformats.org/officeDocument/2006/relationships/webSettings" Target="webSettings.xml"/><Relationship Id="rId15" Type="http://schemas.openxmlformats.org/officeDocument/2006/relationships/hyperlink" Target="https://link.springer.com/article/10.1007/s10799-024-00436-z?utm_source=chatgpt.com" TargetMode="External"/><Relationship Id="rId10" Type="http://schemas.openxmlformats.org/officeDocument/2006/relationships/hyperlink" Target="https://cyberpeaceinstitute.org/news/the-new-eu-corporate-sustainability-reporting-directive-eu-csrd-is-here-stand-out-with-cyber-volunteering/?utm_source=chatgpt.com" TargetMode="External"/><Relationship Id="rId19" Type="http://schemas.openxmlformats.org/officeDocument/2006/relationships/hyperlink" Target="https://www.spglobal.com/sustainable1/en/insights/special-editorial/the-tradeoffs-of-eu-proposals-to-simplify-sustainability-reporting?utm_source=chatgpt.com" TargetMode="External"/><Relationship Id="rId4" Type="http://schemas.openxmlformats.org/officeDocument/2006/relationships/settings" Target="settings.xml"/><Relationship Id="rId9" Type="http://schemas.openxmlformats.org/officeDocument/2006/relationships/hyperlink" Target="https://www.sciencedirect.com/science/article/pii/S0040162524000477?utm_source=chatgpt.com" TargetMode="External"/><Relationship Id="rId14" Type="http://schemas.openxmlformats.org/officeDocument/2006/relationships/hyperlink" Target="https://www.iigcc.org/media-centre/weakening-eus-sustainability-rules-risks-damaging-competitiveness-and-growth-warn-companies-investors?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2970</Words>
  <Characters>16932</Characters>
  <Application>Microsoft Office Word</Application>
  <DocSecurity>0</DocSecurity>
  <Lines>141</Lines>
  <Paragraphs>39</Paragraphs>
  <ScaleCrop>false</ScaleCrop>
  <Company/>
  <LinksUpToDate>false</LinksUpToDate>
  <CharactersWithSpaces>19863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Data</dc:creator>
  <cp:lastModifiedBy>Vasile Raul Stefan (2217660)</cp:lastModifiedBy>
  <cp:revision>2</cp:revision>
  <dcterms:created xsi:type="dcterms:W3CDTF">2025-11-01T14:04:00Z</dcterms:created>
  <dcterms:modified xsi:type="dcterms:W3CDTF">2025-11-01T14:04:00Z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1033-6.15.0.8733</vt:lpwstr>
  </property>
  <property fmtid="{D5CDD505-2E9C-101B-9397-08002B2CF9AE}" pid="3" name="ICV">
    <vt:lpwstr>4F6B634E38E4781BBE14ED680CD8F1CB_43</vt:lpwstr>
  </property>
</Properties>
</file>