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9E3C984" wp14:paraId="2C078E63" wp14:textId="71DAB1C4">
      <w:pPr>
        <w:rPr>
          <w:sz w:val="32"/>
          <w:szCs w:val="32"/>
        </w:rPr>
      </w:pPr>
      <w:r w:rsidRPr="19E3C984" w:rsidR="0C9B33FE">
        <w:rPr>
          <w:sz w:val="32"/>
          <w:szCs w:val="32"/>
        </w:rPr>
        <w:t>STUDENT NAME: POPA MADALINA</w:t>
      </w:r>
    </w:p>
    <w:p w:rsidR="0C9B33FE" w:rsidP="19E3C984" w:rsidRDefault="0C9B33FE" w14:paraId="3CC091DE" w14:textId="68DFA6CC">
      <w:pPr>
        <w:pStyle w:val="Normal"/>
        <w:rPr>
          <w:sz w:val="32"/>
          <w:szCs w:val="32"/>
        </w:rPr>
      </w:pPr>
      <w:r w:rsidRPr="19E3C984" w:rsidR="0C9B33FE">
        <w:rPr>
          <w:sz w:val="32"/>
          <w:szCs w:val="32"/>
        </w:rPr>
        <w:t>STUDENT NUMBER: 2244753</w:t>
      </w:r>
    </w:p>
    <w:p w:rsidR="0C9B33FE" w:rsidP="19E3C984" w:rsidRDefault="0C9B33FE" w14:paraId="79123995" w14:textId="47B5132D">
      <w:pPr>
        <w:pStyle w:val="Normal"/>
        <w:rPr>
          <w:sz w:val="32"/>
          <w:szCs w:val="32"/>
        </w:rPr>
      </w:pPr>
      <w:r w:rsidRPr="19E3C984" w:rsidR="0C9B33FE">
        <w:rPr>
          <w:sz w:val="32"/>
          <w:szCs w:val="32"/>
        </w:rPr>
        <w:t>MODULE NAME: CRIMINAL LAW</w:t>
      </w:r>
    </w:p>
    <w:p w:rsidR="0C9B33FE" w:rsidP="19E3C984" w:rsidRDefault="0C9B33FE" w14:paraId="54FCF798" w14:textId="5DAB71B7">
      <w:pPr>
        <w:pStyle w:val="Normal"/>
        <w:rPr>
          <w:sz w:val="32"/>
          <w:szCs w:val="32"/>
        </w:rPr>
      </w:pPr>
      <w:r w:rsidRPr="19E3C984" w:rsidR="0C9B33FE">
        <w:rPr>
          <w:sz w:val="32"/>
          <w:szCs w:val="32"/>
        </w:rPr>
        <w:t>LECTURER NAME: LAURA HUMPHRIES</w:t>
      </w:r>
    </w:p>
    <w:p w:rsidR="19E3C984" w:rsidP="19E3C984" w:rsidRDefault="19E3C984" w14:paraId="7D889F4E" w14:textId="1FC34CAF">
      <w:pPr>
        <w:pStyle w:val="Normal"/>
        <w:rPr>
          <w:sz w:val="32"/>
          <w:szCs w:val="32"/>
        </w:rPr>
      </w:pPr>
    </w:p>
    <w:p w:rsidR="19E3C984" w:rsidP="19E3C984" w:rsidRDefault="19E3C984" w14:paraId="00802A8A" w14:textId="38A972D4">
      <w:pPr>
        <w:pStyle w:val="Normal"/>
        <w:rPr>
          <w:sz w:val="32"/>
          <w:szCs w:val="32"/>
        </w:rPr>
      </w:pPr>
    </w:p>
    <w:p w:rsidR="19E3C984" w:rsidP="19E3C984" w:rsidRDefault="19E3C984" w14:paraId="6B27B276" w14:textId="4F82E9F3">
      <w:pPr>
        <w:pStyle w:val="Normal"/>
        <w:rPr>
          <w:sz w:val="32"/>
          <w:szCs w:val="32"/>
        </w:rPr>
      </w:pPr>
    </w:p>
    <w:p w:rsidR="19E3C984" w:rsidP="19E3C984" w:rsidRDefault="19E3C984" w14:paraId="77676A3A" w14:textId="219A9066">
      <w:pPr>
        <w:pStyle w:val="Normal"/>
        <w:rPr>
          <w:sz w:val="32"/>
          <w:szCs w:val="32"/>
        </w:rPr>
      </w:pPr>
    </w:p>
    <w:p w:rsidR="19E3C984" w:rsidP="19E3C984" w:rsidRDefault="19E3C984" w14:paraId="7C7DECAE" w14:textId="70C673EA">
      <w:pPr>
        <w:pStyle w:val="Normal"/>
        <w:rPr>
          <w:sz w:val="32"/>
          <w:szCs w:val="32"/>
        </w:rPr>
      </w:pPr>
    </w:p>
    <w:p w:rsidR="19E3C984" w:rsidP="19E3C984" w:rsidRDefault="19E3C984" w14:paraId="052343D9" w14:textId="22C33A49">
      <w:pPr>
        <w:pStyle w:val="Normal"/>
        <w:rPr>
          <w:sz w:val="32"/>
          <w:szCs w:val="32"/>
        </w:rPr>
      </w:pPr>
    </w:p>
    <w:p w:rsidR="19E3C984" w:rsidP="19E3C984" w:rsidRDefault="19E3C984" w14:paraId="6744F154" w14:textId="1C598CF6">
      <w:pPr>
        <w:pStyle w:val="Normal"/>
        <w:rPr>
          <w:sz w:val="32"/>
          <w:szCs w:val="32"/>
        </w:rPr>
      </w:pPr>
    </w:p>
    <w:p w:rsidR="19E3C984" w:rsidP="19E3C984" w:rsidRDefault="19E3C984" w14:paraId="5679078C" w14:textId="6FCAC9D7">
      <w:pPr>
        <w:pStyle w:val="Normal"/>
        <w:rPr>
          <w:sz w:val="32"/>
          <w:szCs w:val="32"/>
        </w:rPr>
      </w:pPr>
    </w:p>
    <w:p w:rsidR="19E3C984" w:rsidP="19E3C984" w:rsidRDefault="19E3C984" w14:paraId="21367877" w14:textId="7F2D19E0">
      <w:pPr>
        <w:pStyle w:val="Normal"/>
        <w:rPr>
          <w:sz w:val="32"/>
          <w:szCs w:val="32"/>
        </w:rPr>
      </w:pPr>
    </w:p>
    <w:p w:rsidR="19E3C984" w:rsidP="19E3C984" w:rsidRDefault="19E3C984" w14:paraId="7E70AFA8" w14:textId="72976EBA">
      <w:pPr>
        <w:pStyle w:val="Normal"/>
        <w:rPr>
          <w:sz w:val="32"/>
          <w:szCs w:val="32"/>
        </w:rPr>
      </w:pPr>
    </w:p>
    <w:p w:rsidR="19E3C984" w:rsidP="19E3C984" w:rsidRDefault="19E3C984" w14:paraId="4C0A8487" w14:textId="481CF47F">
      <w:pPr>
        <w:pStyle w:val="Normal"/>
        <w:rPr>
          <w:sz w:val="32"/>
          <w:szCs w:val="32"/>
        </w:rPr>
      </w:pPr>
    </w:p>
    <w:p w:rsidR="19E3C984" w:rsidP="19E3C984" w:rsidRDefault="19E3C984" w14:paraId="72FB5BDE" w14:textId="632B1827">
      <w:pPr>
        <w:pStyle w:val="Normal"/>
        <w:rPr>
          <w:sz w:val="32"/>
          <w:szCs w:val="32"/>
        </w:rPr>
      </w:pPr>
    </w:p>
    <w:p w:rsidR="19E3C984" w:rsidP="19E3C984" w:rsidRDefault="19E3C984" w14:paraId="370A6C47" w14:textId="14F8C978">
      <w:pPr>
        <w:pStyle w:val="Normal"/>
        <w:rPr>
          <w:sz w:val="32"/>
          <w:szCs w:val="32"/>
        </w:rPr>
      </w:pPr>
    </w:p>
    <w:p w:rsidR="19E3C984" w:rsidP="19E3C984" w:rsidRDefault="19E3C984" w14:paraId="76885923" w14:textId="122D0F94">
      <w:pPr>
        <w:pStyle w:val="Normal"/>
        <w:rPr>
          <w:sz w:val="32"/>
          <w:szCs w:val="32"/>
        </w:rPr>
      </w:pPr>
    </w:p>
    <w:p w:rsidR="19E3C984" w:rsidP="19E3C984" w:rsidRDefault="19E3C984" w14:paraId="2D3E32E9" w14:textId="752C5B52">
      <w:pPr>
        <w:pStyle w:val="Normal"/>
        <w:rPr>
          <w:sz w:val="32"/>
          <w:szCs w:val="32"/>
        </w:rPr>
      </w:pPr>
    </w:p>
    <w:p w:rsidR="19E3C984" w:rsidP="19E3C984" w:rsidRDefault="19E3C984" w14:paraId="3683EB87" w14:textId="72E9ECFA">
      <w:pPr>
        <w:pStyle w:val="Normal"/>
        <w:rPr>
          <w:sz w:val="32"/>
          <w:szCs w:val="32"/>
        </w:rPr>
      </w:pPr>
    </w:p>
    <w:p w:rsidR="19E3C984" w:rsidP="19E3C984" w:rsidRDefault="19E3C984" w14:paraId="7AC4BEFE" w14:textId="153D7D76">
      <w:pPr>
        <w:pStyle w:val="Normal"/>
        <w:rPr>
          <w:sz w:val="32"/>
          <w:szCs w:val="32"/>
        </w:rPr>
      </w:pPr>
    </w:p>
    <w:p w:rsidR="19E3C984" w:rsidP="19E3C984" w:rsidRDefault="19E3C984" w14:paraId="34A2D333" w14:textId="5911F4B1">
      <w:pPr>
        <w:pStyle w:val="Normal"/>
        <w:rPr>
          <w:sz w:val="32"/>
          <w:szCs w:val="32"/>
        </w:rPr>
      </w:pPr>
    </w:p>
    <w:p w:rsidR="19E3C984" w:rsidP="19E3C984" w:rsidRDefault="19E3C984" w14:paraId="2E0DCDDA" w14:textId="3233F53D">
      <w:pPr>
        <w:pStyle w:val="Normal"/>
        <w:rPr>
          <w:sz w:val="32"/>
          <w:szCs w:val="32"/>
        </w:rPr>
      </w:pPr>
    </w:p>
    <w:p w:rsidR="3CBA44C5" w:rsidP="19E3C984" w:rsidRDefault="3CBA44C5" w14:paraId="53019F0E" w14:textId="140DF5C9">
      <w:pPr>
        <w:pStyle w:val="Normal"/>
        <w:rPr>
          <w:sz w:val="32"/>
          <w:szCs w:val="32"/>
        </w:rPr>
      </w:pPr>
      <w:r w:rsidRPr="19E3C984" w:rsidR="3CBA44C5">
        <w:rPr>
          <w:sz w:val="32"/>
          <w:szCs w:val="32"/>
        </w:rPr>
        <w:t>EVAL</w:t>
      </w:r>
      <w:r w:rsidRPr="19E3C984" w:rsidR="1DBFD5D8">
        <w:rPr>
          <w:sz w:val="32"/>
          <w:szCs w:val="32"/>
        </w:rPr>
        <w:t xml:space="preserve">UATE </w:t>
      </w:r>
      <w:r w:rsidRPr="19E3C984" w:rsidR="3CBA44C5">
        <w:rPr>
          <w:sz w:val="32"/>
          <w:szCs w:val="32"/>
        </w:rPr>
        <w:t xml:space="preserve">THE CONCEPT OF CONSENT IN THE UK AND ITS ROLE IN CASES INVOLVING </w:t>
      </w:r>
      <w:r w:rsidRPr="19E3C984" w:rsidR="5D67D22C">
        <w:rPr>
          <w:sz w:val="32"/>
          <w:szCs w:val="32"/>
        </w:rPr>
        <w:t>BATTER</w:t>
      </w:r>
      <w:r w:rsidRPr="19E3C984" w:rsidR="4C5FD710">
        <w:rPr>
          <w:sz w:val="32"/>
          <w:szCs w:val="32"/>
        </w:rPr>
        <w:t>Y</w:t>
      </w:r>
    </w:p>
    <w:p w:rsidR="4C5FD710" w:rsidP="19E3C984" w:rsidRDefault="4C5FD710" w14:paraId="6AC22988" w14:textId="7DF4EB91">
      <w:pPr>
        <w:pStyle w:val="Normal"/>
      </w:pPr>
      <w:r w:rsidRPr="19E3C984" w:rsidR="4C5FD710">
        <w:rPr>
          <w:rFonts w:ascii="Calibri" w:hAnsi="Calibri" w:eastAsia="Calibri" w:cs="Calibri"/>
          <w:noProof w:val="0"/>
          <w:sz w:val="28"/>
          <w:szCs w:val="28"/>
          <w:lang w:val="en-US"/>
        </w:rPr>
        <w:t xml:space="preserve">       </w:t>
      </w:r>
    </w:p>
    <w:p w:rsidR="19E3C984" w:rsidP="19E3C984" w:rsidRDefault="19E3C984" w14:paraId="3D33EEDD" w14:textId="7AFE75F4">
      <w:pPr>
        <w:pStyle w:val="Normal"/>
        <w:rPr>
          <w:rFonts w:ascii="Calibri" w:hAnsi="Calibri" w:eastAsia="Calibri" w:cs="Calibri"/>
          <w:noProof w:val="0"/>
          <w:sz w:val="28"/>
          <w:szCs w:val="28"/>
          <w:lang w:val="en-US"/>
        </w:rPr>
      </w:pPr>
    </w:p>
    <w:p w:rsidR="19E3C984" w:rsidP="19E3C984" w:rsidRDefault="19E3C984" w14:paraId="28C92AF9" w14:textId="1BFF90B7">
      <w:pPr>
        <w:pStyle w:val="Normal"/>
        <w:rPr>
          <w:rFonts w:ascii="Calibri" w:hAnsi="Calibri" w:eastAsia="Calibri" w:cs="Calibri"/>
          <w:noProof w:val="0"/>
          <w:sz w:val="28"/>
          <w:szCs w:val="28"/>
          <w:lang w:val="en-US"/>
        </w:rPr>
      </w:pPr>
    </w:p>
    <w:p w:rsidR="4C5FD710" w:rsidP="19E3C984" w:rsidRDefault="4C5FD710" w14:paraId="170A1470" w14:textId="7BDD6BCE">
      <w:pPr>
        <w:pStyle w:val="Normal"/>
      </w:pPr>
      <w:r w:rsidRPr="19E3C984" w:rsidR="4C5FD710">
        <w:rPr>
          <w:rFonts w:ascii="Calibri" w:hAnsi="Calibri" w:eastAsia="Calibri" w:cs="Calibri"/>
          <w:noProof w:val="0"/>
          <w:sz w:val="28"/>
          <w:szCs w:val="28"/>
          <w:lang w:val="en-US"/>
        </w:rPr>
        <w:t xml:space="preserve">   This essay aims to examine the various dimensions of consent</w:t>
      </w:r>
      <w:r w:rsidRPr="19E3C984" w:rsidR="5269551A">
        <w:rPr>
          <w:rFonts w:ascii="Calibri" w:hAnsi="Calibri" w:eastAsia="Calibri" w:cs="Calibri"/>
          <w:noProof w:val="0"/>
          <w:sz w:val="28"/>
          <w:szCs w:val="28"/>
          <w:lang w:val="en-US"/>
        </w:rPr>
        <w:t xml:space="preserve"> in</w:t>
      </w:r>
      <w:r w:rsidRPr="19E3C984" w:rsidR="709C4859">
        <w:rPr>
          <w:rFonts w:ascii="Calibri" w:hAnsi="Calibri" w:eastAsia="Calibri" w:cs="Calibri"/>
          <w:noProof w:val="0"/>
          <w:sz w:val="28"/>
          <w:szCs w:val="28"/>
          <w:lang w:val="en-US"/>
        </w:rPr>
        <w:t xml:space="preserve"> </w:t>
      </w:r>
      <w:r w:rsidRPr="19E3C984" w:rsidR="709C4859">
        <w:rPr>
          <w:rFonts w:ascii="Calibri" w:hAnsi="Calibri" w:eastAsia="Calibri" w:cs="Calibri"/>
          <w:noProof w:val="0"/>
          <w:sz w:val="28"/>
          <w:szCs w:val="28"/>
          <w:lang w:val="en-US"/>
        </w:rPr>
        <w:t>battery</w:t>
      </w:r>
      <w:r w:rsidRPr="19E3C984" w:rsidR="4C5FD710">
        <w:rPr>
          <w:rFonts w:ascii="Calibri" w:hAnsi="Calibri" w:eastAsia="Calibri" w:cs="Calibri"/>
          <w:noProof w:val="0"/>
          <w:sz w:val="28"/>
          <w:szCs w:val="28"/>
          <w:lang w:val="en-US"/>
        </w:rPr>
        <w:t xml:space="preserve"> cases within the legal context of the United Kingdom. The dis</w:t>
      </w:r>
      <w:r w:rsidRPr="19E3C984" w:rsidR="4FEEBAF2">
        <w:rPr>
          <w:rFonts w:ascii="Calibri" w:hAnsi="Calibri" w:eastAsia="Calibri" w:cs="Calibri"/>
          <w:noProof w:val="0"/>
          <w:sz w:val="28"/>
          <w:szCs w:val="28"/>
          <w:lang w:val="en-US"/>
        </w:rPr>
        <w:t>cussion covers</w:t>
      </w:r>
      <w:r w:rsidRPr="19E3C984" w:rsidR="4C5FD710">
        <w:rPr>
          <w:rFonts w:ascii="Calibri" w:hAnsi="Calibri" w:eastAsia="Calibri" w:cs="Calibri"/>
          <w:noProof w:val="0"/>
          <w:sz w:val="28"/>
          <w:szCs w:val="28"/>
          <w:lang w:val="en-US"/>
        </w:rPr>
        <w:t xml:space="preserve"> ethical, philosophical, and legal aspects, examining the importance of consent through the lens of legal principles, case law, and ethical considerations. By analyzing legal principles, case law, and ethical concerns, we will have a better understanding of what consent means in these situations. The aim is to understand the connection between consent and battery, highlighting their importance in the UK legal system.</w:t>
      </w:r>
      <w:r w:rsidRPr="19E3C984" w:rsidR="33320CD6">
        <w:rPr>
          <w:rFonts w:ascii="Calibri" w:hAnsi="Calibri" w:eastAsia="Calibri" w:cs="Calibri"/>
          <w:noProof w:val="0"/>
          <w:sz w:val="28"/>
          <w:szCs w:val="28"/>
          <w:lang w:val="en-US"/>
        </w:rPr>
        <w:t xml:space="preserve"> In the United Kingdom, consent and battery are crucial legal ideas that have significant importance in various aspects of society.  Consent means giving your approval by saying ‘’yes’ because you choose to, and you have the freedom to decide or change your mind. It involves having the </w:t>
      </w:r>
      <w:r w:rsidRPr="19E3C984" w:rsidR="33320CD6">
        <w:rPr>
          <w:rFonts w:ascii="Calibri" w:hAnsi="Calibri" w:eastAsia="Calibri" w:cs="Calibri"/>
          <w:noProof w:val="0"/>
          <w:sz w:val="28"/>
          <w:szCs w:val="28"/>
          <w:lang w:val="en-US"/>
        </w:rPr>
        <w:t>option</w:t>
      </w:r>
      <w:r w:rsidRPr="19E3C984" w:rsidR="33320CD6">
        <w:rPr>
          <w:rFonts w:ascii="Calibri" w:hAnsi="Calibri" w:eastAsia="Calibri" w:cs="Calibri"/>
          <w:noProof w:val="0"/>
          <w:sz w:val="28"/>
          <w:szCs w:val="28"/>
          <w:lang w:val="en-US"/>
        </w:rPr>
        <w:t xml:space="preserve"> and capability to agree or disagree with something. (Thames Valley Police,2023). Battery and consent are different legal ideas in criminal law, where </w:t>
      </w:r>
      <w:r w:rsidRPr="19E3C984" w:rsidR="76A83C2E">
        <w:rPr>
          <w:rFonts w:ascii="Calibri" w:hAnsi="Calibri" w:eastAsia="Calibri" w:cs="Calibri"/>
          <w:noProof w:val="0"/>
          <w:sz w:val="28"/>
          <w:szCs w:val="28"/>
          <w:lang w:val="en-US"/>
        </w:rPr>
        <w:t>battery</w:t>
      </w:r>
      <w:r w:rsidRPr="19E3C984" w:rsidR="33320CD6">
        <w:rPr>
          <w:rFonts w:ascii="Calibri" w:hAnsi="Calibri" w:eastAsia="Calibri" w:cs="Calibri"/>
          <w:noProof w:val="0"/>
          <w:sz w:val="28"/>
          <w:szCs w:val="28"/>
          <w:lang w:val="en-US"/>
        </w:rPr>
        <w:t xml:space="preserve"> involves intentionally or negligently applying illegal force to harm a person, it can be considered a crime when force is used without the person's consent (Rolfe,1952).</w:t>
      </w:r>
    </w:p>
    <w:p w:rsidR="795F4B16" w:rsidP="19E3C984" w:rsidRDefault="795F4B16" w14:paraId="204930B0" w14:textId="4B5BA1BF">
      <w:pPr>
        <w:pStyle w:val="Normal"/>
        <w:spacing w:before="0" w:beforeAutospacing="off" w:after="160" w:afterAutospacing="off" w:line="257" w:lineRule="auto"/>
        <w:rPr>
          <w:rFonts w:ascii="Calibri" w:hAnsi="Calibri" w:eastAsia="Calibri" w:cs="Calibri"/>
          <w:noProof w:val="0"/>
          <w:sz w:val="28"/>
          <w:szCs w:val="28"/>
          <w:lang w:val="en-US"/>
        </w:rPr>
      </w:pPr>
      <w:r w:rsidRPr="19E3C984" w:rsidR="795F4B16">
        <w:rPr>
          <w:rFonts w:ascii="Calibri" w:hAnsi="Calibri" w:eastAsia="Calibri" w:cs="Calibri"/>
          <w:noProof w:val="0"/>
          <w:sz w:val="28"/>
          <w:szCs w:val="28"/>
          <w:lang w:val="en-US"/>
        </w:rPr>
        <w:t xml:space="preserve">          The notion of permission is extensively employed within the framework of common law as a legal defense for non-fatal acts, including battery and assault (Elliot, 2016). According to section 74 of the Sexual Offences Act (2003), an individual is considered to have given consent if they have willingly agreed and have the autonomy and capability to exercise that choice. If an action is performed without clear consent or if the participant(s) lack mental ability or legal competence, then the relevant statute will impose </w:t>
      </w:r>
      <w:r w:rsidRPr="19E3C984" w:rsidR="795F4B16">
        <w:rPr>
          <w:rFonts w:ascii="Calibri" w:hAnsi="Calibri" w:eastAsia="Calibri" w:cs="Calibri"/>
          <w:noProof w:val="0"/>
          <w:sz w:val="28"/>
          <w:szCs w:val="28"/>
          <w:lang w:val="en-US"/>
        </w:rPr>
        <w:t>appropriate sanctions</w:t>
      </w:r>
      <w:r w:rsidRPr="19E3C984" w:rsidR="795F4B16">
        <w:rPr>
          <w:rFonts w:ascii="Calibri" w:hAnsi="Calibri" w:eastAsia="Calibri" w:cs="Calibri"/>
          <w:noProof w:val="0"/>
          <w:sz w:val="28"/>
          <w:szCs w:val="28"/>
          <w:lang w:val="en-US"/>
        </w:rPr>
        <w:t xml:space="preserve"> (Legislation GOV,2003). One notable case is R v.</w:t>
      </w:r>
      <w:r w:rsidRPr="19E3C984" w:rsidR="795F4B16">
        <w:rPr>
          <w:rFonts w:ascii="Calibri" w:hAnsi="Calibri" w:eastAsia="Calibri" w:cs="Calibri"/>
          <w:noProof w:val="0"/>
          <w:sz w:val="22"/>
          <w:szCs w:val="22"/>
          <w:lang w:val="en-US"/>
        </w:rPr>
        <w:t xml:space="preserve"> </w:t>
      </w:r>
      <w:r w:rsidRPr="19E3C984" w:rsidR="795F4B16">
        <w:rPr>
          <w:rFonts w:ascii="Calibri" w:hAnsi="Calibri" w:eastAsia="Calibri" w:cs="Calibri"/>
          <w:noProof w:val="0"/>
          <w:sz w:val="28"/>
          <w:szCs w:val="28"/>
          <w:lang w:val="en-US"/>
        </w:rPr>
        <w:t xml:space="preserve">Assange (2011), where the situation pertains to Julian Assange, the individual responsible for </w:t>
      </w:r>
      <w:r w:rsidRPr="19E3C984" w:rsidR="795F4B16">
        <w:rPr>
          <w:rFonts w:ascii="Calibri" w:hAnsi="Calibri" w:eastAsia="Calibri" w:cs="Calibri"/>
          <w:noProof w:val="0"/>
          <w:sz w:val="28"/>
          <w:szCs w:val="28"/>
          <w:lang w:val="en-US"/>
        </w:rPr>
        <w:t>establishing</w:t>
      </w:r>
      <w:r w:rsidRPr="19E3C984" w:rsidR="795F4B16">
        <w:rPr>
          <w:rFonts w:ascii="Calibri" w:hAnsi="Calibri" w:eastAsia="Calibri" w:cs="Calibri"/>
          <w:noProof w:val="0"/>
          <w:sz w:val="28"/>
          <w:szCs w:val="28"/>
          <w:lang w:val="en-US"/>
        </w:rPr>
        <w:t xml:space="preserve"> WikiLeaks, who is currently confronted with the prospect of being extradited to Sweden on charges related to sexual offences. The legal dispute has given rise to apprehensions </w:t>
      </w:r>
      <w:r w:rsidRPr="19E3C984" w:rsidR="795F4B16">
        <w:rPr>
          <w:rFonts w:ascii="Calibri" w:hAnsi="Calibri" w:eastAsia="Calibri" w:cs="Calibri"/>
          <w:noProof w:val="0"/>
          <w:sz w:val="28"/>
          <w:szCs w:val="28"/>
          <w:lang w:val="en-US"/>
        </w:rPr>
        <w:t>regarding</w:t>
      </w:r>
      <w:r w:rsidRPr="19E3C984" w:rsidR="795F4B16">
        <w:rPr>
          <w:rFonts w:ascii="Calibri" w:hAnsi="Calibri" w:eastAsia="Calibri" w:cs="Calibri"/>
          <w:noProof w:val="0"/>
          <w:sz w:val="28"/>
          <w:szCs w:val="28"/>
          <w:lang w:val="en-US"/>
        </w:rPr>
        <w:t xml:space="preserve"> the possibility of future extradition to the United States on account of his involvement in the dissemination of sensitive material. Following an extended legal procedure, which involved his pursuit of asylum at the Embassy of Ecuador, Assange was </w:t>
      </w:r>
      <w:r w:rsidRPr="19E3C984" w:rsidR="55B7E316">
        <w:rPr>
          <w:rFonts w:ascii="Calibri" w:hAnsi="Calibri" w:eastAsia="Calibri" w:cs="Calibri"/>
          <w:noProof w:val="0"/>
          <w:sz w:val="28"/>
          <w:szCs w:val="28"/>
          <w:lang w:val="en-US"/>
        </w:rPr>
        <w:t>apprehended</w:t>
      </w:r>
      <w:r w:rsidRPr="19E3C984" w:rsidR="795F4B16">
        <w:rPr>
          <w:rFonts w:ascii="Calibri" w:hAnsi="Calibri" w:eastAsia="Calibri" w:cs="Calibri"/>
          <w:noProof w:val="0"/>
          <w:sz w:val="28"/>
          <w:szCs w:val="28"/>
          <w:lang w:val="en-US"/>
        </w:rPr>
        <w:t xml:space="preserve"> in the United Kingdom. In the year 2021, a court in the United Kingdom </w:t>
      </w:r>
      <w:r w:rsidRPr="19E3C984" w:rsidR="795F4B16">
        <w:rPr>
          <w:rFonts w:ascii="Calibri" w:hAnsi="Calibri" w:eastAsia="Calibri" w:cs="Calibri"/>
          <w:noProof w:val="0"/>
          <w:sz w:val="28"/>
          <w:szCs w:val="28"/>
          <w:lang w:val="en-US"/>
        </w:rPr>
        <w:t>rendered</w:t>
      </w:r>
      <w:r w:rsidRPr="19E3C984" w:rsidR="795F4B16">
        <w:rPr>
          <w:rFonts w:ascii="Calibri" w:hAnsi="Calibri" w:eastAsia="Calibri" w:cs="Calibri"/>
          <w:noProof w:val="0"/>
          <w:sz w:val="28"/>
          <w:szCs w:val="28"/>
          <w:lang w:val="en-US"/>
        </w:rPr>
        <w:t xml:space="preserve"> a decision against his extradition to the United States on the grounds of apprehensions for his mental well-being (Guardian, 2012). The </w:t>
      </w:r>
      <w:r w:rsidRPr="19E3C984" w:rsidR="463CE5B9">
        <w:rPr>
          <w:rFonts w:ascii="Calibri" w:hAnsi="Calibri" w:eastAsia="Calibri" w:cs="Calibri"/>
          <w:noProof w:val="0"/>
          <w:sz w:val="28"/>
          <w:szCs w:val="28"/>
          <w:lang w:val="en-US"/>
        </w:rPr>
        <w:t>case</w:t>
      </w:r>
      <w:r w:rsidRPr="19E3C984" w:rsidR="795F4B16">
        <w:rPr>
          <w:rFonts w:ascii="Calibri" w:hAnsi="Calibri" w:eastAsia="Calibri" w:cs="Calibri"/>
          <w:noProof w:val="0"/>
          <w:sz w:val="28"/>
          <w:szCs w:val="28"/>
          <w:lang w:val="en-US"/>
        </w:rPr>
        <w:t xml:space="preserve"> has sparked discussions </w:t>
      </w:r>
      <w:r w:rsidRPr="19E3C984" w:rsidR="795F4B16">
        <w:rPr>
          <w:rFonts w:ascii="Calibri" w:hAnsi="Calibri" w:eastAsia="Calibri" w:cs="Calibri"/>
          <w:noProof w:val="0"/>
          <w:sz w:val="28"/>
          <w:szCs w:val="28"/>
          <w:lang w:val="en-US"/>
        </w:rPr>
        <w:t>pertaining to</w:t>
      </w:r>
      <w:r w:rsidRPr="19E3C984" w:rsidR="795F4B16">
        <w:rPr>
          <w:rFonts w:ascii="Calibri" w:hAnsi="Calibri" w:eastAsia="Calibri" w:cs="Calibri"/>
          <w:noProof w:val="0"/>
          <w:sz w:val="28"/>
          <w:szCs w:val="28"/>
          <w:lang w:val="en-US"/>
        </w:rPr>
        <w:t xml:space="preserve"> the principles of media autonomy, the application of global legal frameworks, and the entitlements of individuals implicated in the dissemination of confidential data (Davies, 2011)</w:t>
      </w:r>
      <w:r w:rsidRPr="19E3C984" w:rsidR="4120FC49">
        <w:rPr>
          <w:rFonts w:ascii="Calibri" w:hAnsi="Calibri" w:eastAsia="Calibri" w:cs="Calibri"/>
          <w:noProof w:val="0"/>
          <w:sz w:val="28"/>
          <w:szCs w:val="28"/>
          <w:lang w:val="en-US"/>
        </w:rPr>
        <w:t xml:space="preserve"> Understanding the legal context of battery is crucial before exploring the idea of permission. </w:t>
      </w:r>
      <w:r w:rsidRPr="19E3C984" w:rsidR="69FA1680">
        <w:rPr>
          <w:rFonts w:ascii="Calibri" w:hAnsi="Calibri" w:eastAsia="Calibri" w:cs="Calibri"/>
          <w:noProof w:val="0"/>
          <w:sz w:val="28"/>
          <w:szCs w:val="28"/>
          <w:lang w:val="en-US"/>
        </w:rPr>
        <w:t>Unlawful physical contact, such as battery, is a criminal and civil tort.</w:t>
      </w:r>
      <w:r w:rsidRPr="19E3C984" w:rsidR="4120FC49">
        <w:rPr>
          <w:rFonts w:ascii="Calibri" w:hAnsi="Calibri" w:eastAsia="Calibri" w:cs="Calibri"/>
          <w:noProof w:val="0"/>
          <w:sz w:val="28"/>
          <w:szCs w:val="28"/>
          <w:lang w:val="en-US"/>
        </w:rPr>
        <w:t xml:space="preserve"> Both common law and statutory concepts apply to battery in UK law (GOV, 2023</w:t>
      </w:r>
      <w:r w:rsidRPr="19E3C984" w:rsidR="1335021F">
        <w:rPr>
          <w:rFonts w:ascii="Calibri" w:hAnsi="Calibri" w:eastAsia="Calibri" w:cs="Calibri"/>
          <w:noProof w:val="0"/>
          <w:sz w:val="28"/>
          <w:szCs w:val="28"/>
          <w:lang w:val="en-US"/>
        </w:rPr>
        <w:t>). The</w:t>
      </w:r>
      <w:r w:rsidRPr="19E3C984" w:rsidR="4120FC49">
        <w:rPr>
          <w:rFonts w:ascii="Calibri" w:hAnsi="Calibri" w:eastAsia="Calibri" w:cs="Calibri"/>
          <w:noProof w:val="0"/>
          <w:sz w:val="28"/>
          <w:szCs w:val="28"/>
          <w:lang w:val="en-US"/>
        </w:rPr>
        <w:t xml:space="preserve"> importance of permission is one of the basic ideas that underpins battery cases</w:t>
      </w:r>
      <w:r w:rsidRPr="19E3C984" w:rsidR="795F4B16">
        <w:rPr>
          <w:rFonts w:ascii="Calibri" w:hAnsi="Calibri" w:eastAsia="Calibri" w:cs="Calibri"/>
          <w:noProof w:val="0"/>
          <w:sz w:val="28"/>
          <w:szCs w:val="28"/>
          <w:lang w:val="en-US"/>
        </w:rPr>
        <w:t>.</w:t>
      </w:r>
      <w:r w:rsidRPr="19E3C984" w:rsidR="3ABA65E5">
        <w:rPr>
          <w:rFonts w:ascii="Calibri" w:hAnsi="Calibri" w:eastAsia="Calibri" w:cs="Calibri"/>
          <w:noProof w:val="0"/>
          <w:sz w:val="28"/>
          <w:szCs w:val="28"/>
          <w:lang w:val="en-US"/>
        </w:rPr>
        <w:t xml:space="preserve"> Consent can protect a person from battery accusations in criminal law. </w:t>
      </w:r>
      <w:r w:rsidRPr="19E3C984" w:rsidR="58CFEB7E">
        <w:rPr>
          <w:rFonts w:ascii="Calibri" w:hAnsi="Calibri" w:eastAsia="Calibri" w:cs="Calibri"/>
          <w:noProof w:val="0"/>
          <w:sz w:val="28"/>
          <w:szCs w:val="28"/>
          <w:lang w:val="en-US"/>
        </w:rPr>
        <w:t>But for consent to be an effective defense, it must meet certain requirements.</w:t>
      </w:r>
      <w:r w:rsidRPr="19E3C984" w:rsidR="3ABA65E5">
        <w:rPr>
          <w:rFonts w:ascii="Calibri" w:hAnsi="Calibri" w:eastAsia="Calibri" w:cs="Calibri"/>
          <w:noProof w:val="0"/>
          <w:sz w:val="28"/>
          <w:szCs w:val="28"/>
          <w:lang w:val="en-US"/>
        </w:rPr>
        <w:t xml:space="preserve"> It needs to be freely offered, transparent, informed, and voluntary. To protect people from being forced into unwelcome physical contact, the UK legal system heavily emphasizes the voluntariness of consent (Jones, 2012). A well-known case that clarifies the significance of consent within the legal system is R v. Brown (1993). Here, a group of people </w:t>
      </w:r>
      <w:r w:rsidRPr="19E3C984" w:rsidR="3ABA65E5">
        <w:rPr>
          <w:rFonts w:ascii="Calibri" w:hAnsi="Calibri" w:eastAsia="Calibri" w:cs="Calibri"/>
          <w:noProof w:val="0"/>
          <w:sz w:val="28"/>
          <w:szCs w:val="28"/>
          <w:lang w:val="en-US"/>
        </w:rPr>
        <w:t>participated</w:t>
      </w:r>
      <w:r w:rsidRPr="19E3C984" w:rsidR="3ABA65E5">
        <w:rPr>
          <w:rFonts w:ascii="Calibri" w:hAnsi="Calibri" w:eastAsia="Calibri" w:cs="Calibri"/>
          <w:noProof w:val="0"/>
          <w:sz w:val="28"/>
          <w:szCs w:val="28"/>
          <w:lang w:val="en-US"/>
        </w:rPr>
        <w:t xml:space="preserve"> in acts of violence and harm that were consensually sadomasochistic.</w:t>
      </w:r>
      <w:r w:rsidRPr="19E3C984" w:rsidR="3ABA65E5">
        <w:rPr>
          <w:rFonts w:ascii="Calibri" w:hAnsi="Calibri" w:eastAsia="Calibri" w:cs="Calibri"/>
          <w:noProof w:val="0"/>
          <w:sz w:val="28"/>
          <w:szCs w:val="28"/>
          <w:lang w:val="en-US"/>
        </w:rPr>
        <w:t xml:space="preserve"> The court's decision made it clear that permission could not be used as a </w:t>
      </w:r>
      <w:r w:rsidRPr="19E3C984" w:rsidR="35C8D04B">
        <w:rPr>
          <w:rFonts w:ascii="Calibri" w:hAnsi="Calibri" w:eastAsia="Calibri" w:cs="Calibri"/>
          <w:noProof w:val="0"/>
          <w:sz w:val="28"/>
          <w:szCs w:val="28"/>
          <w:lang w:val="en-US"/>
        </w:rPr>
        <w:t>defense</w:t>
      </w:r>
      <w:r w:rsidRPr="19E3C984" w:rsidR="3ABA65E5">
        <w:rPr>
          <w:rFonts w:ascii="Calibri" w:hAnsi="Calibri" w:eastAsia="Calibri" w:cs="Calibri"/>
          <w:noProof w:val="0"/>
          <w:sz w:val="28"/>
          <w:szCs w:val="28"/>
          <w:lang w:val="en-US"/>
        </w:rPr>
        <w:t xml:space="preserve"> in situations when there has been </w:t>
      </w:r>
      <w:r w:rsidRPr="19E3C984" w:rsidR="21A41931">
        <w:rPr>
          <w:rFonts w:ascii="Calibri" w:hAnsi="Calibri" w:eastAsia="Calibri" w:cs="Calibri"/>
          <w:noProof w:val="0"/>
          <w:sz w:val="28"/>
          <w:szCs w:val="28"/>
          <w:lang w:val="en-US"/>
        </w:rPr>
        <w:t>severe injury</w:t>
      </w:r>
      <w:r w:rsidRPr="19E3C984" w:rsidR="3ABA65E5">
        <w:rPr>
          <w:rFonts w:ascii="Calibri" w:hAnsi="Calibri" w:eastAsia="Calibri" w:cs="Calibri"/>
          <w:noProof w:val="0"/>
          <w:sz w:val="28"/>
          <w:szCs w:val="28"/>
          <w:lang w:val="en-US"/>
        </w:rPr>
        <w:t xml:space="preserve"> or harm. This ruling </w:t>
      </w:r>
      <w:r w:rsidRPr="19E3C984" w:rsidR="290213D9">
        <w:rPr>
          <w:rFonts w:ascii="Calibri" w:hAnsi="Calibri" w:eastAsia="Calibri" w:cs="Calibri"/>
          <w:noProof w:val="0"/>
          <w:sz w:val="28"/>
          <w:szCs w:val="28"/>
          <w:lang w:val="en-US"/>
        </w:rPr>
        <w:t>emphasizes</w:t>
      </w:r>
      <w:r w:rsidRPr="19E3C984" w:rsidR="3ABA65E5">
        <w:rPr>
          <w:rFonts w:ascii="Calibri" w:hAnsi="Calibri" w:eastAsia="Calibri" w:cs="Calibri"/>
          <w:noProof w:val="0"/>
          <w:sz w:val="28"/>
          <w:szCs w:val="28"/>
          <w:lang w:val="en-US"/>
        </w:rPr>
        <w:t xml:space="preserve"> the idea that activities that cause </w:t>
      </w:r>
      <w:r w:rsidRPr="19E3C984" w:rsidR="245DCF1F">
        <w:rPr>
          <w:rFonts w:ascii="Calibri" w:hAnsi="Calibri" w:eastAsia="Calibri" w:cs="Calibri"/>
          <w:noProof w:val="0"/>
          <w:sz w:val="28"/>
          <w:szCs w:val="28"/>
          <w:lang w:val="en-US"/>
        </w:rPr>
        <w:t>significant injury</w:t>
      </w:r>
      <w:r w:rsidRPr="19E3C984" w:rsidR="3ABA65E5">
        <w:rPr>
          <w:rFonts w:ascii="Calibri" w:hAnsi="Calibri" w:eastAsia="Calibri" w:cs="Calibri"/>
          <w:noProof w:val="0"/>
          <w:sz w:val="28"/>
          <w:szCs w:val="28"/>
          <w:lang w:val="en-US"/>
        </w:rPr>
        <w:t xml:space="preserve"> cannot be justified by consent.</w:t>
      </w:r>
    </w:p>
    <w:p w:rsidR="3ABA65E5" w:rsidP="19E3C984" w:rsidRDefault="3ABA65E5" w14:paraId="7EE3AFFB" w14:textId="005D0696">
      <w:pPr>
        <w:pStyle w:val="Normal"/>
        <w:spacing w:before="0" w:beforeAutospacing="off" w:after="160" w:afterAutospacing="off" w:line="257" w:lineRule="auto"/>
      </w:pPr>
      <w:r w:rsidRPr="19E3C984" w:rsidR="3ABA65E5">
        <w:rPr>
          <w:rFonts w:ascii="Calibri" w:hAnsi="Calibri" w:eastAsia="Calibri" w:cs="Calibri"/>
          <w:noProof w:val="0"/>
          <w:sz w:val="28"/>
          <w:szCs w:val="28"/>
          <w:lang w:val="en-US"/>
        </w:rPr>
        <w:t xml:space="preserve">The legitimacy of permission is crucial in </w:t>
      </w:r>
      <w:r w:rsidRPr="19E3C984" w:rsidR="3ABA65E5">
        <w:rPr>
          <w:rFonts w:ascii="Calibri" w:hAnsi="Calibri" w:eastAsia="Calibri" w:cs="Calibri"/>
          <w:noProof w:val="0"/>
          <w:sz w:val="28"/>
          <w:szCs w:val="28"/>
          <w:lang w:val="en-US"/>
        </w:rPr>
        <w:t>establishing</w:t>
      </w:r>
      <w:r w:rsidRPr="19E3C984" w:rsidR="3ABA65E5">
        <w:rPr>
          <w:rFonts w:ascii="Calibri" w:hAnsi="Calibri" w:eastAsia="Calibri" w:cs="Calibri"/>
          <w:noProof w:val="0"/>
          <w:sz w:val="28"/>
          <w:szCs w:val="28"/>
          <w:lang w:val="en-US"/>
        </w:rPr>
        <w:t xml:space="preserve"> the legality of an act in the context of criminal law. In battery cases, the UK legal system </w:t>
      </w:r>
      <w:r w:rsidRPr="19E3C984" w:rsidR="3ABA65E5">
        <w:rPr>
          <w:rFonts w:ascii="Calibri" w:hAnsi="Calibri" w:eastAsia="Calibri" w:cs="Calibri"/>
          <w:noProof w:val="0"/>
          <w:sz w:val="28"/>
          <w:szCs w:val="28"/>
          <w:lang w:val="en-US"/>
        </w:rPr>
        <w:t>establishes</w:t>
      </w:r>
      <w:r w:rsidRPr="19E3C984" w:rsidR="3ABA65E5">
        <w:rPr>
          <w:rFonts w:ascii="Calibri" w:hAnsi="Calibri" w:eastAsia="Calibri" w:cs="Calibri"/>
          <w:noProof w:val="0"/>
          <w:sz w:val="28"/>
          <w:szCs w:val="28"/>
          <w:lang w:val="en-US"/>
        </w:rPr>
        <w:t xml:space="preserve"> precise guidelines for what constitutes legitimate consent. Ensuring that consent is freely provided, fully informed, and voluntarily is crucial. An important case that contributes to defining the criteria of legitimate consent is R v. Chan-Fook (1994). The court decided that in this instance, the complainant's consent had to be genuine, and the prosecution had to show that the complainant </w:t>
      </w:r>
      <w:r w:rsidRPr="19E3C984" w:rsidR="4582E091">
        <w:rPr>
          <w:rFonts w:ascii="Calibri" w:hAnsi="Calibri" w:eastAsia="Calibri" w:cs="Calibri"/>
          <w:noProof w:val="0"/>
          <w:sz w:val="28"/>
          <w:szCs w:val="28"/>
          <w:lang w:val="en-US"/>
        </w:rPr>
        <w:t>had not</w:t>
      </w:r>
      <w:r w:rsidRPr="19E3C984" w:rsidR="3ABA65E5">
        <w:rPr>
          <w:rFonts w:ascii="Calibri" w:hAnsi="Calibri" w:eastAsia="Calibri" w:cs="Calibri"/>
          <w:noProof w:val="0"/>
          <w:sz w:val="28"/>
          <w:szCs w:val="28"/>
          <w:lang w:val="en-US"/>
        </w:rPr>
        <w:t xml:space="preserve"> given genuine consent. This ruling highlights the necessity of a sincere and voluntary consent.</w:t>
      </w:r>
      <w:r w:rsidRPr="19E3C984" w:rsidR="43D731E6">
        <w:rPr>
          <w:rFonts w:ascii="Calibri" w:hAnsi="Calibri" w:eastAsia="Calibri" w:cs="Calibri"/>
          <w:noProof w:val="0"/>
          <w:sz w:val="28"/>
          <w:szCs w:val="28"/>
          <w:lang w:val="en-US"/>
        </w:rPr>
        <w:t xml:space="preserve"> It is crucial to have informed consent, especially when it comes to medical treatment. Informed consent becomes an essential ethical and legal necessity for medical operations involving physical touch or potential injury. Before giving their consent, patients have the right to information </w:t>
      </w:r>
      <w:r w:rsidRPr="19E3C984" w:rsidR="43D731E6">
        <w:rPr>
          <w:rFonts w:ascii="Calibri" w:hAnsi="Calibri" w:eastAsia="Calibri" w:cs="Calibri"/>
          <w:noProof w:val="0"/>
          <w:sz w:val="28"/>
          <w:szCs w:val="28"/>
          <w:lang w:val="en-US"/>
        </w:rPr>
        <w:t>regarding</w:t>
      </w:r>
      <w:r w:rsidRPr="19E3C984" w:rsidR="43D731E6">
        <w:rPr>
          <w:rFonts w:ascii="Calibri" w:hAnsi="Calibri" w:eastAsia="Calibri" w:cs="Calibri"/>
          <w:noProof w:val="0"/>
          <w:sz w:val="28"/>
          <w:szCs w:val="28"/>
          <w:lang w:val="en-US"/>
        </w:rPr>
        <w:t xml:space="preserve"> the nature and dangers of a medical operation. The 2015 case Montgomery v. Lanarkshire Health Board is a seminal case that shaped the notion of informed consent in the medical field.</w:t>
      </w:r>
      <w:r w:rsidRPr="19E3C984" w:rsidR="3D709B82">
        <w:rPr>
          <w:rFonts w:ascii="Calibri" w:hAnsi="Calibri" w:eastAsia="Calibri" w:cs="Calibri"/>
          <w:noProof w:val="0"/>
          <w:sz w:val="28"/>
          <w:szCs w:val="28"/>
          <w:lang w:val="en-US"/>
        </w:rPr>
        <w:t xml:space="preserve"> In this instance, the court decided that physicians have an obligation to </w:t>
      </w:r>
      <w:r w:rsidRPr="19E3C984" w:rsidR="3D709B82">
        <w:rPr>
          <w:rFonts w:ascii="Calibri" w:hAnsi="Calibri" w:eastAsia="Calibri" w:cs="Calibri"/>
          <w:noProof w:val="0"/>
          <w:sz w:val="28"/>
          <w:szCs w:val="28"/>
          <w:lang w:val="en-US"/>
        </w:rPr>
        <w:t>advise</w:t>
      </w:r>
      <w:r w:rsidRPr="19E3C984" w:rsidR="3D709B82">
        <w:rPr>
          <w:rFonts w:ascii="Calibri" w:hAnsi="Calibri" w:eastAsia="Calibri" w:cs="Calibri"/>
          <w:noProof w:val="0"/>
          <w:sz w:val="28"/>
          <w:szCs w:val="28"/>
          <w:lang w:val="en-US"/>
        </w:rPr>
        <w:t xml:space="preserve"> their patients of any serious dangers. The permission could be void if this information is withheld.</w:t>
      </w:r>
    </w:p>
    <w:p w:rsidR="3D709B82" w:rsidP="19E3C984" w:rsidRDefault="3D709B82" w14:paraId="2D4D3270" w14:textId="3F35AFCA">
      <w:pPr>
        <w:pStyle w:val="Normal"/>
        <w:spacing w:before="0" w:beforeAutospacing="off" w:after="160" w:afterAutospacing="off" w:line="257" w:lineRule="auto"/>
      </w:pPr>
      <w:r w:rsidRPr="19E3C984" w:rsidR="3D709B82">
        <w:rPr>
          <w:rFonts w:ascii="Calibri" w:hAnsi="Calibri" w:eastAsia="Calibri" w:cs="Calibri"/>
          <w:noProof w:val="0"/>
          <w:sz w:val="28"/>
          <w:szCs w:val="28"/>
          <w:lang w:val="en-US"/>
        </w:rPr>
        <w:t>Intimate relationships are another context in which consent is crucial. Even while personal connections are normally seen as private, the law steps in when things that happen in these relationships hurt someone. An insightful case that tackles the subject of consent in married relationships is R v.</w:t>
      </w:r>
      <w:r w:rsidRPr="19E3C984" w:rsidR="3D709B82">
        <w:rPr>
          <w:rFonts w:ascii="Calibri" w:hAnsi="Calibri" w:eastAsia="Calibri" w:cs="Calibri"/>
          <w:noProof w:val="0"/>
          <w:sz w:val="28"/>
          <w:szCs w:val="28"/>
          <w:lang w:val="en-US"/>
        </w:rPr>
        <w:t xml:space="preserve"> Wilson (1996). Here, the accused makes an argument.</w:t>
      </w:r>
    </w:p>
    <w:p w:rsidR="3D709B82" w:rsidP="19E3C984" w:rsidRDefault="3D709B82" w14:paraId="2BEEC2CB" w14:textId="5E2612EC">
      <w:pPr>
        <w:pStyle w:val="Normal"/>
        <w:spacing w:before="0" w:beforeAutospacing="off" w:after="160" w:afterAutospacing="off" w:line="257" w:lineRule="auto"/>
        <w:rPr>
          <w:rFonts w:ascii="Calibri" w:hAnsi="Calibri" w:eastAsia="Calibri" w:cs="Calibri"/>
          <w:noProof w:val="0"/>
          <w:sz w:val="28"/>
          <w:szCs w:val="28"/>
          <w:lang w:val="en-US"/>
        </w:rPr>
      </w:pPr>
      <w:r w:rsidRPr="19E3C984" w:rsidR="3D709B82">
        <w:rPr>
          <w:rFonts w:ascii="Calibri" w:hAnsi="Calibri" w:eastAsia="Calibri" w:cs="Calibri"/>
          <w:noProof w:val="0"/>
          <w:sz w:val="28"/>
          <w:szCs w:val="28"/>
          <w:lang w:val="en-US"/>
        </w:rPr>
        <w:t xml:space="preserve">In addition to being a legal issue, the idea of permission also brings up ethical issues, especially when people must make difficult choices. Conflicts between autonomy, beneficence, and non-maleficence can give rise to ethical quandaries. For example, in the healthcare industry, it can be difficult to decide whether to respect a patient's decision even if it could cause harm or to step in to ensure their well-being. </w:t>
      </w:r>
      <w:r w:rsidRPr="19E3C984" w:rsidR="38C0A2D1">
        <w:rPr>
          <w:rFonts w:ascii="Calibri" w:hAnsi="Calibri" w:eastAsia="Calibri" w:cs="Calibri"/>
          <w:noProof w:val="0"/>
          <w:sz w:val="28"/>
          <w:szCs w:val="28"/>
          <w:lang w:val="en-US"/>
        </w:rPr>
        <w:t>Real-world ethical conundrums can include people who want medically inappropriate procedures or patients who can make their own decisions but refuse life-saving care.</w:t>
      </w:r>
      <w:r w:rsidRPr="19E3C984" w:rsidR="3D709B82">
        <w:rPr>
          <w:rFonts w:ascii="Calibri" w:hAnsi="Calibri" w:eastAsia="Calibri" w:cs="Calibri"/>
          <w:noProof w:val="0"/>
          <w:sz w:val="28"/>
          <w:szCs w:val="28"/>
          <w:lang w:val="en-US"/>
        </w:rPr>
        <w:t xml:space="preserve"> To resolve these conflicts, medical ethics committees and ethical frameworks are </w:t>
      </w:r>
      <w:r w:rsidRPr="19E3C984" w:rsidR="3D709B82">
        <w:rPr>
          <w:rFonts w:ascii="Calibri" w:hAnsi="Calibri" w:eastAsia="Calibri" w:cs="Calibri"/>
          <w:noProof w:val="0"/>
          <w:sz w:val="28"/>
          <w:szCs w:val="28"/>
          <w:lang w:val="en-US"/>
        </w:rPr>
        <w:t>frequently</w:t>
      </w:r>
      <w:r w:rsidRPr="19E3C984" w:rsidR="3D709B82">
        <w:rPr>
          <w:rFonts w:ascii="Calibri" w:hAnsi="Calibri" w:eastAsia="Calibri" w:cs="Calibri"/>
          <w:noProof w:val="0"/>
          <w:sz w:val="28"/>
          <w:szCs w:val="28"/>
          <w:lang w:val="en-US"/>
        </w:rPr>
        <w:t xml:space="preserve"> consulted. In conclusion, there are connections between battery cases and the idea of consent in the legal system of the United Kingdom. Whether in violence cases, romantic relationships, medical treatment, or personal data protection, the legitimacy of permission is crucial to </w:t>
      </w:r>
      <w:r w:rsidRPr="19E3C984" w:rsidR="3D709B82">
        <w:rPr>
          <w:rFonts w:ascii="Calibri" w:hAnsi="Calibri" w:eastAsia="Calibri" w:cs="Calibri"/>
          <w:noProof w:val="0"/>
          <w:sz w:val="28"/>
          <w:szCs w:val="28"/>
          <w:lang w:val="en-US"/>
        </w:rPr>
        <w:t>establishing</w:t>
      </w:r>
      <w:r w:rsidRPr="19E3C984" w:rsidR="3D709B82">
        <w:rPr>
          <w:rFonts w:ascii="Calibri" w:hAnsi="Calibri" w:eastAsia="Calibri" w:cs="Calibri"/>
          <w:noProof w:val="0"/>
          <w:sz w:val="28"/>
          <w:szCs w:val="28"/>
          <w:lang w:val="en-US"/>
        </w:rPr>
        <w:t xml:space="preserve"> the legality of acts. True stories like Montgomery v. Lanarkshire Health Board, R v. Chan-Fook, R v. Brown, and Lloyd v. Google show how crucial voluntary and informed permission is in a variety of situations.</w:t>
      </w:r>
      <w:r w:rsidRPr="19E3C984" w:rsidR="0BA1CF12">
        <w:rPr>
          <w:rFonts w:ascii="Calibri" w:hAnsi="Calibri" w:eastAsia="Calibri" w:cs="Calibri"/>
          <w:noProof w:val="0"/>
          <w:sz w:val="28"/>
          <w:szCs w:val="28"/>
          <w:lang w:val="en-US"/>
        </w:rPr>
        <w:t xml:space="preserve"> But the ambiguities and difficulties in </w:t>
      </w:r>
      <w:r w:rsidRPr="19E3C984" w:rsidR="0BA1CF12">
        <w:rPr>
          <w:rFonts w:ascii="Calibri" w:hAnsi="Calibri" w:eastAsia="Calibri" w:cs="Calibri"/>
          <w:noProof w:val="0"/>
          <w:sz w:val="28"/>
          <w:szCs w:val="28"/>
          <w:lang w:val="en-US"/>
        </w:rPr>
        <w:t>determining</w:t>
      </w:r>
      <w:r w:rsidRPr="19E3C984" w:rsidR="0BA1CF12">
        <w:rPr>
          <w:rFonts w:ascii="Calibri" w:hAnsi="Calibri" w:eastAsia="Calibri" w:cs="Calibri"/>
          <w:noProof w:val="0"/>
          <w:sz w:val="28"/>
          <w:szCs w:val="28"/>
          <w:lang w:val="en-US"/>
        </w:rPr>
        <w:t xml:space="preserve"> consent highlight the necessity of precise legal guidelines and a sophisticated definition of consent. The complexity of this idea is further highlighted by the R v. Bree case and the moral conundrums that can occur while making decisions </w:t>
      </w:r>
      <w:r w:rsidRPr="19E3C984" w:rsidR="0BA1CF12">
        <w:rPr>
          <w:rFonts w:ascii="Calibri" w:hAnsi="Calibri" w:eastAsia="Calibri" w:cs="Calibri"/>
          <w:noProof w:val="0"/>
          <w:sz w:val="28"/>
          <w:szCs w:val="28"/>
          <w:lang w:val="en-US"/>
        </w:rPr>
        <w:t>pertaining to</w:t>
      </w:r>
      <w:r w:rsidRPr="19E3C984" w:rsidR="0BA1CF12">
        <w:rPr>
          <w:rFonts w:ascii="Calibri" w:hAnsi="Calibri" w:eastAsia="Calibri" w:cs="Calibri"/>
          <w:noProof w:val="0"/>
          <w:sz w:val="28"/>
          <w:szCs w:val="28"/>
          <w:lang w:val="en-US"/>
        </w:rPr>
        <w:t xml:space="preserve"> </w:t>
      </w:r>
      <w:r w:rsidRPr="19E3C984" w:rsidR="14BDF8B0">
        <w:rPr>
          <w:rFonts w:ascii="Calibri" w:hAnsi="Calibri" w:eastAsia="Calibri" w:cs="Calibri"/>
          <w:noProof w:val="0"/>
          <w:sz w:val="28"/>
          <w:szCs w:val="28"/>
          <w:lang w:val="en-US"/>
        </w:rPr>
        <w:t>consent. Achieving</w:t>
      </w:r>
      <w:r w:rsidRPr="19E3C984" w:rsidR="0BA1CF12">
        <w:rPr>
          <w:rFonts w:ascii="Calibri" w:hAnsi="Calibri" w:eastAsia="Calibri" w:cs="Calibri"/>
          <w:noProof w:val="0"/>
          <w:sz w:val="28"/>
          <w:szCs w:val="28"/>
          <w:lang w:val="en-US"/>
        </w:rPr>
        <w:t xml:space="preserve"> a balance between the requirement for legal accountability and individual autonomy is crucial while negotiating these problems. Although the law protects people's rights and welfare, it is a dynamic field that must keep up with changing social norms and technological developments Legal practitioners, healthcare providers, and society at large have an obligation to guarantee that consent is always based on real, voluntary, and informed agreement, protecting individual </w:t>
      </w:r>
      <w:r w:rsidRPr="19E3C984" w:rsidR="77E99EDA">
        <w:rPr>
          <w:rFonts w:ascii="Calibri" w:hAnsi="Calibri" w:eastAsia="Calibri" w:cs="Calibri"/>
          <w:noProof w:val="0"/>
          <w:sz w:val="28"/>
          <w:szCs w:val="28"/>
          <w:lang w:val="en-US"/>
        </w:rPr>
        <w:t>autonomy,</w:t>
      </w:r>
      <w:r w:rsidRPr="19E3C984" w:rsidR="0BA1CF12">
        <w:rPr>
          <w:rFonts w:ascii="Calibri" w:hAnsi="Calibri" w:eastAsia="Calibri" w:cs="Calibri"/>
          <w:noProof w:val="0"/>
          <w:sz w:val="28"/>
          <w:szCs w:val="28"/>
          <w:lang w:val="en-US"/>
        </w:rPr>
        <w:t xml:space="preserve"> and adhering to ethical standards</w:t>
      </w:r>
      <w:r w:rsidRPr="19E3C984" w:rsidR="0BA1CF12">
        <w:rPr>
          <w:rFonts w:ascii="Calibri" w:hAnsi="Calibri" w:eastAsia="Calibri" w:cs="Calibri"/>
          <w:noProof w:val="0"/>
          <w:sz w:val="28"/>
          <w:szCs w:val="28"/>
          <w:lang w:val="en-US"/>
        </w:rPr>
        <w:t>.</w:t>
      </w:r>
    </w:p>
    <w:p w:rsidR="19E3C984" w:rsidP="19E3C984" w:rsidRDefault="19E3C984" w14:paraId="5970EDEF" w14:textId="08510219">
      <w:pPr>
        <w:pStyle w:val="Normal"/>
        <w:rPr>
          <w:rFonts w:ascii="Calibri" w:hAnsi="Calibri" w:eastAsia="Calibri" w:cs="Calibri"/>
          <w:noProof w:val="0"/>
          <w:sz w:val="28"/>
          <w:szCs w:val="28"/>
          <w:lang w:val="en-US"/>
        </w:rPr>
      </w:pPr>
    </w:p>
    <w:p w:rsidR="25E8C615" w:rsidP="19E3C984" w:rsidRDefault="25E8C615" w14:paraId="36DC26D8" w14:textId="6A925364">
      <w:pPr>
        <w:spacing w:before="0" w:beforeAutospacing="off" w:after="160" w:afterAutospacing="off" w:line="257" w:lineRule="auto"/>
      </w:pPr>
      <w:r w:rsidRPr="19E3C984" w:rsidR="25E8C615">
        <w:rPr>
          <w:rFonts w:ascii="Calibri" w:hAnsi="Calibri" w:eastAsia="Calibri" w:cs="Calibri"/>
          <w:noProof w:val="0"/>
          <w:sz w:val="28"/>
          <w:szCs w:val="28"/>
          <w:lang w:val="en-US"/>
        </w:rPr>
        <w:t>R v. Brown [1993] 2 All ER 75.</w:t>
      </w:r>
    </w:p>
    <w:p w:rsidR="25E8C615" w:rsidP="19E3C984" w:rsidRDefault="25E8C615" w14:paraId="73F0E704" w14:textId="6D84C1D4">
      <w:pPr>
        <w:spacing w:before="0" w:beforeAutospacing="off" w:after="160" w:afterAutospacing="off" w:line="257" w:lineRule="auto"/>
      </w:pPr>
      <w:r w:rsidRPr="19E3C984" w:rsidR="25E8C615">
        <w:rPr>
          <w:rFonts w:ascii="Calibri" w:hAnsi="Calibri" w:eastAsia="Calibri" w:cs="Calibri"/>
          <w:noProof w:val="0"/>
          <w:sz w:val="28"/>
          <w:szCs w:val="28"/>
          <w:lang w:val="en-US"/>
        </w:rPr>
        <w:t>R v. Chan-Fook [1994] 2 All ER 552.</w:t>
      </w:r>
    </w:p>
    <w:p w:rsidR="25E8C615" w:rsidP="19E3C984" w:rsidRDefault="25E8C615" w14:paraId="0C502400" w14:textId="14F19C97">
      <w:pPr>
        <w:spacing w:before="0" w:beforeAutospacing="off" w:after="160" w:afterAutospacing="off" w:line="257" w:lineRule="auto"/>
      </w:pPr>
      <w:r w:rsidRPr="19E3C984" w:rsidR="25E8C615">
        <w:rPr>
          <w:rFonts w:ascii="Calibri" w:hAnsi="Calibri" w:eastAsia="Calibri" w:cs="Calibri"/>
          <w:noProof w:val="0"/>
          <w:sz w:val="28"/>
          <w:szCs w:val="28"/>
          <w:lang w:val="en-US"/>
        </w:rPr>
        <w:t>Montgomery v. Lanarkshire Health Board [2015] UKSC 11.</w:t>
      </w:r>
    </w:p>
    <w:p w:rsidR="25E8C615" w:rsidP="19E3C984" w:rsidRDefault="25E8C615" w14:paraId="17A6D368" w14:textId="027E079C">
      <w:pPr>
        <w:spacing w:before="0" w:beforeAutospacing="off" w:after="160" w:afterAutospacing="off" w:line="257" w:lineRule="auto"/>
      </w:pPr>
      <w:r w:rsidRPr="19E3C984" w:rsidR="25E8C615">
        <w:rPr>
          <w:rFonts w:ascii="Calibri" w:hAnsi="Calibri" w:eastAsia="Calibri" w:cs="Calibri"/>
          <w:noProof w:val="0"/>
          <w:sz w:val="28"/>
          <w:szCs w:val="28"/>
          <w:lang w:val="en-US"/>
        </w:rPr>
        <w:t>Lloyd v. Google LLC [2019] EWCA Civ 1599.</w:t>
      </w:r>
    </w:p>
    <w:p w:rsidR="25E8C615" w:rsidP="19E3C984" w:rsidRDefault="25E8C615" w14:paraId="5707B251" w14:textId="3800BB26">
      <w:pPr>
        <w:spacing w:before="0" w:beforeAutospacing="off" w:after="160" w:afterAutospacing="off" w:line="257" w:lineRule="auto"/>
      </w:pPr>
      <w:r w:rsidRPr="19E3C984" w:rsidR="25E8C615">
        <w:rPr>
          <w:rFonts w:ascii="Calibri" w:hAnsi="Calibri" w:eastAsia="Calibri" w:cs="Calibri"/>
          <w:noProof w:val="0"/>
          <w:sz w:val="28"/>
          <w:szCs w:val="28"/>
          <w:lang w:val="en-US"/>
        </w:rPr>
        <w:t>R v. Wilson [1996] 2 Cr App R 241.</w:t>
      </w:r>
    </w:p>
    <w:p w:rsidR="25E8C615" w:rsidP="19E3C984" w:rsidRDefault="25E8C615" w14:paraId="751713B7" w14:textId="6CC142E3">
      <w:pPr>
        <w:spacing w:before="0" w:beforeAutospacing="off" w:after="160" w:afterAutospacing="off" w:line="257" w:lineRule="auto"/>
      </w:pPr>
      <w:r w:rsidRPr="19E3C984" w:rsidR="25E8C615">
        <w:rPr>
          <w:rFonts w:ascii="Calibri" w:hAnsi="Calibri" w:eastAsia="Calibri" w:cs="Calibri"/>
          <w:noProof w:val="0"/>
          <w:sz w:val="28"/>
          <w:szCs w:val="28"/>
          <w:lang w:val="en-US"/>
        </w:rPr>
        <w:t>R v. Bree [2007] 2 Cr App R 18.</w:t>
      </w:r>
    </w:p>
    <w:p w:rsidR="25E8C615" w:rsidP="19E3C984" w:rsidRDefault="25E8C615" w14:paraId="7A73455F" w14:textId="34DC863C">
      <w:pPr>
        <w:spacing w:before="0" w:beforeAutospacing="off" w:after="160" w:afterAutospacing="off" w:line="257" w:lineRule="auto"/>
      </w:pPr>
      <w:r w:rsidRPr="19E3C984" w:rsidR="25E8C615">
        <w:rPr>
          <w:rFonts w:ascii="Calibri" w:hAnsi="Calibri" w:eastAsia="Calibri" w:cs="Calibri"/>
          <w:noProof w:val="0"/>
          <w:sz w:val="28"/>
          <w:szCs w:val="28"/>
          <w:lang w:val="en-US"/>
        </w:rPr>
        <w:t>R v. Collins (1864) 4 F. &amp; F. 982.</w:t>
      </w:r>
    </w:p>
    <w:p w:rsidR="25E8C615" w:rsidP="19E3C984" w:rsidRDefault="25E8C615" w14:paraId="0EBF08B0" w14:textId="4EBFC533">
      <w:pPr>
        <w:pStyle w:val="Normal"/>
      </w:pPr>
      <w:r w:rsidRPr="19E3C984" w:rsidR="25E8C615">
        <w:rPr>
          <w:rFonts w:ascii="Calibri" w:hAnsi="Calibri" w:eastAsia="Calibri" w:cs="Calibri"/>
          <w:noProof w:val="0"/>
          <w:sz w:val="28"/>
          <w:szCs w:val="28"/>
          <w:lang w:val="en-US"/>
        </w:rPr>
        <w:t>R v. Assange [2011] EWHC 2849</w:t>
      </w:r>
    </w:p>
    <w:p w:rsidR="19E3C984" w:rsidP="19E3C984" w:rsidRDefault="19E3C984" w14:paraId="5F49F192" w14:textId="6ECDC666">
      <w:pPr>
        <w:pStyle w:val="Normal"/>
        <w:rPr>
          <w:rFonts w:ascii="Calibri" w:hAnsi="Calibri" w:eastAsia="Calibri" w:cs="Calibri"/>
          <w:noProof w:val="0"/>
          <w:sz w:val="28"/>
          <w:szCs w:val="28"/>
          <w:lang w:val="en-US"/>
        </w:rPr>
      </w:pPr>
    </w:p>
    <w:p w:rsidR="25E8C615" w:rsidP="19E3C984" w:rsidRDefault="25E8C615" w14:paraId="2089CCB5" w14:textId="5E0E066F">
      <w:pPr>
        <w:spacing w:before="0" w:beforeAutospacing="off" w:after="160" w:afterAutospacing="off" w:line="257" w:lineRule="auto"/>
      </w:pPr>
      <w:r w:rsidRPr="19E3C984" w:rsidR="25E8C615">
        <w:rPr>
          <w:rFonts w:ascii="Calibri" w:hAnsi="Calibri" w:eastAsia="Calibri" w:cs="Calibri"/>
          <w:b w:val="1"/>
          <w:bCs w:val="1"/>
          <w:noProof w:val="0"/>
          <w:sz w:val="28"/>
          <w:szCs w:val="28"/>
          <w:lang w:val="en-US"/>
        </w:rPr>
        <w:t>HARVARD REFERENCES:</w:t>
      </w:r>
    </w:p>
    <w:p w:rsidR="25E8C615" w:rsidP="19E3C984" w:rsidRDefault="25E8C615" w14:paraId="03AFF0F9" w14:textId="1109E1C1">
      <w:pPr>
        <w:spacing w:before="0" w:beforeAutospacing="off" w:after="160" w:afterAutospacing="off" w:line="257" w:lineRule="auto"/>
      </w:pPr>
      <w:r w:rsidRPr="19E3C984" w:rsidR="25E8C615">
        <w:rPr>
          <w:rFonts w:ascii="Calibri" w:hAnsi="Calibri" w:eastAsia="Calibri" w:cs="Calibri"/>
          <w:b w:val="1"/>
          <w:bCs w:val="1"/>
          <w:noProof w:val="0"/>
          <w:sz w:val="28"/>
          <w:szCs w:val="28"/>
          <w:lang w:val="en-US"/>
        </w:rPr>
        <w:t xml:space="preserve"> </w:t>
      </w:r>
    </w:p>
    <w:p w:rsidR="25E8C615" w:rsidP="19E3C984" w:rsidRDefault="25E8C615" w14:paraId="7D99586B" w14:textId="49B9D0D4">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Davies R. (2011) An evolutionary step in intellectual property rights-Artificial intelligence and intellectual property. </w:t>
      </w:r>
      <w:r w:rsidRPr="19E3C984" w:rsidR="25E8C615">
        <w:rPr>
          <w:rFonts w:ascii="Calibri" w:hAnsi="Calibri" w:eastAsia="Calibri" w:cs="Calibri"/>
          <w:i w:val="1"/>
          <w:iCs w:val="1"/>
          <w:noProof w:val="0"/>
          <w:sz w:val="28"/>
          <w:szCs w:val="28"/>
          <w:lang w:val="en-US"/>
        </w:rPr>
        <w:t>Computer Law &amp; Security Review, 27(6), pp. 601-619.</w:t>
      </w:r>
    </w:p>
    <w:p w:rsidR="25E8C615" w:rsidP="19E3C984" w:rsidRDefault="25E8C615" w14:paraId="351364A0" w14:textId="3DB0C0AB">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Elliot C. (2016) </w:t>
      </w:r>
      <w:r w:rsidRPr="19E3C984" w:rsidR="25E8C615">
        <w:rPr>
          <w:rFonts w:ascii="Calibri" w:hAnsi="Calibri" w:eastAsia="Calibri" w:cs="Calibri"/>
          <w:i w:val="1"/>
          <w:iCs w:val="1"/>
          <w:noProof w:val="0"/>
          <w:sz w:val="28"/>
          <w:szCs w:val="28"/>
          <w:lang w:val="en-US"/>
        </w:rPr>
        <w:t>Criminal Law</w:t>
      </w:r>
      <w:r w:rsidRPr="19E3C984" w:rsidR="25E8C615">
        <w:rPr>
          <w:rFonts w:ascii="Calibri" w:hAnsi="Calibri" w:eastAsia="Calibri" w:cs="Calibri"/>
          <w:noProof w:val="0"/>
          <w:sz w:val="28"/>
          <w:szCs w:val="28"/>
          <w:lang w:val="en-US"/>
        </w:rPr>
        <w:t>. 11</w:t>
      </w:r>
      <w:r w:rsidRPr="19E3C984" w:rsidR="25E8C615">
        <w:rPr>
          <w:rFonts w:ascii="Calibri" w:hAnsi="Calibri" w:eastAsia="Calibri" w:cs="Calibri"/>
          <w:noProof w:val="0"/>
          <w:sz w:val="28"/>
          <w:szCs w:val="28"/>
          <w:vertAlign w:val="superscript"/>
          <w:lang w:val="en-US"/>
        </w:rPr>
        <w:t>th</w:t>
      </w:r>
      <w:r w:rsidRPr="19E3C984" w:rsidR="25E8C615">
        <w:rPr>
          <w:rFonts w:ascii="Calibri" w:hAnsi="Calibri" w:eastAsia="Calibri" w:cs="Calibri"/>
          <w:noProof w:val="0"/>
          <w:sz w:val="28"/>
          <w:szCs w:val="28"/>
          <w:lang w:val="en-US"/>
        </w:rPr>
        <w:t xml:space="preserve"> Edition. Pearson Education Limited.</w:t>
      </w:r>
    </w:p>
    <w:p w:rsidR="25E8C615" w:rsidP="19E3C984" w:rsidRDefault="25E8C615" w14:paraId="6B64CCD1" w14:textId="153DBDAE">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GOV (2023) </w:t>
      </w:r>
      <w:r w:rsidRPr="19E3C984" w:rsidR="25E8C615">
        <w:rPr>
          <w:rFonts w:ascii="Calibri" w:hAnsi="Calibri" w:eastAsia="Calibri" w:cs="Calibri"/>
          <w:i w:val="1"/>
          <w:iCs w:val="1"/>
          <w:noProof w:val="0"/>
          <w:sz w:val="28"/>
          <w:szCs w:val="28"/>
          <w:lang w:val="en-US"/>
        </w:rPr>
        <w:t>UK Battery Strategy</w:t>
      </w:r>
      <w:r w:rsidRPr="19E3C984" w:rsidR="25E8C615">
        <w:rPr>
          <w:rFonts w:ascii="Calibri" w:hAnsi="Calibri" w:eastAsia="Calibri" w:cs="Calibri"/>
          <w:noProof w:val="0"/>
          <w:sz w:val="28"/>
          <w:szCs w:val="28"/>
          <w:lang w:val="en-US"/>
        </w:rPr>
        <w:t xml:space="preserve">. Available at: </w:t>
      </w:r>
      <w:hyperlink r:id="Rb31003ac3fe3402d">
        <w:r w:rsidRPr="19E3C984" w:rsidR="25E8C615">
          <w:rPr>
            <w:rStyle w:val="Hyperlink"/>
            <w:rFonts w:ascii="Calibri" w:hAnsi="Calibri" w:eastAsia="Calibri" w:cs="Calibri"/>
            <w:strike w:val="0"/>
            <w:dstrike w:val="0"/>
            <w:noProof w:val="0"/>
            <w:color w:val="0563C1"/>
            <w:sz w:val="28"/>
            <w:szCs w:val="28"/>
            <w:u w:val="single"/>
            <w:lang w:val="en-US"/>
          </w:rPr>
          <w:t>https://www.gov.uk/government/calls-for-evidence/uk-battery-strategy</w:t>
        </w:r>
      </w:hyperlink>
      <w:r w:rsidRPr="19E3C984" w:rsidR="25E8C615">
        <w:rPr>
          <w:rFonts w:ascii="Calibri" w:hAnsi="Calibri" w:eastAsia="Calibri" w:cs="Calibri"/>
          <w:noProof w:val="0"/>
          <w:sz w:val="28"/>
          <w:szCs w:val="28"/>
          <w:lang w:val="en-US"/>
        </w:rPr>
        <w:t xml:space="preserve">. Accessed </w:t>
      </w:r>
      <w:r w:rsidRPr="19E3C984" w:rsidR="7DB16638">
        <w:rPr>
          <w:rFonts w:ascii="Calibri" w:hAnsi="Calibri" w:eastAsia="Calibri" w:cs="Calibri"/>
          <w:noProof w:val="0"/>
          <w:sz w:val="28"/>
          <w:szCs w:val="28"/>
          <w:lang w:val="en-US"/>
        </w:rPr>
        <w:t>on</w:t>
      </w:r>
      <w:r w:rsidRPr="19E3C984" w:rsidR="25E8C615">
        <w:rPr>
          <w:rFonts w:ascii="Calibri" w:hAnsi="Calibri" w:eastAsia="Calibri" w:cs="Calibri"/>
          <w:noProof w:val="0"/>
          <w:sz w:val="28"/>
          <w:szCs w:val="28"/>
          <w:lang w:val="en-US"/>
        </w:rPr>
        <w:t xml:space="preserve"> 6 October 2023.</w:t>
      </w:r>
    </w:p>
    <w:p w:rsidR="25E8C615" w:rsidP="19E3C984" w:rsidRDefault="25E8C615" w14:paraId="3DCB8A85" w14:textId="442A6E6C">
      <w:pPr>
        <w:spacing w:before="0" w:beforeAutospacing="off" w:after="160" w:afterAutospacing="off" w:line="257" w:lineRule="auto"/>
      </w:pPr>
      <w:r w:rsidRPr="19E3C984" w:rsidR="25E8C615">
        <w:rPr>
          <w:rFonts w:ascii="Calibri" w:hAnsi="Calibri" w:eastAsia="Calibri" w:cs="Calibri"/>
          <w:b w:val="1"/>
          <w:bCs w:val="1"/>
          <w:noProof w:val="0"/>
          <w:sz w:val="28"/>
          <w:szCs w:val="28"/>
          <w:lang w:val="en-US"/>
        </w:rPr>
        <w:t>HARVARD REFERENCES:</w:t>
      </w:r>
    </w:p>
    <w:p w:rsidR="25E8C615" w:rsidP="19E3C984" w:rsidRDefault="25E8C615" w14:paraId="3D0AC446" w14:textId="08F6DCDB">
      <w:pPr>
        <w:spacing w:before="0" w:beforeAutospacing="off" w:after="160" w:afterAutospacing="off" w:line="257" w:lineRule="auto"/>
      </w:pPr>
      <w:r w:rsidRPr="19E3C984" w:rsidR="25E8C615">
        <w:rPr>
          <w:rFonts w:ascii="Calibri" w:hAnsi="Calibri" w:eastAsia="Calibri" w:cs="Calibri"/>
          <w:b w:val="1"/>
          <w:bCs w:val="1"/>
          <w:noProof w:val="0"/>
          <w:sz w:val="28"/>
          <w:szCs w:val="28"/>
          <w:lang w:val="en-US"/>
        </w:rPr>
        <w:t xml:space="preserve"> </w:t>
      </w:r>
    </w:p>
    <w:p w:rsidR="25E8C615" w:rsidP="19E3C984" w:rsidRDefault="25E8C615" w14:paraId="494F8C74" w14:textId="73BCC654">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Davies R. (2011) An evolutionary step in intellectual property rights-Artificial intelligence and intellectual property. </w:t>
      </w:r>
      <w:r w:rsidRPr="19E3C984" w:rsidR="25E8C615">
        <w:rPr>
          <w:rFonts w:ascii="Calibri" w:hAnsi="Calibri" w:eastAsia="Calibri" w:cs="Calibri"/>
          <w:i w:val="1"/>
          <w:iCs w:val="1"/>
          <w:noProof w:val="0"/>
          <w:sz w:val="28"/>
          <w:szCs w:val="28"/>
          <w:lang w:val="en-US"/>
        </w:rPr>
        <w:t>Computer Law &amp; Security Review, 27(6), pp. 601-619.</w:t>
      </w:r>
    </w:p>
    <w:p w:rsidR="25E8C615" w:rsidP="19E3C984" w:rsidRDefault="25E8C615" w14:paraId="124458B7" w14:textId="6D9AF6E4">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Elliot C. (2016) </w:t>
      </w:r>
      <w:r w:rsidRPr="19E3C984" w:rsidR="25E8C615">
        <w:rPr>
          <w:rFonts w:ascii="Calibri" w:hAnsi="Calibri" w:eastAsia="Calibri" w:cs="Calibri"/>
          <w:i w:val="1"/>
          <w:iCs w:val="1"/>
          <w:noProof w:val="0"/>
          <w:sz w:val="28"/>
          <w:szCs w:val="28"/>
          <w:lang w:val="en-US"/>
        </w:rPr>
        <w:t>Criminal Law</w:t>
      </w:r>
      <w:r w:rsidRPr="19E3C984" w:rsidR="25E8C615">
        <w:rPr>
          <w:rFonts w:ascii="Calibri" w:hAnsi="Calibri" w:eastAsia="Calibri" w:cs="Calibri"/>
          <w:noProof w:val="0"/>
          <w:sz w:val="28"/>
          <w:szCs w:val="28"/>
          <w:lang w:val="en-US"/>
        </w:rPr>
        <w:t>. 11</w:t>
      </w:r>
      <w:r w:rsidRPr="19E3C984" w:rsidR="25E8C615">
        <w:rPr>
          <w:rFonts w:ascii="Calibri" w:hAnsi="Calibri" w:eastAsia="Calibri" w:cs="Calibri"/>
          <w:noProof w:val="0"/>
          <w:sz w:val="28"/>
          <w:szCs w:val="28"/>
          <w:vertAlign w:val="superscript"/>
          <w:lang w:val="en-US"/>
        </w:rPr>
        <w:t>th</w:t>
      </w:r>
      <w:r w:rsidRPr="19E3C984" w:rsidR="25E8C615">
        <w:rPr>
          <w:rFonts w:ascii="Calibri" w:hAnsi="Calibri" w:eastAsia="Calibri" w:cs="Calibri"/>
          <w:noProof w:val="0"/>
          <w:sz w:val="28"/>
          <w:szCs w:val="28"/>
          <w:lang w:val="en-US"/>
        </w:rPr>
        <w:t xml:space="preserve"> Edition. Pearson Education Limited.</w:t>
      </w:r>
    </w:p>
    <w:p w:rsidR="25E8C615" w:rsidP="19E3C984" w:rsidRDefault="25E8C615" w14:paraId="59FBCF89" w14:textId="144D5AED">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GOV (2023) </w:t>
      </w:r>
      <w:r w:rsidRPr="19E3C984" w:rsidR="25E8C615">
        <w:rPr>
          <w:rFonts w:ascii="Calibri" w:hAnsi="Calibri" w:eastAsia="Calibri" w:cs="Calibri"/>
          <w:i w:val="1"/>
          <w:iCs w:val="1"/>
          <w:noProof w:val="0"/>
          <w:sz w:val="28"/>
          <w:szCs w:val="28"/>
          <w:lang w:val="en-US"/>
        </w:rPr>
        <w:t>UK Battery Strategy</w:t>
      </w:r>
      <w:r w:rsidRPr="19E3C984" w:rsidR="25E8C615">
        <w:rPr>
          <w:rFonts w:ascii="Calibri" w:hAnsi="Calibri" w:eastAsia="Calibri" w:cs="Calibri"/>
          <w:noProof w:val="0"/>
          <w:sz w:val="28"/>
          <w:szCs w:val="28"/>
          <w:lang w:val="en-US"/>
        </w:rPr>
        <w:t xml:space="preserve">. Available at: </w:t>
      </w:r>
      <w:hyperlink r:id="R5a97f2c069864a13">
        <w:r w:rsidRPr="19E3C984" w:rsidR="25E8C615">
          <w:rPr>
            <w:rStyle w:val="Hyperlink"/>
            <w:rFonts w:ascii="Calibri" w:hAnsi="Calibri" w:eastAsia="Calibri" w:cs="Calibri"/>
            <w:strike w:val="0"/>
            <w:dstrike w:val="0"/>
            <w:noProof w:val="0"/>
            <w:color w:val="0563C1"/>
            <w:sz w:val="28"/>
            <w:szCs w:val="28"/>
            <w:u w:val="single"/>
            <w:lang w:val="en-US"/>
          </w:rPr>
          <w:t>https://www.gov.uk/government/calls-for-evidence/uk-battery-strategy</w:t>
        </w:r>
      </w:hyperlink>
      <w:r w:rsidRPr="19E3C984" w:rsidR="25E8C615">
        <w:rPr>
          <w:rFonts w:ascii="Calibri" w:hAnsi="Calibri" w:eastAsia="Calibri" w:cs="Calibri"/>
          <w:noProof w:val="0"/>
          <w:sz w:val="28"/>
          <w:szCs w:val="28"/>
          <w:lang w:val="en-US"/>
        </w:rPr>
        <w:t xml:space="preserve">. Accessed </w:t>
      </w:r>
      <w:r w:rsidRPr="19E3C984" w:rsidR="2B2A9B7D">
        <w:rPr>
          <w:rFonts w:ascii="Calibri" w:hAnsi="Calibri" w:eastAsia="Calibri" w:cs="Calibri"/>
          <w:noProof w:val="0"/>
          <w:sz w:val="28"/>
          <w:szCs w:val="28"/>
          <w:lang w:val="en-US"/>
        </w:rPr>
        <w:t>on</w:t>
      </w:r>
      <w:r w:rsidRPr="19E3C984" w:rsidR="25E8C615">
        <w:rPr>
          <w:rFonts w:ascii="Calibri" w:hAnsi="Calibri" w:eastAsia="Calibri" w:cs="Calibri"/>
          <w:noProof w:val="0"/>
          <w:sz w:val="28"/>
          <w:szCs w:val="28"/>
          <w:lang w:val="en-US"/>
        </w:rPr>
        <w:t xml:space="preserve"> 6 October 2023.</w:t>
      </w:r>
    </w:p>
    <w:p w:rsidR="25E8C615" w:rsidP="19E3C984" w:rsidRDefault="25E8C615" w14:paraId="7623B34C" w14:textId="2B7FBB64">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Guardian (2011) </w:t>
      </w:r>
      <w:r w:rsidRPr="19E3C984" w:rsidR="25E8C615">
        <w:rPr>
          <w:rFonts w:ascii="Calibri" w:hAnsi="Calibri" w:eastAsia="Calibri" w:cs="Calibri"/>
          <w:i w:val="1"/>
          <w:iCs w:val="1"/>
          <w:noProof w:val="0"/>
          <w:sz w:val="28"/>
          <w:szCs w:val="28"/>
          <w:lang w:val="en-US"/>
        </w:rPr>
        <w:t>In the Supreme Court of the United Kingdom Julian Paul Assange v. Swedish Prosecution Authority</w:t>
      </w:r>
      <w:r w:rsidRPr="19E3C984" w:rsidR="25E8C615">
        <w:rPr>
          <w:rFonts w:ascii="Calibri" w:hAnsi="Calibri" w:eastAsia="Calibri" w:cs="Calibri"/>
          <w:noProof w:val="0"/>
          <w:sz w:val="28"/>
          <w:szCs w:val="28"/>
          <w:lang w:val="en-US"/>
        </w:rPr>
        <w:t xml:space="preserve">. Available at: </w:t>
      </w:r>
      <w:hyperlink r:id="R51aa38396ec149e7">
        <w:r w:rsidRPr="19E3C984" w:rsidR="25E8C615">
          <w:rPr>
            <w:rStyle w:val="Hyperlink"/>
            <w:rFonts w:ascii="Calibri" w:hAnsi="Calibri" w:eastAsia="Calibri" w:cs="Calibri"/>
            <w:strike w:val="0"/>
            <w:dstrike w:val="0"/>
            <w:noProof w:val="0"/>
            <w:color w:val="0563C1"/>
            <w:sz w:val="28"/>
            <w:szCs w:val="28"/>
            <w:u w:val="single"/>
            <w:lang w:val="en-US"/>
          </w:rPr>
          <w:t>https://image.guardian.co.uk/sysfiles/Guardian/documents/2012/02/01/AssangeEmbargoedAppellantFinalPrintedCase.pdf</w:t>
        </w:r>
      </w:hyperlink>
      <w:r w:rsidRPr="19E3C984" w:rsidR="25E8C615">
        <w:rPr>
          <w:rFonts w:ascii="Calibri" w:hAnsi="Calibri" w:eastAsia="Calibri" w:cs="Calibri"/>
          <w:noProof w:val="0"/>
          <w:sz w:val="28"/>
          <w:szCs w:val="28"/>
          <w:lang w:val="en-US"/>
        </w:rPr>
        <w:t>. (Accessed on 6 October 2023)</w:t>
      </w:r>
    </w:p>
    <w:p w:rsidR="25E8C615" w:rsidP="19E3C984" w:rsidRDefault="25E8C615" w14:paraId="0BF6DB82" w14:textId="7F5734F3">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Jones, A. (2012) </w:t>
      </w:r>
      <w:r w:rsidRPr="19E3C984" w:rsidR="25E8C615">
        <w:rPr>
          <w:rFonts w:ascii="Calibri" w:hAnsi="Calibri" w:eastAsia="Calibri" w:cs="Calibri"/>
          <w:i w:val="1"/>
          <w:iCs w:val="1"/>
          <w:noProof w:val="0"/>
          <w:sz w:val="28"/>
          <w:szCs w:val="28"/>
          <w:lang w:val="en-US"/>
        </w:rPr>
        <w:t>Understanding Battery Law.</w:t>
      </w:r>
      <w:r w:rsidRPr="19E3C984" w:rsidR="25E8C615">
        <w:rPr>
          <w:rFonts w:ascii="Calibri" w:hAnsi="Calibri" w:eastAsia="Calibri" w:cs="Calibri"/>
          <w:noProof w:val="0"/>
          <w:sz w:val="28"/>
          <w:szCs w:val="28"/>
          <w:lang w:val="en-US"/>
        </w:rPr>
        <w:t xml:space="preserve"> Legal Press.</w:t>
      </w:r>
    </w:p>
    <w:p w:rsidR="25E8C615" w:rsidP="19E3C984" w:rsidRDefault="25E8C615" w14:paraId="2B0A0A32" w14:textId="491780D9">
      <w:pPr>
        <w:spacing w:before="0" w:beforeAutospacing="off" w:after="160" w:afterAutospacing="off" w:line="257" w:lineRule="auto"/>
      </w:pPr>
      <w:r w:rsidRPr="19E3C984" w:rsidR="25E8C615">
        <w:rPr>
          <w:rFonts w:ascii="Calibri" w:hAnsi="Calibri" w:eastAsia="Calibri" w:cs="Calibri"/>
          <w:noProof w:val="0"/>
          <w:sz w:val="28"/>
          <w:szCs w:val="28"/>
          <w:lang w:val="en-US"/>
        </w:rPr>
        <w:t xml:space="preserve">Legislation GOV (2003) </w:t>
      </w:r>
      <w:r w:rsidRPr="19E3C984" w:rsidR="25E8C615">
        <w:rPr>
          <w:rFonts w:ascii="Calibri" w:hAnsi="Calibri" w:eastAsia="Calibri" w:cs="Calibri"/>
          <w:i w:val="1"/>
          <w:iCs w:val="1"/>
          <w:noProof w:val="0"/>
          <w:sz w:val="28"/>
          <w:szCs w:val="28"/>
          <w:lang w:val="en-US"/>
        </w:rPr>
        <w:t>Section 74 of the Sexual Offences Act</w:t>
      </w:r>
      <w:r w:rsidRPr="19E3C984" w:rsidR="25E8C615">
        <w:rPr>
          <w:rFonts w:ascii="Calibri" w:hAnsi="Calibri" w:eastAsia="Calibri" w:cs="Calibri"/>
          <w:noProof w:val="0"/>
          <w:sz w:val="28"/>
          <w:szCs w:val="28"/>
          <w:lang w:val="en-US"/>
        </w:rPr>
        <w:t xml:space="preserve">. Available at </w:t>
      </w:r>
      <w:hyperlink r:id="R494aa99dbb054753">
        <w:r w:rsidRPr="19E3C984" w:rsidR="25E8C615">
          <w:rPr>
            <w:rStyle w:val="Hyperlink"/>
            <w:rFonts w:ascii="Calibri" w:hAnsi="Calibri" w:eastAsia="Calibri" w:cs="Calibri"/>
            <w:strike w:val="0"/>
            <w:dstrike w:val="0"/>
            <w:noProof w:val="0"/>
            <w:color w:val="0563C1"/>
            <w:sz w:val="28"/>
            <w:szCs w:val="28"/>
            <w:u w:val="single"/>
            <w:lang w:val="en-US"/>
          </w:rPr>
          <w:t>https://www.legislation.gov.uk/ukpga/2003/42/section/74</w:t>
        </w:r>
      </w:hyperlink>
      <w:r w:rsidRPr="19E3C984" w:rsidR="25E8C615">
        <w:rPr>
          <w:rFonts w:ascii="Calibri" w:hAnsi="Calibri" w:eastAsia="Calibri" w:cs="Calibri"/>
          <w:noProof w:val="0"/>
          <w:sz w:val="28"/>
          <w:szCs w:val="28"/>
          <w:lang w:val="en-US"/>
        </w:rPr>
        <w:t xml:space="preserve"> . (Accessed on 5 October 2023).</w:t>
      </w:r>
    </w:p>
    <w:p w:rsidR="25E8C615" w:rsidP="19E3C984" w:rsidRDefault="25E8C615" w14:paraId="4382B021" w14:textId="6A54B35C">
      <w:pPr>
        <w:pStyle w:val="Normal"/>
        <w:spacing w:before="0" w:beforeAutospacing="off" w:after="160" w:afterAutospacing="off" w:line="257" w:lineRule="auto"/>
        <w:rPr>
          <w:rFonts w:ascii="Calibri" w:hAnsi="Calibri" w:eastAsia="Calibri" w:cs="Calibri"/>
          <w:noProof w:val="0"/>
          <w:sz w:val="28"/>
          <w:szCs w:val="28"/>
          <w:lang w:val="en-US"/>
        </w:rPr>
      </w:pPr>
      <w:r w:rsidRPr="19E3C984" w:rsidR="25E8C615">
        <w:rPr>
          <w:rFonts w:ascii="Calibri" w:hAnsi="Calibri" w:eastAsia="Calibri" w:cs="Calibri"/>
          <w:noProof w:val="0"/>
          <w:sz w:val="28"/>
          <w:szCs w:val="28"/>
          <w:lang w:val="en-US"/>
        </w:rPr>
        <w:t xml:space="preserve">Rolfe, A. (1952) </w:t>
      </w:r>
      <w:r w:rsidRPr="19E3C984" w:rsidR="25E8C615">
        <w:rPr>
          <w:rFonts w:ascii="Calibri" w:hAnsi="Calibri" w:eastAsia="Calibri" w:cs="Calibri"/>
          <w:i w:val="1"/>
          <w:iCs w:val="1"/>
          <w:noProof w:val="0"/>
          <w:sz w:val="28"/>
          <w:szCs w:val="28"/>
          <w:lang w:val="en-US"/>
        </w:rPr>
        <w:t>The legal perspectives on battery and consent</w:t>
      </w:r>
      <w:r w:rsidRPr="19E3C984" w:rsidR="25E8C615">
        <w:rPr>
          <w:rFonts w:ascii="Calibri" w:hAnsi="Calibri" w:eastAsia="Calibri" w:cs="Calibri"/>
          <w:noProof w:val="0"/>
          <w:sz w:val="28"/>
          <w:szCs w:val="28"/>
          <w:lang w:val="en-US"/>
        </w:rPr>
        <w:t>. Legal Publishing</w:t>
      </w:r>
      <w:r w:rsidRPr="19E3C984" w:rsidR="183AC40E">
        <w:rPr>
          <w:rFonts w:ascii="Calibri" w:hAnsi="Calibri" w:eastAsia="Calibri" w:cs="Calibri"/>
          <w:noProof w:val="0"/>
          <w:sz w:val="28"/>
          <w:szCs w:val="28"/>
          <w:lang w:val="en-US"/>
        </w:rPr>
        <w:t xml:space="preserve"> House</w:t>
      </w:r>
    </w:p>
    <w:p w:rsidR="25E8C615" w:rsidP="19E3C984" w:rsidRDefault="25E8C615" w14:paraId="01D3B417" w14:textId="07927099">
      <w:pPr>
        <w:pStyle w:val="Normal"/>
        <w:spacing w:before="0" w:beforeAutospacing="off" w:after="160" w:afterAutospacing="off" w:line="257" w:lineRule="auto"/>
        <w:rPr>
          <w:rFonts w:ascii="Calibri" w:hAnsi="Calibri" w:eastAsia="Calibri" w:cs="Calibri"/>
          <w:noProof w:val="0"/>
          <w:sz w:val="28"/>
          <w:szCs w:val="28"/>
          <w:lang w:val="en-US"/>
        </w:rPr>
      </w:pPr>
      <w:r w:rsidRPr="19E3C984" w:rsidR="25E8C615">
        <w:rPr>
          <w:rFonts w:ascii="Calibri" w:hAnsi="Calibri" w:eastAsia="Calibri" w:cs="Calibri"/>
          <w:noProof w:val="0"/>
          <w:sz w:val="28"/>
          <w:szCs w:val="28"/>
          <w:lang w:val="en-US"/>
        </w:rPr>
        <w:t xml:space="preserve"> Thames Valley Police (2023) </w:t>
      </w:r>
      <w:r w:rsidRPr="19E3C984" w:rsidR="25E8C615">
        <w:rPr>
          <w:rFonts w:ascii="Calibri" w:hAnsi="Calibri" w:eastAsia="Calibri" w:cs="Calibri"/>
          <w:i w:val="1"/>
          <w:iCs w:val="1"/>
          <w:noProof w:val="0"/>
          <w:sz w:val="28"/>
          <w:szCs w:val="28"/>
          <w:lang w:val="en-US"/>
        </w:rPr>
        <w:t>Consent</w:t>
      </w:r>
      <w:r w:rsidRPr="19E3C984" w:rsidR="25E8C615">
        <w:rPr>
          <w:rFonts w:ascii="Calibri" w:hAnsi="Calibri" w:eastAsia="Calibri" w:cs="Calibri"/>
          <w:noProof w:val="0"/>
          <w:sz w:val="28"/>
          <w:szCs w:val="28"/>
          <w:lang w:val="en-US"/>
        </w:rPr>
        <w:t xml:space="preserve">. Available at </w:t>
      </w:r>
      <w:hyperlink r:id="R2bcd6a30cd1b4e22">
        <w:r w:rsidRPr="19E3C984" w:rsidR="25E8C615">
          <w:rPr>
            <w:rStyle w:val="Hyperlink"/>
            <w:rFonts w:ascii="Calibri" w:hAnsi="Calibri" w:eastAsia="Calibri" w:cs="Calibri"/>
            <w:strike w:val="0"/>
            <w:dstrike w:val="0"/>
            <w:noProof w:val="0"/>
            <w:color w:val="0563C1"/>
            <w:sz w:val="28"/>
            <w:szCs w:val="28"/>
            <w:u w:val="single"/>
            <w:lang w:val="en-US"/>
          </w:rPr>
          <w:t>https://www.thamesvalley.police.uk/ro/report/rsa/alpha-v1/advice/rape-sexual-assault-and-other-sexual-offences/consent/</w:t>
        </w:r>
      </w:hyperlink>
      <w:r w:rsidRPr="19E3C984" w:rsidR="2F059216">
        <w:rPr>
          <w:rFonts w:ascii="Calibri" w:hAnsi="Calibri" w:eastAsia="Calibri" w:cs="Calibri"/>
          <w:noProof w:val="0"/>
          <w:sz w:val="28"/>
          <w:szCs w:val="28"/>
          <w:lang w:val="en-US"/>
        </w:rPr>
        <w:t xml:space="preserve"> (Accessed on 5 October 2023).</w:t>
      </w:r>
    </w:p>
    <w:p w:rsidR="19E3C984" w:rsidP="19E3C984" w:rsidRDefault="19E3C984" w14:paraId="4FEC116F" w14:textId="7641D950">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8F6FA3"/>
    <w:rsid w:val="024E79F1"/>
    <w:rsid w:val="03EA4A52"/>
    <w:rsid w:val="05861AB3"/>
    <w:rsid w:val="05B3E183"/>
    <w:rsid w:val="0963933C"/>
    <w:rsid w:val="0A43B0C9"/>
    <w:rsid w:val="0ABD06FC"/>
    <w:rsid w:val="0BA1CF12"/>
    <w:rsid w:val="0BF55C37"/>
    <w:rsid w:val="0C58D75D"/>
    <w:rsid w:val="0C9B33FE"/>
    <w:rsid w:val="0D912C98"/>
    <w:rsid w:val="13178D0C"/>
    <w:rsid w:val="1335021F"/>
    <w:rsid w:val="14B35D6D"/>
    <w:rsid w:val="14BDF8B0"/>
    <w:rsid w:val="183AC40E"/>
    <w:rsid w:val="19E3C984"/>
    <w:rsid w:val="1DBFD5D8"/>
    <w:rsid w:val="1DCEBE3E"/>
    <w:rsid w:val="21A41931"/>
    <w:rsid w:val="245DCF1F"/>
    <w:rsid w:val="24D8041F"/>
    <w:rsid w:val="25E8C615"/>
    <w:rsid w:val="289EFBB2"/>
    <w:rsid w:val="290213D9"/>
    <w:rsid w:val="299A2FD3"/>
    <w:rsid w:val="2B2A9B7D"/>
    <w:rsid w:val="2B962256"/>
    <w:rsid w:val="2ECDC318"/>
    <w:rsid w:val="2F059216"/>
    <w:rsid w:val="30699379"/>
    <w:rsid w:val="320563DA"/>
    <w:rsid w:val="33320CD6"/>
    <w:rsid w:val="353D049C"/>
    <w:rsid w:val="35C8D04B"/>
    <w:rsid w:val="38C0A2D1"/>
    <w:rsid w:val="3ABA65E5"/>
    <w:rsid w:val="3CBA44C5"/>
    <w:rsid w:val="3D709B82"/>
    <w:rsid w:val="4120FC49"/>
    <w:rsid w:val="43D731E6"/>
    <w:rsid w:val="4582E091"/>
    <w:rsid w:val="463CE5B9"/>
    <w:rsid w:val="494C8919"/>
    <w:rsid w:val="4C5FD710"/>
    <w:rsid w:val="4FEEBAF2"/>
    <w:rsid w:val="51298676"/>
    <w:rsid w:val="5269551A"/>
    <w:rsid w:val="55B7E316"/>
    <w:rsid w:val="58CFEB7E"/>
    <w:rsid w:val="5934985B"/>
    <w:rsid w:val="5C6C391D"/>
    <w:rsid w:val="5D67D22C"/>
    <w:rsid w:val="613FAA40"/>
    <w:rsid w:val="65B0CE32"/>
    <w:rsid w:val="69FA1680"/>
    <w:rsid w:val="6A6EEB9F"/>
    <w:rsid w:val="6D92472C"/>
    <w:rsid w:val="6F2E178D"/>
    <w:rsid w:val="709C4859"/>
    <w:rsid w:val="73CC3901"/>
    <w:rsid w:val="758F6FA3"/>
    <w:rsid w:val="760DE129"/>
    <w:rsid w:val="76A83C2E"/>
    <w:rsid w:val="77E99EDA"/>
    <w:rsid w:val="795F4B16"/>
    <w:rsid w:val="7A712EDB"/>
    <w:rsid w:val="7C0CFF3C"/>
    <w:rsid w:val="7DB16638"/>
    <w:rsid w:val="7F449F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F6FA3"/>
  <w15:chartTrackingRefBased/>
  <w15:docId w15:val="{00874704-C5BE-43E1-8C47-68884C0504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calls-for-evidence/uk-battery-strategy" TargetMode="External" Id="Rb31003ac3fe3402d" /><Relationship Type="http://schemas.openxmlformats.org/officeDocument/2006/relationships/hyperlink" Target="https://www.gov.uk/government/calls-for-evidence/uk-battery-strategy" TargetMode="External" Id="R5a97f2c069864a13" /><Relationship Type="http://schemas.openxmlformats.org/officeDocument/2006/relationships/hyperlink" Target="https://image.guardian.co.uk/sysfiles/Guardian/documents/2012/02/01/AssangeEmbargoedAppellantFinalPrintedCase.pdf" TargetMode="External" Id="R51aa38396ec149e7" /><Relationship Type="http://schemas.openxmlformats.org/officeDocument/2006/relationships/hyperlink" Target="https://www.legislation.gov.uk/ukpga/2003/42/section/74" TargetMode="External" Id="R494aa99dbb054753" /><Relationship Type="http://schemas.openxmlformats.org/officeDocument/2006/relationships/hyperlink" Target="https://www.thamesvalley.police.uk/ro/report/rsa/alpha-v1/advice/rape-sexual-assault-and-other-sexual-offences/consent/" TargetMode="External" Id="R2bcd6a30cd1b4e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2023-11-10T22:03:03.5913264Z</dcterms:created>
  <dcterms:modified xsi:type="dcterms:W3CDTF">2023-11-10T22:46:37.2210796Z</dcterms:modified>
  <dc:creator>Madalina Popa (2244753)</dc:creator>
  <lastModifiedBy>Madalina Popa (2244753)</lastModifiedBy>
</coreProperties>
</file>