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79105" w14:textId="77777777" w:rsidR="00953FFA" w:rsidRPr="00953FFA" w:rsidRDefault="00953FFA" w:rsidP="00953FFA">
      <w:pPr>
        <w:spacing w:line="360" w:lineRule="auto"/>
        <w:jc w:val="both"/>
        <w:rPr>
          <w:rFonts w:ascii="Times New Roman" w:hAnsi="Times New Roman" w:cs="Times New Roman"/>
          <w:sz w:val="24"/>
          <w:szCs w:val="24"/>
        </w:rPr>
      </w:pPr>
    </w:p>
    <w:p w14:paraId="0EE50946" w14:textId="77777777" w:rsidR="0022396B" w:rsidRDefault="0022396B" w:rsidP="0022396B">
      <w:pPr>
        <w:pStyle w:val="IntenseQuote"/>
        <w:rPr>
          <w:rStyle w:val="SubtleEmphasis"/>
          <w:rFonts w:ascii="Times New Roman" w:hAnsi="Times New Roman" w:cs="Times New Roman"/>
          <w:b/>
          <w:bCs/>
          <w:sz w:val="24"/>
          <w:szCs w:val="24"/>
        </w:rPr>
      </w:pPr>
      <w:r>
        <w:rPr>
          <w:rStyle w:val="SubtleEmphasis"/>
          <w:rFonts w:ascii="Times New Roman" w:hAnsi="Times New Roman" w:cs="Times New Roman"/>
          <w:b/>
          <w:bCs/>
          <w:sz w:val="24"/>
          <w:szCs w:val="24"/>
        </w:rPr>
        <w:t>Programme: BA Business Management</w:t>
      </w:r>
    </w:p>
    <w:p w14:paraId="03A17190" w14:textId="47DCF6B5" w:rsidR="0022396B" w:rsidRDefault="0022396B" w:rsidP="0022396B">
      <w:pPr>
        <w:pStyle w:val="IntenseQuote"/>
        <w:rPr>
          <w:rStyle w:val="SubtleEmphasis"/>
          <w:rFonts w:ascii="Times New Roman" w:hAnsi="Times New Roman" w:cs="Times New Roman"/>
          <w:b/>
          <w:bCs/>
          <w:sz w:val="24"/>
          <w:szCs w:val="24"/>
        </w:rPr>
      </w:pPr>
      <w:r>
        <w:rPr>
          <w:rStyle w:val="SubtleEmphasis"/>
          <w:rFonts w:ascii="Times New Roman" w:hAnsi="Times New Roman" w:cs="Times New Roman"/>
          <w:b/>
          <w:bCs/>
          <w:sz w:val="24"/>
          <w:szCs w:val="24"/>
        </w:rPr>
        <w:t xml:space="preserve">Module: International </w:t>
      </w:r>
      <w:r>
        <w:rPr>
          <w:rStyle w:val="SubtleEmphasis"/>
          <w:rFonts w:ascii="Times New Roman" w:hAnsi="Times New Roman" w:cs="Times New Roman"/>
          <w:b/>
          <w:bCs/>
          <w:sz w:val="24"/>
          <w:szCs w:val="24"/>
        </w:rPr>
        <w:t>Financial Management</w:t>
      </w:r>
    </w:p>
    <w:p w14:paraId="638E5E74" w14:textId="13E503F5" w:rsidR="0022396B" w:rsidRDefault="0022396B" w:rsidP="0022396B">
      <w:pPr>
        <w:pStyle w:val="IntenseQuote"/>
        <w:rPr>
          <w:rStyle w:val="SubtleEmphasis"/>
          <w:rFonts w:ascii="Times New Roman" w:hAnsi="Times New Roman" w:cs="Times New Roman"/>
          <w:b/>
          <w:bCs/>
          <w:sz w:val="24"/>
          <w:szCs w:val="24"/>
        </w:rPr>
      </w:pPr>
      <w:r>
        <w:rPr>
          <w:rStyle w:val="SubtleEmphasis"/>
          <w:rFonts w:ascii="Times New Roman" w:hAnsi="Times New Roman" w:cs="Times New Roman"/>
          <w:b/>
          <w:bCs/>
          <w:sz w:val="24"/>
          <w:szCs w:val="24"/>
        </w:rPr>
        <w:t>Module code: LCBB600</w:t>
      </w:r>
      <w:r>
        <w:rPr>
          <w:rStyle w:val="SubtleEmphasis"/>
          <w:rFonts w:ascii="Times New Roman" w:hAnsi="Times New Roman" w:cs="Times New Roman"/>
          <w:b/>
          <w:bCs/>
          <w:sz w:val="24"/>
          <w:szCs w:val="24"/>
        </w:rPr>
        <w:t>2</w:t>
      </w:r>
    </w:p>
    <w:p w14:paraId="67CA6A5F" w14:textId="46DD881A" w:rsidR="0022396B" w:rsidRDefault="0022396B" w:rsidP="0022396B">
      <w:pPr>
        <w:pStyle w:val="IntenseQuote"/>
        <w:rPr>
          <w:rStyle w:val="SubtleEmphasis"/>
          <w:rFonts w:ascii="Times New Roman" w:hAnsi="Times New Roman" w:cs="Times New Roman"/>
          <w:b/>
          <w:bCs/>
          <w:sz w:val="24"/>
          <w:szCs w:val="24"/>
        </w:rPr>
      </w:pPr>
      <w:r>
        <w:rPr>
          <w:rStyle w:val="SubtleEmphasis"/>
          <w:rFonts w:ascii="Times New Roman" w:hAnsi="Times New Roman" w:cs="Times New Roman"/>
          <w:b/>
          <w:bCs/>
          <w:sz w:val="24"/>
          <w:szCs w:val="24"/>
        </w:rPr>
        <w:t xml:space="preserve">Lecturer: </w:t>
      </w:r>
      <w:r>
        <w:rPr>
          <w:rStyle w:val="SubtleEmphasis"/>
          <w:rFonts w:ascii="Times New Roman" w:hAnsi="Times New Roman" w:cs="Times New Roman"/>
          <w:b/>
          <w:bCs/>
          <w:sz w:val="24"/>
          <w:szCs w:val="24"/>
        </w:rPr>
        <w:t xml:space="preserve">Dr Konstantina Mari </w:t>
      </w:r>
      <w:r>
        <w:rPr>
          <w:rStyle w:val="SubtleEmphasis"/>
          <w:rFonts w:ascii="Times New Roman" w:hAnsi="Times New Roman" w:cs="Times New Roman"/>
          <w:b/>
          <w:bCs/>
          <w:sz w:val="24"/>
          <w:szCs w:val="24"/>
        </w:rPr>
        <w:t>- GP2</w:t>
      </w:r>
    </w:p>
    <w:p w14:paraId="5B5F9D5F" w14:textId="77777777" w:rsidR="0022396B" w:rsidRDefault="0022396B" w:rsidP="0022396B">
      <w:pPr>
        <w:pStyle w:val="IntenseQuote"/>
        <w:rPr>
          <w:rStyle w:val="SubtleEmphasis"/>
          <w:rFonts w:ascii="Times New Roman" w:hAnsi="Times New Roman" w:cs="Times New Roman"/>
          <w:b/>
          <w:bCs/>
          <w:sz w:val="24"/>
          <w:szCs w:val="24"/>
        </w:rPr>
      </w:pPr>
      <w:r>
        <w:rPr>
          <w:rStyle w:val="SubtleEmphasis"/>
          <w:rFonts w:ascii="Times New Roman" w:hAnsi="Times New Roman" w:cs="Times New Roman"/>
          <w:b/>
          <w:bCs/>
          <w:sz w:val="24"/>
          <w:szCs w:val="24"/>
        </w:rPr>
        <w:t>Student ID – 2023164</w:t>
      </w:r>
    </w:p>
    <w:p w14:paraId="7E251DB3" w14:textId="77777777" w:rsidR="0022396B" w:rsidRDefault="0022396B" w:rsidP="0022396B">
      <w:pPr>
        <w:pStyle w:val="IntenseQuote"/>
        <w:rPr>
          <w:rStyle w:val="SubtleEmphasis"/>
          <w:rFonts w:ascii="Times New Roman" w:hAnsi="Times New Roman" w:cs="Times New Roman"/>
          <w:b/>
          <w:bCs/>
          <w:sz w:val="24"/>
          <w:szCs w:val="24"/>
        </w:rPr>
      </w:pPr>
      <w:r>
        <w:rPr>
          <w:rStyle w:val="SubtleEmphasis"/>
          <w:rFonts w:ascii="Times New Roman" w:hAnsi="Times New Roman" w:cs="Times New Roman"/>
          <w:b/>
          <w:bCs/>
          <w:sz w:val="24"/>
          <w:szCs w:val="24"/>
        </w:rPr>
        <w:t>Student name: Valentina Georgieva Pencheva/ Ivanova</w:t>
      </w:r>
    </w:p>
    <w:p w14:paraId="70F15436" w14:textId="4ADA9D7B" w:rsidR="0022396B" w:rsidRDefault="0022396B" w:rsidP="0022396B">
      <w:pPr>
        <w:pStyle w:val="IntenseQuote"/>
      </w:pPr>
      <w:r>
        <w:rPr>
          <w:rStyle w:val="SubtleEmphasis"/>
          <w:rFonts w:ascii="Times New Roman" w:hAnsi="Times New Roman" w:cs="Times New Roman"/>
          <w:b/>
          <w:bCs/>
          <w:sz w:val="24"/>
          <w:szCs w:val="24"/>
        </w:rPr>
        <w:t xml:space="preserve">Assignment Title: </w:t>
      </w:r>
      <w:r>
        <w:rPr>
          <w:rStyle w:val="SubtleEmphasis"/>
          <w:rFonts w:ascii="Times New Roman" w:hAnsi="Times New Roman" w:cs="Times New Roman"/>
          <w:b/>
          <w:bCs/>
          <w:sz w:val="24"/>
          <w:szCs w:val="24"/>
        </w:rPr>
        <w:t>Assessment</w:t>
      </w:r>
      <w:r>
        <w:rPr>
          <w:rStyle w:val="SubtleEmphasis"/>
          <w:rFonts w:ascii="Times New Roman" w:hAnsi="Times New Roman" w:cs="Times New Roman"/>
          <w:b/>
          <w:bCs/>
          <w:sz w:val="24"/>
          <w:szCs w:val="24"/>
        </w:rPr>
        <w:t xml:space="preserve"> 1</w:t>
      </w:r>
    </w:p>
    <w:p w14:paraId="296FB011" w14:textId="77777777" w:rsidR="00953FFA" w:rsidRPr="00953FFA" w:rsidRDefault="00953FFA" w:rsidP="00953FFA">
      <w:pPr>
        <w:spacing w:line="360" w:lineRule="auto"/>
        <w:jc w:val="both"/>
        <w:rPr>
          <w:rFonts w:ascii="Times New Roman" w:hAnsi="Times New Roman" w:cs="Times New Roman"/>
          <w:sz w:val="24"/>
          <w:szCs w:val="24"/>
        </w:rPr>
      </w:pPr>
    </w:p>
    <w:p w14:paraId="0528B79D" w14:textId="77777777" w:rsidR="00953FFA" w:rsidRPr="00953FFA" w:rsidRDefault="00953FFA" w:rsidP="00953FFA">
      <w:pPr>
        <w:spacing w:line="360" w:lineRule="auto"/>
        <w:jc w:val="both"/>
        <w:rPr>
          <w:rFonts w:ascii="Times New Roman" w:hAnsi="Times New Roman" w:cs="Times New Roman"/>
          <w:sz w:val="24"/>
          <w:szCs w:val="24"/>
        </w:rPr>
      </w:pPr>
    </w:p>
    <w:p w14:paraId="7D14F2F7" w14:textId="77777777" w:rsidR="00953FFA" w:rsidRPr="00953FFA" w:rsidRDefault="00953FFA" w:rsidP="00953FFA">
      <w:pPr>
        <w:spacing w:line="360" w:lineRule="auto"/>
        <w:jc w:val="both"/>
        <w:rPr>
          <w:rFonts w:ascii="Times New Roman" w:hAnsi="Times New Roman" w:cs="Times New Roman"/>
          <w:sz w:val="24"/>
          <w:szCs w:val="24"/>
        </w:rPr>
      </w:pPr>
    </w:p>
    <w:p w14:paraId="226B4143" w14:textId="77777777" w:rsidR="00953FFA" w:rsidRPr="00953FFA" w:rsidRDefault="00953FFA" w:rsidP="00953FFA">
      <w:pPr>
        <w:spacing w:line="360" w:lineRule="auto"/>
        <w:jc w:val="both"/>
        <w:rPr>
          <w:rFonts w:ascii="Times New Roman" w:hAnsi="Times New Roman" w:cs="Times New Roman"/>
          <w:sz w:val="24"/>
          <w:szCs w:val="24"/>
        </w:rPr>
      </w:pPr>
    </w:p>
    <w:p w14:paraId="0BD73A3E" w14:textId="77777777" w:rsidR="00953FFA" w:rsidRPr="00953FFA" w:rsidRDefault="00953FFA" w:rsidP="00953FFA">
      <w:pPr>
        <w:spacing w:line="360" w:lineRule="auto"/>
        <w:jc w:val="both"/>
        <w:rPr>
          <w:rFonts w:ascii="Times New Roman" w:hAnsi="Times New Roman" w:cs="Times New Roman"/>
          <w:sz w:val="24"/>
          <w:szCs w:val="24"/>
        </w:rPr>
      </w:pPr>
    </w:p>
    <w:p w14:paraId="2BB816C1" w14:textId="77777777" w:rsidR="00953FFA" w:rsidRPr="00953FFA" w:rsidRDefault="00953FFA" w:rsidP="00953FFA">
      <w:pPr>
        <w:spacing w:line="360" w:lineRule="auto"/>
        <w:jc w:val="both"/>
        <w:rPr>
          <w:rFonts w:ascii="Times New Roman" w:hAnsi="Times New Roman" w:cs="Times New Roman"/>
          <w:sz w:val="24"/>
          <w:szCs w:val="24"/>
        </w:rPr>
      </w:pPr>
    </w:p>
    <w:p w14:paraId="4F807A8C" w14:textId="77777777" w:rsidR="00953FFA" w:rsidRPr="00953FFA" w:rsidRDefault="00953FFA" w:rsidP="00953FFA">
      <w:pPr>
        <w:spacing w:line="360" w:lineRule="auto"/>
        <w:jc w:val="both"/>
        <w:rPr>
          <w:rFonts w:ascii="Times New Roman" w:hAnsi="Times New Roman" w:cs="Times New Roman"/>
          <w:sz w:val="24"/>
          <w:szCs w:val="24"/>
        </w:rPr>
      </w:pPr>
    </w:p>
    <w:p w14:paraId="4B482B41" w14:textId="77777777" w:rsidR="00953FFA" w:rsidRPr="00953FFA" w:rsidRDefault="00953FFA" w:rsidP="00953FFA">
      <w:pPr>
        <w:spacing w:line="360" w:lineRule="auto"/>
        <w:jc w:val="both"/>
        <w:rPr>
          <w:rFonts w:ascii="Times New Roman" w:hAnsi="Times New Roman" w:cs="Times New Roman"/>
          <w:sz w:val="24"/>
          <w:szCs w:val="24"/>
        </w:rPr>
      </w:pPr>
    </w:p>
    <w:p w14:paraId="467062F1" w14:textId="77777777" w:rsidR="00953FFA" w:rsidRPr="00953FFA" w:rsidRDefault="00953FFA" w:rsidP="00953FFA">
      <w:pPr>
        <w:spacing w:line="360" w:lineRule="auto"/>
        <w:jc w:val="both"/>
        <w:rPr>
          <w:rFonts w:ascii="Times New Roman" w:hAnsi="Times New Roman" w:cs="Times New Roman"/>
          <w:sz w:val="24"/>
          <w:szCs w:val="24"/>
        </w:rPr>
      </w:pPr>
    </w:p>
    <w:p w14:paraId="230CF330" w14:textId="77777777" w:rsidR="00953FFA" w:rsidRPr="00953FFA" w:rsidRDefault="00953FFA" w:rsidP="00953FFA">
      <w:pPr>
        <w:spacing w:line="360" w:lineRule="auto"/>
        <w:jc w:val="both"/>
        <w:rPr>
          <w:rFonts w:ascii="Times New Roman" w:hAnsi="Times New Roman" w:cs="Times New Roman"/>
          <w:sz w:val="24"/>
          <w:szCs w:val="24"/>
        </w:rPr>
      </w:pPr>
    </w:p>
    <w:p w14:paraId="47439CA3" w14:textId="77777777" w:rsidR="00953FFA" w:rsidRPr="00953FFA" w:rsidRDefault="00953FFA" w:rsidP="00953FFA">
      <w:pPr>
        <w:spacing w:line="360" w:lineRule="auto"/>
        <w:jc w:val="both"/>
        <w:rPr>
          <w:rFonts w:ascii="Times New Roman" w:hAnsi="Times New Roman" w:cs="Times New Roman"/>
          <w:sz w:val="24"/>
          <w:szCs w:val="24"/>
        </w:rPr>
      </w:pPr>
    </w:p>
    <w:p w14:paraId="413D1F14" w14:textId="77777777" w:rsidR="00953FFA" w:rsidRPr="00953FFA" w:rsidRDefault="00953FFA" w:rsidP="00953FFA">
      <w:pPr>
        <w:spacing w:line="360" w:lineRule="auto"/>
        <w:jc w:val="both"/>
        <w:rPr>
          <w:rFonts w:ascii="Times New Roman" w:hAnsi="Times New Roman" w:cs="Times New Roman"/>
          <w:sz w:val="24"/>
          <w:szCs w:val="24"/>
        </w:rPr>
      </w:pPr>
    </w:p>
    <w:p w14:paraId="4436A5FD" w14:textId="77777777" w:rsidR="00953FFA" w:rsidRPr="00953FFA" w:rsidRDefault="00953FFA" w:rsidP="00953FFA">
      <w:pPr>
        <w:spacing w:line="360" w:lineRule="auto"/>
        <w:jc w:val="both"/>
        <w:rPr>
          <w:rFonts w:ascii="Times New Roman" w:hAnsi="Times New Roman" w:cs="Times New Roman"/>
          <w:sz w:val="24"/>
          <w:szCs w:val="24"/>
        </w:rPr>
      </w:pPr>
    </w:p>
    <w:p w14:paraId="07C6559B" w14:textId="77777777" w:rsidR="00953FFA" w:rsidRPr="00953FFA" w:rsidRDefault="00953FFA" w:rsidP="00953FFA">
      <w:pPr>
        <w:spacing w:line="360" w:lineRule="auto"/>
        <w:jc w:val="both"/>
        <w:rPr>
          <w:rFonts w:ascii="Times New Roman" w:hAnsi="Times New Roman" w:cs="Times New Roman"/>
          <w:sz w:val="24"/>
          <w:szCs w:val="24"/>
        </w:rPr>
      </w:pPr>
    </w:p>
    <w:p w14:paraId="3FC5BC58" w14:textId="77777777" w:rsidR="00953FFA" w:rsidRPr="00953FFA" w:rsidRDefault="00953FFA" w:rsidP="00953FFA">
      <w:pPr>
        <w:spacing w:line="360" w:lineRule="auto"/>
        <w:jc w:val="both"/>
        <w:rPr>
          <w:rFonts w:ascii="Times New Roman" w:hAnsi="Times New Roman" w:cs="Times New Roman"/>
          <w:sz w:val="24"/>
          <w:szCs w:val="24"/>
        </w:rPr>
      </w:pPr>
    </w:p>
    <w:p w14:paraId="25485DC0" w14:textId="77777777" w:rsidR="00953FFA" w:rsidRPr="00953FFA" w:rsidRDefault="00953FFA" w:rsidP="00953FFA">
      <w:pPr>
        <w:spacing w:line="360" w:lineRule="auto"/>
        <w:jc w:val="both"/>
        <w:rPr>
          <w:rFonts w:ascii="Times New Roman" w:hAnsi="Times New Roman" w:cs="Times New Roman"/>
          <w:sz w:val="24"/>
          <w:szCs w:val="24"/>
        </w:rPr>
      </w:pPr>
    </w:p>
    <w:p w14:paraId="383FE99A" w14:textId="77777777" w:rsidR="00953FFA" w:rsidRPr="00953FFA" w:rsidRDefault="00953FFA" w:rsidP="00953FFA">
      <w:pPr>
        <w:spacing w:line="360" w:lineRule="auto"/>
        <w:jc w:val="both"/>
        <w:rPr>
          <w:rFonts w:ascii="Times New Roman" w:hAnsi="Times New Roman" w:cs="Times New Roman"/>
          <w:sz w:val="24"/>
          <w:szCs w:val="24"/>
        </w:rPr>
      </w:pPr>
    </w:p>
    <w:p w14:paraId="7D1D34BD" w14:textId="77777777" w:rsidR="00953FFA" w:rsidRPr="00953FFA" w:rsidRDefault="00953FFA" w:rsidP="00953FFA">
      <w:pPr>
        <w:spacing w:line="360" w:lineRule="auto"/>
        <w:jc w:val="both"/>
        <w:rPr>
          <w:rFonts w:ascii="Times New Roman" w:hAnsi="Times New Roman" w:cs="Times New Roman"/>
          <w:sz w:val="24"/>
          <w:szCs w:val="24"/>
        </w:rPr>
      </w:pPr>
    </w:p>
    <w:p w14:paraId="32F38AEE" w14:textId="77777777" w:rsidR="00953FFA" w:rsidRPr="00953FFA" w:rsidRDefault="00953FFA" w:rsidP="00953FFA">
      <w:pPr>
        <w:spacing w:line="360" w:lineRule="auto"/>
        <w:jc w:val="both"/>
        <w:rPr>
          <w:rFonts w:ascii="Times New Roman" w:hAnsi="Times New Roman" w:cs="Times New Roman"/>
          <w:sz w:val="24"/>
          <w:szCs w:val="24"/>
        </w:rPr>
      </w:pPr>
    </w:p>
    <w:p w14:paraId="7110E4AC" w14:textId="77777777" w:rsidR="00953FFA" w:rsidRPr="00953FFA" w:rsidRDefault="00953FFA" w:rsidP="00953FFA">
      <w:pPr>
        <w:spacing w:line="360" w:lineRule="auto"/>
        <w:jc w:val="both"/>
        <w:rPr>
          <w:rFonts w:ascii="Times New Roman" w:hAnsi="Times New Roman" w:cs="Times New Roman"/>
          <w:sz w:val="24"/>
          <w:szCs w:val="24"/>
        </w:rPr>
      </w:pPr>
    </w:p>
    <w:p w14:paraId="10FF28BB" w14:textId="77777777" w:rsidR="00953FFA" w:rsidRPr="00953FFA" w:rsidRDefault="00953FFA" w:rsidP="00953FFA">
      <w:pPr>
        <w:spacing w:line="360" w:lineRule="auto"/>
        <w:jc w:val="both"/>
        <w:rPr>
          <w:rFonts w:ascii="Times New Roman" w:hAnsi="Times New Roman" w:cs="Times New Roman"/>
          <w:sz w:val="24"/>
          <w:szCs w:val="24"/>
        </w:rPr>
      </w:pPr>
    </w:p>
    <w:p w14:paraId="1430D6D9" w14:textId="6F326D59" w:rsidR="00953FFA" w:rsidRPr="00953FFA" w:rsidRDefault="00064A1E" w:rsidP="00953F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1,520 words </w:t>
      </w:r>
    </w:p>
    <w:p w14:paraId="430C67CB" w14:textId="77777777" w:rsidR="00953FFA" w:rsidRPr="00953FFA" w:rsidRDefault="00953FFA" w:rsidP="00953FFA">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1722900068"/>
        <w:docPartObj>
          <w:docPartGallery w:val="Table of Contents"/>
          <w:docPartUnique/>
        </w:docPartObj>
      </w:sdtPr>
      <w:sdtEndPr>
        <w:rPr>
          <w:b/>
          <w:bCs/>
          <w:noProof/>
        </w:rPr>
      </w:sdtEndPr>
      <w:sdtContent>
        <w:p w14:paraId="36B73374" w14:textId="271ADD46" w:rsidR="00953FFA" w:rsidRPr="00953FFA" w:rsidRDefault="00953FFA" w:rsidP="00953FFA">
          <w:pPr>
            <w:pStyle w:val="TOCHeading"/>
            <w:spacing w:after="240" w:line="480" w:lineRule="auto"/>
            <w:jc w:val="both"/>
            <w:rPr>
              <w:rFonts w:ascii="Times New Roman" w:hAnsi="Times New Roman" w:cs="Times New Roman"/>
              <w:b/>
              <w:bCs/>
              <w:sz w:val="28"/>
              <w:szCs w:val="28"/>
            </w:rPr>
          </w:pPr>
          <w:r w:rsidRPr="00953FFA">
            <w:rPr>
              <w:rFonts w:ascii="Times New Roman" w:hAnsi="Times New Roman" w:cs="Times New Roman"/>
              <w:b/>
              <w:bCs/>
              <w:sz w:val="28"/>
              <w:szCs w:val="28"/>
            </w:rPr>
            <w:t>Table of Contents</w:t>
          </w:r>
        </w:p>
        <w:p w14:paraId="33C89A36" w14:textId="3E533AF7" w:rsidR="00953FFA" w:rsidRPr="00953FFA" w:rsidRDefault="00953FFA" w:rsidP="00953FFA">
          <w:pPr>
            <w:pStyle w:val="TOC1"/>
            <w:tabs>
              <w:tab w:val="right" w:leader="dot" w:pos="9062"/>
            </w:tabs>
            <w:spacing w:after="240" w:line="480" w:lineRule="auto"/>
            <w:jc w:val="both"/>
            <w:rPr>
              <w:rFonts w:ascii="Times New Roman" w:hAnsi="Times New Roman" w:cs="Times New Roman"/>
              <w:noProof/>
              <w:sz w:val="24"/>
              <w:szCs w:val="24"/>
            </w:rPr>
          </w:pPr>
          <w:r w:rsidRPr="00953FFA">
            <w:rPr>
              <w:rFonts w:ascii="Times New Roman" w:hAnsi="Times New Roman" w:cs="Times New Roman"/>
              <w:sz w:val="24"/>
              <w:szCs w:val="24"/>
            </w:rPr>
            <w:fldChar w:fldCharType="begin"/>
          </w:r>
          <w:r w:rsidRPr="00953FFA">
            <w:rPr>
              <w:rFonts w:ascii="Times New Roman" w:hAnsi="Times New Roman" w:cs="Times New Roman"/>
              <w:sz w:val="24"/>
              <w:szCs w:val="24"/>
            </w:rPr>
            <w:instrText xml:space="preserve"> TOC \o "1-3" \h \z \u </w:instrText>
          </w:r>
          <w:r w:rsidRPr="00953FFA">
            <w:rPr>
              <w:rFonts w:ascii="Times New Roman" w:hAnsi="Times New Roman" w:cs="Times New Roman"/>
              <w:sz w:val="24"/>
              <w:szCs w:val="24"/>
            </w:rPr>
            <w:fldChar w:fldCharType="separate"/>
          </w:r>
          <w:hyperlink w:anchor="_Toc134110398" w:history="1">
            <w:r w:rsidRPr="00953FFA">
              <w:rPr>
                <w:rStyle w:val="Hyperlink"/>
                <w:rFonts w:ascii="Times New Roman" w:hAnsi="Times New Roman" w:cs="Times New Roman"/>
                <w:noProof/>
                <w:sz w:val="24"/>
                <w:szCs w:val="24"/>
              </w:rPr>
              <w:t>Introduction</w:t>
            </w:r>
            <w:r w:rsidRPr="00953FFA">
              <w:rPr>
                <w:rFonts w:ascii="Times New Roman" w:hAnsi="Times New Roman" w:cs="Times New Roman"/>
                <w:noProof/>
                <w:webHidden/>
                <w:sz w:val="24"/>
                <w:szCs w:val="24"/>
              </w:rPr>
              <w:tab/>
            </w:r>
            <w:r w:rsidRPr="00953FFA">
              <w:rPr>
                <w:rFonts w:ascii="Times New Roman" w:hAnsi="Times New Roman" w:cs="Times New Roman"/>
                <w:noProof/>
                <w:webHidden/>
                <w:sz w:val="24"/>
                <w:szCs w:val="24"/>
              </w:rPr>
              <w:fldChar w:fldCharType="begin"/>
            </w:r>
            <w:r w:rsidRPr="00953FFA">
              <w:rPr>
                <w:rFonts w:ascii="Times New Roman" w:hAnsi="Times New Roman" w:cs="Times New Roman"/>
                <w:noProof/>
                <w:webHidden/>
                <w:sz w:val="24"/>
                <w:szCs w:val="24"/>
              </w:rPr>
              <w:instrText xml:space="preserve"> PAGEREF _Toc134110398 \h </w:instrText>
            </w:r>
            <w:r w:rsidRPr="00953FFA">
              <w:rPr>
                <w:rFonts w:ascii="Times New Roman" w:hAnsi="Times New Roman" w:cs="Times New Roman"/>
                <w:noProof/>
                <w:webHidden/>
                <w:sz w:val="24"/>
                <w:szCs w:val="24"/>
              </w:rPr>
            </w:r>
            <w:r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3</w:t>
            </w:r>
            <w:r w:rsidRPr="00953FFA">
              <w:rPr>
                <w:rFonts w:ascii="Times New Roman" w:hAnsi="Times New Roman" w:cs="Times New Roman"/>
                <w:noProof/>
                <w:webHidden/>
                <w:sz w:val="24"/>
                <w:szCs w:val="24"/>
              </w:rPr>
              <w:fldChar w:fldCharType="end"/>
            </w:r>
          </w:hyperlink>
        </w:p>
        <w:p w14:paraId="31D0D6CB" w14:textId="651DAA01"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399" w:history="1">
            <w:r w:rsidR="00953FFA" w:rsidRPr="00953FFA">
              <w:rPr>
                <w:rStyle w:val="Hyperlink"/>
                <w:rFonts w:ascii="Times New Roman" w:hAnsi="Times New Roman" w:cs="Times New Roman"/>
                <w:noProof/>
                <w:sz w:val="24"/>
                <w:szCs w:val="24"/>
              </w:rPr>
              <w:t>Dividend policy of AZ</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_Toc134110399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3</w:t>
            </w:r>
            <w:r w:rsidR="00953FFA" w:rsidRPr="00953FFA">
              <w:rPr>
                <w:rFonts w:ascii="Times New Roman" w:hAnsi="Times New Roman" w:cs="Times New Roman"/>
                <w:noProof/>
                <w:webHidden/>
                <w:sz w:val="24"/>
                <w:szCs w:val="24"/>
              </w:rPr>
              <w:fldChar w:fldCharType="end"/>
            </w:r>
          </w:hyperlink>
        </w:p>
        <w:p w14:paraId="33CD0708" w14:textId="1C5AD274"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0" w:history="1">
            <w:r w:rsidR="00953FFA" w:rsidRPr="00953FFA">
              <w:rPr>
                <w:rStyle w:val="Hyperlink"/>
                <w:rFonts w:ascii="Times New Roman" w:hAnsi="Times New Roman" w:cs="Times New Roman"/>
                <w:noProof/>
                <w:sz w:val="24"/>
                <w:szCs w:val="24"/>
              </w:rPr>
              <w:t>Analysis of Efficient Market Hypothesis (EMH)</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_Toc134110400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5</w:t>
            </w:r>
            <w:r w:rsidR="00953FFA" w:rsidRPr="00953FFA">
              <w:rPr>
                <w:rFonts w:ascii="Times New Roman" w:hAnsi="Times New Roman" w:cs="Times New Roman"/>
                <w:noProof/>
                <w:webHidden/>
                <w:sz w:val="24"/>
                <w:szCs w:val="24"/>
              </w:rPr>
              <w:fldChar w:fldCharType="end"/>
            </w:r>
          </w:hyperlink>
        </w:p>
        <w:p w14:paraId="5B939D37" w14:textId="44572C95"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1" w:history="1">
            <w:r w:rsidR="00953FFA" w:rsidRPr="00953FFA">
              <w:rPr>
                <w:rStyle w:val="Hyperlink"/>
                <w:rFonts w:ascii="Times New Roman" w:hAnsi="Times New Roman" w:cs="Times New Roman"/>
                <w:noProof/>
                <w:sz w:val="24"/>
                <w:szCs w:val="24"/>
              </w:rPr>
              <w:t>Project appraisal methods</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_Toc134110401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6</w:t>
            </w:r>
            <w:r w:rsidR="00953FFA" w:rsidRPr="00953FFA">
              <w:rPr>
                <w:rFonts w:ascii="Times New Roman" w:hAnsi="Times New Roman" w:cs="Times New Roman"/>
                <w:noProof/>
                <w:webHidden/>
                <w:sz w:val="24"/>
                <w:szCs w:val="24"/>
              </w:rPr>
              <w:fldChar w:fldCharType="end"/>
            </w:r>
          </w:hyperlink>
        </w:p>
        <w:p w14:paraId="4903229E" w14:textId="09C05312"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2" w:history="1">
            <w:r w:rsidR="00953FFA" w:rsidRPr="00953FFA">
              <w:rPr>
                <w:rStyle w:val="Hyperlink"/>
                <w:rFonts w:ascii="Times New Roman" w:hAnsi="Times New Roman" w:cs="Times New Roman"/>
                <w:noProof/>
                <w:sz w:val="24"/>
                <w:szCs w:val="24"/>
              </w:rPr>
              <w:t>Conclusion</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_Toc134110402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7</w:t>
            </w:r>
            <w:r w:rsidR="00953FFA" w:rsidRPr="00953FFA">
              <w:rPr>
                <w:rFonts w:ascii="Times New Roman" w:hAnsi="Times New Roman" w:cs="Times New Roman"/>
                <w:noProof/>
                <w:webHidden/>
                <w:sz w:val="24"/>
                <w:szCs w:val="24"/>
              </w:rPr>
              <w:fldChar w:fldCharType="end"/>
            </w:r>
          </w:hyperlink>
        </w:p>
        <w:p w14:paraId="1853E6DC" w14:textId="32754A06" w:rsidR="00953FFA" w:rsidRPr="00953FFA" w:rsidRDefault="00000000" w:rsidP="00953FFA">
          <w:pPr>
            <w:pStyle w:val="TOC1"/>
            <w:tabs>
              <w:tab w:val="right" w:leader="dot" w:pos="9062"/>
            </w:tabs>
            <w:spacing w:after="240" w:line="480" w:lineRule="auto"/>
            <w:jc w:val="both"/>
            <w:rPr>
              <w:rFonts w:ascii="Times New Roman" w:hAnsi="Times New Roman" w:cs="Times New Roman"/>
              <w:noProof/>
              <w:sz w:val="24"/>
              <w:szCs w:val="24"/>
            </w:rPr>
          </w:pPr>
          <w:hyperlink w:anchor="_Toc134110403" w:history="1">
            <w:r w:rsidR="00953FFA" w:rsidRPr="00953FFA">
              <w:rPr>
                <w:rStyle w:val="Hyperlink"/>
                <w:rFonts w:ascii="Times New Roman" w:hAnsi="Times New Roman" w:cs="Times New Roman"/>
                <w:noProof/>
                <w:sz w:val="24"/>
                <w:szCs w:val="24"/>
              </w:rPr>
              <w:t>References</w:t>
            </w:r>
            <w:r w:rsidR="00953FFA" w:rsidRPr="00953FFA">
              <w:rPr>
                <w:rFonts w:ascii="Times New Roman" w:hAnsi="Times New Roman" w:cs="Times New Roman"/>
                <w:noProof/>
                <w:webHidden/>
                <w:sz w:val="24"/>
                <w:szCs w:val="24"/>
              </w:rPr>
              <w:tab/>
            </w:r>
            <w:r w:rsidR="00953FFA" w:rsidRPr="00953FFA">
              <w:rPr>
                <w:rFonts w:ascii="Times New Roman" w:hAnsi="Times New Roman" w:cs="Times New Roman"/>
                <w:noProof/>
                <w:webHidden/>
                <w:sz w:val="24"/>
                <w:szCs w:val="24"/>
              </w:rPr>
              <w:fldChar w:fldCharType="begin"/>
            </w:r>
            <w:r w:rsidR="00953FFA" w:rsidRPr="00953FFA">
              <w:rPr>
                <w:rFonts w:ascii="Times New Roman" w:hAnsi="Times New Roman" w:cs="Times New Roman"/>
                <w:noProof/>
                <w:webHidden/>
                <w:sz w:val="24"/>
                <w:szCs w:val="24"/>
              </w:rPr>
              <w:instrText xml:space="preserve"> PAGEREF _Toc134110403 \h </w:instrText>
            </w:r>
            <w:r w:rsidR="00953FFA" w:rsidRPr="00953FFA">
              <w:rPr>
                <w:rFonts w:ascii="Times New Roman" w:hAnsi="Times New Roman" w:cs="Times New Roman"/>
                <w:noProof/>
                <w:webHidden/>
                <w:sz w:val="24"/>
                <w:szCs w:val="24"/>
              </w:rPr>
            </w:r>
            <w:r w:rsidR="00953FFA" w:rsidRPr="00953FFA">
              <w:rPr>
                <w:rFonts w:ascii="Times New Roman" w:hAnsi="Times New Roman" w:cs="Times New Roman"/>
                <w:noProof/>
                <w:webHidden/>
                <w:sz w:val="24"/>
                <w:szCs w:val="24"/>
              </w:rPr>
              <w:fldChar w:fldCharType="separate"/>
            </w:r>
            <w:r w:rsidR="00064A1E">
              <w:rPr>
                <w:rFonts w:ascii="Times New Roman" w:hAnsi="Times New Roman" w:cs="Times New Roman"/>
                <w:noProof/>
                <w:webHidden/>
                <w:sz w:val="24"/>
                <w:szCs w:val="24"/>
              </w:rPr>
              <w:t>8</w:t>
            </w:r>
            <w:r w:rsidR="00953FFA" w:rsidRPr="00953FFA">
              <w:rPr>
                <w:rFonts w:ascii="Times New Roman" w:hAnsi="Times New Roman" w:cs="Times New Roman"/>
                <w:noProof/>
                <w:webHidden/>
                <w:sz w:val="24"/>
                <w:szCs w:val="24"/>
              </w:rPr>
              <w:fldChar w:fldCharType="end"/>
            </w:r>
          </w:hyperlink>
        </w:p>
        <w:p w14:paraId="2D3DB2A6" w14:textId="4FDE882C" w:rsidR="00953FFA" w:rsidRDefault="00953FFA" w:rsidP="00953FFA">
          <w:pPr>
            <w:spacing w:after="240" w:line="480" w:lineRule="auto"/>
            <w:jc w:val="both"/>
          </w:pPr>
          <w:r w:rsidRPr="00953FFA">
            <w:rPr>
              <w:rFonts w:ascii="Times New Roman" w:hAnsi="Times New Roman" w:cs="Times New Roman"/>
              <w:b/>
              <w:bCs/>
              <w:noProof/>
              <w:sz w:val="24"/>
              <w:szCs w:val="24"/>
            </w:rPr>
            <w:fldChar w:fldCharType="end"/>
          </w:r>
        </w:p>
      </w:sdtContent>
    </w:sdt>
    <w:p w14:paraId="0CDB50EB" w14:textId="77777777" w:rsidR="00953FFA" w:rsidRDefault="00953FFA" w:rsidP="00953FFA">
      <w:pPr>
        <w:pStyle w:val="Heading1"/>
        <w:spacing w:before="0" w:after="240"/>
      </w:pPr>
    </w:p>
    <w:p w14:paraId="3985DF77" w14:textId="77777777" w:rsidR="00953FFA" w:rsidRDefault="00953FFA" w:rsidP="00953FFA"/>
    <w:p w14:paraId="64C2E4A4" w14:textId="77777777" w:rsidR="00953FFA" w:rsidRDefault="00953FFA" w:rsidP="00953FFA"/>
    <w:p w14:paraId="2175F4F5" w14:textId="77777777" w:rsidR="00953FFA" w:rsidRDefault="00953FFA" w:rsidP="00953FFA"/>
    <w:p w14:paraId="237B37FB" w14:textId="77777777" w:rsidR="00953FFA" w:rsidRDefault="00953FFA" w:rsidP="00953FFA"/>
    <w:p w14:paraId="50AC23CF" w14:textId="77777777" w:rsidR="00953FFA" w:rsidRDefault="00953FFA" w:rsidP="00953FFA"/>
    <w:p w14:paraId="05C95E4F" w14:textId="77777777" w:rsidR="00953FFA" w:rsidRDefault="00953FFA" w:rsidP="00953FFA"/>
    <w:p w14:paraId="71956203" w14:textId="77777777" w:rsidR="00953FFA" w:rsidRDefault="00953FFA" w:rsidP="00953FFA"/>
    <w:p w14:paraId="0412839A" w14:textId="77777777" w:rsidR="00953FFA" w:rsidRDefault="00953FFA" w:rsidP="00953FFA"/>
    <w:p w14:paraId="5E2026D9" w14:textId="77777777" w:rsidR="00953FFA" w:rsidRDefault="00953FFA" w:rsidP="00953FFA"/>
    <w:p w14:paraId="36E111A1" w14:textId="77777777" w:rsidR="00953FFA" w:rsidRDefault="00953FFA" w:rsidP="00953FFA"/>
    <w:p w14:paraId="5FEB2119" w14:textId="77777777" w:rsidR="00953FFA" w:rsidRDefault="00953FFA" w:rsidP="00953FFA"/>
    <w:p w14:paraId="6D794820" w14:textId="77777777" w:rsidR="00953FFA" w:rsidRDefault="00953FFA" w:rsidP="00953FFA"/>
    <w:p w14:paraId="4BCD9643" w14:textId="77777777" w:rsidR="00953FFA" w:rsidRDefault="00953FFA" w:rsidP="00953FFA"/>
    <w:p w14:paraId="3D635EBF" w14:textId="77777777" w:rsidR="00953FFA" w:rsidRPr="00953FFA" w:rsidRDefault="00953FFA" w:rsidP="00953FFA"/>
    <w:p w14:paraId="6C32BD80" w14:textId="4DF6B71A" w:rsidR="00E9170F" w:rsidRPr="00E77A43" w:rsidRDefault="00E77A43" w:rsidP="00953FFA">
      <w:pPr>
        <w:pStyle w:val="Heading1"/>
        <w:spacing w:before="0" w:after="240"/>
      </w:pPr>
      <w:bookmarkStart w:id="0" w:name="_Toc134110398"/>
      <w:r w:rsidRPr="00E77A43">
        <w:t>Introduction</w:t>
      </w:r>
      <w:bookmarkEnd w:id="0"/>
      <w:r w:rsidRPr="00E77A43">
        <w:t xml:space="preserve"> </w:t>
      </w:r>
    </w:p>
    <w:p w14:paraId="4131BB23" w14:textId="67BF3A43" w:rsidR="007354BE" w:rsidRPr="008753F9" w:rsidRDefault="008753F9" w:rsidP="00E77A43">
      <w:pPr>
        <w:spacing w:line="360" w:lineRule="auto"/>
        <w:jc w:val="both"/>
        <w:rPr>
          <w:rFonts w:ascii="Times New Roman" w:hAnsi="Times New Roman" w:cs="Times New Roman"/>
          <w:sz w:val="24"/>
          <w:szCs w:val="24"/>
        </w:rPr>
      </w:pPr>
      <w:r w:rsidRPr="008753F9">
        <w:rPr>
          <w:rFonts w:ascii="Times New Roman" w:hAnsi="Times New Roman" w:cs="Times New Roman"/>
          <w:sz w:val="24"/>
          <w:szCs w:val="24"/>
        </w:rPr>
        <w:t xml:space="preserve">The report considers the case of AstraZeneca (AZ). It is a global and public biopharmaceutical company, specialised in the development and selling of a wide variety of drugs (Global Data, 2023). AZ mainly focuses on areas, such as cancer, cardiovascular, respiratory, metabolic diseases, as well as autoimmune, infection and neurological diseases (Global Data, 2023). The success of the company is based on its global presence, large workforce size (83,500 employees), strong revenue </w:t>
      </w:r>
      <w:r w:rsidR="00DB05F6">
        <w:rPr>
          <w:rFonts w:ascii="Times New Roman" w:hAnsi="Times New Roman" w:cs="Times New Roman"/>
          <w:sz w:val="24"/>
          <w:szCs w:val="24"/>
        </w:rPr>
        <w:t>performance</w:t>
      </w:r>
      <w:r w:rsidRPr="008753F9">
        <w:rPr>
          <w:rFonts w:ascii="Times New Roman" w:hAnsi="Times New Roman" w:cs="Times New Roman"/>
          <w:sz w:val="24"/>
          <w:szCs w:val="24"/>
        </w:rPr>
        <w:t xml:space="preserve"> ($44.4 billion), as well as solid market capitalisation exceeding $227 billion (AZ, 2023; Global Data, 2023). The report investigates the dividend policy of the public company and other important considerations related to asset valuation and project appraisal methods.</w:t>
      </w:r>
    </w:p>
    <w:p w14:paraId="250196FD" w14:textId="68A9123D" w:rsidR="008753F9" w:rsidRPr="008753F9" w:rsidRDefault="008753F9" w:rsidP="00953FFA">
      <w:pPr>
        <w:pStyle w:val="Heading1"/>
        <w:spacing w:before="0" w:after="240"/>
      </w:pPr>
      <w:bookmarkStart w:id="1" w:name="_Toc134110399"/>
      <w:r w:rsidRPr="008753F9">
        <w:t>Dividend policy of AZ</w:t>
      </w:r>
      <w:bookmarkEnd w:id="1"/>
    </w:p>
    <w:p w14:paraId="2590199A" w14:textId="5FFAA319" w:rsidR="008753F9" w:rsidRPr="00DD0310" w:rsidRDefault="00EB3B8E"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 xml:space="preserve">AZ distributes dividends to its stakeholders biannually (AZ, 2023). Given its record revenue of $44.4 billion, AZ has sufficient resources to distribute dividends. In 2022, the dividend per share reached </w:t>
      </w:r>
      <w:r w:rsidR="00462756" w:rsidRPr="00DD0310">
        <w:rPr>
          <w:rFonts w:ascii="Times New Roman" w:hAnsi="Times New Roman" w:cs="Times New Roman"/>
          <w:sz w:val="24"/>
          <w:szCs w:val="24"/>
        </w:rPr>
        <w:t>a record high of $2.90 (AZ, 2023). This is higher than the level in 2021 ($2.87) or growth rate of approximately 1%</w:t>
      </w:r>
      <w:r w:rsidR="00192506" w:rsidRPr="00DD0310">
        <w:rPr>
          <w:rFonts w:ascii="Times New Roman" w:hAnsi="Times New Roman" w:cs="Times New Roman"/>
          <w:sz w:val="24"/>
          <w:szCs w:val="24"/>
        </w:rPr>
        <w:t xml:space="preserve"> (AZ, 2023).</w:t>
      </w:r>
    </w:p>
    <w:p w14:paraId="35DB6B81" w14:textId="599CEB96" w:rsidR="00462756" w:rsidRPr="00DD0310" w:rsidRDefault="00462756"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 xml:space="preserve">The total amount of paid dividends is $4.36 billion – an increase of $508 million compared to the 2021 level (AZ, 2023). This also constitutes an increase of 13.17% when measured in percentage terms (AZ, 2023). It is important to note that the annual operating profit of AZ was </w:t>
      </w:r>
      <w:r w:rsidRPr="00DD0310">
        <w:rPr>
          <w:rFonts w:ascii="Times New Roman" w:hAnsi="Times New Roman" w:cs="Times New Roman"/>
          <w:sz w:val="24"/>
          <w:szCs w:val="24"/>
        </w:rPr>
        <w:lastRenderedPageBreak/>
        <w:t xml:space="preserve">$3.8 billion (AZ, 2023). This means that paid dividends exceeded the operating profit for the respective year. As a result, it can be concluded that AZ makes considerable efforts to meet shareholders’ expectations by distributing the entire profit in dividends. </w:t>
      </w:r>
    </w:p>
    <w:p w14:paraId="1DFD6E21" w14:textId="45656FA6" w:rsidR="00462756" w:rsidRPr="00DD0310" w:rsidRDefault="00462756"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The critical analysis of AZ’s dividend policy also requires analysing the dividend yield – a measure of paid dividend by considering the nominal value of the dividend and the share price (</w:t>
      </w:r>
      <w:r w:rsidR="00F84D5E">
        <w:rPr>
          <w:rFonts w:ascii="Times New Roman" w:hAnsi="Times New Roman" w:cs="Times New Roman"/>
          <w:sz w:val="24"/>
          <w:szCs w:val="24"/>
        </w:rPr>
        <w:t>Arnold, 2012</w:t>
      </w:r>
      <w:r w:rsidRPr="00DD0310">
        <w:rPr>
          <w:rFonts w:ascii="Times New Roman" w:hAnsi="Times New Roman" w:cs="Times New Roman"/>
          <w:sz w:val="24"/>
          <w:szCs w:val="24"/>
        </w:rPr>
        <w:t xml:space="preserve">). As shown below, the dividend yield has gradually but consistently declined since its peak at a level of 4.5% in 2016 (Fidelity, 2023). Currently, the dividend yield is slightly above 2.1% or more than twice lower than its peak value (Fidelity, 2023). The trend for decline shows the inability of AZ to generate sufficient profit to maintain high dividend yield. Therefore, the share price is likely to be overvalued, as the cash flow to shareholders, under the form of dividend, consistently declines relative to the value of the share. </w:t>
      </w:r>
    </w:p>
    <w:p w14:paraId="0B9D4B13" w14:textId="77777777" w:rsidR="00462756" w:rsidRPr="00DD0310" w:rsidRDefault="00462756" w:rsidP="00E77A43">
      <w:pPr>
        <w:spacing w:line="360" w:lineRule="auto"/>
        <w:jc w:val="both"/>
        <w:rPr>
          <w:rFonts w:ascii="Times New Roman" w:hAnsi="Times New Roman" w:cs="Times New Roman"/>
          <w:sz w:val="24"/>
          <w:szCs w:val="24"/>
        </w:rPr>
      </w:pPr>
    </w:p>
    <w:p w14:paraId="1D067A1D" w14:textId="2C55BD98" w:rsidR="00340571" w:rsidRPr="00DD0310" w:rsidRDefault="00462756" w:rsidP="00DD0310">
      <w:pPr>
        <w:spacing w:after="0" w:line="360" w:lineRule="auto"/>
        <w:jc w:val="both"/>
        <w:rPr>
          <w:rFonts w:ascii="Times New Roman" w:hAnsi="Times New Roman" w:cs="Times New Roman"/>
          <w:b/>
          <w:bCs/>
          <w:sz w:val="24"/>
          <w:szCs w:val="24"/>
        </w:rPr>
      </w:pPr>
      <w:r w:rsidRPr="00DD0310">
        <w:rPr>
          <w:rFonts w:ascii="Times New Roman" w:hAnsi="Times New Roman" w:cs="Times New Roman"/>
          <w:b/>
          <w:bCs/>
          <w:sz w:val="24"/>
          <w:szCs w:val="24"/>
        </w:rPr>
        <w:t>Figure 1 – Dividend yield of AZ (%)</w:t>
      </w:r>
    </w:p>
    <w:p w14:paraId="13A3C2EF" w14:textId="16F9026B" w:rsidR="00340571" w:rsidRPr="00DD0310" w:rsidRDefault="00340571" w:rsidP="00DD0310">
      <w:pPr>
        <w:spacing w:after="0" w:line="360" w:lineRule="auto"/>
        <w:jc w:val="both"/>
        <w:rPr>
          <w:rFonts w:ascii="Times New Roman" w:hAnsi="Times New Roman" w:cs="Times New Roman"/>
          <w:sz w:val="24"/>
          <w:szCs w:val="24"/>
        </w:rPr>
      </w:pPr>
      <w:r w:rsidRPr="00DD0310">
        <w:rPr>
          <w:rFonts w:ascii="Times New Roman" w:hAnsi="Times New Roman" w:cs="Times New Roman"/>
          <w:noProof/>
          <w:sz w:val="24"/>
          <w:szCs w:val="24"/>
        </w:rPr>
        <w:drawing>
          <wp:inline distT="0" distB="0" distL="0" distR="0" wp14:anchorId="15BC29FA" wp14:editId="36F15235">
            <wp:extent cx="5629275" cy="3211865"/>
            <wp:effectExtent l="0" t="0" r="0" b="7620"/>
            <wp:docPr id="2994578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5165" cy="3220931"/>
                    </a:xfrm>
                    <a:prstGeom prst="rect">
                      <a:avLst/>
                    </a:prstGeom>
                    <a:noFill/>
                    <a:ln>
                      <a:noFill/>
                    </a:ln>
                  </pic:spPr>
                </pic:pic>
              </a:graphicData>
            </a:graphic>
          </wp:inline>
        </w:drawing>
      </w:r>
    </w:p>
    <w:p w14:paraId="15C84D82" w14:textId="1D2944D7" w:rsidR="00340571" w:rsidRPr="00DD0310" w:rsidRDefault="00340571" w:rsidP="00E77A43">
      <w:pPr>
        <w:spacing w:line="360" w:lineRule="auto"/>
        <w:jc w:val="both"/>
        <w:rPr>
          <w:rFonts w:ascii="Times New Roman" w:hAnsi="Times New Roman" w:cs="Times New Roman"/>
          <w:i/>
          <w:iCs/>
          <w:sz w:val="24"/>
          <w:szCs w:val="24"/>
        </w:rPr>
      </w:pPr>
      <w:r w:rsidRPr="00DD0310">
        <w:rPr>
          <w:rFonts w:ascii="Times New Roman" w:hAnsi="Times New Roman" w:cs="Times New Roman"/>
          <w:i/>
          <w:iCs/>
          <w:sz w:val="24"/>
          <w:szCs w:val="24"/>
        </w:rPr>
        <w:t>Source: Fidelity (2023)</w:t>
      </w:r>
    </w:p>
    <w:p w14:paraId="3F5558C4" w14:textId="58C5DBE4" w:rsidR="00340571" w:rsidRPr="00DD0310" w:rsidRDefault="00192506"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Despite the commitment to distribute all profits back to shareholders, AZ’s dividend yield brings concerns. F</w:t>
      </w:r>
      <w:r w:rsidR="00DD0310" w:rsidRPr="00DD0310">
        <w:rPr>
          <w:rFonts w:ascii="Times New Roman" w:hAnsi="Times New Roman" w:cs="Times New Roman"/>
          <w:sz w:val="24"/>
          <w:szCs w:val="24"/>
        </w:rPr>
        <w:t xml:space="preserve">or example, the inflation level is quite high in the UK – 10.1% annually (Trading Economics, 2023). This means that the yield is insufficient to compensate for the rising price levels and the real yields are negative. More importantly, the Bank of England (BoE) has initiated a campaign for higher interest rates (BoE, 2023). The current level of the Base rate is 4.25% - considerably higher than the prolonged period of close to zero rates (BoE, 2023). </w:t>
      </w:r>
    </w:p>
    <w:p w14:paraId="621752ED" w14:textId="7B2BADC7" w:rsidR="00340571" w:rsidRPr="00DD0310" w:rsidRDefault="00DD0310" w:rsidP="00DD0310">
      <w:pPr>
        <w:spacing w:after="0" w:line="360" w:lineRule="auto"/>
        <w:jc w:val="both"/>
        <w:rPr>
          <w:rFonts w:ascii="Times New Roman" w:hAnsi="Times New Roman" w:cs="Times New Roman"/>
          <w:b/>
          <w:bCs/>
          <w:sz w:val="24"/>
          <w:szCs w:val="24"/>
        </w:rPr>
      </w:pPr>
      <w:r w:rsidRPr="00DD0310">
        <w:rPr>
          <w:rFonts w:ascii="Times New Roman" w:hAnsi="Times New Roman" w:cs="Times New Roman"/>
          <w:b/>
          <w:bCs/>
          <w:sz w:val="24"/>
          <w:szCs w:val="24"/>
        </w:rPr>
        <w:lastRenderedPageBreak/>
        <w:t>Figure 2 – Changes in the Base rate (%)</w:t>
      </w:r>
    </w:p>
    <w:p w14:paraId="16FC0ABD" w14:textId="339C1343" w:rsidR="00340571" w:rsidRPr="00DD0310" w:rsidRDefault="00340571" w:rsidP="00E77A43">
      <w:pPr>
        <w:spacing w:line="360" w:lineRule="auto"/>
        <w:jc w:val="both"/>
        <w:rPr>
          <w:rFonts w:ascii="Times New Roman" w:hAnsi="Times New Roman" w:cs="Times New Roman"/>
          <w:sz w:val="24"/>
          <w:szCs w:val="24"/>
        </w:rPr>
      </w:pPr>
      <w:r w:rsidRPr="00DD0310">
        <w:rPr>
          <w:rFonts w:ascii="Times New Roman" w:hAnsi="Times New Roman" w:cs="Times New Roman"/>
          <w:noProof/>
          <w:sz w:val="24"/>
          <w:szCs w:val="24"/>
        </w:rPr>
        <w:drawing>
          <wp:inline distT="0" distB="0" distL="0" distR="0" wp14:anchorId="5BF6E1CD" wp14:editId="14FFC7AE">
            <wp:extent cx="5753100" cy="2590800"/>
            <wp:effectExtent l="0" t="0" r="0" b="0"/>
            <wp:docPr id="17053164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2590800"/>
                    </a:xfrm>
                    <a:prstGeom prst="rect">
                      <a:avLst/>
                    </a:prstGeom>
                    <a:noFill/>
                    <a:ln>
                      <a:noFill/>
                    </a:ln>
                  </pic:spPr>
                </pic:pic>
              </a:graphicData>
            </a:graphic>
          </wp:inline>
        </w:drawing>
      </w:r>
    </w:p>
    <w:p w14:paraId="42840FC4" w14:textId="507DB189" w:rsidR="00340571" w:rsidRPr="00DD0310" w:rsidRDefault="00340571" w:rsidP="00E77A43">
      <w:pPr>
        <w:spacing w:line="360" w:lineRule="auto"/>
        <w:jc w:val="both"/>
        <w:rPr>
          <w:rFonts w:ascii="Times New Roman" w:hAnsi="Times New Roman" w:cs="Times New Roman"/>
          <w:i/>
          <w:iCs/>
          <w:sz w:val="24"/>
          <w:szCs w:val="24"/>
        </w:rPr>
      </w:pPr>
      <w:r w:rsidRPr="00DD0310">
        <w:rPr>
          <w:rFonts w:ascii="Times New Roman" w:hAnsi="Times New Roman" w:cs="Times New Roman"/>
          <w:i/>
          <w:iCs/>
          <w:sz w:val="24"/>
          <w:szCs w:val="24"/>
        </w:rPr>
        <w:t>Source: BoE (2023)</w:t>
      </w:r>
    </w:p>
    <w:p w14:paraId="35660679" w14:textId="7A4FCE26" w:rsidR="00BB7795" w:rsidRPr="00DD0310" w:rsidRDefault="00DD0310" w:rsidP="00E77A43">
      <w:pPr>
        <w:spacing w:line="360" w:lineRule="auto"/>
        <w:jc w:val="both"/>
        <w:rPr>
          <w:rFonts w:ascii="Times New Roman" w:hAnsi="Times New Roman" w:cs="Times New Roman"/>
          <w:sz w:val="24"/>
          <w:szCs w:val="24"/>
        </w:rPr>
      </w:pPr>
      <w:r w:rsidRPr="00DD0310">
        <w:rPr>
          <w:rFonts w:ascii="Times New Roman" w:hAnsi="Times New Roman" w:cs="Times New Roman"/>
          <w:sz w:val="24"/>
          <w:szCs w:val="24"/>
        </w:rPr>
        <w:t xml:space="preserve">Thus, the AZ’s dividend yield of 2.1% is lower than the risk-free interest rate of 4.25%. Such yield is too long given the level of risk when investing in shares. Hence, the dividend yield must considerably increase above the risk-free rate over time. These conclusions suggest that AZ must find ways of increasing its dividend payments in the future, as the current dividend policy is not sustainable given the level of risk-free rates. </w:t>
      </w:r>
    </w:p>
    <w:p w14:paraId="098B44DA" w14:textId="0D2B3F99" w:rsidR="007354BE" w:rsidRPr="00516AFD" w:rsidRDefault="00516AFD" w:rsidP="00953FFA">
      <w:pPr>
        <w:pStyle w:val="Heading1"/>
        <w:spacing w:before="0" w:after="240"/>
      </w:pPr>
      <w:bookmarkStart w:id="2" w:name="_Toc134110400"/>
      <w:r w:rsidRPr="00516AFD">
        <w:t>Analysis of Efficient Market Hypothesis (EMH)</w:t>
      </w:r>
      <w:bookmarkEnd w:id="2"/>
    </w:p>
    <w:p w14:paraId="4CD98E1B" w14:textId="4C83BF2C" w:rsidR="00516AFD" w:rsidRPr="00C67C13" w:rsidRDefault="00516AFD"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The EMH suggest that markets are efficient due to several key considerations. The first theoretical pillar suggests that share prices reflect all information which is available to the market (</w:t>
      </w:r>
      <w:r w:rsidR="00B278D2" w:rsidRPr="00C67C13">
        <w:rPr>
          <w:rFonts w:ascii="Times New Roman" w:hAnsi="Times New Roman" w:cs="Times New Roman"/>
          <w:sz w:val="24"/>
          <w:szCs w:val="24"/>
        </w:rPr>
        <w:t>CFI, 2023</w:t>
      </w:r>
      <w:r w:rsidRPr="00C67C13">
        <w:rPr>
          <w:rFonts w:ascii="Times New Roman" w:hAnsi="Times New Roman" w:cs="Times New Roman"/>
          <w:sz w:val="24"/>
          <w:szCs w:val="24"/>
        </w:rPr>
        <w:t>). Since all information is reflected in the asset pricing process, the second assumption is derived stating that prices are objective and reflecting the fair value of an asset (</w:t>
      </w:r>
      <w:r w:rsidR="00B278D2" w:rsidRPr="00C67C13">
        <w:rPr>
          <w:rFonts w:ascii="Times New Roman" w:hAnsi="Times New Roman" w:cs="Times New Roman"/>
          <w:sz w:val="24"/>
          <w:szCs w:val="24"/>
        </w:rPr>
        <w:t>CFI, 2023</w:t>
      </w:r>
      <w:r w:rsidRPr="00C67C13">
        <w:rPr>
          <w:rFonts w:ascii="Times New Roman" w:hAnsi="Times New Roman" w:cs="Times New Roman"/>
          <w:sz w:val="24"/>
          <w:szCs w:val="24"/>
        </w:rPr>
        <w:t xml:space="preserve">). </w:t>
      </w:r>
      <w:r w:rsidR="00B278D2" w:rsidRPr="00C67C13">
        <w:rPr>
          <w:rFonts w:ascii="Times New Roman" w:hAnsi="Times New Roman" w:cs="Times New Roman"/>
          <w:sz w:val="24"/>
          <w:szCs w:val="24"/>
        </w:rPr>
        <w:t xml:space="preserve">Third, efficient markets also mean no transaction costs (ACC, 2020). Taken together, these key propositions view investors as being rational and having homogenous expectations and full access to information. </w:t>
      </w:r>
      <w:r w:rsidRPr="00C67C13">
        <w:rPr>
          <w:rFonts w:ascii="Times New Roman" w:hAnsi="Times New Roman" w:cs="Times New Roman"/>
          <w:sz w:val="24"/>
          <w:szCs w:val="24"/>
        </w:rPr>
        <w:t xml:space="preserve">Given these key propositions, it is suggested that individual investors are unable to beat the market, as they do not have access to additional information and all assets are already </w:t>
      </w:r>
      <w:r w:rsidR="00DD0310">
        <w:rPr>
          <w:rFonts w:ascii="Times New Roman" w:hAnsi="Times New Roman" w:cs="Times New Roman"/>
          <w:sz w:val="24"/>
          <w:szCs w:val="24"/>
        </w:rPr>
        <w:t>priced in a fair way</w:t>
      </w:r>
      <w:r w:rsidRPr="00C67C13">
        <w:rPr>
          <w:rFonts w:ascii="Times New Roman" w:hAnsi="Times New Roman" w:cs="Times New Roman"/>
          <w:sz w:val="24"/>
          <w:szCs w:val="24"/>
        </w:rPr>
        <w:t xml:space="preserve"> (</w:t>
      </w:r>
      <w:r w:rsidR="00B278D2" w:rsidRPr="00C67C13">
        <w:rPr>
          <w:rFonts w:ascii="Times New Roman" w:hAnsi="Times New Roman" w:cs="Times New Roman"/>
          <w:sz w:val="24"/>
          <w:szCs w:val="24"/>
        </w:rPr>
        <w:t>ACC, 2020</w:t>
      </w:r>
      <w:r w:rsidRPr="00C67C13">
        <w:rPr>
          <w:rFonts w:ascii="Times New Roman" w:hAnsi="Times New Roman" w:cs="Times New Roman"/>
          <w:sz w:val="24"/>
          <w:szCs w:val="24"/>
        </w:rPr>
        <w:t xml:space="preserve">). </w:t>
      </w:r>
    </w:p>
    <w:p w14:paraId="2A7BC2E3" w14:textId="512740A5" w:rsidR="00516AFD" w:rsidRPr="00C67C13" w:rsidRDefault="00516AFD"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Based on these key theoretical propositions, investing should take place by engaging with a low-cost passive portfolio which reflects the general market trends. This is the best way of matching the market returns, as it is unlikely to beat market returns according to EMH (</w:t>
      </w:r>
      <w:r w:rsidR="00B278D2" w:rsidRPr="00C67C13">
        <w:rPr>
          <w:rFonts w:ascii="Times New Roman" w:hAnsi="Times New Roman" w:cs="Times New Roman"/>
          <w:sz w:val="24"/>
          <w:szCs w:val="24"/>
        </w:rPr>
        <w:t xml:space="preserve">Downey, </w:t>
      </w:r>
      <w:r w:rsidR="00B278D2" w:rsidRPr="00C67C13">
        <w:rPr>
          <w:rFonts w:ascii="Times New Roman" w:hAnsi="Times New Roman" w:cs="Times New Roman"/>
          <w:sz w:val="24"/>
          <w:szCs w:val="24"/>
        </w:rPr>
        <w:lastRenderedPageBreak/>
        <w:t>2023</w:t>
      </w:r>
      <w:r w:rsidRPr="00C67C13">
        <w:rPr>
          <w:rFonts w:ascii="Times New Roman" w:hAnsi="Times New Roman" w:cs="Times New Roman"/>
          <w:sz w:val="24"/>
          <w:szCs w:val="24"/>
        </w:rPr>
        <w:t>). Investing strategies, such as market timing and selection of attractive (undervalued) assets, are considered as futile under the EMH theory (</w:t>
      </w:r>
      <w:r w:rsidR="00CA7483" w:rsidRPr="00C67C13">
        <w:rPr>
          <w:rFonts w:ascii="Times New Roman" w:hAnsi="Times New Roman" w:cs="Times New Roman"/>
          <w:sz w:val="24"/>
          <w:szCs w:val="24"/>
        </w:rPr>
        <w:t xml:space="preserve">Downey, 2023). </w:t>
      </w:r>
    </w:p>
    <w:p w14:paraId="203E4DAE" w14:textId="0417B304" w:rsidR="00516AFD" w:rsidRPr="00C67C13" w:rsidRDefault="00516AFD"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Opponents of EMH claim that the theory does not reflect the actual market realities; thereby, having a low level of validity. They often cite Warren Buffet as an example of investor with excellent track record in detecting and investing in undervalued assets</w:t>
      </w:r>
      <w:r w:rsidR="00CA7483" w:rsidRPr="00C67C13">
        <w:rPr>
          <w:rFonts w:ascii="Times New Roman" w:hAnsi="Times New Roman" w:cs="Times New Roman"/>
          <w:sz w:val="24"/>
          <w:szCs w:val="24"/>
        </w:rPr>
        <w:t xml:space="preserve"> (Downey, 2023)</w:t>
      </w:r>
      <w:r w:rsidRPr="00C67C13">
        <w:rPr>
          <w:rFonts w:ascii="Times New Roman" w:hAnsi="Times New Roman" w:cs="Times New Roman"/>
          <w:sz w:val="24"/>
          <w:szCs w:val="24"/>
        </w:rPr>
        <w:t>. Thus, it is possible to consistently outperform market returns which show as evidence for absence of a fair price valuation. The 1987 market crash is also provided as an example of a considerable deviation from fair value. The market declined by more than 20% in a single trading day; thereby, showing the existence of a bubble and emotional trading, rather than objective and fair valuation process</w:t>
      </w:r>
      <w:r w:rsidR="00CA7483" w:rsidRPr="00C67C13">
        <w:rPr>
          <w:rFonts w:ascii="Times New Roman" w:hAnsi="Times New Roman" w:cs="Times New Roman"/>
          <w:sz w:val="24"/>
          <w:szCs w:val="24"/>
        </w:rPr>
        <w:t xml:space="preserve"> (Downey, 2023)</w:t>
      </w:r>
      <w:r w:rsidRPr="00C67C13">
        <w:rPr>
          <w:rFonts w:ascii="Times New Roman" w:hAnsi="Times New Roman" w:cs="Times New Roman"/>
          <w:sz w:val="24"/>
          <w:szCs w:val="24"/>
        </w:rPr>
        <w:t xml:space="preserve">. </w:t>
      </w:r>
    </w:p>
    <w:p w14:paraId="080CC41D" w14:textId="53D9393C" w:rsidR="00CC61E9" w:rsidRDefault="00CC61E9" w:rsidP="00E77A43">
      <w:pPr>
        <w:spacing w:line="360" w:lineRule="auto"/>
        <w:jc w:val="both"/>
        <w:rPr>
          <w:rFonts w:ascii="Times New Roman" w:hAnsi="Times New Roman" w:cs="Times New Roman"/>
          <w:sz w:val="24"/>
          <w:szCs w:val="24"/>
        </w:rPr>
      </w:pPr>
      <w:r w:rsidRPr="00C67C13">
        <w:rPr>
          <w:rFonts w:ascii="Times New Roman" w:hAnsi="Times New Roman" w:cs="Times New Roman"/>
          <w:sz w:val="24"/>
          <w:szCs w:val="24"/>
        </w:rPr>
        <w:t xml:space="preserve">Considering these points, markets appear to be far from being completely efficient. Factors, such as transaction costs, information availability (insider trading) and market sentiment appear to be quite relevant drivers of asset pricing in real world.  </w:t>
      </w:r>
    </w:p>
    <w:p w14:paraId="36689D56" w14:textId="14BBBFA2" w:rsidR="008753F9" w:rsidRPr="008753F9" w:rsidRDefault="008753F9" w:rsidP="00953FFA">
      <w:pPr>
        <w:pStyle w:val="Heading1"/>
        <w:spacing w:before="0" w:after="240"/>
      </w:pPr>
      <w:bookmarkStart w:id="3" w:name="_Toc134110401"/>
      <w:r w:rsidRPr="008753F9">
        <w:t>Project appraisal methods</w:t>
      </w:r>
      <w:bookmarkEnd w:id="3"/>
    </w:p>
    <w:p w14:paraId="5BFB8F90" w14:textId="5B1DD102" w:rsidR="008753F9" w:rsidRDefault="002A03EA"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Three common investment appraisal methods are critically discussed in this section of the report. The information is quite relevance as AZ initiates considerable investments in new projects; hence, the organisation must be able to accurately assess the potential of every investment to maximise the value creation and resource utilisation processes.</w:t>
      </w:r>
    </w:p>
    <w:p w14:paraId="5FB94E0B" w14:textId="5CC56AA6" w:rsidR="002A03EA" w:rsidRDefault="00190322"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The payback period is a universally applied method to measure the required time for repayment of initial investment (</w:t>
      </w:r>
      <w:r w:rsidR="00F84D5E">
        <w:rPr>
          <w:rFonts w:ascii="Times New Roman" w:hAnsi="Times New Roman" w:cs="Times New Roman"/>
          <w:sz w:val="24"/>
          <w:szCs w:val="24"/>
        </w:rPr>
        <w:t>Atril, 2011</w:t>
      </w:r>
      <w:r>
        <w:rPr>
          <w:rFonts w:ascii="Times New Roman" w:hAnsi="Times New Roman" w:cs="Times New Roman"/>
          <w:sz w:val="24"/>
          <w:szCs w:val="24"/>
        </w:rPr>
        <w:t xml:space="preserve">). </w:t>
      </w:r>
      <w:r w:rsidR="00F84D5E">
        <w:rPr>
          <w:rFonts w:ascii="Times New Roman" w:hAnsi="Times New Roman" w:cs="Times New Roman"/>
          <w:sz w:val="24"/>
          <w:szCs w:val="24"/>
        </w:rPr>
        <w:t xml:space="preserve">This is done by considering cash flows – the initial investment (outflow) and the consecutive cash inflows during the life of a project (Atril, 2011). </w:t>
      </w:r>
      <w:r>
        <w:rPr>
          <w:rFonts w:ascii="Times New Roman" w:hAnsi="Times New Roman" w:cs="Times New Roman"/>
          <w:sz w:val="24"/>
          <w:szCs w:val="24"/>
        </w:rPr>
        <w:t>The determination of the payback period is straightforward and easy – key advantages of the technique</w:t>
      </w:r>
      <w:r w:rsidR="00064A1E">
        <w:rPr>
          <w:rFonts w:ascii="Times New Roman" w:hAnsi="Times New Roman" w:cs="Times New Roman"/>
          <w:sz w:val="24"/>
          <w:szCs w:val="24"/>
        </w:rPr>
        <w:t xml:space="preserve"> (Poudel, 2021a)</w:t>
      </w:r>
      <w:r>
        <w:rPr>
          <w:rFonts w:ascii="Times New Roman" w:hAnsi="Times New Roman" w:cs="Times New Roman"/>
          <w:sz w:val="24"/>
          <w:szCs w:val="24"/>
        </w:rPr>
        <w:t>. Payback period also has focus on liquidity and can be quite appropriate for small business organisations. Nevertheless, payback period ignores the actual profitability of a project. It also ignores the cost of capital and time value of money which are key concepts, especially when assessing long-term projects</w:t>
      </w:r>
      <w:r w:rsidR="00064A1E">
        <w:rPr>
          <w:rFonts w:ascii="Times New Roman" w:hAnsi="Times New Roman" w:cs="Times New Roman"/>
          <w:sz w:val="24"/>
          <w:szCs w:val="24"/>
        </w:rPr>
        <w:t xml:space="preserve"> (Poudel, 2021a)</w:t>
      </w:r>
      <w:r>
        <w:rPr>
          <w:rFonts w:ascii="Times New Roman" w:hAnsi="Times New Roman" w:cs="Times New Roman"/>
          <w:sz w:val="24"/>
          <w:szCs w:val="24"/>
        </w:rPr>
        <w:t xml:space="preserve">. As a result, payback period may lead to inaccurate estimates by projected more optimistic outcomes than reality, especially in the contemporary highly inflationary environment. </w:t>
      </w:r>
    </w:p>
    <w:p w14:paraId="644E4BDB" w14:textId="2CB35DCD" w:rsidR="009A1AEB" w:rsidRDefault="007E6FD2"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Accounting rate of return (ARR) is the second major project appraisal method under consideration. </w:t>
      </w:r>
      <w:proofErr w:type="gramStart"/>
      <w:r>
        <w:rPr>
          <w:rFonts w:ascii="Times New Roman" w:hAnsi="Times New Roman" w:cs="Times New Roman"/>
          <w:sz w:val="24"/>
          <w:szCs w:val="24"/>
        </w:rPr>
        <w:t>Similarly</w:t>
      </w:r>
      <w:proofErr w:type="gramEnd"/>
      <w:r>
        <w:rPr>
          <w:rFonts w:ascii="Times New Roman" w:hAnsi="Times New Roman" w:cs="Times New Roman"/>
          <w:sz w:val="24"/>
          <w:szCs w:val="24"/>
        </w:rPr>
        <w:t xml:space="preserve"> to payback period, ARR is relatively simple to calculate and broadly applied in practice</w:t>
      </w:r>
      <w:r w:rsidR="00F84D5E">
        <w:rPr>
          <w:rFonts w:ascii="Times New Roman" w:hAnsi="Times New Roman" w:cs="Times New Roman"/>
          <w:sz w:val="24"/>
          <w:szCs w:val="24"/>
        </w:rPr>
        <w:t xml:space="preserve"> (Atril, 2011)</w:t>
      </w:r>
      <w:r>
        <w:rPr>
          <w:rFonts w:ascii="Times New Roman" w:hAnsi="Times New Roman" w:cs="Times New Roman"/>
          <w:sz w:val="24"/>
          <w:szCs w:val="24"/>
        </w:rPr>
        <w:t xml:space="preserve">. It focuses on measuring profitability which is a key </w:t>
      </w:r>
      <w:r>
        <w:rPr>
          <w:rFonts w:ascii="Times New Roman" w:hAnsi="Times New Roman" w:cs="Times New Roman"/>
          <w:sz w:val="24"/>
          <w:szCs w:val="24"/>
        </w:rPr>
        <w:lastRenderedPageBreak/>
        <w:t xml:space="preserve">performance area for any project. </w:t>
      </w:r>
      <w:r w:rsidR="00A716F4">
        <w:rPr>
          <w:rFonts w:ascii="Times New Roman" w:hAnsi="Times New Roman" w:cs="Times New Roman"/>
          <w:sz w:val="24"/>
          <w:szCs w:val="24"/>
        </w:rPr>
        <w:t>This is done by measuring the percentage rate of profitability for each year of a project by considering the respective profit for each year against the value of the initial investment (</w:t>
      </w:r>
      <w:r w:rsidR="00F84D5E">
        <w:rPr>
          <w:rFonts w:ascii="Times New Roman" w:hAnsi="Times New Roman" w:cs="Times New Roman"/>
          <w:sz w:val="24"/>
          <w:szCs w:val="24"/>
        </w:rPr>
        <w:t>Atril, 2011</w:t>
      </w:r>
      <w:r w:rsidR="00A716F4">
        <w:rPr>
          <w:rFonts w:ascii="Times New Roman" w:hAnsi="Times New Roman" w:cs="Times New Roman"/>
          <w:sz w:val="24"/>
          <w:szCs w:val="24"/>
        </w:rPr>
        <w:t xml:space="preserve">). </w:t>
      </w:r>
      <w:r>
        <w:rPr>
          <w:rFonts w:ascii="Times New Roman" w:hAnsi="Times New Roman" w:cs="Times New Roman"/>
          <w:sz w:val="24"/>
          <w:szCs w:val="24"/>
        </w:rPr>
        <w:t>The decision rules, which are involved in ARR are simple; hence, the outcomes of the method can deliver important and valid insights when evaluating a set of investment alternatives</w:t>
      </w:r>
      <w:r w:rsidR="00F84D5E">
        <w:rPr>
          <w:rFonts w:ascii="Times New Roman" w:hAnsi="Times New Roman" w:cs="Times New Roman"/>
          <w:sz w:val="24"/>
          <w:szCs w:val="24"/>
        </w:rPr>
        <w:t xml:space="preserve"> (Poudel, 2021</w:t>
      </w:r>
      <w:r w:rsidR="00064A1E">
        <w:rPr>
          <w:rFonts w:ascii="Times New Roman" w:hAnsi="Times New Roman" w:cs="Times New Roman"/>
          <w:sz w:val="24"/>
          <w:szCs w:val="24"/>
        </w:rPr>
        <w:t>b</w:t>
      </w:r>
      <w:r w:rsidR="00F84D5E">
        <w:rPr>
          <w:rFonts w:ascii="Times New Roman" w:hAnsi="Times New Roman" w:cs="Times New Roman"/>
          <w:sz w:val="24"/>
          <w:szCs w:val="24"/>
        </w:rPr>
        <w:t>)</w:t>
      </w:r>
      <w:r>
        <w:rPr>
          <w:rFonts w:ascii="Times New Roman" w:hAnsi="Times New Roman" w:cs="Times New Roman"/>
          <w:sz w:val="24"/>
          <w:szCs w:val="24"/>
        </w:rPr>
        <w:t>. Regardless of its advantages, ARR has significant imperfections which jeopardise its effectiveness in practice. A key disadvantage stems from the fact that ARR also ignores the concept of time value of money (</w:t>
      </w:r>
      <w:r w:rsidR="00F84D5E">
        <w:rPr>
          <w:rFonts w:ascii="Times New Roman" w:hAnsi="Times New Roman" w:cs="Times New Roman"/>
          <w:sz w:val="24"/>
          <w:szCs w:val="24"/>
        </w:rPr>
        <w:t>Poudel, 2021</w:t>
      </w:r>
      <w:r w:rsidR="00064A1E">
        <w:rPr>
          <w:rFonts w:ascii="Times New Roman" w:hAnsi="Times New Roman" w:cs="Times New Roman"/>
          <w:sz w:val="24"/>
          <w:szCs w:val="24"/>
        </w:rPr>
        <w:t>b</w:t>
      </w:r>
      <w:r>
        <w:rPr>
          <w:rFonts w:ascii="Times New Roman" w:hAnsi="Times New Roman" w:cs="Times New Roman"/>
          <w:sz w:val="24"/>
          <w:szCs w:val="24"/>
        </w:rPr>
        <w:t>). Inaccurate assessments are also likely because ARR ignores the terminal value of a project. Moreover, the focus on profitability means that cashflows are not considered; hence, this may lead to missing important insights in the process of decision making</w:t>
      </w:r>
      <w:r w:rsidR="00F84D5E">
        <w:rPr>
          <w:rFonts w:ascii="Times New Roman" w:hAnsi="Times New Roman" w:cs="Times New Roman"/>
          <w:sz w:val="24"/>
          <w:szCs w:val="24"/>
        </w:rPr>
        <w:t xml:space="preserve"> (Poudel, 2021</w:t>
      </w:r>
      <w:r w:rsidR="00064A1E">
        <w:rPr>
          <w:rFonts w:ascii="Times New Roman" w:hAnsi="Times New Roman" w:cs="Times New Roman"/>
          <w:sz w:val="24"/>
          <w:szCs w:val="24"/>
        </w:rPr>
        <w:t>b</w:t>
      </w:r>
      <w:r w:rsidR="00F84D5E">
        <w:rPr>
          <w:rFonts w:ascii="Times New Roman" w:hAnsi="Times New Roman" w:cs="Times New Roman"/>
          <w:sz w:val="24"/>
          <w:szCs w:val="24"/>
        </w:rPr>
        <w:t xml:space="preserve">). </w:t>
      </w:r>
    </w:p>
    <w:p w14:paraId="46CE7E40" w14:textId="7B109526" w:rsidR="007E6FD2" w:rsidRDefault="00E50FD6"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The net present value (NPV) method considers all future cash flows. Then, it deducts the cash outflow of the initial investment from the sum of all future cash flows to assess the value creation ability of a project (</w:t>
      </w:r>
      <w:r w:rsidR="00F84D5E">
        <w:rPr>
          <w:rFonts w:ascii="Times New Roman" w:hAnsi="Times New Roman" w:cs="Times New Roman"/>
          <w:sz w:val="24"/>
          <w:szCs w:val="24"/>
        </w:rPr>
        <w:t>Atril, 2011</w:t>
      </w:r>
      <w:r>
        <w:rPr>
          <w:rFonts w:ascii="Times New Roman" w:hAnsi="Times New Roman" w:cs="Times New Roman"/>
          <w:sz w:val="24"/>
          <w:szCs w:val="24"/>
        </w:rPr>
        <w:t xml:space="preserve">). The main advantage of NPV is its focus on time value of money; hence, all future cash flows are discounted. This approach is suggested to deliver more accurate projections regarding the performance of a project </w:t>
      </w:r>
      <w:r w:rsidR="00F84D5E">
        <w:rPr>
          <w:rFonts w:ascii="Times New Roman" w:hAnsi="Times New Roman" w:cs="Times New Roman"/>
          <w:sz w:val="24"/>
          <w:szCs w:val="24"/>
        </w:rPr>
        <w:t>compared to cashback period and ARR; thereby, improving</w:t>
      </w:r>
      <w:r>
        <w:rPr>
          <w:rFonts w:ascii="Times New Roman" w:hAnsi="Times New Roman" w:cs="Times New Roman"/>
          <w:sz w:val="24"/>
          <w:szCs w:val="24"/>
        </w:rPr>
        <w:t xml:space="preserve"> the decision-making process</w:t>
      </w:r>
      <w:r w:rsidR="00F84D5E">
        <w:rPr>
          <w:rFonts w:ascii="Times New Roman" w:hAnsi="Times New Roman" w:cs="Times New Roman"/>
          <w:sz w:val="24"/>
          <w:szCs w:val="24"/>
        </w:rPr>
        <w:t xml:space="preserve"> (Fernando, 2023)</w:t>
      </w:r>
      <w:r>
        <w:rPr>
          <w:rFonts w:ascii="Times New Roman" w:hAnsi="Times New Roman" w:cs="Times New Roman"/>
          <w:sz w:val="24"/>
          <w:szCs w:val="24"/>
        </w:rPr>
        <w:t>. Nevertheless, NPV also has its unique limitations. They stem from the facts that future cash flows are simply estimates and the application of a discount factor may be inaccurate</w:t>
      </w:r>
      <w:r w:rsidR="00F84D5E">
        <w:rPr>
          <w:rFonts w:ascii="Times New Roman" w:hAnsi="Times New Roman" w:cs="Times New Roman"/>
          <w:sz w:val="24"/>
          <w:szCs w:val="24"/>
        </w:rPr>
        <w:t xml:space="preserve"> (Fernando, 2023)</w:t>
      </w:r>
      <w:r>
        <w:rPr>
          <w:rFonts w:ascii="Times New Roman" w:hAnsi="Times New Roman" w:cs="Times New Roman"/>
          <w:sz w:val="24"/>
          <w:szCs w:val="24"/>
        </w:rPr>
        <w:t>. Revisions of discount factors are particularly evident in respect to long-term projects. NPV is also less accurate when comparing a set of alternative projects which are quite different in nature</w:t>
      </w:r>
      <w:r w:rsidR="00F84D5E">
        <w:rPr>
          <w:rFonts w:ascii="Times New Roman" w:hAnsi="Times New Roman" w:cs="Times New Roman"/>
          <w:sz w:val="24"/>
          <w:szCs w:val="24"/>
        </w:rPr>
        <w:t xml:space="preserve"> (Fernando, 2023)</w:t>
      </w:r>
      <w:r>
        <w:rPr>
          <w:rFonts w:ascii="Times New Roman" w:hAnsi="Times New Roman" w:cs="Times New Roman"/>
          <w:sz w:val="24"/>
          <w:szCs w:val="24"/>
        </w:rPr>
        <w:t xml:space="preserve">. </w:t>
      </w:r>
    </w:p>
    <w:p w14:paraId="2104E6B6" w14:textId="0FB42951" w:rsidR="009A1AEB" w:rsidRDefault="00E50FD6"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all, it should be mentioned that every project appraisal method has unique strengths and limitations. Therefore, decision makers at AZ must recognise these specifics and combine different techniques to make more objective decisions in an environment of uncertainty. </w:t>
      </w:r>
    </w:p>
    <w:p w14:paraId="0DE39145" w14:textId="596CEC51" w:rsidR="009A1AEB" w:rsidRDefault="00953FFA" w:rsidP="00953FFA">
      <w:pPr>
        <w:pStyle w:val="Heading1"/>
        <w:spacing w:before="0" w:after="240"/>
      </w:pPr>
      <w:bookmarkStart w:id="4" w:name="_Toc134110402"/>
      <w:r>
        <w:t>Conclusion</w:t>
      </w:r>
      <w:bookmarkEnd w:id="4"/>
      <w:r>
        <w:t xml:space="preserve"> </w:t>
      </w:r>
    </w:p>
    <w:p w14:paraId="61FDC362" w14:textId="7F9F9E88" w:rsidR="00953FFA" w:rsidRDefault="00953FFA" w:rsidP="00E77A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critically analysed important concepts in finance and the dividend performance of AZ. The results from the discussion can be of value in decision-making process, as the managed of a large and public multinational corporation requires precision and accuracy in a changing </w:t>
      </w:r>
      <w:r w:rsidR="00F84D5E">
        <w:rPr>
          <w:rFonts w:ascii="Times New Roman" w:hAnsi="Times New Roman" w:cs="Times New Roman"/>
          <w:sz w:val="24"/>
          <w:szCs w:val="24"/>
        </w:rPr>
        <w:t xml:space="preserve">external </w:t>
      </w:r>
      <w:r>
        <w:rPr>
          <w:rFonts w:ascii="Times New Roman" w:hAnsi="Times New Roman" w:cs="Times New Roman"/>
          <w:sz w:val="24"/>
          <w:szCs w:val="24"/>
        </w:rPr>
        <w:t xml:space="preserve">environment. </w:t>
      </w:r>
    </w:p>
    <w:p w14:paraId="5549EB70" w14:textId="77777777" w:rsidR="00953FFA" w:rsidRPr="00C67C13" w:rsidRDefault="00953FFA" w:rsidP="00E77A43">
      <w:pPr>
        <w:spacing w:line="360" w:lineRule="auto"/>
        <w:jc w:val="both"/>
        <w:rPr>
          <w:rFonts w:ascii="Times New Roman" w:hAnsi="Times New Roman" w:cs="Times New Roman"/>
          <w:sz w:val="24"/>
          <w:szCs w:val="24"/>
        </w:rPr>
      </w:pPr>
    </w:p>
    <w:p w14:paraId="42A0656F" w14:textId="77777777" w:rsidR="007354BE" w:rsidRPr="00E77A43" w:rsidRDefault="007354BE" w:rsidP="00E77A43">
      <w:pPr>
        <w:spacing w:line="360" w:lineRule="auto"/>
        <w:jc w:val="both"/>
        <w:rPr>
          <w:rFonts w:ascii="Times New Roman" w:hAnsi="Times New Roman" w:cs="Times New Roman"/>
        </w:rPr>
      </w:pPr>
    </w:p>
    <w:p w14:paraId="10CCDFBE" w14:textId="43B20445" w:rsidR="00B278D2" w:rsidRDefault="00B278D2" w:rsidP="00E77A43">
      <w:pPr>
        <w:spacing w:line="360" w:lineRule="auto"/>
        <w:jc w:val="both"/>
        <w:rPr>
          <w:rFonts w:ascii="Times New Roman" w:hAnsi="Times New Roman" w:cs="Times New Roman"/>
          <w:noProof/>
        </w:rPr>
      </w:pPr>
    </w:p>
    <w:p w14:paraId="74697EF5" w14:textId="77777777" w:rsidR="00E50FD6" w:rsidRDefault="00E50FD6" w:rsidP="00E77A43">
      <w:pPr>
        <w:spacing w:line="360" w:lineRule="auto"/>
        <w:jc w:val="both"/>
        <w:rPr>
          <w:rFonts w:ascii="Times New Roman" w:hAnsi="Times New Roman" w:cs="Times New Roman"/>
          <w:noProof/>
        </w:rPr>
      </w:pPr>
    </w:p>
    <w:p w14:paraId="59920A9D" w14:textId="77777777" w:rsidR="00E50FD6" w:rsidRDefault="00E50FD6" w:rsidP="00E77A43">
      <w:pPr>
        <w:spacing w:line="360" w:lineRule="auto"/>
        <w:jc w:val="both"/>
        <w:rPr>
          <w:rFonts w:ascii="Times New Roman" w:hAnsi="Times New Roman" w:cs="Times New Roman"/>
          <w:noProof/>
        </w:rPr>
      </w:pPr>
    </w:p>
    <w:p w14:paraId="1966FED4" w14:textId="77777777" w:rsidR="00E50FD6" w:rsidRDefault="00E50FD6" w:rsidP="00E77A43">
      <w:pPr>
        <w:spacing w:line="360" w:lineRule="auto"/>
        <w:jc w:val="both"/>
        <w:rPr>
          <w:rFonts w:ascii="Times New Roman" w:hAnsi="Times New Roman" w:cs="Times New Roman"/>
          <w:noProof/>
        </w:rPr>
      </w:pPr>
    </w:p>
    <w:p w14:paraId="44707B9A" w14:textId="77777777" w:rsidR="00E50FD6" w:rsidRDefault="00E50FD6" w:rsidP="00E77A43">
      <w:pPr>
        <w:spacing w:line="360" w:lineRule="auto"/>
        <w:jc w:val="both"/>
        <w:rPr>
          <w:rFonts w:ascii="Times New Roman" w:hAnsi="Times New Roman" w:cs="Times New Roman"/>
          <w:noProof/>
        </w:rPr>
      </w:pPr>
    </w:p>
    <w:p w14:paraId="15CB67C0" w14:textId="77777777" w:rsidR="00E50FD6" w:rsidRDefault="00E50FD6" w:rsidP="00E77A43">
      <w:pPr>
        <w:spacing w:line="360" w:lineRule="auto"/>
        <w:jc w:val="both"/>
        <w:rPr>
          <w:rFonts w:ascii="Times New Roman" w:hAnsi="Times New Roman" w:cs="Times New Roman"/>
          <w:noProof/>
        </w:rPr>
      </w:pPr>
    </w:p>
    <w:p w14:paraId="49E5866E" w14:textId="77777777" w:rsidR="00E50FD6" w:rsidRDefault="00E50FD6" w:rsidP="00E77A43">
      <w:pPr>
        <w:spacing w:line="360" w:lineRule="auto"/>
        <w:jc w:val="both"/>
        <w:rPr>
          <w:rFonts w:ascii="Times New Roman" w:hAnsi="Times New Roman" w:cs="Times New Roman"/>
          <w:noProof/>
        </w:rPr>
      </w:pPr>
    </w:p>
    <w:p w14:paraId="4A2112EF" w14:textId="77777777" w:rsidR="00E50FD6" w:rsidRDefault="00E50FD6" w:rsidP="00E77A43">
      <w:pPr>
        <w:spacing w:line="360" w:lineRule="auto"/>
        <w:jc w:val="both"/>
        <w:rPr>
          <w:rFonts w:ascii="Times New Roman" w:hAnsi="Times New Roman" w:cs="Times New Roman"/>
          <w:noProof/>
        </w:rPr>
      </w:pPr>
    </w:p>
    <w:p w14:paraId="23CE1A8E" w14:textId="77777777" w:rsidR="00E50FD6" w:rsidRDefault="00E50FD6" w:rsidP="00E77A43">
      <w:pPr>
        <w:spacing w:line="360" w:lineRule="auto"/>
        <w:jc w:val="both"/>
        <w:rPr>
          <w:rFonts w:ascii="Times New Roman" w:hAnsi="Times New Roman" w:cs="Times New Roman"/>
          <w:noProof/>
        </w:rPr>
      </w:pPr>
    </w:p>
    <w:p w14:paraId="5AD1FA1C" w14:textId="77777777" w:rsidR="00E50FD6" w:rsidRPr="00E77A43" w:rsidRDefault="00E50FD6" w:rsidP="00E77A43">
      <w:pPr>
        <w:spacing w:line="360" w:lineRule="auto"/>
        <w:jc w:val="both"/>
        <w:rPr>
          <w:rFonts w:ascii="Times New Roman" w:hAnsi="Times New Roman" w:cs="Times New Roman"/>
        </w:rPr>
      </w:pPr>
    </w:p>
    <w:p w14:paraId="0BBCE176" w14:textId="079DD808" w:rsidR="00E77A43" w:rsidRPr="00E77A43" w:rsidRDefault="00E77A43" w:rsidP="00953FFA">
      <w:pPr>
        <w:pStyle w:val="Heading1"/>
        <w:spacing w:before="0" w:after="240"/>
      </w:pPr>
      <w:bookmarkStart w:id="5" w:name="_Toc134110403"/>
      <w:r w:rsidRPr="00E77A43">
        <w:t>References</w:t>
      </w:r>
      <w:bookmarkEnd w:id="5"/>
    </w:p>
    <w:p w14:paraId="4460A7C7"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ACC (2020) </w:t>
      </w:r>
      <w:r w:rsidRPr="00064A1E">
        <w:rPr>
          <w:rFonts w:ascii="Times New Roman" w:hAnsi="Times New Roman" w:cs="Times New Roman"/>
          <w:i/>
          <w:iCs/>
          <w:sz w:val="24"/>
          <w:szCs w:val="24"/>
          <w:lang w:val="en-US"/>
        </w:rPr>
        <w:t>The central assumptions of the efficient market hypothesis</w:t>
      </w:r>
      <w:r w:rsidRPr="00064A1E">
        <w:rPr>
          <w:rFonts w:ascii="Times New Roman" w:hAnsi="Times New Roman" w:cs="Times New Roman"/>
          <w:sz w:val="24"/>
          <w:szCs w:val="24"/>
          <w:lang w:val="en-US"/>
        </w:rPr>
        <w:t xml:space="preserve">, [online] Available: </w:t>
      </w:r>
      <w:hyperlink r:id="rId10" w:history="1">
        <w:r w:rsidRPr="00064A1E">
          <w:rPr>
            <w:rStyle w:val="Hyperlink"/>
            <w:rFonts w:ascii="Times New Roman" w:hAnsi="Times New Roman" w:cs="Times New Roman"/>
            <w:sz w:val="24"/>
            <w:szCs w:val="24"/>
            <w:lang w:val="en-US"/>
          </w:rPr>
          <w:t>https://www.acc.com/sites/default/files/resources/upload/Transactional%20Lawyers%20Paper.pdf</w:t>
        </w:r>
      </w:hyperlink>
      <w:r w:rsidRPr="00064A1E">
        <w:rPr>
          <w:rFonts w:ascii="Times New Roman" w:hAnsi="Times New Roman" w:cs="Times New Roman"/>
          <w:sz w:val="24"/>
          <w:szCs w:val="24"/>
          <w:lang w:val="en-US"/>
        </w:rPr>
        <w:t xml:space="preserve"> [Accessed: 3 May 2023]</w:t>
      </w:r>
    </w:p>
    <w:p w14:paraId="4B115B41"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rPr>
        <w:t xml:space="preserve">Arnold, G. (2012) </w:t>
      </w:r>
      <w:r w:rsidRPr="00064A1E">
        <w:rPr>
          <w:rFonts w:ascii="Times New Roman" w:hAnsi="Times New Roman" w:cs="Times New Roman"/>
          <w:i/>
          <w:iCs/>
          <w:sz w:val="24"/>
          <w:szCs w:val="24"/>
        </w:rPr>
        <w:t>Corporate Financial Management</w:t>
      </w:r>
      <w:r w:rsidRPr="00064A1E">
        <w:rPr>
          <w:rFonts w:ascii="Times New Roman" w:hAnsi="Times New Roman" w:cs="Times New Roman"/>
          <w:sz w:val="24"/>
          <w:szCs w:val="24"/>
        </w:rPr>
        <w:t>. Aston: Financial Times Prentice Hall</w:t>
      </w:r>
    </w:p>
    <w:p w14:paraId="73E69DE8"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lang w:val="en-US"/>
        </w:rPr>
        <w:t xml:space="preserve">AstraZeneca (AZ) (2023) </w:t>
      </w:r>
      <w:r w:rsidRPr="00064A1E">
        <w:rPr>
          <w:rFonts w:ascii="Times New Roman" w:hAnsi="Times New Roman" w:cs="Times New Roman"/>
          <w:i/>
          <w:iCs/>
          <w:sz w:val="24"/>
          <w:szCs w:val="24"/>
        </w:rPr>
        <w:t>Annual Report and Form 20-F Information 2022,</w:t>
      </w:r>
      <w:r w:rsidRPr="00064A1E">
        <w:rPr>
          <w:rFonts w:ascii="Times New Roman" w:hAnsi="Times New Roman" w:cs="Times New Roman"/>
          <w:sz w:val="24"/>
          <w:szCs w:val="24"/>
        </w:rPr>
        <w:t xml:space="preserve"> [online] Available: </w:t>
      </w:r>
      <w:hyperlink r:id="rId11" w:history="1">
        <w:r w:rsidRPr="00064A1E">
          <w:rPr>
            <w:rStyle w:val="Hyperlink"/>
            <w:rFonts w:ascii="Times New Roman" w:hAnsi="Times New Roman" w:cs="Times New Roman"/>
            <w:sz w:val="24"/>
            <w:szCs w:val="24"/>
          </w:rPr>
          <w:t>https://www.astrazeneca.com/content/dam/az/Investor_Relations/annual-report-2022/pdf/AstraZeneca_AR_2022.pdf</w:t>
        </w:r>
      </w:hyperlink>
      <w:r w:rsidRPr="00064A1E">
        <w:rPr>
          <w:rFonts w:ascii="Times New Roman" w:hAnsi="Times New Roman" w:cs="Times New Roman"/>
          <w:sz w:val="24"/>
          <w:szCs w:val="24"/>
        </w:rPr>
        <w:t xml:space="preserve"> [Accessed: 2 May 2023]</w:t>
      </w:r>
    </w:p>
    <w:p w14:paraId="7144D08E"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rPr>
        <w:t xml:space="preserve">Atril, P. (2011) </w:t>
      </w:r>
      <w:r w:rsidRPr="00064A1E">
        <w:rPr>
          <w:rFonts w:ascii="Times New Roman" w:hAnsi="Times New Roman" w:cs="Times New Roman"/>
          <w:i/>
          <w:iCs/>
          <w:sz w:val="24"/>
          <w:szCs w:val="24"/>
        </w:rPr>
        <w:t>Financial Management for Decision Makers</w:t>
      </w:r>
      <w:r w:rsidRPr="00064A1E">
        <w:rPr>
          <w:rFonts w:ascii="Times New Roman" w:hAnsi="Times New Roman" w:cs="Times New Roman"/>
          <w:sz w:val="24"/>
          <w:szCs w:val="24"/>
        </w:rPr>
        <w:t>. 4</w:t>
      </w:r>
      <w:r w:rsidRPr="00064A1E">
        <w:rPr>
          <w:rFonts w:ascii="Times New Roman" w:hAnsi="Times New Roman" w:cs="Times New Roman"/>
          <w:sz w:val="24"/>
          <w:szCs w:val="24"/>
          <w:vertAlign w:val="superscript"/>
        </w:rPr>
        <w:t>th</w:t>
      </w:r>
      <w:r w:rsidRPr="00064A1E">
        <w:rPr>
          <w:rFonts w:ascii="Times New Roman" w:hAnsi="Times New Roman" w:cs="Times New Roman"/>
          <w:sz w:val="24"/>
          <w:szCs w:val="24"/>
        </w:rPr>
        <w:t xml:space="preserve"> edition, Financial Times Prentice Hall</w:t>
      </w:r>
    </w:p>
    <w:p w14:paraId="7801BA6A"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Bank of England (BoE) (2023) </w:t>
      </w:r>
      <w:r w:rsidRPr="00064A1E">
        <w:rPr>
          <w:rFonts w:ascii="Times New Roman" w:hAnsi="Times New Roman" w:cs="Times New Roman"/>
          <w:i/>
          <w:iCs/>
          <w:sz w:val="24"/>
          <w:szCs w:val="24"/>
          <w:lang w:val="en-US"/>
        </w:rPr>
        <w:t>Interest rates and Bank Rate</w:t>
      </w:r>
      <w:r w:rsidRPr="00064A1E">
        <w:rPr>
          <w:rFonts w:ascii="Times New Roman" w:hAnsi="Times New Roman" w:cs="Times New Roman"/>
          <w:sz w:val="24"/>
          <w:szCs w:val="24"/>
          <w:lang w:val="en-US"/>
        </w:rPr>
        <w:t xml:space="preserve">, [online] Available: </w:t>
      </w:r>
      <w:hyperlink r:id="rId12" w:history="1">
        <w:r w:rsidRPr="00064A1E">
          <w:rPr>
            <w:rStyle w:val="Hyperlink"/>
            <w:rFonts w:ascii="Times New Roman" w:hAnsi="Times New Roman" w:cs="Times New Roman"/>
            <w:sz w:val="24"/>
            <w:szCs w:val="24"/>
            <w:lang w:val="en-US"/>
          </w:rPr>
          <w:t>https://www.bankofengland.co.uk/monetary-policy/the-interest-rate-bank-rate</w:t>
        </w:r>
      </w:hyperlink>
      <w:r w:rsidRPr="00064A1E">
        <w:rPr>
          <w:rFonts w:ascii="Times New Roman" w:hAnsi="Times New Roman" w:cs="Times New Roman"/>
          <w:sz w:val="24"/>
          <w:szCs w:val="24"/>
          <w:lang w:val="en-US"/>
        </w:rPr>
        <w:t xml:space="preserve"> [Accessed: 2 May 2023]</w:t>
      </w:r>
    </w:p>
    <w:p w14:paraId="755964D3"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CFI (2023) </w:t>
      </w:r>
      <w:r w:rsidRPr="00064A1E">
        <w:rPr>
          <w:rFonts w:ascii="Times New Roman" w:hAnsi="Times New Roman" w:cs="Times New Roman"/>
          <w:i/>
          <w:iCs/>
          <w:sz w:val="24"/>
          <w:szCs w:val="24"/>
          <w:lang w:val="en-US"/>
        </w:rPr>
        <w:t>Efficient Market Hypothesis</w:t>
      </w:r>
      <w:r w:rsidRPr="00064A1E">
        <w:rPr>
          <w:rFonts w:ascii="Times New Roman" w:hAnsi="Times New Roman" w:cs="Times New Roman"/>
          <w:sz w:val="24"/>
          <w:szCs w:val="24"/>
          <w:lang w:val="en-US"/>
        </w:rPr>
        <w:t xml:space="preserve">, [online] Available: </w:t>
      </w:r>
      <w:hyperlink r:id="rId13" w:history="1">
        <w:r w:rsidRPr="00064A1E">
          <w:rPr>
            <w:rStyle w:val="Hyperlink"/>
            <w:rFonts w:ascii="Times New Roman" w:hAnsi="Times New Roman" w:cs="Times New Roman"/>
            <w:sz w:val="24"/>
            <w:szCs w:val="24"/>
            <w:lang w:val="en-US"/>
          </w:rPr>
          <w:t>https://corporatefinanceinstitute.com/resources/capital-markets/efficient-markets-hypothesis/</w:t>
        </w:r>
      </w:hyperlink>
      <w:r w:rsidRPr="00064A1E">
        <w:rPr>
          <w:rFonts w:ascii="Times New Roman" w:hAnsi="Times New Roman" w:cs="Times New Roman"/>
          <w:sz w:val="24"/>
          <w:szCs w:val="24"/>
          <w:lang w:val="en-US"/>
        </w:rPr>
        <w:t xml:space="preserve"> [Accessed: 3 May 2023]</w:t>
      </w:r>
    </w:p>
    <w:p w14:paraId="017DD749"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rPr>
        <w:lastRenderedPageBreak/>
        <w:t xml:space="preserve">Downey, L. (2023) </w:t>
      </w:r>
      <w:r w:rsidRPr="00064A1E">
        <w:rPr>
          <w:rFonts w:ascii="Times New Roman" w:hAnsi="Times New Roman" w:cs="Times New Roman"/>
          <w:i/>
          <w:iCs/>
          <w:sz w:val="24"/>
          <w:szCs w:val="24"/>
          <w:lang w:val="bg-BG"/>
        </w:rPr>
        <w:t>Efficient Market Hypothesis (EMH): Definition and Critique</w:t>
      </w:r>
      <w:r w:rsidRPr="00064A1E">
        <w:rPr>
          <w:rFonts w:ascii="Times New Roman" w:hAnsi="Times New Roman" w:cs="Times New Roman"/>
          <w:sz w:val="24"/>
          <w:szCs w:val="24"/>
          <w:lang w:val="en-US"/>
        </w:rPr>
        <w:t xml:space="preserve">, [online] Available: </w:t>
      </w:r>
      <w:hyperlink r:id="rId14" w:history="1">
        <w:r w:rsidRPr="00064A1E">
          <w:rPr>
            <w:rStyle w:val="Hyperlink"/>
            <w:rFonts w:ascii="Times New Roman" w:hAnsi="Times New Roman" w:cs="Times New Roman"/>
            <w:sz w:val="24"/>
            <w:szCs w:val="24"/>
            <w:lang w:val="en-US"/>
          </w:rPr>
          <w:t>https://www.investopedia.com/terms/e/efficientmarkethypothesis.asp</w:t>
        </w:r>
      </w:hyperlink>
      <w:r w:rsidRPr="00064A1E">
        <w:rPr>
          <w:rFonts w:ascii="Times New Roman" w:hAnsi="Times New Roman" w:cs="Times New Roman"/>
          <w:sz w:val="24"/>
          <w:szCs w:val="24"/>
          <w:lang w:val="en-US"/>
        </w:rPr>
        <w:t xml:space="preserve"> [Accessed: 3 May 2023]</w:t>
      </w:r>
    </w:p>
    <w:p w14:paraId="53B8BCE5" w14:textId="77777777" w:rsidR="00064A1E" w:rsidRPr="00064A1E" w:rsidRDefault="00064A1E" w:rsidP="00064A1E">
      <w:pPr>
        <w:spacing w:line="360" w:lineRule="auto"/>
        <w:jc w:val="both"/>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Fernando, J. (2023) </w:t>
      </w:r>
      <w:r w:rsidRPr="00064A1E">
        <w:rPr>
          <w:rFonts w:ascii="Times New Roman" w:hAnsi="Times New Roman" w:cs="Times New Roman"/>
          <w:i/>
          <w:iCs/>
          <w:sz w:val="24"/>
          <w:szCs w:val="24"/>
          <w:lang w:val="bg-BG"/>
        </w:rPr>
        <w:t>Net Present Value (NPV): What It Means and Steps to Calculate It</w:t>
      </w:r>
      <w:r w:rsidRPr="00064A1E">
        <w:rPr>
          <w:rFonts w:ascii="Times New Roman" w:hAnsi="Times New Roman" w:cs="Times New Roman"/>
          <w:sz w:val="24"/>
          <w:szCs w:val="24"/>
          <w:lang w:val="en-US"/>
        </w:rPr>
        <w:t xml:space="preserve">, [online] Available: </w:t>
      </w:r>
      <w:hyperlink r:id="rId15" w:history="1">
        <w:r w:rsidRPr="00064A1E">
          <w:rPr>
            <w:rStyle w:val="Hyperlink"/>
            <w:rFonts w:ascii="Times New Roman" w:hAnsi="Times New Roman" w:cs="Times New Roman"/>
            <w:sz w:val="24"/>
            <w:szCs w:val="24"/>
            <w:lang w:val="en-US"/>
          </w:rPr>
          <w:t>https://www.investopedia.com/terms/n/npv.asp</w:t>
        </w:r>
      </w:hyperlink>
      <w:r w:rsidRPr="00064A1E">
        <w:rPr>
          <w:rFonts w:ascii="Times New Roman" w:hAnsi="Times New Roman" w:cs="Times New Roman"/>
          <w:sz w:val="24"/>
          <w:szCs w:val="24"/>
          <w:lang w:val="en-US"/>
        </w:rPr>
        <w:t xml:space="preserve"> [Accessed: 3 May 2023]</w:t>
      </w:r>
    </w:p>
    <w:p w14:paraId="713391EE"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Fidelity (2023)</w:t>
      </w:r>
      <w:r w:rsidRPr="00064A1E">
        <w:rPr>
          <w:rFonts w:ascii="Times New Roman" w:eastAsia="Times New Roman" w:hAnsi="Times New Roman" w:cs="Times New Roman"/>
          <w:b/>
          <w:color w:val="20242B"/>
          <w:kern w:val="36"/>
          <w:sz w:val="24"/>
          <w:szCs w:val="24"/>
          <w:lang w:val="en-US" w:eastAsia="bg-BG"/>
          <w14:ligatures w14:val="none"/>
        </w:rPr>
        <w:t xml:space="preserve"> </w:t>
      </w:r>
      <w:r w:rsidRPr="00064A1E">
        <w:rPr>
          <w:rFonts w:ascii="Times New Roman" w:hAnsi="Times New Roman" w:cs="Times New Roman"/>
          <w:i/>
          <w:iCs/>
          <w:sz w:val="24"/>
          <w:szCs w:val="24"/>
          <w:lang w:val="bg-BG"/>
        </w:rPr>
        <w:t>AstraZeneca PLC (AZN)</w:t>
      </w:r>
      <w:r w:rsidRPr="00064A1E">
        <w:rPr>
          <w:rFonts w:ascii="Times New Roman" w:hAnsi="Times New Roman" w:cs="Times New Roman"/>
          <w:i/>
          <w:iCs/>
          <w:sz w:val="24"/>
          <w:szCs w:val="24"/>
          <w:lang w:val="en-US"/>
        </w:rPr>
        <w:t>,</w:t>
      </w:r>
      <w:r w:rsidRPr="00064A1E">
        <w:rPr>
          <w:rFonts w:ascii="Times New Roman" w:hAnsi="Times New Roman" w:cs="Times New Roman"/>
          <w:sz w:val="24"/>
          <w:szCs w:val="24"/>
          <w:lang w:val="en-US"/>
        </w:rPr>
        <w:t xml:space="preserve"> [online] Available: </w:t>
      </w:r>
      <w:hyperlink r:id="rId16" w:history="1">
        <w:r w:rsidRPr="00064A1E">
          <w:rPr>
            <w:rStyle w:val="Hyperlink"/>
            <w:rFonts w:ascii="Times New Roman" w:hAnsi="Times New Roman" w:cs="Times New Roman"/>
            <w:sz w:val="24"/>
            <w:szCs w:val="24"/>
            <w:lang w:val="en-US"/>
          </w:rPr>
          <w:t>https://www.fidelity.co.uk/factsheet-data/factsheet/GB0009895292-astrazeneca/dividends</w:t>
        </w:r>
      </w:hyperlink>
      <w:r w:rsidRPr="00064A1E">
        <w:rPr>
          <w:rFonts w:ascii="Times New Roman" w:hAnsi="Times New Roman" w:cs="Times New Roman"/>
          <w:sz w:val="24"/>
          <w:szCs w:val="24"/>
          <w:lang w:val="en-US"/>
        </w:rPr>
        <w:t xml:space="preserve"> [Accessed: 2 May 2023]</w:t>
      </w:r>
    </w:p>
    <w:p w14:paraId="62723C9D"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rPr>
        <w:t xml:space="preserve">Global Data (2023) </w:t>
      </w:r>
      <w:r w:rsidRPr="00064A1E">
        <w:rPr>
          <w:rFonts w:ascii="Times New Roman" w:hAnsi="Times New Roman" w:cs="Times New Roman"/>
          <w:i/>
          <w:iCs/>
          <w:sz w:val="24"/>
          <w:szCs w:val="24"/>
          <w:lang w:val="bg-BG"/>
        </w:rPr>
        <w:t>AstraZeneca Plc: Overview</w:t>
      </w:r>
      <w:r w:rsidRPr="00064A1E">
        <w:rPr>
          <w:rFonts w:ascii="Times New Roman" w:hAnsi="Times New Roman" w:cs="Times New Roman"/>
          <w:sz w:val="24"/>
          <w:szCs w:val="24"/>
          <w:lang w:val="en-US"/>
        </w:rPr>
        <w:t xml:space="preserve">, [online] Available: </w:t>
      </w:r>
      <w:hyperlink r:id="rId17" w:history="1">
        <w:r w:rsidRPr="00064A1E">
          <w:rPr>
            <w:rStyle w:val="Hyperlink"/>
            <w:rFonts w:ascii="Times New Roman" w:hAnsi="Times New Roman" w:cs="Times New Roman"/>
            <w:sz w:val="24"/>
            <w:szCs w:val="24"/>
            <w:lang w:val="en-US"/>
          </w:rPr>
          <w:t>https://www.globaldata.com/company-profile/astrazeneca-plc/</w:t>
        </w:r>
      </w:hyperlink>
      <w:r w:rsidRPr="00064A1E">
        <w:rPr>
          <w:rFonts w:ascii="Times New Roman" w:hAnsi="Times New Roman" w:cs="Times New Roman"/>
          <w:sz w:val="24"/>
          <w:szCs w:val="24"/>
          <w:lang w:val="en-US"/>
        </w:rPr>
        <w:t xml:space="preserve"> [Accessed: 2 May 2023]</w:t>
      </w:r>
    </w:p>
    <w:p w14:paraId="538C3544" w14:textId="77777777" w:rsidR="00064A1E" w:rsidRPr="00064A1E" w:rsidRDefault="00064A1E" w:rsidP="00064A1E">
      <w:pPr>
        <w:spacing w:line="360" w:lineRule="auto"/>
        <w:jc w:val="both"/>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Poudel, K. (2021a) </w:t>
      </w:r>
      <w:r w:rsidRPr="00064A1E">
        <w:rPr>
          <w:rFonts w:ascii="Times New Roman" w:hAnsi="Times New Roman" w:cs="Times New Roman"/>
          <w:i/>
          <w:iCs/>
          <w:sz w:val="24"/>
          <w:szCs w:val="24"/>
          <w:lang w:val="en-US"/>
        </w:rPr>
        <w:t>Advantages and Disadvantages of Payback Period</w:t>
      </w:r>
      <w:r w:rsidRPr="00064A1E">
        <w:rPr>
          <w:rFonts w:ascii="Times New Roman" w:hAnsi="Times New Roman" w:cs="Times New Roman"/>
          <w:sz w:val="24"/>
          <w:szCs w:val="24"/>
          <w:lang w:val="en-US"/>
        </w:rPr>
        <w:t xml:space="preserve">, [online] Available: </w:t>
      </w:r>
      <w:hyperlink r:id="rId18" w:history="1">
        <w:r w:rsidRPr="00064A1E">
          <w:rPr>
            <w:rStyle w:val="Hyperlink"/>
            <w:rFonts w:ascii="Times New Roman" w:hAnsi="Times New Roman" w:cs="Times New Roman"/>
            <w:sz w:val="24"/>
            <w:szCs w:val="24"/>
            <w:lang w:val="en-US"/>
          </w:rPr>
          <w:t>https://benefits-drawbacks.blogspot.com/2021/07/advantages-disadvantages-payback-period.html</w:t>
        </w:r>
      </w:hyperlink>
      <w:r w:rsidRPr="00064A1E">
        <w:rPr>
          <w:rFonts w:ascii="Times New Roman" w:hAnsi="Times New Roman" w:cs="Times New Roman"/>
          <w:sz w:val="24"/>
          <w:szCs w:val="24"/>
          <w:lang w:val="en-US"/>
        </w:rPr>
        <w:t xml:space="preserve"> [Accessed: 3 May 2023]</w:t>
      </w:r>
    </w:p>
    <w:p w14:paraId="44E45090" w14:textId="77777777" w:rsidR="00064A1E" w:rsidRPr="00064A1E" w:rsidRDefault="00064A1E" w:rsidP="00064A1E">
      <w:pPr>
        <w:spacing w:line="360" w:lineRule="auto"/>
        <w:rPr>
          <w:rFonts w:ascii="Times New Roman" w:hAnsi="Times New Roman" w:cs="Times New Roman"/>
          <w:sz w:val="24"/>
          <w:szCs w:val="24"/>
          <w:lang w:val="en-US"/>
        </w:rPr>
      </w:pPr>
      <w:r w:rsidRPr="00064A1E">
        <w:rPr>
          <w:rFonts w:ascii="Times New Roman" w:hAnsi="Times New Roman" w:cs="Times New Roman"/>
          <w:sz w:val="24"/>
          <w:szCs w:val="24"/>
          <w:lang w:val="en-US"/>
        </w:rPr>
        <w:t xml:space="preserve">Poudel, K. (2021b) </w:t>
      </w:r>
      <w:r w:rsidRPr="00064A1E">
        <w:rPr>
          <w:rFonts w:ascii="Times New Roman" w:hAnsi="Times New Roman" w:cs="Times New Roman"/>
          <w:i/>
          <w:iCs/>
          <w:sz w:val="24"/>
          <w:szCs w:val="24"/>
          <w:lang w:val="en-US"/>
        </w:rPr>
        <w:t>Advantages and Disadvantages of Accounting Rate of Return</w:t>
      </w:r>
      <w:r w:rsidRPr="00064A1E">
        <w:rPr>
          <w:rFonts w:ascii="Times New Roman" w:hAnsi="Times New Roman" w:cs="Times New Roman"/>
          <w:sz w:val="24"/>
          <w:szCs w:val="24"/>
          <w:lang w:val="en-US"/>
        </w:rPr>
        <w:t xml:space="preserve">, [online] Available:  </w:t>
      </w:r>
      <w:hyperlink r:id="rId19" w:history="1">
        <w:r w:rsidRPr="00064A1E">
          <w:rPr>
            <w:rStyle w:val="Hyperlink"/>
            <w:rFonts w:ascii="Times New Roman" w:hAnsi="Times New Roman" w:cs="Times New Roman"/>
            <w:sz w:val="24"/>
            <w:szCs w:val="24"/>
            <w:lang w:val="en-US"/>
          </w:rPr>
          <w:t>https://benefits-drawbacks.blogspot.com/2021/07/advantages-disadvantages-accounting-rate-return.html</w:t>
        </w:r>
      </w:hyperlink>
      <w:r w:rsidRPr="00064A1E">
        <w:rPr>
          <w:rFonts w:ascii="Times New Roman" w:hAnsi="Times New Roman" w:cs="Times New Roman"/>
          <w:sz w:val="24"/>
          <w:szCs w:val="24"/>
          <w:lang w:val="en-US"/>
        </w:rPr>
        <w:t xml:space="preserve"> [Accessed: 3 May 2023]</w:t>
      </w:r>
    </w:p>
    <w:p w14:paraId="05F37C82" w14:textId="77777777" w:rsidR="00064A1E" w:rsidRPr="00064A1E" w:rsidRDefault="00064A1E" w:rsidP="00064A1E">
      <w:pPr>
        <w:spacing w:line="360" w:lineRule="auto"/>
        <w:rPr>
          <w:rFonts w:ascii="Times New Roman" w:hAnsi="Times New Roman" w:cs="Times New Roman"/>
          <w:sz w:val="24"/>
          <w:szCs w:val="24"/>
        </w:rPr>
      </w:pPr>
      <w:r w:rsidRPr="00064A1E">
        <w:rPr>
          <w:rFonts w:ascii="Times New Roman" w:hAnsi="Times New Roman" w:cs="Times New Roman"/>
          <w:sz w:val="24"/>
          <w:szCs w:val="24"/>
        </w:rPr>
        <w:t xml:space="preserve">Trading Economics (2023) </w:t>
      </w:r>
      <w:r w:rsidRPr="00064A1E">
        <w:rPr>
          <w:rFonts w:ascii="Times New Roman" w:hAnsi="Times New Roman" w:cs="Times New Roman"/>
          <w:i/>
          <w:iCs/>
          <w:sz w:val="24"/>
          <w:szCs w:val="24"/>
        </w:rPr>
        <w:t>Inflation Rate</w:t>
      </w:r>
      <w:r w:rsidRPr="00064A1E">
        <w:rPr>
          <w:rFonts w:ascii="Times New Roman" w:hAnsi="Times New Roman" w:cs="Times New Roman"/>
          <w:sz w:val="24"/>
          <w:szCs w:val="24"/>
        </w:rPr>
        <w:t xml:space="preserve">, [online] Available: </w:t>
      </w:r>
      <w:hyperlink r:id="rId20" w:history="1">
        <w:r w:rsidRPr="00064A1E">
          <w:rPr>
            <w:rStyle w:val="Hyperlink"/>
            <w:rFonts w:ascii="Times New Roman" w:hAnsi="Times New Roman" w:cs="Times New Roman"/>
            <w:sz w:val="24"/>
            <w:szCs w:val="24"/>
          </w:rPr>
          <w:t>https://tradingeconomics.com/country-list/inflation-rate</w:t>
        </w:r>
      </w:hyperlink>
      <w:r w:rsidRPr="00064A1E">
        <w:rPr>
          <w:rFonts w:ascii="Times New Roman" w:hAnsi="Times New Roman" w:cs="Times New Roman"/>
          <w:sz w:val="24"/>
          <w:szCs w:val="24"/>
        </w:rPr>
        <w:t xml:space="preserve"> [Accessed: 2 May 2023]</w:t>
      </w:r>
    </w:p>
    <w:p w14:paraId="779478CE" w14:textId="77777777" w:rsidR="00064A1E" w:rsidRDefault="00064A1E" w:rsidP="00F84D5E">
      <w:pPr>
        <w:spacing w:line="360" w:lineRule="auto"/>
        <w:jc w:val="both"/>
        <w:rPr>
          <w:rFonts w:ascii="Times New Roman" w:hAnsi="Times New Roman" w:cs="Times New Roman"/>
          <w:sz w:val="24"/>
          <w:szCs w:val="24"/>
          <w:lang w:val="en-US"/>
        </w:rPr>
      </w:pPr>
    </w:p>
    <w:p w14:paraId="09DA8CBA" w14:textId="77777777" w:rsidR="00F84D5E" w:rsidRPr="00F84D5E" w:rsidRDefault="00F84D5E" w:rsidP="00F84D5E">
      <w:pPr>
        <w:spacing w:line="360" w:lineRule="auto"/>
        <w:jc w:val="both"/>
        <w:rPr>
          <w:rFonts w:ascii="Times New Roman" w:hAnsi="Times New Roman" w:cs="Times New Roman"/>
          <w:sz w:val="24"/>
          <w:szCs w:val="24"/>
          <w:lang w:val="en-US"/>
        </w:rPr>
      </w:pPr>
    </w:p>
    <w:p w14:paraId="76102FDF" w14:textId="33F2A300" w:rsidR="00F84D5E" w:rsidRPr="00F84D5E" w:rsidRDefault="00F84D5E" w:rsidP="00F84D5E">
      <w:pPr>
        <w:spacing w:line="360" w:lineRule="auto"/>
        <w:jc w:val="both"/>
        <w:rPr>
          <w:rFonts w:ascii="Times New Roman" w:hAnsi="Times New Roman" w:cs="Times New Roman"/>
          <w:sz w:val="24"/>
          <w:szCs w:val="24"/>
          <w:lang w:val="en-US"/>
        </w:rPr>
      </w:pPr>
    </w:p>
    <w:p w14:paraId="63C86C56" w14:textId="3C2C3E38" w:rsidR="006701B5" w:rsidRPr="00F84D5E" w:rsidRDefault="006701B5" w:rsidP="00F84D5E">
      <w:pPr>
        <w:spacing w:line="360" w:lineRule="auto"/>
        <w:jc w:val="both"/>
        <w:rPr>
          <w:rFonts w:ascii="Times New Roman" w:hAnsi="Times New Roman" w:cs="Times New Roman"/>
          <w:sz w:val="24"/>
          <w:szCs w:val="24"/>
          <w:lang w:val="en-US"/>
        </w:rPr>
      </w:pPr>
    </w:p>
    <w:p w14:paraId="08D89FED" w14:textId="77777777" w:rsidR="00340571" w:rsidRPr="00340571" w:rsidRDefault="00340571" w:rsidP="00340571">
      <w:pPr>
        <w:spacing w:line="360" w:lineRule="auto"/>
        <w:jc w:val="both"/>
        <w:rPr>
          <w:rFonts w:ascii="Times New Roman" w:hAnsi="Times New Roman" w:cs="Times New Roman"/>
          <w:sz w:val="24"/>
          <w:szCs w:val="24"/>
          <w:lang w:val="en-US"/>
        </w:rPr>
      </w:pPr>
    </w:p>
    <w:p w14:paraId="2F084D71" w14:textId="46081177" w:rsidR="006701B5" w:rsidRPr="006701B5" w:rsidRDefault="006701B5" w:rsidP="006701B5">
      <w:pPr>
        <w:spacing w:line="360" w:lineRule="auto"/>
        <w:rPr>
          <w:rFonts w:ascii="Times New Roman" w:hAnsi="Times New Roman" w:cs="Times New Roman"/>
          <w:sz w:val="24"/>
          <w:szCs w:val="24"/>
          <w:lang w:val="en-US"/>
        </w:rPr>
      </w:pPr>
    </w:p>
    <w:p w14:paraId="2DAC6501" w14:textId="4F0484DC" w:rsidR="00E77A43" w:rsidRPr="006701B5" w:rsidRDefault="00E77A43" w:rsidP="006701B5">
      <w:pPr>
        <w:spacing w:line="360" w:lineRule="auto"/>
        <w:rPr>
          <w:rFonts w:ascii="Times New Roman" w:hAnsi="Times New Roman" w:cs="Times New Roman"/>
          <w:sz w:val="24"/>
          <w:szCs w:val="24"/>
        </w:rPr>
      </w:pPr>
    </w:p>
    <w:sectPr w:rsidR="00E77A43" w:rsidRPr="006701B5">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01295" w14:textId="77777777" w:rsidR="00FD512F" w:rsidRDefault="00FD512F" w:rsidP="007354BE">
      <w:pPr>
        <w:spacing w:after="0" w:line="240" w:lineRule="auto"/>
      </w:pPr>
      <w:r>
        <w:separator/>
      </w:r>
    </w:p>
  </w:endnote>
  <w:endnote w:type="continuationSeparator" w:id="0">
    <w:p w14:paraId="024793DA" w14:textId="77777777" w:rsidR="00FD512F" w:rsidRDefault="00FD512F" w:rsidP="0073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935015"/>
      <w:docPartObj>
        <w:docPartGallery w:val="Page Numbers (Bottom of Page)"/>
        <w:docPartUnique/>
      </w:docPartObj>
    </w:sdtPr>
    <w:sdtEndPr>
      <w:rPr>
        <w:noProof/>
      </w:rPr>
    </w:sdtEndPr>
    <w:sdtContent>
      <w:p w14:paraId="466AFAEC" w14:textId="6C16B874" w:rsidR="007354BE" w:rsidRDefault="007354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4DEFD3" w14:textId="77777777" w:rsidR="007354BE" w:rsidRDefault="007354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772E9" w14:textId="77777777" w:rsidR="00FD512F" w:rsidRDefault="00FD512F" w:rsidP="007354BE">
      <w:pPr>
        <w:spacing w:after="0" w:line="240" w:lineRule="auto"/>
      </w:pPr>
      <w:r>
        <w:separator/>
      </w:r>
    </w:p>
  </w:footnote>
  <w:footnote w:type="continuationSeparator" w:id="0">
    <w:p w14:paraId="32BCE7D8" w14:textId="77777777" w:rsidR="00FD512F" w:rsidRDefault="00FD512F" w:rsidP="007354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07CEE"/>
    <w:multiLevelType w:val="hybridMultilevel"/>
    <w:tmpl w:val="0B50777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545919E9"/>
    <w:multiLevelType w:val="multilevel"/>
    <w:tmpl w:val="56D2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9430512">
    <w:abstractNumId w:val="1"/>
  </w:num>
  <w:num w:numId="2" w16cid:durableId="13903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4BE"/>
    <w:rsid w:val="00064A1E"/>
    <w:rsid w:val="00153A62"/>
    <w:rsid w:val="00190322"/>
    <w:rsid w:val="00192506"/>
    <w:rsid w:val="001E0222"/>
    <w:rsid w:val="002011D8"/>
    <w:rsid w:val="0022396B"/>
    <w:rsid w:val="00230F45"/>
    <w:rsid w:val="00247304"/>
    <w:rsid w:val="002A03EA"/>
    <w:rsid w:val="00340571"/>
    <w:rsid w:val="003A3509"/>
    <w:rsid w:val="003B231F"/>
    <w:rsid w:val="003D65F3"/>
    <w:rsid w:val="00462756"/>
    <w:rsid w:val="00516AFD"/>
    <w:rsid w:val="006701B5"/>
    <w:rsid w:val="007354BE"/>
    <w:rsid w:val="00752228"/>
    <w:rsid w:val="007E6FD2"/>
    <w:rsid w:val="008108AF"/>
    <w:rsid w:val="008753F9"/>
    <w:rsid w:val="008A1BD5"/>
    <w:rsid w:val="008A4530"/>
    <w:rsid w:val="008B7A53"/>
    <w:rsid w:val="00953FFA"/>
    <w:rsid w:val="009A1AEB"/>
    <w:rsid w:val="009B5F13"/>
    <w:rsid w:val="009C7CEB"/>
    <w:rsid w:val="00A0425C"/>
    <w:rsid w:val="00A716F4"/>
    <w:rsid w:val="00B278D2"/>
    <w:rsid w:val="00B36B9B"/>
    <w:rsid w:val="00BB7795"/>
    <w:rsid w:val="00C67C13"/>
    <w:rsid w:val="00CA7483"/>
    <w:rsid w:val="00CC61E9"/>
    <w:rsid w:val="00CF67A4"/>
    <w:rsid w:val="00D56866"/>
    <w:rsid w:val="00DB05F6"/>
    <w:rsid w:val="00DD0310"/>
    <w:rsid w:val="00E50FD6"/>
    <w:rsid w:val="00E77A43"/>
    <w:rsid w:val="00E9170F"/>
    <w:rsid w:val="00EB3B8E"/>
    <w:rsid w:val="00F84D5E"/>
    <w:rsid w:val="00F956D6"/>
    <w:rsid w:val="00FD512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4250"/>
  <w15:chartTrackingRefBased/>
  <w15:docId w15:val="{23DB967D-BA8E-441E-B4A3-58D05D902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A350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3B231F"/>
    <w:pPr>
      <w:keepNext/>
      <w:keepLines/>
      <w:spacing w:before="360" w:after="80" w:line="360" w:lineRule="auto"/>
      <w:jc w:val="both"/>
      <w:outlineLvl w:val="1"/>
    </w:pPr>
    <w:rPr>
      <w:rFonts w:ascii="Times New Roman" w:eastAsia="Calibri" w:hAnsi="Times New Roman" w:cs="Calibri"/>
      <w:b/>
      <w:sz w:val="24"/>
      <w:szCs w:val="36"/>
      <w:lang w:eastAsia="en-GB"/>
    </w:rPr>
  </w:style>
  <w:style w:type="paragraph" w:styleId="Heading3">
    <w:name w:val="heading 3"/>
    <w:basedOn w:val="Normal"/>
    <w:link w:val="Heading3Char"/>
    <w:uiPriority w:val="9"/>
    <w:qFormat/>
    <w:rsid w:val="00516AFD"/>
    <w:pPr>
      <w:spacing w:before="100" w:beforeAutospacing="1" w:after="100" w:afterAutospacing="1" w:line="240" w:lineRule="auto"/>
      <w:outlineLvl w:val="2"/>
    </w:pPr>
    <w:rPr>
      <w:rFonts w:ascii="Times New Roman" w:eastAsia="Times New Roman" w:hAnsi="Times New Roman" w:cs="Times New Roman"/>
      <w:b/>
      <w:bCs/>
      <w:kern w:val="0"/>
      <w:sz w:val="27"/>
      <w:szCs w:val="27"/>
      <w:lang w:val="bg-BG" w:eastAsia="bg-B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231F"/>
    <w:rPr>
      <w:rFonts w:ascii="Times New Roman" w:eastAsia="Calibri" w:hAnsi="Times New Roman" w:cs="Calibri"/>
      <w:b/>
      <w:sz w:val="24"/>
      <w:szCs w:val="36"/>
      <w:lang w:val="en-GB" w:eastAsia="en-GB"/>
    </w:rPr>
  </w:style>
  <w:style w:type="character" w:customStyle="1" w:styleId="Heading1Char">
    <w:name w:val="Heading 1 Char"/>
    <w:basedOn w:val="DefaultParagraphFont"/>
    <w:link w:val="Heading1"/>
    <w:uiPriority w:val="9"/>
    <w:rsid w:val="003A3509"/>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7354BE"/>
    <w:pPr>
      <w:tabs>
        <w:tab w:val="center" w:pos="4536"/>
        <w:tab w:val="right" w:pos="9072"/>
      </w:tabs>
      <w:spacing w:after="0" w:line="240" w:lineRule="auto"/>
    </w:pPr>
  </w:style>
  <w:style w:type="character" w:customStyle="1" w:styleId="HeaderChar">
    <w:name w:val="Header Char"/>
    <w:basedOn w:val="DefaultParagraphFont"/>
    <w:link w:val="Header"/>
    <w:uiPriority w:val="99"/>
    <w:rsid w:val="007354BE"/>
    <w:rPr>
      <w:lang w:val="en-GB"/>
    </w:rPr>
  </w:style>
  <w:style w:type="paragraph" w:styleId="Footer">
    <w:name w:val="footer"/>
    <w:basedOn w:val="Normal"/>
    <w:link w:val="FooterChar"/>
    <w:uiPriority w:val="99"/>
    <w:unhideWhenUsed/>
    <w:rsid w:val="007354BE"/>
    <w:pPr>
      <w:tabs>
        <w:tab w:val="center" w:pos="4536"/>
        <w:tab w:val="right" w:pos="9072"/>
      </w:tabs>
      <w:spacing w:after="0" w:line="240" w:lineRule="auto"/>
    </w:pPr>
  </w:style>
  <w:style w:type="character" w:customStyle="1" w:styleId="FooterChar">
    <w:name w:val="Footer Char"/>
    <w:basedOn w:val="DefaultParagraphFont"/>
    <w:link w:val="Footer"/>
    <w:uiPriority w:val="99"/>
    <w:rsid w:val="007354BE"/>
    <w:rPr>
      <w:lang w:val="en-GB"/>
    </w:rPr>
  </w:style>
  <w:style w:type="character" w:customStyle="1" w:styleId="Heading3Char">
    <w:name w:val="Heading 3 Char"/>
    <w:basedOn w:val="DefaultParagraphFont"/>
    <w:link w:val="Heading3"/>
    <w:uiPriority w:val="9"/>
    <w:rsid w:val="00516AFD"/>
    <w:rPr>
      <w:rFonts w:ascii="Times New Roman" w:eastAsia="Times New Roman" w:hAnsi="Times New Roman" w:cs="Times New Roman"/>
      <w:b/>
      <w:bCs/>
      <w:kern w:val="0"/>
      <w:sz w:val="27"/>
      <w:szCs w:val="27"/>
      <w:lang w:eastAsia="bg-BG"/>
      <w14:ligatures w14:val="none"/>
    </w:rPr>
  </w:style>
  <w:style w:type="character" w:styleId="Hyperlink">
    <w:name w:val="Hyperlink"/>
    <w:basedOn w:val="DefaultParagraphFont"/>
    <w:uiPriority w:val="99"/>
    <w:unhideWhenUsed/>
    <w:rsid w:val="00CA7483"/>
    <w:rPr>
      <w:color w:val="0563C1" w:themeColor="hyperlink"/>
      <w:u w:val="single"/>
    </w:rPr>
  </w:style>
  <w:style w:type="character" w:styleId="UnresolvedMention">
    <w:name w:val="Unresolved Mention"/>
    <w:basedOn w:val="DefaultParagraphFont"/>
    <w:uiPriority w:val="99"/>
    <w:semiHidden/>
    <w:unhideWhenUsed/>
    <w:rsid w:val="00CA7483"/>
    <w:rPr>
      <w:color w:val="605E5C"/>
      <w:shd w:val="clear" w:color="auto" w:fill="E1DFDD"/>
    </w:rPr>
  </w:style>
  <w:style w:type="paragraph" w:styleId="TOCHeading">
    <w:name w:val="TOC Heading"/>
    <w:basedOn w:val="Heading1"/>
    <w:next w:val="Normal"/>
    <w:uiPriority w:val="39"/>
    <w:unhideWhenUsed/>
    <w:qFormat/>
    <w:rsid w:val="00953FFA"/>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53FFA"/>
    <w:pPr>
      <w:spacing w:after="100"/>
    </w:pPr>
  </w:style>
  <w:style w:type="paragraph" w:styleId="ListParagraph">
    <w:name w:val="List Paragraph"/>
    <w:basedOn w:val="Normal"/>
    <w:uiPriority w:val="34"/>
    <w:qFormat/>
    <w:rsid w:val="00064A1E"/>
    <w:pPr>
      <w:ind w:left="720"/>
      <w:contextualSpacing/>
    </w:pPr>
  </w:style>
  <w:style w:type="paragraph" w:styleId="IntenseQuote">
    <w:name w:val="Intense Quote"/>
    <w:basedOn w:val="Normal"/>
    <w:next w:val="Normal"/>
    <w:link w:val="IntenseQuoteChar"/>
    <w:uiPriority w:val="30"/>
    <w:qFormat/>
    <w:rsid w:val="0022396B"/>
    <w:pPr>
      <w:pBdr>
        <w:top w:val="single" w:sz="4" w:space="10" w:color="4472C4" w:themeColor="accent1"/>
        <w:bottom w:val="single" w:sz="4" w:space="10" w:color="4472C4" w:themeColor="accent1"/>
      </w:pBdr>
      <w:spacing w:before="360" w:after="360" w:line="360" w:lineRule="auto"/>
      <w:ind w:left="864" w:right="864"/>
      <w:jc w:val="center"/>
    </w:pPr>
    <w:rPr>
      <w:i/>
      <w:iCs/>
      <w:color w:val="4472C4" w:themeColor="accent1"/>
      <w:kern w:val="0"/>
      <w14:ligatures w14:val="none"/>
    </w:rPr>
  </w:style>
  <w:style w:type="character" w:customStyle="1" w:styleId="IntenseQuoteChar">
    <w:name w:val="Intense Quote Char"/>
    <w:basedOn w:val="DefaultParagraphFont"/>
    <w:link w:val="IntenseQuote"/>
    <w:uiPriority w:val="30"/>
    <w:rsid w:val="0022396B"/>
    <w:rPr>
      <w:i/>
      <w:iCs/>
      <w:color w:val="4472C4" w:themeColor="accent1"/>
      <w:kern w:val="0"/>
      <w:lang w:val="en-GB"/>
      <w14:ligatures w14:val="none"/>
    </w:rPr>
  </w:style>
  <w:style w:type="character" w:styleId="SubtleEmphasis">
    <w:name w:val="Subtle Emphasis"/>
    <w:basedOn w:val="DefaultParagraphFont"/>
    <w:uiPriority w:val="19"/>
    <w:qFormat/>
    <w:rsid w:val="0022396B"/>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299479">
      <w:bodyDiv w:val="1"/>
      <w:marLeft w:val="0"/>
      <w:marRight w:val="0"/>
      <w:marTop w:val="0"/>
      <w:marBottom w:val="0"/>
      <w:divBdr>
        <w:top w:val="none" w:sz="0" w:space="0" w:color="auto"/>
        <w:left w:val="none" w:sz="0" w:space="0" w:color="auto"/>
        <w:bottom w:val="none" w:sz="0" w:space="0" w:color="auto"/>
        <w:right w:val="none" w:sz="0" w:space="0" w:color="auto"/>
      </w:divBdr>
    </w:div>
    <w:div w:id="874779453">
      <w:bodyDiv w:val="1"/>
      <w:marLeft w:val="0"/>
      <w:marRight w:val="0"/>
      <w:marTop w:val="0"/>
      <w:marBottom w:val="0"/>
      <w:divBdr>
        <w:top w:val="none" w:sz="0" w:space="0" w:color="auto"/>
        <w:left w:val="none" w:sz="0" w:space="0" w:color="auto"/>
        <w:bottom w:val="none" w:sz="0" w:space="0" w:color="auto"/>
        <w:right w:val="none" w:sz="0" w:space="0" w:color="auto"/>
      </w:divBdr>
    </w:div>
    <w:div w:id="1038625341">
      <w:bodyDiv w:val="1"/>
      <w:marLeft w:val="0"/>
      <w:marRight w:val="0"/>
      <w:marTop w:val="0"/>
      <w:marBottom w:val="0"/>
      <w:divBdr>
        <w:top w:val="none" w:sz="0" w:space="0" w:color="auto"/>
        <w:left w:val="none" w:sz="0" w:space="0" w:color="auto"/>
        <w:bottom w:val="none" w:sz="0" w:space="0" w:color="auto"/>
        <w:right w:val="none" w:sz="0" w:space="0" w:color="auto"/>
      </w:divBdr>
      <w:divsChild>
        <w:div w:id="1864855438">
          <w:marLeft w:val="0"/>
          <w:marRight w:val="0"/>
          <w:marTop w:val="0"/>
          <w:marBottom w:val="0"/>
          <w:divBdr>
            <w:top w:val="none" w:sz="0" w:space="0" w:color="auto"/>
            <w:left w:val="none" w:sz="0" w:space="0" w:color="auto"/>
            <w:bottom w:val="none" w:sz="0" w:space="0" w:color="auto"/>
            <w:right w:val="none" w:sz="0" w:space="0" w:color="auto"/>
          </w:divBdr>
        </w:div>
      </w:divsChild>
    </w:div>
    <w:div w:id="1150365316">
      <w:bodyDiv w:val="1"/>
      <w:marLeft w:val="0"/>
      <w:marRight w:val="0"/>
      <w:marTop w:val="0"/>
      <w:marBottom w:val="0"/>
      <w:divBdr>
        <w:top w:val="none" w:sz="0" w:space="0" w:color="auto"/>
        <w:left w:val="none" w:sz="0" w:space="0" w:color="auto"/>
        <w:bottom w:val="none" w:sz="0" w:space="0" w:color="auto"/>
        <w:right w:val="none" w:sz="0" w:space="0" w:color="auto"/>
      </w:divBdr>
    </w:div>
    <w:div w:id="1288587871">
      <w:bodyDiv w:val="1"/>
      <w:marLeft w:val="0"/>
      <w:marRight w:val="0"/>
      <w:marTop w:val="0"/>
      <w:marBottom w:val="0"/>
      <w:divBdr>
        <w:top w:val="none" w:sz="0" w:space="0" w:color="auto"/>
        <w:left w:val="none" w:sz="0" w:space="0" w:color="auto"/>
        <w:bottom w:val="none" w:sz="0" w:space="0" w:color="auto"/>
        <w:right w:val="none" w:sz="0" w:space="0" w:color="auto"/>
      </w:divBdr>
    </w:div>
    <w:div w:id="1461846572">
      <w:bodyDiv w:val="1"/>
      <w:marLeft w:val="0"/>
      <w:marRight w:val="0"/>
      <w:marTop w:val="0"/>
      <w:marBottom w:val="0"/>
      <w:divBdr>
        <w:top w:val="none" w:sz="0" w:space="0" w:color="auto"/>
        <w:left w:val="none" w:sz="0" w:space="0" w:color="auto"/>
        <w:bottom w:val="none" w:sz="0" w:space="0" w:color="auto"/>
        <w:right w:val="none" w:sz="0" w:space="0" w:color="auto"/>
      </w:divBdr>
      <w:divsChild>
        <w:div w:id="2100829295">
          <w:marLeft w:val="0"/>
          <w:marRight w:val="0"/>
          <w:marTop w:val="0"/>
          <w:marBottom w:val="0"/>
          <w:divBdr>
            <w:top w:val="none" w:sz="0" w:space="0" w:color="auto"/>
            <w:left w:val="none" w:sz="0" w:space="0" w:color="auto"/>
            <w:bottom w:val="none" w:sz="0" w:space="0" w:color="auto"/>
            <w:right w:val="none" w:sz="0" w:space="0" w:color="auto"/>
          </w:divBdr>
        </w:div>
      </w:divsChild>
    </w:div>
    <w:div w:id="1794905143">
      <w:bodyDiv w:val="1"/>
      <w:marLeft w:val="0"/>
      <w:marRight w:val="0"/>
      <w:marTop w:val="0"/>
      <w:marBottom w:val="0"/>
      <w:divBdr>
        <w:top w:val="none" w:sz="0" w:space="0" w:color="auto"/>
        <w:left w:val="none" w:sz="0" w:space="0" w:color="auto"/>
        <w:bottom w:val="none" w:sz="0" w:space="0" w:color="auto"/>
        <w:right w:val="none" w:sz="0" w:space="0" w:color="auto"/>
      </w:divBdr>
    </w:div>
    <w:div w:id="1909262474">
      <w:bodyDiv w:val="1"/>
      <w:marLeft w:val="0"/>
      <w:marRight w:val="0"/>
      <w:marTop w:val="0"/>
      <w:marBottom w:val="0"/>
      <w:divBdr>
        <w:top w:val="none" w:sz="0" w:space="0" w:color="auto"/>
        <w:left w:val="none" w:sz="0" w:space="0" w:color="auto"/>
        <w:bottom w:val="none" w:sz="0" w:space="0" w:color="auto"/>
        <w:right w:val="none" w:sz="0" w:space="0" w:color="auto"/>
      </w:divBdr>
    </w:div>
    <w:div w:id="1962491315">
      <w:bodyDiv w:val="1"/>
      <w:marLeft w:val="0"/>
      <w:marRight w:val="0"/>
      <w:marTop w:val="0"/>
      <w:marBottom w:val="0"/>
      <w:divBdr>
        <w:top w:val="none" w:sz="0" w:space="0" w:color="auto"/>
        <w:left w:val="none" w:sz="0" w:space="0" w:color="auto"/>
        <w:bottom w:val="none" w:sz="0" w:space="0" w:color="auto"/>
        <w:right w:val="none" w:sz="0" w:space="0" w:color="auto"/>
      </w:divBdr>
    </w:div>
    <w:div w:id="1994337713">
      <w:bodyDiv w:val="1"/>
      <w:marLeft w:val="0"/>
      <w:marRight w:val="0"/>
      <w:marTop w:val="0"/>
      <w:marBottom w:val="0"/>
      <w:divBdr>
        <w:top w:val="none" w:sz="0" w:space="0" w:color="auto"/>
        <w:left w:val="none" w:sz="0" w:space="0" w:color="auto"/>
        <w:bottom w:val="none" w:sz="0" w:space="0" w:color="auto"/>
        <w:right w:val="none" w:sz="0" w:space="0" w:color="auto"/>
      </w:divBdr>
    </w:div>
    <w:div w:id="210981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capital-markets/efficient-markets-hypothesis/" TargetMode="External"/><Relationship Id="rId18" Type="http://schemas.openxmlformats.org/officeDocument/2006/relationships/hyperlink" Target="https://benefits-drawbacks.blogspot.com/2021/07/advantages-disadvantages-payback-period.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ankofengland.co.uk/monetary-policy/the-interest-rate-bank-rate" TargetMode="External"/><Relationship Id="rId17" Type="http://schemas.openxmlformats.org/officeDocument/2006/relationships/hyperlink" Target="https://www.globaldata.com/company-profile/astrazeneca-plc/" TargetMode="External"/><Relationship Id="rId2" Type="http://schemas.openxmlformats.org/officeDocument/2006/relationships/numbering" Target="numbering.xml"/><Relationship Id="rId16" Type="http://schemas.openxmlformats.org/officeDocument/2006/relationships/hyperlink" Target="https://www.fidelity.co.uk/factsheet-data/factsheet/GB0009895292-astrazeneca/dividends" TargetMode="External"/><Relationship Id="rId20" Type="http://schemas.openxmlformats.org/officeDocument/2006/relationships/hyperlink" Target="https://tradingeconomics.com/country-list/inflation-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trazeneca.com/content/dam/az/Investor_Relations/annual-report-2022/pdf/AstraZeneca_AR_2022.pdf" TargetMode="External"/><Relationship Id="rId5" Type="http://schemas.openxmlformats.org/officeDocument/2006/relationships/webSettings" Target="webSettings.xml"/><Relationship Id="rId15" Type="http://schemas.openxmlformats.org/officeDocument/2006/relationships/hyperlink" Target="https://www.investopedia.com/terms/n/npv.asp" TargetMode="External"/><Relationship Id="rId23" Type="http://schemas.openxmlformats.org/officeDocument/2006/relationships/theme" Target="theme/theme1.xml"/><Relationship Id="rId10" Type="http://schemas.openxmlformats.org/officeDocument/2006/relationships/hyperlink" Target="https://www.acc.com/sites/default/files/resources/upload/Transactional%20Lawyers%20Paper.pdf" TargetMode="External"/><Relationship Id="rId19" Type="http://schemas.openxmlformats.org/officeDocument/2006/relationships/hyperlink" Target="https://benefits-drawbacks.blogspot.com/2021/07/advantages-disadvantages-accounting-rate-retur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e/efficientmarkethypothesis.a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43438-C941-4F05-9FA0-FC5FF2930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Pencheva</dc:creator>
  <cp:keywords/>
  <dc:description/>
  <cp:lastModifiedBy>Valentina Pencheva</cp:lastModifiedBy>
  <cp:revision>2</cp:revision>
  <dcterms:created xsi:type="dcterms:W3CDTF">2023-05-04T19:44:00Z</dcterms:created>
  <dcterms:modified xsi:type="dcterms:W3CDTF">2023-05-04T19:44:00Z</dcterms:modified>
</cp:coreProperties>
</file>