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22EFD" w14:textId="1FCF5FB9" w:rsidR="00EB57A4" w:rsidRPr="009A5E0B" w:rsidRDefault="00EB57A4" w:rsidP="00BF259D">
      <w:pPr>
        <w:pStyle w:val="p1"/>
        <w:spacing w:line="360" w:lineRule="auto"/>
        <w:rPr>
          <w:rFonts w:ascii="Arial" w:hAnsi="Arial" w:cs="Arial"/>
          <w:sz w:val="24"/>
          <w:szCs w:val="24"/>
        </w:rPr>
      </w:pPr>
    </w:p>
    <w:p w14:paraId="23E1594F" w14:textId="102EF88B" w:rsidR="00EB57A4" w:rsidRPr="009A5E0B" w:rsidRDefault="004D166A" w:rsidP="00BF259D">
      <w:pPr>
        <w:pStyle w:val="p2"/>
        <w:spacing w:line="360" w:lineRule="auto"/>
        <w:rPr>
          <w:rFonts w:ascii="Arial" w:hAnsi="Arial" w:cs="Arial"/>
          <w:sz w:val="24"/>
          <w:szCs w:val="24"/>
        </w:rPr>
      </w:pPr>
      <w:r>
        <w:rPr>
          <w:rFonts w:ascii="Arial" w:hAnsi="Arial" w:cs="Arial"/>
          <w:sz w:val="24"/>
          <w:szCs w:val="24"/>
        </w:rPr>
        <w:t>Reflective commentary</w:t>
      </w:r>
      <w:r w:rsidR="00C03195">
        <w:rPr>
          <w:rFonts w:ascii="Arial" w:hAnsi="Arial" w:cs="Arial"/>
          <w:sz w:val="24"/>
          <w:szCs w:val="24"/>
        </w:rPr>
        <w:t xml:space="preserve"> of </w:t>
      </w:r>
      <w:r w:rsidR="00E7277F">
        <w:rPr>
          <w:rFonts w:ascii="Arial" w:hAnsi="Arial" w:cs="Arial"/>
          <w:sz w:val="24"/>
          <w:szCs w:val="24"/>
        </w:rPr>
        <w:t xml:space="preserve">reflexive counselling skills </w:t>
      </w:r>
    </w:p>
    <w:p w14:paraId="172BE46C" w14:textId="77777777" w:rsidR="00EB57A4" w:rsidRPr="009A5E0B" w:rsidRDefault="00EB57A4" w:rsidP="00BF259D">
      <w:pPr>
        <w:pStyle w:val="p2"/>
        <w:spacing w:line="360" w:lineRule="auto"/>
        <w:rPr>
          <w:rFonts w:ascii="Arial" w:hAnsi="Arial" w:cs="Arial"/>
          <w:sz w:val="24"/>
          <w:szCs w:val="24"/>
        </w:rPr>
      </w:pPr>
    </w:p>
    <w:p w14:paraId="09E6C9F8" w14:textId="77777777" w:rsidR="00EB57A4" w:rsidRPr="009A5E0B" w:rsidRDefault="00EB57A4" w:rsidP="00BF259D">
      <w:pPr>
        <w:pStyle w:val="p2"/>
        <w:spacing w:line="360" w:lineRule="auto"/>
        <w:rPr>
          <w:rFonts w:ascii="Arial" w:hAnsi="Arial" w:cs="Arial"/>
          <w:sz w:val="24"/>
          <w:szCs w:val="24"/>
        </w:rPr>
      </w:pPr>
    </w:p>
    <w:p w14:paraId="75DEF48D"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reflective commentary explores my personal and professional development throughout the reflexive counselling skills module, with a focus on how I have integrated theory into practice while developing reflexive awareness. A central aspect of my learning has been understanding not only how to use counselling skills with clients, but also how to critically reflect on my own experiences, emotions, and development as a counsellor.</w:t>
      </w:r>
    </w:p>
    <w:p w14:paraId="0558ADAD"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Importantly, the reflective models introduced during the module; such as Gibbs’ Reflective Cycle, </w:t>
      </w:r>
      <w:proofErr w:type="spellStart"/>
      <w:r w:rsidRPr="009A5E0B">
        <w:rPr>
          <w:rStyle w:val="s1"/>
          <w:rFonts w:ascii="Arial" w:hAnsi="Arial" w:cs="Arial"/>
          <w:sz w:val="24"/>
          <w:szCs w:val="24"/>
        </w:rPr>
        <w:t>Kolb’s</w:t>
      </w:r>
      <w:proofErr w:type="spellEnd"/>
      <w:r w:rsidRPr="009A5E0B">
        <w:rPr>
          <w:rStyle w:val="s1"/>
          <w:rFonts w:ascii="Arial" w:hAnsi="Arial" w:cs="Arial"/>
          <w:sz w:val="24"/>
          <w:szCs w:val="24"/>
        </w:rPr>
        <w:t xml:space="preserve"> Experiential Learning Cycle, and Driscoll’s ‘What? So What? Now What?’ model were primarily practised as tools to support clients in structuring and exploring their experiences, as I developed an awareness of how theoretical tools can be applied differently depending on context.</w:t>
      </w:r>
    </w:p>
    <w:p w14:paraId="360B8144"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commentary will explore my development through key learning experiences, including triad work, circle discussions, and recorded practice. It will also examine my growing use of humanistic person centred counselling skills, my increasing awareness of relational depth, and my engagement with ethical and professional values. Throughout, I will demonstrate how reflexive practice has contributed to my self awareness and ongoing professional growth.</w:t>
      </w:r>
    </w:p>
    <w:p w14:paraId="726AE91D" w14:textId="77777777" w:rsidR="00EB57A4" w:rsidRPr="009A5E0B" w:rsidRDefault="00EB57A4" w:rsidP="00BF259D">
      <w:pPr>
        <w:pStyle w:val="p2"/>
        <w:spacing w:line="360" w:lineRule="auto"/>
        <w:rPr>
          <w:rFonts w:ascii="Arial" w:hAnsi="Arial" w:cs="Arial"/>
          <w:sz w:val="24"/>
          <w:szCs w:val="24"/>
        </w:rPr>
      </w:pPr>
    </w:p>
    <w:p w14:paraId="0A7DEE75"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1C31A7CB" w14:textId="77777777" w:rsidR="00EB57A4" w:rsidRPr="009A5E0B" w:rsidRDefault="00EB57A4" w:rsidP="00BF259D">
      <w:pPr>
        <w:pStyle w:val="p2"/>
        <w:spacing w:line="360" w:lineRule="auto"/>
        <w:rPr>
          <w:rFonts w:ascii="Arial" w:hAnsi="Arial" w:cs="Arial"/>
          <w:sz w:val="24"/>
          <w:szCs w:val="24"/>
        </w:rPr>
      </w:pPr>
    </w:p>
    <w:p w14:paraId="37FECD72"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Throughout the module, I was able to use and explore reflective models such as “What? So What? Now What?” (Driscoll, 1994) These were designed as tools to support clients in structuring and exploring their experiences. However, while my conceptual understanding was established, the practical application of these models within a live counselling context proved to be slightly more complex. This highlighted the distinction between theoretical knowledge and embodied practice, requiring me to develop both confidence and flexibility in their use.</w:t>
      </w:r>
    </w:p>
    <w:p w14:paraId="451C58D1"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In early skills sessions, I found myself approaching reflective models in a somewhat mechanical way, focusing on recalling the stages and attempting to apply them in a linear sequence. This often resulted in my responses feeling overly structured and, </w:t>
      </w:r>
      <w:r w:rsidRPr="009A5E0B">
        <w:rPr>
          <w:rStyle w:val="s1"/>
          <w:rFonts w:ascii="Arial" w:hAnsi="Arial" w:cs="Arial"/>
          <w:sz w:val="24"/>
          <w:szCs w:val="24"/>
        </w:rPr>
        <w:lastRenderedPageBreak/>
        <w:t>at times, disconnected from the natural flow of the conversation. Although my intention was to support the client’s reflection, I became aware that adhering too rigidly to the model risked shifting my attention away from the client’s immediate experience and towards my own performance. Reflexively, I recognised that this was linked to a lack of confidence, as I relied on the model as a form of safety net rather than trusting my ability to respond intuitively.</w:t>
      </w:r>
    </w:p>
    <w:p w14:paraId="6B8831ED"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As I gained more experience, I began to understand that the effectiveness of reflective models lies not in their strict application, but in their subtle integration into dialogue. Rather than explicitly structuring the interaction around the model, I learned to draw on its principles more fluidly, allowing the client’s narrative to guide the direction of the session. This shift represented a move towards a more person centred approach, where the model supported, rather than directed, the therapeutic process.</w:t>
      </w:r>
    </w:p>
    <w:p w14:paraId="62F02F6E" w14:textId="77777777" w:rsidR="00EB57A4" w:rsidRPr="009A5E0B" w:rsidRDefault="00EB57A4" w:rsidP="00BF259D">
      <w:pPr>
        <w:pStyle w:val="p2"/>
        <w:spacing w:line="360" w:lineRule="auto"/>
        <w:rPr>
          <w:rFonts w:ascii="Arial" w:hAnsi="Arial" w:cs="Arial"/>
          <w:sz w:val="24"/>
          <w:szCs w:val="24"/>
        </w:rPr>
      </w:pPr>
    </w:p>
    <w:p w14:paraId="3358832D"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A key area of development within this process was my use of questioning, particularly the distinction between open and closed questions. Initially, when attempting to apply reflective models, I often relied on closed questions, such as “Did that make you feel upset?” or “Was that difficult for you?”, as these felt safer and easier to formulate under pressure. However, I became aware that closed questions tended to limit the client’s responses, often resulting in brief or confirmatory answers that restricted deeper exploration.</w:t>
      </w:r>
    </w:p>
    <w:p w14:paraId="65AD249F"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Through practice and feedback, I began to develop greater confidence in using open questions, such as “How did that experience affect you?” or “How does that situation make you feel?”. These types of questions aligned more closely with both the aims of reflective models and the principles of person centred counselling, as they invited the client to explore their thoughts and feelings in greater depth. Reflexively, I recognised that my initial reliance on closed questions was closely linked to my anxiety about “getting it right,” whereas the use of open questions required a greater tolerance of uncertainty and a willingness to relinquish control of the direction of the conversation.</w:t>
      </w:r>
    </w:p>
    <w:p w14:paraId="3E62C858"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Over time, as my confidence increased, I became more comfortable with this uncertainty. I began to trust that open questions, combined with empathic listening, would allow the client’s reflection to develop organically, without the need for rigid </w:t>
      </w:r>
      <w:r w:rsidRPr="009A5E0B">
        <w:rPr>
          <w:rStyle w:val="s1"/>
          <w:rFonts w:ascii="Arial" w:hAnsi="Arial" w:cs="Arial"/>
          <w:sz w:val="24"/>
          <w:szCs w:val="24"/>
        </w:rPr>
        <w:lastRenderedPageBreak/>
        <w:t>structuring. This shift not only improved the quality of the interaction but also enhanced my sense of authenticity within the counselling role.</w:t>
      </w:r>
    </w:p>
    <w:p w14:paraId="6EACB6FA" w14:textId="77777777" w:rsidR="00EB57A4" w:rsidRPr="009A5E0B" w:rsidRDefault="00EB57A4" w:rsidP="00BF259D">
      <w:pPr>
        <w:pStyle w:val="p2"/>
        <w:spacing w:line="360" w:lineRule="auto"/>
        <w:rPr>
          <w:rFonts w:ascii="Arial" w:hAnsi="Arial" w:cs="Arial"/>
          <w:sz w:val="24"/>
          <w:szCs w:val="24"/>
        </w:rPr>
      </w:pPr>
    </w:p>
    <w:p w14:paraId="72F47AF2"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At the same time, I remained aware of the potential tension between introducing structure through reflective models and maintaining a non directive stance. There were moments where I questioned whether my prompts were guiding the client too strongly or imposing a framework onto their experience. Engaging in reflexive practice allowed me to critically evaluate these moments, recognising that the key issue was not the use of the model itself, but how it was introduced and adapted in response to the client.</w:t>
      </w:r>
    </w:p>
    <w:p w14:paraId="281D85EF"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process contributed to the development of my professional judgement, as I learned to balance theoretical knowledge with responsiveness to the individual. I began to see reflective models not as prescriptive tools, but as flexible resources that could be drawn upon when appropriate. This reinforced the importance of prioritising the therapeutic relationship, ensuring that any use of structure remained secondary to the client’s needs and experience.</w:t>
      </w:r>
    </w:p>
    <w:p w14:paraId="0FA7EA95" w14:textId="77777777" w:rsidR="00EB57A4" w:rsidRPr="009A5E0B" w:rsidRDefault="00EB57A4" w:rsidP="00BF259D">
      <w:pPr>
        <w:pStyle w:val="p2"/>
        <w:spacing w:line="360" w:lineRule="auto"/>
        <w:rPr>
          <w:rFonts w:ascii="Arial" w:hAnsi="Arial" w:cs="Arial"/>
          <w:sz w:val="24"/>
          <w:szCs w:val="24"/>
        </w:rPr>
      </w:pPr>
    </w:p>
    <w:p w14:paraId="37DF17EB" w14:textId="77777777" w:rsidR="00EB57A4" w:rsidRPr="009A5E0B" w:rsidRDefault="00EB57A4" w:rsidP="00BF259D">
      <w:pPr>
        <w:pStyle w:val="p2"/>
        <w:spacing w:line="360" w:lineRule="auto"/>
        <w:rPr>
          <w:rFonts w:ascii="Arial" w:hAnsi="Arial" w:cs="Arial"/>
          <w:sz w:val="24"/>
          <w:szCs w:val="24"/>
        </w:rPr>
      </w:pPr>
    </w:p>
    <w:p w14:paraId="04A55848" w14:textId="77777777" w:rsidR="00EB57A4" w:rsidRPr="009A5E0B" w:rsidRDefault="00EB57A4" w:rsidP="00BF259D">
      <w:pPr>
        <w:pStyle w:val="p2"/>
        <w:spacing w:line="360" w:lineRule="auto"/>
        <w:rPr>
          <w:rFonts w:ascii="Arial" w:hAnsi="Arial" w:cs="Arial"/>
          <w:sz w:val="24"/>
          <w:szCs w:val="24"/>
        </w:rPr>
      </w:pPr>
    </w:p>
    <w:p w14:paraId="563887B0"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Circle discussions were a distinctive and valuable component of the module, offering a more open and relational learning environment compared to structured skills practice. Sitting in a circle created a sense of equality and shared participation, reflecting key humanistic values such as mutual respect and openness. Experiencing this dynamic helped me to recognise how the structure of an environment can shape communication and relational engagement.</w:t>
      </w:r>
    </w:p>
    <w:p w14:paraId="51BA5A5B"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Initially, I found these discussions challenging. The lack of defined roles and structure heightened my self-awareness, and I became concerned with how I was perceived by others and this often led to hesitation. Reflexively, I recognised that this response was linked to a fear of judgement and a tendency to focus on presenting myself in a particular way rather than engaging authentically.</w:t>
      </w:r>
    </w:p>
    <w:p w14:paraId="752932B7"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experience also deepened my empathy, as I began to relate to the vulnerability clients may feel when speaking openly. It reinforced the importance of creating a safe, nonjudgemental space within counselling practice.</w:t>
      </w:r>
    </w:p>
    <w:p w14:paraId="488B98A1"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lastRenderedPageBreak/>
        <w:t>Over time, repeated participation helped to build my confidence. I became more willing to contribute and began to move away from a performance focused mindset towards more authentic engagement. Alongside this, my listening skills developed, as I was able to attend more fully to others’ perspectives. Hearing diverse viewpoints reinforced my understanding of the subjective nature of experience, a key principle within person-centred counselling.</w:t>
      </w:r>
    </w:p>
    <w:p w14:paraId="2E6B45F6"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I became increasingly aware of how my internal state influenced my participation. When I felt anxious, I tended to withdraw, whereas increased confidence allowed me to engage more openly. Recognising this pattern has been important for my development, highlighting the need to manage internal responses in order to remain present.</w:t>
      </w:r>
    </w:p>
    <w:p w14:paraId="6467B04D"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The circle discussions contributed significantly to my personal and professional growth. They provided a space to develop confidence, enhance listening skills, and deepen my understanding of relational dynamics, while reinforcing the importance of self-awareness in effective counselling practice.</w:t>
      </w:r>
    </w:p>
    <w:p w14:paraId="78E3742D" w14:textId="77777777" w:rsidR="00EB57A4" w:rsidRPr="009A5E0B" w:rsidRDefault="00EB57A4" w:rsidP="00BF259D">
      <w:pPr>
        <w:pStyle w:val="p2"/>
        <w:spacing w:line="360" w:lineRule="auto"/>
        <w:rPr>
          <w:rFonts w:ascii="Arial" w:hAnsi="Arial" w:cs="Arial"/>
          <w:sz w:val="24"/>
          <w:szCs w:val="24"/>
        </w:rPr>
      </w:pPr>
    </w:p>
    <w:p w14:paraId="48ECEC5E"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44349BF4" w14:textId="77777777" w:rsidR="00EB57A4" w:rsidRPr="009A5E0B" w:rsidRDefault="00EB57A4" w:rsidP="00BF259D">
      <w:pPr>
        <w:pStyle w:val="p2"/>
        <w:spacing w:line="360" w:lineRule="auto"/>
        <w:rPr>
          <w:rFonts w:ascii="Arial" w:hAnsi="Arial" w:cs="Arial"/>
          <w:sz w:val="24"/>
          <w:szCs w:val="24"/>
        </w:rPr>
      </w:pPr>
    </w:p>
    <w:p w14:paraId="314FB642"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Triad work was central to the development of my counselling skills, allowing me to experience the roles of counsellor, client, and observer. Through this process, I identified a key strength in my ability to observe others. When in the observer role, I was able to critically evaluate what was done well and identify areas for improvement. For example, I could recognise effective use of empathy, appropriate pacing, and moments where deeper exploration could have been facilitated.</w:t>
      </w:r>
    </w:p>
    <w:p w14:paraId="5A0FDAEA"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strength suggests that I have a strong capacity for analytical thinking and attention to detail, which are valuable skills in counselling practice. It also reflects my ability to engage in reflection on action, as I could evaluate sessions after they had taken place.</w:t>
      </w:r>
    </w:p>
    <w:p w14:paraId="2D4E3427"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However, in contrast to my confidence as an observer, I experienced significant anxiety when taking on the counsellor role. I often felt nervous about making mistakes, saying the wrong thing, or not responding appropriately. This anxiety sometimes led me to overthink my responses, which impacted my ability to remain fully present with the client.</w:t>
      </w:r>
    </w:p>
    <w:p w14:paraId="2C337A49"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lastRenderedPageBreak/>
        <w:t>This highlighted an internal conflict between my desire to perform well and the person centred emphasis on being rather than doing. My focus on “getting it right” sometimes prevented me from fully engaging with the client’s experience.</w:t>
      </w:r>
    </w:p>
    <w:p w14:paraId="4DE70C40"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Over time, with repeated practice, my confidence gradually increased. I began to realise that effective counselling is not about providing perfect responses, but about being present, attentive, and authentic. This shift in perspective allowed me to feel more comfortable in the counsellor role and reduced my anxiety.</w:t>
      </w:r>
    </w:p>
    <w:p w14:paraId="33CDC2E6"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development demonstrates the importance of experiential learning, as repeated exposure to the counselling role enabled me to build confidence and integrate theoretical knowledge into practice.</w:t>
      </w:r>
    </w:p>
    <w:p w14:paraId="77BACE9D" w14:textId="77777777" w:rsidR="00EB57A4" w:rsidRPr="009A5E0B" w:rsidRDefault="00EB57A4" w:rsidP="00BF259D">
      <w:pPr>
        <w:pStyle w:val="p2"/>
        <w:spacing w:line="360" w:lineRule="auto"/>
        <w:rPr>
          <w:rFonts w:ascii="Arial" w:hAnsi="Arial" w:cs="Arial"/>
          <w:sz w:val="24"/>
          <w:szCs w:val="24"/>
        </w:rPr>
      </w:pPr>
    </w:p>
    <w:p w14:paraId="54954DCD"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7ED6998B" w14:textId="77777777" w:rsidR="00EB57A4" w:rsidRPr="009A5E0B" w:rsidRDefault="00EB57A4" w:rsidP="00BF259D">
      <w:pPr>
        <w:pStyle w:val="p2"/>
        <w:spacing w:line="360" w:lineRule="auto"/>
        <w:rPr>
          <w:rFonts w:ascii="Arial" w:hAnsi="Arial" w:cs="Arial"/>
          <w:sz w:val="24"/>
          <w:szCs w:val="24"/>
        </w:rPr>
      </w:pPr>
    </w:p>
    <w:p w14:paraId="09CD752B"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Throughout the module, I have developed my ability to apply person centred counselling skills, particularly empathy, congruence, and unconditional positive regard. These skills became more natural over time, as I moved away from a focus on technique and towards a more relational approach.</w:t>
      </w:r>
    </w:p>
    <w:p w14:paraId="2A1495EA"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Empathy was a key area of growth. Initially, I focused on reflecting content, but I gradually developed the ability to reflect feelings more accurately. This shift allowed for deeper exploration and demonstrated a greater understanding of the client’s emotional experience.</w:t>
      </w:r>
    </w:p>
    <w:p w14:paraId="72C7FAAF"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Congruence was more challenging, as it required me to be authentic while maintaining professional boundaries. My initial anxiety sometimes led me to adopt a more formal or guarded approach. However, as my confidence grew, I became more comfortable being myself within the counselling relationship.</w:t>
      </w:r>
    </w:p>
    <w:p w14:paraId="7CE9131E"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Unconditional positive regard also required ongoing reflexivity, particularly when encountering perspectives that differed from my own. I learned to recognise and manage my internal reactions, ensuring that they did not impact my responses to the client.</w:t>
      </w:r>
    </w:p>
    <w:p w14:paraId="148F565E"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These developments reflect a growing alignment with humanistic values and an increased ability to embody person centred principles in practice.</w:t>
      </w:r>
    </w:p>
    <w:p w14:paraId="59F12059" w14:textId="77777777" w:rsidR="00EB57A4" w:rsidRPr="009A5E0B" w:rsidRDefault="00EB57A4" w:rsidP="00BF259D">
      <w:pPr>
        <w:pStyle w:val="p2"/>
        <w:spacing w:line="360" w:lineRule="auto"/>
        <w:rPr>
          <w:rFonts w:ascii="Arial" w:hAnsi="Arial" w:cs="Arial"/>
          <w:sz w:val="24"/>
          <w:szCs w:val="24"/>
        </w:rPr>
      </w:pPr>
    </w:p>
    <w:p w14:paraId="1272EC1F"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5DD9296B" w14:textId="77777777" w:rsidR="00EB57A4" w:rsidRPr="009A5E0B" w:rsidRDefault="00EB57A4" w:rsidP="00BF259D">
      <w:pPr>
        <w:pStyle w:val="p2"/>
        <w:spacing w:line="360" w:lineRule="auto"/>
        <w:rPr>
          <w:rFonts w:ascii="Arial" w:hAnsi="Arial" w:cs="Arial"/>
          <w:sz w:val="24"/>
          <w:szCs w:val="24"/>
        </w:rPr>
      </w:pPr>
    </w:p>
    <w:p w14:paraId="6F16C4A3"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lastRenderedPageBreak/>
        <w:t>An important aspect of my development has been an emerging awareness of relational depth. In early sessions, my focus on technique and performance limited my ability to fully connect with clients. However, as my confidence increased, I began to experience moments of deeper connection.</w:t>
      </w:r>
    </w:p>
    <w:p w14:paraId="57828817"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These moments were a sense of mutual engagement and understanding, where the interaction felt more natural and less structured. Reflecting on these experiences, I recognised that relational depth is not achieved through technique alone, but through genuine presence and authenticity.</w:t>
      </w:r>
    </w:p>
    <w:p w14:paraId="45ABC354"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At the same time, I remain aware that my ability to sustain relational depth is still developing. My anxiety and self consciousness can still create barriers to connection. However, through ongoing reflexive practice, I am becoming more aware of these challenges and developing strategies to manage them.</w:t>
      </w:r>
    </w:p>
    <w:p w14:paraId="697159B6" w14:textId="77777777" w:rsidR="00EB57A4" w:rsidRPr="009A5E0B" w:rsidRDefault="00EB57A4" w:rsidP="00BF259D">
      <w:pPr>
        <w:pStyle w:val="p2"/>
        <w:spacing w:line="360" w:lineRule="auto"/>
        <w:rPr>
          <w:rFonts w:ascii="Arial" w:hAnsi="Arial" w:cs="Arial"/>
          <w:sz w:val="24"/>
          <w:szCs w:val="24"/>
        </w:rPr>
      </w:pPr>
    </w:p>
    <w:p w14:paraId="3C8B800C"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4EBC1989" w14:textId="77777777" w:rsidR="00EB57A4" w:rsidRPr="009A5E0B" w:rsidRDefault="00EB57A4" w:rsidP="00BF259D">
      <w:pPr>
        <w:pStyle w:val="p2"/>
        <w:spacing w:line="360" w:lineRule="auto"/>
        <w:rPr>
          <w:rFonts w:ascii="Arial" w:hAnsi="Arial" w:cs="Arial"/>
          <w:sz w:val="24"/>
          <w:szCs w:val="24"/>
        </w:rPr>
      </w:pPr>
    </w:p>
    <w:p w14:paraId="212C7A0F"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The module has also contributed to my understanding of ethical and professional values within counselling practice. I have developed an awareness of the importance of confidentiality, boundaries, and working within my competence.</w:t>
      </w:r>
    </w:p>
    <w:p w14:paraId="42534A65"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Reflexivity has played a key role in this development, as it has enabled me to identify potential biases and assumptions that could impact my practice. For example, I have become more aware of my tendency to make assumptions based on limited information, which could affect my understanding of the client’s experience.</w:t>
      </w:r>
    </w:p>
    <w:p w14:paraId="1059E055"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Additionally, I have learned the importance of taking responsibility for my own learning and development. This includes seeking feedback, engaging in reflective practice, and recognising areas for improvement.</w:t>
      </w:r>
    </w:p>
    <w:p w14:paraId="62FFD5F9"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awareness reflects a growing understanding of what it means to be an ethical and professional practitioner.</w:t>
      </w:r>
    </w:p>
    <w:p w14:paraId="0BC09B09" w14:textId="77777777" w:rsidR="00EB57A4" w:rsidRPr="009A5E0B" w:rsidRDefault="00EB57A4" w:rsidP="00BF259D">
      <w:pPr>
        <w:pStyle w:val="p2"/>
        <w:spacing w:line="360" w:lineRule="auto"/>
        <w:rPr>
          <w:rFonts w:ascii="Arial" w:hAnsi="Arial" w:cs="Arial"/>
          <w:sz w:val="24"/>
          <w:szCs w:val="24"/>
        </w:rPr>
      </w:pPr>
    </w:p>
    <w:p w14:paraId="7708591F"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164FE496" w14:textId="77777777" w:rsidR="00EB57A4" w:rsidRPr="009A5E0B" w:rsidRDefault="00EB57A4" w:rsidP="00BF259D">
      <w:pPr>
        <w:pStyle w:val="p2"/>
        <w:spacing w:line="360" w:lineRule="auto"/>
        <w:rPr>
          <w:rFonts w:ascii="Arial" w:hAnsi="Arial" w:cs="Arial"/>
          <w:sz w:val="24"/>
          <w:szCs w:val="24"/>
        </w:rPr>
      </w:pPr>
    </w:p>
    <w:p w14:paraId="12011EBE"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A significant outcome of this module has been my personal development, particularly in relation to confidence and self awareness. At the beginning of the module, my anxiety often limited my ability to engage fully in counselling practice. However, </w:t>
      </w:r>
      <w:r w:rsidRPr="009A5E0B">
        <w:rPr>
          <w:rStyle w:val="s1"/>
          <w:rFonts w:ascii="Arial" w:hAnsi="Arial" w:cs="Arial"/>
          <w:sz w:val="24"/>
          <w:szCs w:val="24"/>
        </w:rPr>
        <w:lastRenderedPageBreak/>
        <w:t>through repeated practice and reflection, I have developed greater confidence in my abilities.</w:t>
      </w:r>
    </w:p>
    <w:p w14:paraId="5005271B"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growth has not been linear, and there have been moments of self doubt and frustration. However, these challenges have also provided valuable learning opportunities. They have encouraged me to reflect on my experiences, identify areas for development, and recognise my progress.</w:t>
      </w:r>
    </w:p>
    <w:p w14:paraId="70BA069B"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I have also developed a greater awareness of my communication style and how it impacts my interactions with others. This awareness has informed my efforts to improve my presence and engagement in counselling sessions.</w:t>
      </w:r>
    </w:p>
    <w:p w14:paraId="2B9C534F"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This module has contributed to both my personal and professional growth, highlighting the interconnected nature of these aspects in counselling practice.</w:t>
      </w:r>
    </w:p>
    <w:p w14:paraId="2734BFDD" w14:textId="77777777" w:rsidR="00EB57A4" w:rsidRPr="009A5E0B" w:rsidRDefault="00EB57A4" w:rsidP="00BF259D">
      <w:pPr>
        <w:pStyle w:val="p2"/>
        <w:spacing w:line="360" w:lineRule="auto"/>
        <w:rPr>
          <w:rFonts w:ascii="Arial" w:hAnsi="Arial" w:cs="Arial"/>
          <w:sz w:val="24"/>
          <w:szCs w:val="24"/>
        </w:rPr>
      </w:pPr>
    </w:p>
    <w:p w14:paraId="2DB143AC"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047DF4C8" w14:textId="77777777" w:rsidR="00EB57A4" w:rsidRPr="009A5E0B" w:rsidRDefault="00EB57A4" w:rsidP="00BF259D">
      <w:pPr>
        <w:pStyle w:val="p2"/>
        <w:spacing w:line="360" w:lineRule="auto"/>
        <w:rPr>
          <w:rFonts w:ascii="Arial" w:hAnsi="Arial" w:cs="Arial"/>
          <w:sz w:val="24"/>
          <w:szCs w:val="24"/>
        </w:rPr>
      </w:pPr>
    </w:p>
    <w:p w14:paraId="6F244138"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Throughout the module, I have taken increasing responsibility for my own learning and development. This has involved setting goals, reflecting on my progress, and actively engaging in practice opportunities.</w:t>
      </w:r>
    </w:p>
    <w:p w14:paraId="5CE6F3C2"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For example, I focused on developing my ability to tolerate silence, reduce my reliance on structured techniques, and improve my confidence in the counsellor role. These goals guided my learning and provided a framework for evaluating my progress.</w:t>
      </w:r>
    </w:p>
    <w:p w14:paraId="23224167"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Looking forward, I recognise the importance of continuing to develop my skills through further training, supervision, and reflective practice. I am particularly interested in building my confidence further and deepening my understanding of relational depth.</w:t>
      </w:r>
    </w:p>
    <w:p w14:paraId="7433E3C8" w14:textId="77777777" w:rsidR="00EB57A4" w:rsidRPr="009A5E0B" w:rsidRDefault="00EB57A4" w:rsidP="00BF259D">
      <w:pPr>
        <w:pStyle w:val="p2"/>
        <w:spacing w:line="360" w:lineRule="auto"/>
        <w:rPr>
          <w:rFonts w:ascii="Arial" w:hAnsi="Arial" w:cs="Arial"/>
          <w:sz w:val="24"/>
          <w:szCs w:val="24"/>
        </w:rPr>
      </w:pPr>
    </w:p>
    <w:p w14:paraId="05B667EC" w14:textId="77777777" w:rsidR="00EB57A4" w:rsidRPr="009A5E0B" w:rsidRDefault="00EB57A4" w:rsidP="00BF259D">
      <w:pPr>
        <w:pStyle w:val="p2"/>
        <w:spacing w:line="360" w:lineRule="auto"/>
        <w:rPr>
          <w:rFonts w:ascii="Arial" w:hAnsi="Arial" w:cs="Arial"/>
          <w:sz w:val="24"/>
          <w:szCs w:val="24"/>
        </w:rPr>
      </w:pPr>
      <w:r w:rsidRPr="009A5E0B">
        <w:rPr>
          <w:rStyle w:val="apple-converted-space"/>
          <w:rFonts w:ascii="Arial" w:hAnsi="Arial" w:cs="Arial"/>
          <w:sz w:val="24"/>
          <w:szCs w:val="24"/>
        </w:rPr>
        <w:t> </w:t>
      </w:r>
    </w:p>
    <w:p w14:paraId="41BD6A61" w14:textId="77777777" w:rsidR="00EB57A4" w:rsidRPr="009A5E0B" w:rsidRDefault="00EB57A4" w:rsidP="00BF259D">
      <w:pPr>
        <w:pStyle w:val="p2"/>
        <w:spacing w:line="360" w:lineRule="auto"/>
        <w:rPr>
          <w:rFonts w:ascii="Arial" w:hAnsi="Arial" w:cs="Arial"/>
          <w:sz w:val="24"/>
          <w:szCs w:val="24"/>
        </w:rPr>
      </w:pPr>
    </w:p>
    <w:p w14:paraId="1AA6D412"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In conclusion, this module has significantly contributed to my personal and professional development. Through engaging in triad work, circle discussions, and practical exercises, I have developed my counselling skills, reflexive awareness, and confidence.</w:t>
      </w:r>
    </w:p>
    <w:p w14:paraId="0D227F4C"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A key aspect of my learning has been understanding how to apply theoretical models in practice with clients, while also recognising the importance of flexibility and </w:t>
      </w:r>
      <w:r w:rsidRPr="009A5E0B">
        <w:rPr>
          <w:rStyle w:val="s1"/>
          <w:rFonts w:ascii="Arial" w:hAnsi="Arial" w:cs="Arial"/>
          <w:sz w:val="24"/>
          <w:szCs w:val="24"/>
        </w:rPr>
        <w:lastRenderedPageBreak/>
        <w:t>responsiveness. My strength in observation and initial anxiety in practice have both played important roles in my development, highlighting areas of competence as well as opportunities for growth.</w:t>
      </w:r>
    </w:p>
    <w:p w14:paraId="7F7A4865"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Overall, this module has provided a strong foundation for my future development in counselling skills. While I recognise that there is still much to learn, I feel more confident in my abilities and more aware of the ongoing commitment required to develop as a reflective and ethical practitioner.</w:t>
      </w:r>
    </w:p>
    <w:p w14:paraId="113836F7" w14:textId="77777777" w:rsidR="00EB57A4" w:rsidRPr="009A5E0B" w:rsidRDefault="00EB57A4" w:rsidP="00BF259D">
      <w:pPr>
        <w:pStyle w:val="p2"/>
        <w:spacing w:line="360" w:lineRule="auto"/>
        <w:rPr>
          <w:rFonts w:ascii="Arial" w:hAnsi="Arial" w:cs="Arial"/>
          <w:sz w:val="24"/>
          <w:szCs w:val="24"/>
        </w:rPr>
      </w:pPr>
    </w:p>
    <w:p w14:paraId="34A16757" w14:textId="77777777" w:rsidR="00EB57A4" w:rsidRPr="009A5E0B" w:rsidRDefault="00EB57A4" w:rsidP="00BF259D">
      <w:pPr>
        <w:pStyle w:val="p2"/>
        <w:spacing w:line="360" w:lineRule="auto"/>
        <w:rPr>
          <w:rFonts w:ascii="Arial" w:hAnsi="Arial" w:cs="Arial"/>
          <w:sz w:val="24"/>
          <w:szCs w:val="24"/>
        </w:rPr>
      </w:pPr>
    </w:p>
    <w:p w14:paraId="2F0644A1" w14:textId="77777777" w:rsidR="00EB57A4" w:rsidRPr="009A5E0B" w:rsidRDefault="00EB57A4" w:rsidP="00BF259D">
      <w:pPr>
        <w:pStyle w:val="p2"/>
        <w:spacing w:line="360" w:lineRule="auto"/>
        <w:rPr>
          <w:rFonts w:ascii="Arial" w:hAnsi="Arial" w:cs="Arial"/>
          <w:sz w:val="24"/>
          <w:szCs w:val="24"/>
        </w:rPr>
      </w:pPr>
    </w:p>
    <w:p w14:paraId="16309A37" w14:textId="77777777" w:rsidR="006709FA" w:rsidRPr="009A5E0B" w:rsidRDefault="006709FA" w:rsidP="00BF259D">
      <w:pPr>
        <w:pStyle w:val="p2"/>
        <w:spacing w:line="360" w:lineRule="auto"/>
        <w:rPr>
          <w:rFonts w:ascii="Arial" w:hAnsi="Arial" w:cs="Arial"/>
          <w:sz w:val="24"/>
          <w:szCs w:val="24"/>
        </w:rPr>
      </w:pPr>
    </w:p>
    <w:p w14:paraId="416650A9" w14:textId="77777777" w:rsidR="006709FA" w:rsidRPr="009A5E0B" w:rsidRDefault="006709FA" w:rsidP="00BF259D">
      <w:pPr>
        <w:pStyle w:val="p2"/>
        <w:spacing w:line="360" w:lineRule="auto"/>
        <w:rPr>
          <w:rFonts w:ascii="Arial" w:hAnsi="Arial" w:cs="Arial"/>
          <w:sz w:val="24"/>
          <w:szCs w:val="24"/>
        </w:rPr>
      </w:pPr>
    </w:p>
    <w:p w14:paraId="327D55B3" w14:textId="77777777" w:rsidR="006709FA" w:rsidRPr="009A5E0B" w:rsidRDefault="006709FA" w:rsidP="00BF259D">
      <w:pPr>
        <w:pStyle w:val="p2"/>
        <w:spacing w:line="360" w:lineRule="auto"/>
        <w:rPr>
          <w:rFonts w:ascii="Arial" w:hAnsi="Arial" w:cs="Arial"/>
          <w:sz w:val="24"/>
          <w:szCs w:val="24"/>
        </w:rPr>
      </w:pPr>
    </w:p>
    <w:p w14:paraId="6F0F7FF2" w14:textId="77777777" w:rsidR="006709FA" w:rsidRPr="009A5E0B" w:rsidRDefault="006709FA" w:rsidP="00BF259D">
      <w:pPr>
        <w:pStyle w:val="p2"/>
        <w:spacing w:line="360" w:lineRule="auto"/>
        <w:rPr>
          <w:rFonts w:ascii="Arial" w:hAnsi="Arial" w:cs="Arial"/>
          <w:sz w:val="24"/>
          <w:szCs w:val="24"/>
        </w:rPr>
      </w:pPr>
    </w:p>
    <w:p w14:paraId="2D6AA4C6" w14:textId="77777777" w:rsidR="006709FA" w:rsidRPr="009A5E0B" w:rsidRDefault="006709FA" w:rsidP="00BF259D">
      <w:pPr>
        <w:pStyle w:val="p2"/>
        <w:spacing w:line="360" w:lineRule="auto"/>
        <w:rPr>
          <w:rFonts w:ascii="Arial" w:hAnsi="Arial" w:cs="Arial"/>
          <w:sz w:val="24"/>
          <w:szCs w:val="24"/>
        </w:rPr>
      </w:pPr>
    </w:p>
    <w:p w14:paraId="054F789A" w14:textId="77777777" w:rsidR="006709FA" w:rsidRPr="009A5E0B" w:rsidRDefault="006709FA" w:rsidP="00BF259D">
      <w:pPr>
        <w:pStyle w:val="p2"/>
        <w:spacing w:line="360" w:lineRule="auto"/>
        <w:rPr>
          <w:rFonts w:ascii="Arial" w:hAnsi="Arial" w:cs="Arial"/>
          <w:sz w:val="24"/>
          <w:szCs w:val="24"/>
        </w:rPr>
      </w:pPr>
    </w:p>
    <w:p w14:paraId="24B20EC6" w14:textId="77777777" w:rsidR="006709FA" w:rsidRPr="009A5E0B" w:rsidRDefault="006709FA" w:rsidP="00BF259D">
      <w:pPr>
        <w:pStyle w:val="p2"/>
        <w:spacing w:line="360" w:lineRule="auto"/>
        <w:rPr>
          <w:rFonts w:ascii="Arial" w:hAnsi="Arial" w:cs="Arial"/>
          <w:sz w:val="24"/>
          <w:szCs w:val="24"/>
        </w:rPr>
      </w:pPr>
    </w:p>
    <w:p w14:paraId="79CF27AD" w14:textId="77777777" w:rsidR="006709FA" w:rsidRPr="009A5E0B" w:rsidRDefault="006709FA" w:rsidP="00BF259D">
      <w:pPr>
        <w:pStyle w:val="p2"/>
        <w:spacing w:line="360" w:lineRule="auto"/>
        <w:rPr>
          <w:rFonts w:ascii="Arial" w:hAnsi="Arial" w:cs="Arial"/>
          <w:sz w:val="24"/>
          <w:szCs w:val="24"/>
        </w:rPr>
      </w:pPr>
    </w:p>
    <w:p w14:paraId="680BA7EC" w14:textId="77777777" w:rsidR="006709FA" w:rsidRPr="009A5E0B" w:rsidRDefault="006709FA" w:rsidP="00BF259D">
      <w:pPr>
        <w:pStyle w:val="p2"/>
        <w:spacing w:line="360" w:lineRule="auto"/>
        <w:rPr>
          <w:rFonts w:ascii="Arial" w:hAnsi="Arial" w:cs="Arial"/>
          <w:sz w:val="24"/>
          <w:szCs w:val="24"/>
        </w:rPr>
      </w:pPr>
    </w:p>
    <w:p w14:paraId="09C6019E" w14:textId="77777777" w:rsidR="006709FA" w:rsidRPr="009A5E0B" w:rsidRDefault="006709FA" w:rsidP="00BF259D">
      <w:pPr>
        <w:pStyle w:val="p2"/>
        <w:spacing w:line="360" w:lineRule="auto"/>
        <w:rPr>
          <w:rFonts w:ascii="Arial" w:hAnsi="Arial" w:cs="Arial"/>
          <w:sz w:val="24"/>
          <w:szCs w:val="24"/>
        </w:rPr>
      </w:pPr>
    </w:p>
    <w:p w14:paraId="7AA4CBD7" w14:textId="77777777" w:rsidR="006709FA" w:rsidRPr="009A5E0B" w:rsidRDefault="006709FA" w:rsidP="00BF259D">
      <w:pPr>
        <w:pStyle w:val="p2"/>
        <w:spacing w:line="360" w:lineRule="auto"/>
        <w:rPr>
          <w:rFonts w:ascii="Arial" w:hAnsi="Arial" w:cs="Arial"/>
          <w:sz w:val="24"/>
          <w:szCs w:val="24"/>
        </w:rPr>
      </w:pPr>
    </w:p>
    <w:p w14:paraId="1C79F377" w14:textId="77777777" w:rsidR="006709FA" w:rsidRPr="009A5E0B" w:rsidRDefault="006709FA" w:rsidP="00BF259D">
      <w:pPr>
        <w:pStyle w:val="p2"/>
        <w:spacing w:line="360" w:lineRule="auto"/>
        <w:rPr>
          <w:rFonts w:ascii="Arial" w:hAnsi="Arial" w:cs="Arial"/>
          <w:sz w:val="24"/>
          <w:szCs w:val="24"/>
        </w:rPr>
      </w:pPr>
    </w:p>
    <w:p w14:paraId="330B5116" w14:textId="77777777" w:rsidR="006709FA" w:rsidRPr="009A5E0B" w:rsidRDefault="006709FA" w:rsidP="00BF259D">
      <w:pPr>
        <w:pStyle w:val="p2"/>
        <w:spacing w:line="360" w:lineRule="auto"/>
        <w:rPr>
          <w:rFonts w:ascii="Arial" w:hAnsi="Arial" w:cs="Arial"/>
          <w:sz w:val="24"/>
          <w:szCs w:val="24"/>
        </w:rPr>
      </w:pPr>
    </w:p>
    <w:p w14:paraId="2F6F12A3" w14:textId="77777777" w:rsidR="006709FA" w:rsidRPr="009A5E0B" w:rsidRDefault="006709FA" w:rsidP="00BF259D">
      <w:pPr>
        <w:pStyle w:val="p2"/>
        <w:spacing w:line="360" w:lineRule="auto"/>
        <w:rPr>
          <w:rFonts w:ascii="Arial" w:hAnsi="Arial" w:cs="Arial"/>
          <w:sz w:val="24"/>
          <w:szCs w:val="24"/>
        </w:rPr>
      </w:pPr>
    </w:p>
    <w:p w14:paraId="27F9ED6E" w14:textId="77777777" w:rsidR="006709FA" w:rsidRPr="009A5E0B" w:rsidRDefault="006709FA" w:rsidP="00BF259D">
      <w:pPr>
        <w:pStyle w:val="p2"/>
        <w:spacing w:line="360" w:lineRule="auto"/>
        <w:rPr>
          <w:rFonts w:ascii="Arial" w:hAnsi="Arial" w:cs="Arial"/>
          <w:sz w:val="24"/>
          <w:szCs w:val="24"/>
        </w:rPr>
      </w:pPr>
    </w:p>
    <w:p w14:paraId="072A3CBB" w14:textId="77777777" w:rsidR="006709FA" w:rsidRPr="009A5E0B" w:rsidRDefault="006709FA" w:rsidP="00BF259D">
      <w:pPr>
        <w:pStyle w:val="p2"/>
        <w:spacing w:line="360" w:lineRule="auto"/>
        <w:rPr>
          <w:rFonts w:ascii="Arial" w:hAnsi="Arial" w:cs="Arial"/>
          <w:sz w:val="24"/>
          <w:szCs w:val="24"/>
        </w:rPr>
      </w:pPr>
    </w:p>
    <w:p w14:paraId="154350CC" w14:textId="77777777" w:rsidR="006709FA" w:rsidRPr="009A5E0B" w:rsidRDefault="006709FA" w:rsidP="00BF259D">
      <w:pPr>
        <w:pStyle w:val="p2"/>
        <w:spacing w:line="360" w:lineRule="auto"/>
        <w:rPr>
          <w:rFonts w:ascii="Arial" w:hAnsi="Arial" w:cs="Arial"/>
          <w:sz w:val="24"/>
          <w:szCs w:val="24"/>
        </w:rPr>
      </w:pPr>
    </w:p>
    <w:p w14:paraId="79903255" w14:textId="77777777" w:rsidR="006709FA" w:rsidRPr="009A5E0B" w:rsidRDefault="006709FA" w:rsidP="00BF259D">
      <w:pPr>
        <w:pStyle w:val="p2"/>
        <w:spacing w:line="360" w:lineRule="auto"/>
        <w:rPr>
          <w:rFonts w:ascii="Arial" w:hAnsi="Arial" w:cs="Arial"/>
          <w:sz w:val="24"/>
          <w:szCs w:val="24"/>
        </w:rPr>
      </w:pPr>
    </w:p>
    <w:p w14:paraId="7C3C8F7E" w14:textId="77777777" w:rsidR="006709FA" w:rsidRPr="009A5E0B" w:rsidRDefault="006709FA" w:rsidP="00BF259D">
      <w:pPr>
        <w:pStyle w:val="p2"/>
        <w:spacing w:line="360" w:lineRule="auto"/>
        <w:rPr>
          <w:rFonts w:ascii="Arial" w:hAnsi="Arial" w:cs="Arial"/>
          <w:sz w:val="24"/>
          <w:szCs w:val="24"/>
        </w:rPr>
      </w:pPr>
    </w:p>
    <w:p w14:paraId="20584E82" w14:textId="77777777" w:rsidR="006709FA" w:rsidRPr="009A5E0B" w:rsidRDefault="006709FA" w:rsidP="00BF259D">
      <w:pPr>
        <w:pStyle w:val="p2"/>
        <w:spacing w:line="360" w:lineRule="auto"/>
        <w:rPr>
          <w:rFonts w:ascii="Arial" w:hAnsi="Arial" w:cs="Arial"/>
          <w:sz w:val="24"/>
          <w:szCs w:val="24"/>
        </w:rPr>
      </w:pPr>
    </w:p>
    <w:p w14:paraId="06F94F29" w14:textId="77777777" w:rsidR="006709FA" w:rsidRPr="009A5E0B" w:rsidRDefault="006709FA" w:rsidP="00BF259D">
      <w:pPr>
        <w:pStyle w:val="p2"/>
        <w:spacing w:line="360" w:lineRule="auto"/>
        <w:rPr>
          <w:rFonts w:ascii="Arial" w:hAnsi="Arial" w:cs="Arial"/>
          <w:sz w:val="24"/>
          <w:szCs w:val="24"/>
        </w:rPr>
      </w:pPr>
    </w:p>
    <w:p w14:paraId="35CDDBED" w14:textId="77777777" w:rsidR="006709FA" w:rsidRPr="009A5E0B" w:rsidRDefault="006709FA" w:rsidP="00BF259D">
      <w:pPr>
        <w:pStyle w:val="p2"/>
        <w:spacing w:line="360" w:lineRule="auto"/>
        <w:rPr>
          <w:rFonts w:ascii="Arial" w:hAnsi="Arial" w:cs="Arial"/>
          <w:sz w:val="24"/>
          <w:szCs w:val="24"/>
        </w:rPr>
      </w:pPr>
    </w:p>
    <w:p w14:paraId="1E83AE08" w14:textId="77777777" w:rsidR="00EB57A4" w:rsidRDefault="00EB57A4" w:rsidP="00BF259D">
      <w:pPr>
        <w:pStyle w:val="p2"/>
        <w:spacing w:line="360" w:lineRule="auto"/>
        <w:rPr>
          <w:rFonts w:ascii="Arial" w:hAnsi="Arial" w:cs="Arial"/>
          <w:sz w:val="24"/>
          <w:szCs w:val="24"/>
        </w:rPr>
      </w:pPr>
    </w:p>
    <w:p w14:paraId="22D72035" w14:textId="77777777" w:rsidR="00BF259D" w:rsidRPr="009A5E0B" w:rsidRDefault="00BF259D" w:rsidP="00BF259D">
      <w:pPr>
        <w:pStyle w:val="p2"/>
        <w:spacing w:line="360" w:lineRule="auto"/>
        <w:rPr>
          <w:rFonts w:ascii="Arial" w:hAnsi="Arial" w:cs="Arial"/>
          <w:sz w:val="24"/>
          <w:szCs w:val="24"/>
        </w:rPr>
      </w:pPr>
    </w:p>
    <w:p w14:paraId="3CB81EB5"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lastRenderedPageBreak/>
        <w:t>References</w:t>
      </w:r>
    </w:p>
    <w:p w14:paraId="7E7EC943" w14:textId="77777777" w:rsidR="00EB57A4" w:rsidRPr="009A5E0B" w:rsidRDefault="00EB57A4" w:rsidP="00BF259D">
      <w:pPr>
        <w:pStyle w:val="p2"/>
        <w:spacing w:line="360" w:lineRule="auto"/>
        <w:rPr>
          <w:rFonts w:ascii="Arial" w:hAnsi="Arial" w:cs="Arial"/>
          <w:sz w:val="24"/>
          <w:szCs w:val="24"/>
        </w:rPr>
      </w:pPr>
    </w:p>
    <w:p w14:paraId="60FC026E" w14:textId="77777777" w:rsidR="00EB57A4" w:rsidRPr="009A5E0B" w:rsidRDefault="00EB57A4" w:rsidP="00BF259D">
      <w:pPr>
        <w:pStyle w:val="p2"/>
        <w:spacing w:line="360" w:lineRule="auto"/>
        <w:rPr>
          <w:rFonts w:ascii="Arial" w:hAnsi="Arial" w:cs="Arial"/>
          <w:sz w:val="24"/>
          <w:szCs w:val="24"/>
        </w:rPr>
      </w:pPr>
    </w:p>
    <w:p w14:paraId="3EF60FCD"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Driscoll, J. (1994). Reflective practice for practice. </w:t>
      </w:r>
      <w:r w:rsidRPr="009A5E0B">
        <w:rPr>
          <w:rStyle w:val="s2"/>
          <w:rFonts w:ascii="Arial" w:hAnsi="Arial" w:cs="Arial"/>
          <w:sz w:val="24"/>
          <w:szCs w:val="24"/>
        </w:rPr>
        <w:t>Senior Nurse</w:t>
      </w:r>
      <w:r w:rsidRPr="009A5E0B">
        <w:rPr>
          <w:rStyle w:val="s1"/>
          <w:rFonts w:ascii="Arial" w:hAnsi="Arial" w:cs="Arial"/>
          <w:sz w:val="24"/>
          <w:szCs w:val="24"/>
        </w:rPr>
        <w:t xml:space="preserve">, 13, 47–50. </w:t>
      </w:r>
      <w:hyperlink r:id="rId4" w:history="1">
        <w:r w:rsidRPr="009A5E0B">
          <w:rPr>
            <w:rStyle w:val="Hyperlink"/>
            <w:rFonts w:ascii="Arial" w:hAnsi="Arial" w:cs="Arial"/>
            <w:sz w:val="24"/>
            <w:szCs w:val="24"/>
          </w:rPr>
          <w:t>https://pubmed.ncbi.nlm.nih.gov/8303152/</w:t>
        </w:r>
      </w:hyperlink>
    </w:p>
    <w:p w14:paraId="00C8FD26" w14:textId="77777777" w:rsidR="00EB57A4" w:rsidRPr="009A5E0B" w:rsidRDefault="00EB57A4" w:rsidP="00BF259D">
      <w:pPr>
        <w:pStyle w:val="p2"/>
        <w:spacing w:line="360" w:lineRule="auto"/>
        <w:rPr>
          <w:rFonts w:ascii="Arial" w:hAnsi="Arial" w:cs="Arial"/>
          <w:sz w:val="24"/>
          <w:szCs w:val="24"/>
        </w:rPr>
      </w:pPr>
    </w:p>
    <w:p w14:paraId="39A44DD5"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Gibbs, G. (1988). </w:t>
      </w:r>
      <w:r w:rsidRPr="009A5E0B">
        <w:rPr>
          <w:rStyle w:val="s2"/>
          <w:rFonts w:ascii="Arial" w:hAnsi="Arial" w:cs="Arial"/>
          <w:sz w:val="24"/>
          <w:szCs w:val="24"/>
        </w:rPr>
        <w:t>Learning by doing: A guide to teaching and learning methods</w:t>
      </w:r>
      <w:r w:rsidRPr="009A5E0B">
        <w:rPr>
          <w:rStyle w:val="s1"/>
          <w:rFonts w:ascii="Arial" w:hAnsi="Arial" w:cs="Arial"/>
          <w:sz w:val="24"/>
          <w:szCs w:val="24"/>
        </w:rPr>
        <w:t>. Further Education Unit.</w:t>
      </w:r>
      <w:hyperlink r:id="rId5" w:history="1">
        <w:r w:rsidRPr="009A5E0B">
          <w:rPr>
            <w:rStyle w:val="Hyperlink"/>
            <w:rFonts w:ascii="Arial" w:hAnsi="Arial" w:cs="Arial"/>
            <w:sz w:val="24"/>
            <w:szCs w:val="24"/>
          </w:rPr>
          <w:t xml:space="preserve"> https://thoughtsmostlyaboutlearning.wordpress.com/wp-content/uploads/2015/12/learning-by-doing-graham-gibbs.pdf</w:t>
        </w:r>
      </w:hyperlink>
    </w:p>
    <w:p w14:paraId="6F4AB29A" w14:textId="77777777" w:rsidR="00EB57A4" w:rsidRPr="009A5E0B" w:rsidRDefault="00EB57A4" w:rsidP="00BF259D">
      <w:pPr>
        <w:pStyle w:val="p2"/>
        <w:spacing w:line="360" w:lineRule="auto"/>
        <w:rPr>
          <w:rFonts w:ascii="Arial" w:hAnsi="Arial" w:cs="Arial"/>
          <w:sz w:val="24"/>
          <w:szCs w:val="24"/>
        </w:rPr>
      </w:pPr>
    </w:p>
    <w:p w14:paraId="1FB2BB87" w14:textId="77777777" w:rsidR="00EB57A4" w:rsidRPr="009A5E0B" w:rsidRDefault="00EB57A4" w:rsidP="00BF259D">
      <w:pPr>
        <w:pStyle w:val="p1"/>
        <w:spacing w:line="360" w:lineRule="auto"/>
        <w:rPr>
          <w:rFonts w:ascii="Arial" w:hAnsi="Arial" w:cs="Arial"/>
          <w:sz w:val="24"/>
          <w:szCs w:val="24"/>
        </w:rPr>
      </w:pPr>
      <w:proofErr w:type="spellStart"/>
      <w:r w:rsidRPr="009A5E0B">
        <w:rPr>
          <w:rStyle w:val="s1"/>
          <w:rFonts w:ascii="Arial" w:hAnsi="Arial" w:cs="Arial"/>
          <w:sz w:val="24"/>
          <w:szCs w:val="24"/>
        </w:rPr>
        <w:t>Kolb</w:t>
      </w:r>
      <w:proofErr w:type="spellEnd"/>
      <w:r w:rsidRPr="009A5E0B">
        <w:rPr>
          <w:rStyle w:val="s1"/>
          <w:rFonts w:ascii="Arial" w:hAnsi="Arial" w:cs="Arial"/>
          <w:sz w:val="24"/>
          <w:szCs w:val="24"/>
        </w:rPr>
        <w:t xml:space="preserve">, D. A. (1984). </w:t>
      </w:r>
      <w:r w:rsidRPr="009A5E0B">
        <w:rPr>
          <w:rStyle w:val="s2"/>
          <w:rFonts w:ascii="Arial" w:hAnsi="Arial" w:cs="Arial"/>
          <w:sz w:val="24"/>
          <w:szCs w:val="24"/>
        </w:rPr>
        <w:t>Experiential learning: Experience as the source of learning and development</w:t>
      </w:r>
      <w:r w:rsidRPr="009A5E0B">
        <w:rPr>
          <w:rStyle w:val="s1"/>
          <w:rFonts w:ascii="Arial" w:hAnsi="Arial" w:cs="Arial"/>
          <w:sz w:val="24"/>
          <w:szCs w:val="24"/>
        </w:rPr>
        <w:t>. Prentice Hall.</w:t>
      </w:r>
      <w:hyperlink r:id="rId6" w:history="1">
        <w:r w:rsidRPr="009A5E0B">
          <w:rPr>
            <w:rStyle w:val="Hyperlink"/>
            <w:rFonts w:ascii="Arial" w:hAnsi="Arial" w:cs="Arial"/>
            <w:sz w:val="24"/>
            <w:szCs w:val="24"/>
          </w:rPr>
          <w:t xml:space="preserve"> https://www.researchgate.net/publication/235701029_Experiential_Learning_Experience_As_The_Source_Of_Learning_And_Development</w:t>
        </w:r>
      </w:hyperlink>
    </w:p>
    <w:p w14:paraId="26D0EE01" w14:textId="77777777" w:rsidR="00EB57A4" w:rsidRPr="009A5E0B" w:rsidRDefault="00EB57A4" w:rsidP="00BF259D">
      <w:pPr>
        <w:pStyle w:val="p2"/>
        <w:spacing w:line="360" w:lineRule="auto"/>
        <w:rPr>
          <w:rFonts w:ascii="Arial" w:hAnsi="Arial" w:cs="Arial"/>
          <w:sz w:val="24"/>
          <w:szCs w:val="24"/>
        </w:rPr>
      </w:pPr>
    </w:p>
    <w:p w14:paraId="38476C8A"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Rogers, C. R. (1957). The necessary and sufficient conditions of therapeutic personality change. </w:t>
      </w:r>
      <w:r w:rsidRPr="009A5E0B">
        <w:rPr>
          <w:rStyle w:val="s2"/>
          <w:rFonts w:ascii="Arial" w:hAnsi="Arial" w:cs="Arial"/>
          <w:sz w:val="24"/>
          <w:szCs w:val="24"/>
        </w:rPr>
        <w:t>Journal of Consulting Psychology</w:t>
      </w:r>
      <w:r w:rsidRPr="009A5E0B">
        <w:rPr>
          <w:rStyle w:val="s1"/>
          <w:rFonts w:ascii="Arial" w:hAnsi="Arial" w:cs="Arial"/>
          <w:sz w:val="24"/>
          <w:szCs w:val="24"/>
        </w:rPr>
        <w:t>, 21(2), 95–103.</w:t>
      </w:r>
      <w:hyperlink r:id="rId7" w:history="1">
        <w:r w:rsidRPr="009A5E0B">
          <w:rPr>
            <w:rStyle w:val="Hyperlink"/>
            <w:rFonts w:ascii="Arial" w:hAnsi="Arial" w:cs="Arial"/>
            <w:sz w:val="24"/>
            <w:szCs w:val="24"/>
          </w:rPr>
          <w:t xml:space="preserve"> https://psycnet.apa.org/record/1959-00842-001</w:t>
        </w:r>
      </w:hyperlink>
    </w:p>
    <w:p w14:paraId="271BAB3F" w14:textId="77777777" w:rsidR="00EB57A4" w:rsidRPr="009A5E0B" w:rsidRDefault="00EB57A4" w:rsidP="00BF259D">
      <w:pPr>
        <w:pStyle w:val="p2"/>
        <w:spacing w:line="360" w:lineRule="auto"/>
        <w:rPr>
          <w:rFonts w:ascii="Arial" w:hAnsi="Arial" w:cs="Arial"/>
          <w:sz w:val="24"/>
          <w:szCs w:val="24"/>
        </w:rPr>
      </w:pPr>
    </w:p>
    <w:p w14:paraId="6B8563CE" w14:textId="77777777" w:rsidR="00EB57A4" w:rsidRPr="009A5E0B" w:rsidRDefault="00EB57A4" w:rsidP="00BF259D">
      <w:pPr>
        <w:pStyle w:val="p1"/>
        <w:spacing w:line="360" w:lineRule="auto"/>
        <w:rPr>
          <w:rFonts w:ascii="Arial" w:hAnsi="Arial" w:cs="Arial"/>
          <w:sz w:val="24"/>
          <w:szCs w:val="24"/>
        </w:rPr>
      </w:pPr>
      <w:r w:rsidRPr="009A5E0B">
        <w:rPr>
          <w:rStyle w:val="s1"/>
          <w:rFonts w:ascii="Arial" w:hAnsi="Arial" w:cs="Arial"/>
          <w:sz w:val="24"/>
          <w:szCs w:val="24"/>
        </w:rPr>
        <w:t xml:space="preserve">Rogers, C. R. (1961). </w:t>
      </w:r>
      <w:r w:rsidRPr="009A5E0B">
        <w:rPr>
          <w:rStyle w:val="s2"/>
          <w:rFonts w:ascii="Arial" w:hAnsi="Arial" w:cs="Arial"/>
          <w:sz w:val="24"/>
          <w:szCs w:val="24"/>
        </w:rPr>
        <w:t>On becoming a person: A therapist’s view of psychotherapy</w:t>
      </w:r>
      <w:r w:rsidRPr="009A5E0B">
        <w:rPr>
          <w:rStyle w:val="s1"/>
          <w:rFonts w:ascii="Arial" w:hAnsi="Arial" w:cs="Arial"/>
          <w:sz w:val="24"/>
          <w:szCs w:val="24"/>
        </w:rPr>
        <w:t>. Houghton Mifflin.</w:t>
      </w:r>
      <w:hyperlink r:id="rId8" w:anchor="v=onepage&amp;q=Rogers%252C%2520C.%2520R.%2520(1961).%2520On%2520becoming%2520a%2520person%253A%2520A%2520therapist%E2%80%99s%2520view%2520of%2520psychotherapy.%2520Houghton%2520Mifflin.&amp;f=false" w:history="1">
        <w:r w:rsidRPr="009A5E0B">
          <w:rPr>
            <w:rStyle w:val="Hyperlink"/>
            <w:rFonts w:ascii="Arial" w:hAnsi="Arial" w:cs="Arial"/>
            <w:sz w:val="24"/>
            <w:szCs w:val="24"/>
          </w:rPr>
          <w:t xml:space="preserve"> https://books.google.co.uk/books?hl=en&amp;lr=&amp;id=0yHBXXhJbKQC&amp;oi=fnd&amp;pg=PR9&amp;dq=Rogers,+C.+R.+(1961).</w:t>
        </w:r>
      </w:hyperlink>
    </w:p>
    <w:p w14:paraId="7752C075" w14:textId="77777777" w:rsidR="00EB57A4" w:rsidRPr="009A5E0B" w:rsidRDefault="00EB57A4" w:rsidP="00BF259D">
      <w:pPr>
        <w:pStyle w:val="p2"/>
        <w:spacing w:line="360" w:lineRule="auto"/>
        <w:rPr>
          <w:rFonts w:ascii="Arial" w:hAnsi="Arial" w:cs="Arial"/>
          <w:sz w:val="24"/>
          <w:szCs w:val="24"/>
        </w:rPr>
      </w:pPr>
    </w:p>
    <w:p w14:paraId="3CAE34A0" w14:textId="77777777" w:rsidR="00EB57A4" w:rsidRPr="009A5E0B" w:rsidRDefault="00EB57A4" w:rsidP="00BF259D">
      <w:pPr>
        <w:pStyle w:val="p1"/>
        <w:spacing w:line="360" w:lineRule="auto"/>
        <w:rPr>
          <w:rFonts w:ascii="Arial" w:hAnsi="Arial" w:cs="Arial"/>
          <w:sz w:val="24"/>
          <w:szCs w:val="24"/>
        </w:rPr>
      </w:pPr>
      <w:proofErr w:type="spellStart"/>
      <w:r w:rsidRPr="009A5E0B">
        <w:rPr>
          <w:rStyle w:val="s1"/>
          <w:rFonts w:ascii="Arial" w:hAnsi="Arial" w:cs="Arial"/>
          <w:sz w:val="24"/>
          <w:szCs w:val="24"/>
        </w:rPr>
        <w:t>Schön</w:t>
      </w:r>
      <w:proofErr w:type="spellEnd"/>
      <w:r w:rsidRPr="009A5E0B">
        <w:rPr>
          <w:rStyle w:val="s1"/>
          <w:rFonts w:ascii="Arial" w:hAnsi="Arial" w:cs="Arial"/>
          <w:sz w:val="24"/>
          <w:szCs w:val="24"/>
        </w:rPr>
        <w:t xml:space="preserve">, D. A. (1991). </w:t>
      </w:r>
      <w:r w:rsidRPr="009A5E0B">
        <w:rPr>
          <w:rStyle w:val="s2"/>
          <w:rFonts w:ascii="Arial" w:hAnsi="Arial" w:cs="Arial"/>
          <w:sz w:val="24"/>
          <w:szCs w:val="24"/>
        </w:rPr>
        <w:t>The reflective practitioner: How professionals think in action</w:t>
      </w:r>
      <w:r w:rsidRPr="009A5E0B">
        <w:rPr>
          <w:rStyle w:val="s1"/>
          <w:rFonts w:ascii="Arial" w:hAnsi="Arial" w:cs="Arial"/>
          <w:sz w:val="24"/>
          <w:szCs w:val="24"/>
        </w:rPr>
        <w:t xml:space="preserve">. </w:t>
      </w:r>
      <w:proofErr w:type="spellStart"/>
      <w:r w:rsidRPr="009A5E0B">
        <w:rPr>
          <w:rStyle w:val="s1"/>
          <w:rFonts w:ascii="Arial" w:hAnsi="Arial" w:cs="Arial"/>
          <w:sz w:val="24"/>
          <w:szCs w:val="24"/>
        </w:rPr>
        <w:t>Ashgate</w:t>
      </w:r>
      <w:proofErr w:type="spellEnd"/>
      <w:r w:rsidRPr="009A5E0B">
        <w:rPr>
          <w:rStyle w:val="s1"/>
          <w:rFonts w:ascii="Arial" w:hAnsi="Arial" w:cs="Arial"/>
          <w:sz w:val="24"/>
          <w:szCs w:val="24"/>
        </w:rPr>
        <w:t>.</w:t>
      </w:r>
      <w:hyperlink r:id="rId9" w:history="1">
        <w:r w:rsidRPr="009A5E0B">
          <w:rPr>
            <w:rStyle w:val="Hyperlink"/>
            <w:rFonts w:ascii="Arial" w:hAnsi="Arial" w:cs="Arial"/>
            <w:sz w:val="24"/>
            <w:szCs w:val="24"/>
          </w:rPr>
          <w:t xml:space="preserve"> https://raggeduniversity.co.uk/wp-content/uploads/2025/03/1_x_Donald-A.-Schon-The-Reflective-Practitioner_-How-Professionals-Think-In-Action-Basic-Books-1984_redactedaa_compressed3.pdf</w:t>
        </w:r>
      </w:hyperlink>
    </w:p>
    <w:p w14:paraId="4BC6E032" w14:textId="77777777" w:rsidR="00EB57A4" w:rsidRDefault="00EB57A4" w:rsidP="00BF259D">
      <w:pPr>
        <w:spacing w:line="360" w:lineRule="auto"/>
        <w:rPr>
          <w:rFonts w:ascii="Arial" w:hAnsi="Arial" w:cs="Arial"/>
        </w:rPr>
      </w:pPr>
    </w:p>
    <w:p w14:paraId="1468137B" w14:textId="77777777" w:rsidR="00BF259D" w:rsidRDefault="00BF259D" w:rsidP="00BF259D">
      <w:pPr>
        <w:spacing w:line="360" w:lineRule="auto"/>
        <w:rPr>
          <w:rFonts w:ascii="Arial" w:hAnsi="Arial" w:cs="Arial"/>
        </w:rPr>
      </w:pPr>
    </w:p>
    <w:p w14:paraId="1F48A341" w14:textId="77777777" w:rsidR="00BF259D" w:rsidRDefault="00BF259D" w:rsidP="00BF259D">
      <w:pPr>
        <w:spacing w:line="360" w:lineRule="auto"/>
        <w:rPr>
          <w:rFonts w:ascii="Arial" w:hAnsi="Arial" w:cs="Arial"/>
        </w:rPr>
      </w:pPr>
    </w:p>
    <w:p w14:paraId="66404F12" w14:textId="77777777" w:rsidR="00BF259D" w:rsidRDefault="00BF259D" w:rsidP="00BF259D">
      <w:pPr>
        <w:spacing w:line="360" w:lineRule="auto"/>
        <w:rPr>
          <w:rFonts w:ascii="Arial" w:hAnsi="Arial" w:cs="Arial"/>
        </w:rPr>
      </w:pPr>
    </w:p>
    <w:p w14:paraId="759058EC" w14:textId="630E77CC" w:rsidR="00BF259D" w:rsidRPr="009A5E0B" w:rsidRDefault="00BF259D" w:rsidP="00BF259D">
      <w:pPr>
        <w:spacing w:line="360" w:lineRule="auto"/>
        <w:rPr>
          <w:rFonts w:ascii="Arial" w:hAnsi="Arial" w:cs="Arial"/>
        </w:rPr>
      </w:pPr>
      <w:r>
        <w:rPr>
          <w:rFonts w:ascii="Arial" w:hAnsi="Arial" w:cs="Arial"/>
        </w:rPr>
        <w:lastRenderedPageBreak/>
        <w:t>No AI was used in the formulation or creation of this work.</w:t>
      </w:r>
    </w:p>
    <w:sectPr w:rsidR="00BF259D" w:rsidRPr="009A5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A4"/>
    <w:rsid w:val="001E586D"/>
    <w:rsid w:val="004D166A"/>
    <w:rsid w:val="006709FA"/>
    <w:rsid w:val="009A5E0B"/>
    <w:rsid w:val="00AE4039"/>
    <w:rsid w:val="00BF259D"/>
    <w:rsid w:val="00C03195"/>
    <w:rsid w:val="00E7277F"/>
    <w:rsid w:val="00EB5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4B6B08"/>
  <w15:chartTrackingRefBased/>
  <w15:docId w15:val="{058A7024-E626-6F4B-9772-BA8C8F164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7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57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7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7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7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7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7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7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7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7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57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7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7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7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7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7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7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7A4"/>
    <w:rPr>
      <w:rFonts w:eastAsiaTheme="majorEastAsia" w:cstheme="majorBidi"/>
      <w:color w:val="272727" w:themeColor="text1" w:themeTint="D8"/>
    </w:rPr>
  </w:style>
  <w:style w:type="paragraph" w:styleId="Title">
    <w:name w:val="Title"/>
    <w:basedOn w:val="Normal"/>
    <w:next w:val="Normal"/>
    <w:link w:val="TitleChar"/>
    <w:uiPriority w:val="10"/>
    <w:qFormat/>
    <w:rsid w:val="00EB57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7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7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7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7A4"/>
    <w:pPr>
      <w:spacing w:before="160"/>
      <w:jc w:val="center"/>
    </w:pPr>
    <w:rPr>
      <w:i/>
      <w:iCs/>
      <w:color w:val="404040" w:themeColor="text1" w:themeTint="BF"/>
    </w:rPr>
  </w:style>
  <w:style w:type="character" w:customStyle="1" w:styleId="QuoteChar">
    <w:name w:val="Quote Char"/>
    <w:basedOn w:val="DefaultParagraphFont"/>
    <w:link w:val="Quote"/>
    <w:uiPriority w:val="29"/>
    <w:rsid w:val="00EB57A4"/>
    <w:rPr>
      <w:i/>
      <w:iCs/>
      <w:color w:val="404040" w:themeColor="text1" w:themeTint="BF"/>
    </w:rPr>
  </w:style>
  <w:style w:type="paragraph" w:styleId="ListParagraph">
    <w:name w:val="List Paragraph"/>
    <w:basedOn w:val="Normal"/>
    <w:uiPriority w:val="34"/>
    <w:qFormat/>
    <w:rsid w:val="00EB57A4"/>
    <w:pPr>
      <w:ind w:left="720"/>
      <w:contextualSpacing/>
    </w:pPr>
  </w:style>
  <w:style w:type="character" w:styleId="IntenseEmphasis">
    <w:name w:val="Intense Emphasis"/>
    <w:basedOn w:val="DefaultParagraphFont"/>
    <w:uiPriority w:val="21"/>
    <w:qFormat/>
    <w:rsid w:val="00EB57A4"/>
    <w:rPr>
      <w:i/>
      <w:iCs/>
      <w:color w:val="0F4761" w:themeColor="accent1" w:themeShade="BF"/>
    </w:rPr>
  </w:style>
  <w:style w:type="paragraph" w:styleId="IntenseQuote">
    <w:name w:val="Intense Quote"/>
    <w:basedOn w:val="Normal"/>
    <w:next w:val="Normal"/>
    <w:link w:val="IntenseQuoteChar"/>
    <w:uiPriority w:val="30"/>
    <w:qFormat/>
    <w:rsid w:val="00EB57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7A4"/>
    <w:rPr>
      <w:i/>
      <w:iCs/>
      <w:color w:val="0F4761" w:themeColor="accent1" w:themeShade="BF"/>
    </w:rPr>
  </w:style>
  <w:style w:type="character" w:styleId="IntenseReference">
    <w:name w:val="Intense Reference"/>
    <w:basedOn w:val="DefaultParagraphFont"/>
    <w:uiPriority w:val="32"/>
    <w:qFormat/>
    <w:rsid w:val="00EB57A4"/>
    <w:rPr>
      <w:b/>
      <w:bCs/>
      <w:smallCaps/>
      <w:color w:val="0F4761" w:themeColor="accent1" w:themeShade="BF"/>
      <w:spacing w:val="5"/>
    </w:rPr>
  </w:style>
  <w:style w:type="paragraph" w:customStyle="1" w:styleId="p1">
    <w:name w:val="p1"/>
    <w:basedOn w:val="Normal"/>
    <w:rsid w:val="00EB57A4"/>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EB57A4"/>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B57A4"/>
    <w:rPr>
      <w:rFonts w:ascii="UICTFontTextStyleBody" w:hAnsi="UICTFontTextStyleBody" w:hint="default"/>
      <w:b w:val="0"/>
      <w:bCs w:val="0"/>
      <w:i w:val="0"/>
      <w:iCs w:val="0"/>
      <w:sz w:val="26"/>
      <w:szCs w:val="26"/>
    </w:rPr>
  </w:style>
  <w:style w:type="character" w:customStyle="1" w:styleId="s2">
    <w:name w:val="s2"/>
    <w:basedOn w:val="DefaultParagraphFont"/>
    <w:rsid w:val="00EB57A4"/>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EB57A4"/>
  </w:style>
  <w:style w:type="character" w:styleId="Hyperlink">
    <w:name w:val="Hyperlink"/>
    <w:basedOn w:val="DefaultParagraphFont"/>
    <w:uiPriority w:val="99"/>
    <w:semiHidden/>
    <w:unhideWhenUsed/>
    <w:rsid w:val="00EB57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0yHBXXhJbKQC&amp;oi=fnd&amp;pg=PR9&amp;dq=Rogers,+C.+R.+(1961).+On+becoming+a+person:+A+therapist%E2%80%99s+view+of+psychotherapy.+Houghton+Mifflin.&amp;ots=7v1Qt6Myi_&amp;sig=hP2dct3X8bvkDdL_fsNuDTgIKkc" TargetMode="External"/><Relationship Id="rId3" Type="http://schemas.openxmlformats.org/officeDocument/2006/relationships/webSettings" Target="webSettings.xml"/><Relationship Id="rId7" Type="http://schemas.openxmlformats.org/officeDocument/2006/relationships/hyperlink" Target="https://psycnet.apa.org/record/1959-00842-0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235701029_Experiential_Learning_Experience_As_The_Source_Of_Learning_And_Development" TargetMode="External"/><Relationship Id="rId11" Type="http://schemas.openxmlformats.org/officeDocument/2006/relationships/theme" Target="theme/theme1.xml"/><Relationship Id="rId5" Type="http://schemas.openxmlformats.org/officeDocument/2006/relationships/hyperlink" Target="https://thoughtsmostlyaboutlearning.wordpress.com/wp-content/uploads/2015/12/learning-by-doing-graham-gibbs.pdf" TargetMode="External"/><Relationship Id="rId10" Type="http://schemas.openxmlformats.org/officeDocument/2006/relationships/fontTable" Target="fontTable.xml"/><Relationship Id="rId4" Type="http://schemas.openxmlformats.org/officeDocument/2006/relationships/hyperlink" Target="https://pubmed.ncbi.nlm.nih.gov/8303152/" TargetMode="External"/><Relationship Id="rId9" Type="http://schemas.openxmlformats.org/officeDocument/2006/relationships/hyperlink" Target="https://raggeduniversity.co.uk/wp-content/uploads/2025/03/1_x_Donald-A.-Schon-The-Reflective-Practitioner_-How-Professionals-Think-In-Action-Basic-Books-1984_redactedaa_compressed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2647</Words>
  <Characters>15094</Characters>
  <Application>Microsoft Office Word</Application>
  <DocSecurity>0</DocSecurity>
  <Lines>125</Lines>
  <Paragraphs>35</Paragraphs>
  <ScaleCrop>false</ScaleCrop>
  <Company/>
  <LinksUpToDate>false</LinksUpToDate>
  <CharactersWithSpaces>17706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Thomas (2204564)</dc:creator>
  <cp:keywords/>
  <dc:description/>
  <cp:lastModifiedBy>Faith Thomas (2204564)</cp:lastModifiedBy>
  <cp:revision>2</cp:revision>
  <dcterms:created xsi:type="dcterms:W3CDTF">2026-04-28T13:20:00Z</dcterms:created>
  <dcterms:modified xsi:type="dcterms:W3CDTF">2026-04-28T13:20:00Z</dcterms:modified>
</cp:coreProperties>
</file>