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4A4E5338" w:rsidR="005043C2" w:rsidRPr="004D26D5" w:rsidRDefault="00F51488" w:rsidP="00C00416">
      <w:pPr>
        <w:spacing w:line="360" w:lineRule="auto"/>
        <w:jc w:val="both"/>
        <w:rPr>
          <w:rFonts w:ascii="Arial" w:hAnsi="Arial" w:cs="Arial"/>
          <w:sz w:val="22"/>
        </w:rPr>
      </w:pPr>
      <w:r w:rsidRPr="00320615">
        <w:rPr>
          <w:rFonts w:ascii="Arial Narrow" w:hAnsi="Arial Narrow" w:cs="Arial"/>
          <w:b/>
          <w:bCs/>
          <w:noProof/>
          <w:sz w:val="22"/>
        </w:rPr>
        <w:drawing>
          <wp:inline distT="0" distB="0" distL="0" distR="0" wp14:anchorId="39DB6748" wp14:editId="31160A20">
            <wp:extent cx="1810385" cy="895350"/>
            <wp:effectExtent l="0" t="0" r="0" b="0"/>
            <wp:docPr id="15251640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895350"/>
                    </a:xfrm>
                    <a:prstGeom prst="rect">
                      <a:avLst/>
                    </a:prstGeom>
                    <a:noFill/>
                  </pic:spPr>
                </pic:pic>
              </a:graphicData>
            </a:graphic>
          </wp:inline>
        </w:drawing>
      </w:r>
    </w:p>
    <w:p w14:paraId="14DC70FA" w14:textId="0BD61863" w:rsidR="00320615" w:rsidRPr="00320615" w:rsidRDefault="00320615" w:rsidP="00C00416">
      <w:pPr>
        <w:spacing w:line="360" w:lineRule="auto"/>
        <w:jc w:val="both"/>
        <w:rPr>
          <w:rFonts w:ascii="Arial Narrow" w:hAnsi="Arial Narrow" w:cs="Arial"/>
          <w:sz w:val="22"/>
        </w:rPr>
      </w:pPr>
      <w:r w:rsidRPr="00320615">
        <w:rPr>
          <w:rFonts w:ascii="Arial Narrow" w:hAnsi="Arial Narrow" w:cs="Arial"/>
          <w:b/>
          <w:bCs/>
          <w:sz w:val="22"/>
        </w:rPr>
        <w:t xml:space="preserve"> </w:t>
      </w:r>
      <w:r w:rsidRPr="00424609">
        <w:rPr>
          <w:rFonts w:ascii="Arial Narrow" w:hAnsi="Arial Narrow" w:cs="Arial"/>
          <w:b/>
          <w:bCs/>
          <w:sz w:val="22"/>
        </w:rPr>
        <w:t>Module name</w:t>
      </w:r>
      <w:r w:rsidRPr="00424609">
        <w:rPr>
          <w:rFonts w:ascii="Arial Narrow" w:hAnsi="Arial Narrow" w:cs="Arial"/>
          <w:sz w:val="22"/>
        </w:rPr>
        <w:t xml:space="preserve">: </w:t>
      </w:r>
      <w:r w:rsidRPr="00320615">
        <w:rPr>
          <w:rFonts w:ascii="Arial Narrow" w:hAnsi="Arial Narrow" w:cs="Arial"/>
          <w:sz w:val="22"/>
        </w:rPr>
        <w:t>Introduction to Health and Social Care</w:t>
      </w:r>
    </w:p>
    <w:p w14:paraId="67E6DB31" w14:textId="77777777" w:rsidR="00320615" w:rsidRPr="00424609" w:rsidRDefault="00320615" w:rsidP="00C00416">
      <w:pPr>
        <w:tabs>
          <w:tab w:val="left" w:pos="6540"/>
        </w:tabs>
        <w:spacing w:line="360" w:lineRule="auto"/>
        <w:jc w:val="both"/>
        <w:rPr>
          <w:rFonts w:ascii="Arial Narrow" w:hAnsi="Arial Narrow" w:cs="Arial"/>
          <w:sz w:val="22"/>
          <w:lang w:val="nl-NL"/>
        </w:rPr>
      </w:pPr>
      <w:r w:rsidRPr="00424609">
        <w:rPr>
          <w:rFonts w:ascii="Arial Narrow" w:hAnsi="Arial Narrow" w:cs="Arial"/>
          <w:b/>
          <w:bCs/>
          <w:sz w:val="22"/>
          <w:lang w:val="nl-NL"/>
        </w:rPr>
        <w:t>Module code</w:t>
      </w:r>
      <w:r w:rsidRPr="00424609">
        <w:rPr>
          <w:rFonts w:ascii="Arial Narrow" w:hAnsi="Arial Narrow" w:cs="Arial"/>
          <w:sz w:val="22"/>
          <w:lang w:val="nl-NL"/>
        </w:rPr>
        <w:t>: (LCHS4003)</w:t>
      </w:r>
    </w:p>
    <w:p w14:paraId="1E73E5BB" w14:textId="77777777" w:rsidR="00320615" w:rsidRPr="00320615" w:rsidRDefault="00320615" w:rsidP="00C00416">
      <w:pPr>
        <w:tabs>
          <w:tab w:val="left" w:pos="6540"/>
        </w:tabs>
        <w:spacing w:line="360" w:lineRule="auto"/>
        <w:jc w:val="both"/>
        <w:rPr>
          <w:rFonts w:ascii="Arial Narrow" w:hAnsi="Arial Narrow" w:cs="Arial"/>
          <w:sz w:val="22"/>
          <w:lang w:val="nl-NL"/>
        </w:rPr>
      </w:pPr>
      <w:r w:rsidRPr="00320615">
        <w:rPr>
          <w:rFonts w:ascii="Arial Narrow" w:hAnsi="Arial Narrow" w:cs="Arial"/>
          <w:b/>
          <w:bCs/>
          <w:sz w:val="22"/>
          <w:lang w:val="nl-NL"/>
        </w:rPr>
        <w:t>Student name</w:t>
      </w:r>
      <w:r w:rsidRPr="00320615">
        <w:rPr>
          <w:rFonts w:ascii="Arial Narrow" w:hAnsi="Arial Narrow" w:cs="Arial"/>
          <w:sz w:val="22"/>
          <w:lang w:val="nl-NL"/>
        </w:rPr>
        <w:t>:Diaa Asare Adu</w:t>
      </w:r>
    </w:p>
    <w:p w14:paraId="5F41053B" w14:textId="77777777" w:rsidR="00320615" w:rsidRPr="00320615" w:rsidRDefault="00320615" w:rsidP="00C00416">
      <w:pPr>
        <w:tabs>
          <w:tab w:val="left" w:pos="6540"/>
        </w:tabs>
        <w:spacing w:line="360" w:lineRule="auto"/>
        <w:jc w:val="both"/>
        <w:rPr>
          <w:rFonts w:ascii="Arial Narrow" w:hAnsi="Arial Narrow" w:cs="Arial"/>
          <w:sz w:val="22"/>
          <w:lang w:val="nl-NL"/>
        </w:rPr>
      </w:pPr>
      <w:r w:rsidRPr="00320615">
        <w:rPr>
          <w:rFonts w:ascii="Arial Narrow" w:hAnsi="Arial Narrow" w:cs="Arial"/>
          <w:b/>
          <w:bCs/>
          <w:sz w:val="22"/>
          <w:lang w:val="nl-NL"/>
        </w:rPr>
        <w:t>Student ID</w:t>
      </w:r>
      <w:r w:rsidRPr="00320615">
        <w:rPr>
          <w:rFonts w:ascii="Arial Narrow" w:hAnsi="Arial Narrow" w:cs="Arial"/>
          <w:sz w:val="22"/>
          <w:lang w:val="nl-NL"/>
        </w:rPr>
        <w:t>:2427141</w:t>
      </w:r>
    </w:p>
    <w:p w14:paraId="5C72A184" w14:textId="77777777" w:rsidR="00320615" w:rsidRPr="00320615" w:rsidRDefault="00320615" w:rsidP="00C00416">
      <w:pPr>
        <w:tabs>
          <w:tab w:val="left" w:pos="6540"/>
        </w:tabs>
        <w:spacing w:line="360" w:lineRule="auto"/>
        <w:jc w:val="both"/>
        <w:rPr>
          <w:rFonts w:ascii="Arial Narrow" w:hAnsi="Arial Narrow" w:cs="Arial"/>
          <w:sz w:val="22"/>
        </w:rPr>
      </w:pPr>
      <w:r w:rsidRPr="00320615">
        <w:rPr>
          <w:rFonts w:ascii="Arial Narrow" w:hAnsi="Arial Narrow" w:cs="Arial"/>
          <w:b/>
          <w:bCs/>
          <w:sz w:val="22"/>
        </w:rPr>
        <w:t>Lecturer’s name</w:t>
      </w:r>
      <w:r w:rsidRPr="00320615">
        <w:rPr>
          <w:rFonts w:ascii="Arial Narrow" w:hAnsi="Arial Narrow" w:cs="Arial"/>
          <w:sz w:val="22"/>
        </w:rPr>
        <w:t>: Mohammed Aliyu</w:t>
      </w:r>
    </w:p>
    <w:p w14:paraId="629C88D0" w14:textId="77777777" w:rsidR="00EC426C" w:rsidRDefault="00EC426C" w:rsidP="00C00416">
      <w:pPr>
        <w:tabs>
          <w:tab w:val="left" w:pos="6540"/>
        </w:tabs>
        <w:spacing w:line="360" w:lineRule="auto"/>
        <w:jc w:val="both"/>
        <w:rPr>
          <w:rFonts w:ascii="Arial Narrow" w:hAnsi="Arial Narrow" w:cs="Arial"/>
          <w:b/>
          <w:bCs/>
          <w:sz w:val="22"/>
        </w:rPr>
      </w:pPr>
    </w:p>
    <w:p w14:paraId="7CCCE48C" w14:textId="77777777" w:rsidR="00EC426C" w:rsidRDefault="00EC426C" w:rsidP="00C00416">
      <w:pPr>
        <w:tabs>
          <w:tab w:val="left" w:pos="6540"/>
        </w:tabs>
        <w:spacing w:line="360" w:lineRule="auto"/>
        <w:jc w:val="both"/>
        <w:rPr>
          <w:rFonts w:ascii="Arial Narrow" w:hAnsi="Arial Narrow" w:cs="Arial"/>
          <w:b/>
          <w:bCs/>
          <w:sz w:val="22"/>
        </w:rPr>
      </w:pPr>
    </w:p>
    <w:p w14:paraId="5C138AA1" w14:textId="77777777" w:rsidR="00EC426C" w:rsidRDefault="00EC426C" w:rsidP="00C00416">
      <w:pPr>
        <w:tabs>
          <w:tab w:val="left" w:pos="6540"/>
        </w:tabs>
        <w:spacing w:line="360" w:lineRule="auto"/>
        <w:jc w:val="both"/>
        <w:rPr>
          <w:rFonts w:ascii="Arial Narrow" w:hAnsi="Arial Narrow" w:cs="Arial"/>
          <w:b/>
          <w:bCs/>
          <w:sz w:val="22"/>
        </w:rPr>
      </w:pPr>
    </w:p>
    <w:p w14:paraId="27867E85" w14:textId="77777777" w:rsidR="00EC426C" w:rsidRDefault="00EC426C" w:rsidP="00C00416">
      <w:pPr>
        <w:tabs>
          <w:tab w:val="left" w:pos="6540"/>
        </w:tabs>
        <w:spacing w:line="360" w:lineRule="auto"/>
        <w:jc w:val="both"/>
        <w:rPr>
          <w:rFonts w:ascii="Arial Narrow" w:hAnsi="Arial Narrow" w:cs="Arial"/>
          <w:b/>
          <w:bCs/>
          <w:sz w:val="22"/>
        </w:rPr>
      </w:pPr>
    </w:p>
    <w:p w14:paraId="25E64D43" w14:textId="77777777" w:rsidR="00EC426C" w:rsidRDefault="00EC426C" w:rsidP="00C00416">
      <w:pPr>
        <w:tabs>
          <w:tab w:val="left" w:pos="6540"/>
        </w:tabs>
        <w:spacing w:line="360" w:lineRule="auto"/>
        <w:jc w:val="both"/>
        <w:rPr>
          <w:rFonts w:ascii="Arial Narrow" w:hAnsi="Arial Narrow" w:cs="Arial"/>
          <w:b/>
          <w:bCs/>
          <w:sz w:val="22"/>
        </w:rPr>
      </w:pPr>
    </w:p>
    <w:p w14:paraId="10A0A526" w14:textId="77777777" w:rsidR="00EC426C" w:rsidRDefault="00EC426C" w:rsidP="00C00416">
      <w:pPr>
        <w:tabs>
          <w:tab w:val="left" w:pos="6540"/>
        </w:tabs>
        <w:spacing w:line="360" w:lineRule="auto"/>
        <w:jc w:val="both"/>
        <w:rPr>
          <w:rFonts w:ascii="Arial Narrow" w:hAnsi="Arial Narrow" w:cs="Arial"/>
          <w:b/>
          <w:bCs/>
          <w:sz w:val="22"/>
        </w:rPr>
      </w:pPr>
    </w:p>
    <w:p w14:paraId="70C2024A" w14:textId="77777777" w:rsidR="00EC426C" w:rsidRDefault="00EC426C" w:rsidP="00C00416">
      <w:pPr>
        <w:tabs>
          <w:tab w:val="left" w:pos="6540"/>
        </w:tabs>
        <w:spacing w:line="360" w:lineRule="auto"/>
        <w:jc w:val="both"/>
        <w:rPr>
          <w:rFonts w:ascii="Arial Narrow" w:hAnsi="Arial Narrow" w:cs="Arial"/>
          <w:b/>
          <w:bCs/>
          <w:sz w:val="22"/>
        </w:rPr>
      </w:pPr>
    </w:p>
    <w:p w14:paraId="44CC2FFC" w14:textId="77777777" w:rsidR="00EC426C" w:rsidRDefault="00EC426C" w:rsidP="00C00416">
      <w:pPr>
        <w:tabs>
          <w:tab w:val="left" w:pos="6540"/>
        </w:tabs>
        <w:spacing w:line="360" w:lineRule="auto"/>
        <w:jc w:val="both"/>
        <w:rPr>
          <w:rFonts w:ascii="Arial Narrow" w:hAnsi="Arial Narrow" w:cs="Arial"/>
          <w:b/>
          <w:bCs/>
          <w:sz w:val="22"/>
        </w:rPr>
      </w:pPr>
    </w:p>
    <w:p w14:paraId="546EB086" w14:textId="77777777" w:rsidR="00EC426C" w:rsidRDefault="00EC426C" w:rsidP="00C00416">
      <w:pPr>
        <w:tabs>
          <w:tab w:val="left" w:pos="6540"/>
        </w:tabs>
        <w:spacing w:line="360" w:lineRule="auto"/>
        <w:jc w:val="both"/>
        <w:rPr>
          <w:rFonts w:ascii="Arial Narrow" w:hAnsi="Arial Narrow" w:cs="Arial"/>
          <w:b/>
          <w:bCs/>
          <w:sz w:val="22"/>
        </w:rPr>
      </w:pPr>
    </w:p>
    <w:p w14:paraId="2CB940B0" w14:textId="77777777" w:rsidR="00EC426C" w:rsidRDefault="00EC426C" w:rsidP="00C00416">
      <w:pPr>
        <w:tabs>
          <w:tab w:val="left" w:pos="6540"/>
        </w:tabs>
        <w:spacing w:line="360" w:lineRule="auto"/>
        <w:jc w:val="both"/>
        <w:rPr>
          <w:rFonts w:ascii="Arial Narrow" w:hAnsi="Arial Narrow" w:cs="Arial"/>
          <w:b/>
          <w:bCs/>
          <w:sz w:val="22"/>
        </w:rPr>
      </w:pPr>
    </w:p>
    <w:p w14:paraId="6A2F5482" w14:textId="77777777" w:rsidR="00EC426C" w:rsidRDefault="00EC426C" w:rsidP="00C00416">
      <w:pPr>
        <w:tabs>
          <w:tab w:val="left" w:pos="6540"/>
        </w:tabs>
        <w:spacing w:line="360" w:lineRule="auto"/>
        <w:jc w:val="both"/>
        <w:rPr>
          <w:rFonts w:ascii="Arial Narrow" w:hAnsi="Arial Narrow" w:cs="Arial"/>
          <w:b/>
          <w:bCs/>
          <w:sz w:val="22"/>
        </w:rPr>
      </w:pPr>
    </w:p>
    <w:p w14:paraId="4398594C" w14:textId="77777777" w:rsidR="00EC426C" w:rsidRDefault="00EC426C" w:rsidP="00C00416">
      <w:pPr>
        <w:tabs>
          <w:tab w:val="left" w:pos="6540"/>
        </w:tabs>
        <w:spacing w:line="360" w:lineRule="auto"/>
        <w:jc w:val="both"/>
        <w:rPr>
          <w:rFonts w:ascii="Arial Narrow" w:hAnsi="Arial Narrow" w:cs="Arial"/>
          <w:b/>
          <w:bCs/>
          <w:sz w:val="22"/>
        </w:rPr>
      </w:pPr>
    </w:p>
    <w:p w14:paraId="005E2B2B" w14:textId="77777777" w:rsidR="00EC426C" w:rsidRDefault="00EC426C" w:rsidP="00C00416">
      <w:pPr>
        <w:tabs>
          <w:tab w:val="left" w:pos="6540"/>
        </w:tabs>
        <w:spacing w:line="360" w:lineRule="auto"/>
        <w:jc w:val="both"/>
        <w:rPr>
          <w:rFonts w:ascii="Arial Narrow" w:hAnsi="Arial Narrow" w:cs="Arial"/>
          <w:b/>
          <w:bCs/>
          <w:sz w:val="22"/>
        </w:rPr>
      </w:pPr>
    </w:p>
    <w:p w14:paraId="2BF2B31D" w14:textId="77777777" w:rsidR="00EC426C" w:rsidRDefault="00EC426C" w:rsidP="00C00416">
      <w:pPr>
        <w:tabs>
          <w:tab w:val="left" w:pos="6540"/>
        </w:tabs>
        <w:spacing w:line="360" w:lineRule="auto"/>
        <w:jc w:val="both"/>
        <w:rPr>
          <w:rFonts w:ascii="Arial Narrow" w:hAnsi="Arial Narrow" w:cs="Arial"/>
          <w:b/>
          <w:bCs/>
          <w:sz w:val="22"/>
        </w:rPr>
      </w:pPr>
    </w:p>
    <w:p w14:paraId="3662B8C0" w14:textId="77777777" w:rsidR="00EC426C" w:rsidRDefault="00EC426C" w:rsidP="00C00416">
      <w:pPr>
        <w:tabs>
          <w:tab w:val="left" w:pos="6540"/>
        </w:tabs>
        <w:spacing w:line="360" w:lineRule="auto"/>
        <w:jc w:val="both"/>
        <w:rPr>
          <w:rFonts w:ascii="Arial Narrow" w:hAnsi="Arial Narrow" w:cs="Arial"/>
          <w:b/>
          <w:bCs/>
          <w:sz w:val="22"/>
        </w:rPr>
      </w:pPr>
    </w:p>
    <w:p w14:paraId="05590078" w14:textId="77777777" w:rsidR="00EC426C" w:rsidRDefault="00EC426C" w:rsidP="00C00416">
      <w:pPr>
        <w:tabs>
          <w:tab w:val="left" w:pos="6540"/>
        </w:tabs>
        <w:spacing w:line="360" w:lineRule="auto"/>
        <w:jc w:val="both"/>
        <w:rPr>
          <w:rFonts w:ascii="Arial Narrow" w:hAnsi="Arial Narrow" w:cs="Arial"/>
          <w:b/>
          <w:bCs/>
          <w:sz w:val="22"/>
        </w:rPr>
      </w:pPr>
    </w:p>
    <w:p w14:paraId="6BDC2E07" w14:textId="77777777" w:rsidR="00EC426C" w:rsidRDefault="00EC426C" w:rsidP="00C00416">
      <w:pPr>
        <w:tabs>
          <w:tab w:val="left" w:pos="6540"/>
        </w:tabs>
        <w:spacing w:line="360" w:lineRule="auto"/>
        <w:jc w:val="both"/>
        <w:rPr>
          <w:rFonts w:ascii="Arial Narrow" w:hAnsi="Arial Narrow" w:cs="Arial"/>
          <w:b/>
          <w:bCs/>
          <w:sz w:val="22"/>
        </w:rPr>
      </w:pPr>
    </w:p>
    <w:p w14:paraId="1135F55A" w14:textId="77777777" w:rsidR="00EC426C" w:rsidRDefault="00EC426C" w:rsidP="00C00416">
      <w:pPr>
        <w:tabs>
          <w:tab w:val="left" w:pos="6540"/>
        </w:tabs>
        <w:spacing w:line="360" w:lineRule="auto"/>
        <w:jc w:val="both"/>
        <w:rPr>
          <w:rFonts w:ascii="Arial Narrow" w:hAnsi="Arial Narrow" w:cs="Arial"/>
          <w:b/>
          <w:bCs/>
          <w:sz w:val="22"/>
        </w:rPr>
      </w:pPr>
    </w:p>
    <w:p w14:paraId="34AB332C" w14:textId="78DEAA3E" w:rsidR="00320615" w:rsidRPr="00EC426C" w:rsidRDefault="00320615" w:rsidP="00EC426C">
      <w:r w:rsidRPr="00EC426C">
        <w:lastRenderedPageBreak/>
        <w:t>Introduction</w:t>
      </w:r>
    </w:p>
    <w:p w14:paraId="26D7003E" w14:textId="7A949594" w:rsidR="00320615" w:rsidRPr="00EC426C" w:rsidRDefault="00320615" w:rsidP="0065498C">
      <w:pPr>
        <w:spacing w:line="360" w:lineRule="auto"/>
        <w:rPr>
          <w:rFonts w:ascii="Arial" w:hAnsi="Arial" w:cs="Arial"/>
          <w:sz w:val="22"/>
        </w:rPr>
      </w:pPr>
      <w:r w:rsidRPr="00EC426C">
        <w:rPr>
          <w:rFonts w:ascii="Arial" w:hAnsi="Arial" w:cs="Arial"/>
          <w:sz w:val="22"/>
        </w:rPr>
        <w:t>To guarantee safe and personcentered treatment, health and social care practice needs strong teamwork, precise administrative procedures, and good communication. The subject of this report is Mr. Ahmed, a 68-year</w:t>
      </w:r>
      <w:r w:rsidR="00EC426C">
        <w:rPr>
          <w:rFonts w:ascii="Arial" w:hAnsi="Arial" w:cs="Arial"/>
          <w:sz w:val="22"/>
        </w:rPr>
        <w:t xml:space="preserve"> </w:t>
      </w:r>
      <w:r w:rsidRPr="00EC426C">
        <w:rPr>
          <w:rFonts w:ascii="Arial" w:hAnsi="Arial" w:cs="Arial"/>
          <w:sz w:val="22"/>
        </w:rPr>
        <w:t>old man receiving domiciliary care at home while he recovers from a stroke.</w:t>
      </w:r>
      <w:r w:rsidR="00EC426C" w:rsidRPr="00EC426C">
        <w:rPr>
          <w:rFonts w:ascii="Arial" w:hAnsi="Arial" w:cs="Arial"/>
          <w:sz w:val="22"/>
        </w:rPr>
        <w:t xml:space="preserve"> </w:t>
      </w:r>
      <w:r w:rsidRPr="00EC426C">
        <w:rPr>
          <w:rFonts w:ascii="Arial" w:hAnsi="Arial" w:cs="Arial"/>
          <w:sz w:val="22"/>
        </w:rPr>
        <w:t>Due to his communication issues, language challenges, and dependence on a variety of professionals</w:t>
      </w:r>
      <w:r w:rsidR="00EC426C" w:rsidRPr="00EC426C">
        <w:rPr>
          <w:rFonts w:ascii="Arial" w:hAnsi="Arial" w:cs="Arial"/>
          <w:sz w:val="22"/>
        </w:rPr>
        <w:t xml:space="preserve"> </w:t>
      </w:r>
      <w:r w:rsidRPr="00EC426C">
        <w:rPr>
          <w:rFonts w:ascii="Arial" w:hAnsi="Arial" w:cs="Arial"/>
          <w:sz w:val="22"/>
        </w:rPr>
        <w:t>including caregivers, a general practitioner, a district nurse, and a speech and language therapist—his care is complicated.</w:t>
      </w:r>
      <w:r w:rsidR="00EC426C" w:rsidRPr="00EC426C">
        <w:rPr>
          <w:rFonts w:ascii="Arial" w:hAnsi="Arial" w:cs="Arial"/>
          <w:sz w:val="22"/>
        </w:rPr>
        <w:t xml:space="preserve"> </w:t>
      </w:r>
      <w:r w:rsidRPr="00EC426C">
        <w:rPr>
          <w:rFonts w:ascii="Arial" w:hAnsi="Arial" w:cs="Arial"/>
          <w:sz w:val="22"/>
        </w:rPr>
        <w:t>The story of Mr. Ahmed emphasizes the significance of providing inclusive and coordinated care, especially in situations where risks like missed appointments and prescription delays might have detrimental effects. Three major topics pertinent to his care are examined in this study. Using communication theory and legal frameworks, it first looks at the significance of good communication. Second, it examines the function of administrative abilities, specifically data protection and record-keeping. Lastly, it assesses methods for overcoming obstacles in multi-agency care as well as cooperative functioning within multidisciplinary teams.</w:t>
      </w:r>
    </w:p>
    <w:p w14:paraId="03CC3487" w14:textId="77777777" w:rsidR="00EC426C" w:rsidRPr="00EC426C" w:rsidRDefault="00EC426C" w:rsidP="00EC426C"/>
    <w:p w14:paraId="21311B86" w14:textId="151DC8B7" w:rsidR="00320615" w:rsidRPr="00EC426C" w:rsidRDefault="00320615" w:rsidP="00EC426C">
      <w:pPr>
        <w:spacing w:line="360" w:lineRule="auto"/>
        <w:jc w:val="both"/>
        <w:rPr>
          <w:rFonts w:ascii="Arial" w:hAnsi="Arial" w:cs="Arial"/>
          <w:sz w:val="22"/>
        </w:rPr>
      </w:pPr>
      <w:r w:rsidRPr="00EC426C">
        <w:rPr>
          <w:rFonts w:ascii="Arial" w:hAnsi="Arial" w:cs="Arial"/>
          <w:sz w:val="22"/>
        </w:rPr>
        <w:t xml:space="preserve">Importance of Effective Communication </w:t>
      </w:r>
    </w:p>
    <w:p w14:paraId="73F9A4B7" w14:textId="77777777" w:rsidR="00320615" w:rsidRPr="00EC426C" w:rsidRDefault="00320615" w:rsidP="00EC426C">
      <w:pPr>
        <w:spacing w:line="360" w:lineRule="auto"/>
        <w:jc w:val="both"/>
        <w:rPr>
          <w:rFonts w:ascii="Arial" w:hAnsi="Arial" w:cs="Arial"/>
          <w:sz w:val="22"/>
        </w:rPr>
      </w:pPr>
      <w:r w:rsidRPr="00EC426C">
        <w:rPr>
          <w:rFonts w:ascii="Arial" w:hAnsi="Arial" w:cs="Arial"/>
          <w:sz w:val="22"/>
        </w:rPr>
        <w:t>A key element of safe and excellent health and social care is effective communication. Because of the combined difficulties of stroke-related disabilities and inadequate English competence, communication is especially crucial in Mr. Ahmed's case. In the absence of effective communication techniques, there is a chance that his needs will be misunderstood, which could have a detrimental effect on his recuperation and well-being.</w:t>
      </w:r>
    </w:p>
    <w:p w14:paraId="4B30F3CB" w14:textId="60F0A356" w:rsidR="00320615" w:rsidRPr="00EC426C" w:rsidRDefault="00320615" w:rsidP="00EC426C">
      <w:pPr>
        <w:spacing w:line="360" w:lineRule="auto"/>
        <w:jc w:val="both"/>
        <w:rPr>
          <w:rFonts w:ascii="Arial" w:hAnsi="Arial" w:cs="Arial"/>
          <w:sz w:val="22"/>
        </w:rPr>
      </w:pPr>
      <w:r w:rsidRPr="00EC426C">
        <w:rPr>
          <w:rFonts w:ascii="Arial" w:hAnsi="Arial" w:cs="Arial"/>
          <w:sz w:val="22"/>
        </w:rPr>
        <w:t>By guaranteeing that people are not subjected to discrimination on the basis of protected traits like race or language, the Equality Act of 2010 supports the necessity of inclusive communication. In actuality, this means that Mr. Ahmed needs to be supported by appropriate modifications. For instance, rather than depending only on his wife, caregivers want to think about using qualified interpreters.</w:t>
      </w:r>
      <w:r w:rsidR="00EC426C">
        <w:rPr>
          <w:rFonts w:ascii="Arial" w:hAnsi="Arial" w:cs="Arial"/>
          <w:sz w:val="22"/>
        </w:rPr>
        <w:t xml:space="preserve"> </w:t>
      </w:r>
      <w:r w:rsidRPr="00EC426C">
        <w:rPr>
          <w:rFonts w:ascii="Arial" w:hAnsi="Arial" w:cs="Arial"/>
          <w:sz w:val="22"/>
        </w:rPr>
        <w:t xml:space="preserve">Although his wife is a valuable source of support, relying too much on family members could jeopardize Mr. Ahmed's independence, accuracy, and secrecy. Communication should be tailored to Mr. Ahmed's particular requirements. </w:t>
      </w:r>
      <w:r w:rsidRPr="00EC426C">
        <w:rPr>
          <w:rFonts w:ascii="Arial" w:hAnsi="Arial" w:cs="Arial"/>
          <w:sz w:val="22"/>
        </w:rPr>
        <w:lastRenderedPageBreak/>
        <w:t>People may have cognitive issues or aphasia after a stroke, which can impair their capacity to comprehend or use language. Therefore, care providers should speak in plain, uncomplicated terms, steer clear of jargon, and employ nonverbal cues like gestures, eye contact, and visual aids. To make sure Mr. Ahmed feels heard and appreciated, it's also crucial to give him more time to respond and to engage in active listening. The Shannon and Weaver model (1949), which highlights how "noise" can interfere with signals, is a helpful foundation for comprehending communication difficulties. In this instance, information may be distorted by noise caused by stroke-related impairments and linguistic hurdles. Professionals should employ feedback mechanisms, including asking Mr. Ahmed to repeat instructions or show that he understands them, to lessen this. This guarantees precise and efficient communication. Since Mr. Ahmed's wife is essential to his daily care, communication with her is equally crucial. Professionals must, however, strike a balance between preserving Mr. Ahmed's independence and include him in decision-making. This is in line with person-centered care principles, which put the rights, preferences, and dignity of the individual first. The repercussions of poor communication are exemplified by the missing domiciliary care visit. Missed medication could put Mr. Ahmed's health at jeopardy if schedules or adjustments are not communicated. Thus, it is crucial to have clear documentation, regular handovers, and efficient communication mechanisms. Effective communication increases patient safety, fosters trust, and improves results, claim Ellis and Gates (2020). In general, providing safe, equitable, and person-centered care requires tailoring communication to Mr. Ahmed's needs while respecting legal frameworks</w:t>
      </w:r>
      <w:r w:rsidR="00F51488" w:rsidRPr="00EC426C">
        <w:rPr>
          <w:rFonts w:ascii="Arial" w:hAnsi="Arial" w:cs="Arial"/>
          <w:sz w:val="22"/>
        </w:rPr>
        <w:t>.</w:t>
      </w:r>
    </w:p>
    <w:p w14:paraId="04921937" w14:textId="4CE217A2" w:rsidR="00F51488" w:rsidRPr="00EC426C" w:rsidRDefault="00F51488" w:rsidP="00EC426C">
      <w:pPr>
        <w:spacing w:line="360" w:lineRule="auto"/>
        <w:jc w:val="both"/>
        <w:rPr>
          <w:rFonts w:ascii="Arial" w:hAnsi="Arial" w:cs="Arial"/>
          <w:sz w:val="22"/>
        </w:rPr>
      </w:pPr>
      <w:r w:rsidRPr="00EC426C">
        <w:rPr>
          <w:rFonts w:ascii="Arial" w:hAnsi="Arial" w:cs="Arial"/>
          <w:sz w:val="22"/>
        </w:rPr>
        <w:t>2, Importance of Administrative Skills (450 words)</w:t>
      </w:r>
    </w:p>
    <w:p w14:paraId="1F37E34F" w14:textId="3BF31D30" w:rsidR="00320615" w:rsidRPr="00EC426C" w:rsidRDefault="00320615" w:rsidP="00EC426C">
      <w:pPr>
        <w:spacing w:line="360" w:lineRule="auto"/>
        <w:jc w:val="both"/>
        <w:rPr>
          <w:rFonts w:ascii="Arial" w:hAnsi="Arial" w:cs="Arial"/>
          <w:sz w:val="22"/>
        </w:rPr>
      </w:pPr>
      <w:r w:rsidRPr="00EC426C">
        <w:rPr>
          <w:rFonts w:ascii="Arial" w:hAnsi="Arial" w:cs="Arial"/>
          <w:sz w:val="22"/>
        </w:rPr>
        <w:t xml:space="preserve">An essential component of working in the health and social care sectors is having administrative abilities. They make ensuring that care is provided consistently, safely, and in compliance with professional and regulatory requirements. Effective administration is especially crucial in Mr. Ahmed's case because numerous experts are involved and regular medication and monitoring are required. Maintaining accurate records is a crucial administrative duty. </w:t>
      </w:r>
      <w:r w:rsidRPr="00EC426C">
        <w:rPr>
          <w:rFonts w:ascii="Arial" w:hAnsi="Arial" w:cs="Arial"/>
          <w:sz w:val="22"/>
        </w:rPr>
        <w:lastRenderedPageBreak/>
        <w:t>Every visit, including information about personal care, medicine administration, and any changes in Mr. Ahmed's condition, must be recorded by care providers. This guarantees continuity of treatment and enables decision-making by other experts, such the district nurse or general practitioner. The risks connected with subpar administrative systems are brought to light by the missed care visit. Inadequate scheduling or documentation of visits can have major repercussions, such as missed medication, which could impede healing or be harmful. The legal foundation for managing personal data in the UK is outlined in the Data Protection Act of 2018. It demands that data be handled fairly, legally, and openly. In actuality, this means that Mr. Ahmed's medical and personal data must be accurate, safe, and shared only with the appropriate healthcare providers. Confidentiality violations may damage the service user and erode confidence. Key principles of data protection include accuracy, confidentiality, and data minimisation. Records should be clear, factual, and up to date. For example, documenting “medication not administered due to missed visit” provides an accurate account of events, which is essential for accountability and investigation. Confidentiality must also be maintained when communicating with family members. Although Mr Ahmed’s wife is involved in his care, professionals must ensure that information sharing is appropriate and, where possible, based on consent. The Care Act of 2014 highlights the significance of accountability and safeguarding in the provision of care. Organizations must make sure that patients receive safe, efficient care that is backed up by correct documentation. Clear and accurate record-keeping is crucial for professional accountability, according to professional standards like those set forth by the Nursing and Midwifery Council. By monitoring visits and documenting care activities in real time, the use of digital technology in domiciliary care can increase administrative efficiency. However, staff members must receive adequate training and continually implement these procedures for them to be effective. Inadequate use of technology might lead to mistakes like incomplete records or missing appointments. Safeguarding and improving quality also depend on administrative abilities. Organizations can spot trends, </w:t>
      </w:r>
      <w:r w:rsidR="00F51488" w:rsidRPr="00EC426C">
        <w:rPr>
          <w:rFonts w:ascii="Arial" w:hAnsi="Arial" w:cs="Arial"/>
          <w:sz w:val="22"/>
        </w:rPr>
        <w:t>investigate</w:t>
      </w:r>
      <w:r w:rsidRPr="00EC426C">
        <w:rPr>
          <w:rFonts w:ascii="Arial" w:hAnsi="Arial" w:cs="Arial"/>
          <w:sz w:val="22"/>
        </w:rPr>
        <w:t xml:space="preserve"> incidents, and make adjustments to stop them from happening again with accurate data. The investigation of Mr. Ahmed's alleged missing visit serves as an example of how documentation promotes accountability. </w:t>
      </w:r>
    </w:p>
    <w:p w14:paraId="3E17FE7A" w14:textId="77777777" w:rsidR="00320615" w:rsidRPr="00EC426C" w:rsidRDefault="00320615" w:rsidP="00EC426C">
      <w:pPr>
        <w:spacing w:line="360" w:lineRule="auto"/>
        <w:jc w:val="both"/>
        <w:rPr>
          <w:rFonts w:ascii="Arial" w:hAnsi="Arial" w:cs="Arial"/>
          <w:sz w:val="22"/>
        </w:rPr>
      </w:pPr>
      <w:r w:rsidRPr="00EC426C">
        <w:rPr>
          <w:rFonts w:ascii="Arial" w:hAnsi="Arial" w:cs="Arial"/>
          <w:sz w:val="22"/>
        </w:rPr>
        <w:lastRenderedPageBreak/>
        <w:t xml:space="preserve">In conclusion, providing safe, well-coordinated, and legally compliant care requires excellent administrative abilities. quality practice while safeguarding both professionals and service users. 3. </w:t>
      </w:r>
    </w:p>
    <w:p w14:paraId="626F8A3F" w14:textId="77777777" w:rsidR="00EC426C" w:rsidRDefault="00320615" w:rsidP="00EC426C">
      <w:pPr>
        <w:spacing w:line="360" w:lineRule="auto"/>
        <w:jc w:val="both"/>
        <w:rPr>
          <w:rFonts w:ascii="Arial" w:hAnsi="Arial" w:cs="Arial"/>
          <w:sz w:val="22"/>
        </w:rPr>
      </w:pPr>
      <w:r w:rsidRPr="00EC426C">
        <w:rPr>
          <w:rFonts w:ascii="Arial" w:hAnsi="Arial" w:cs="Arial"/>
          <w:sz w:val="22"/>
        </w:rPr>
        <w:t>Importance of Collaborative Working In health and social care, teamwork is crucial, especially in complicated situations like Mr. Ahmed's. A multidisciplinary team of a general practitioner, a district nurse, domiciliary care providers, and a speech-language pathologist is responsible for his treatment. Since each professional brings specialized knowledge to the table, successful teamwork is essential to attaining favourable results. Effective communication is a crucial strategy for promoting teamwork. All personnel are informed about Mr. Ahmed's needs and any changes in his condition thanks to shared care plans, frequent updates, and unambiguous handovers. Meetings of multidisciplinary teams can enhance coordinated decision-making and raise the standard of treatment. Another crucial element is role clarity. To prevent duplication or gaps in service, each professional needs to be aware of their obligations. For instance, care workers offer daily assistance and medicine administration, while the district nurse concentrates on wound care and health monitoring. It is easier to guarantee that every facet of Mr. Ahmed's care is taken care of when roles are clearly defined. Nonetheless, multi-agency collaboration frequently presents difficulties. Poor coordination or unclear responsibilities can lead to communication breakdowns, like the missing domiciliary visit. Effective collaboration may also be hampered by disparities in organizational priorities and professional viewpoints. Strategies to overcome these challenges include implementing clear protocols, using shared digital systems, and promoting mutual respect among professionals. According to Glasby and Dickinson (2014), integrated care requires strong leadership, shared goals, and effective communication to succeed. Training in teamwork and communication can further enhance collaboration.</w:t>
      </w:r>
    </w:p>
    <w:p w14:paraId="398A71AD" w14:textId="02145E3A" w:rsidR="00320615" w:rsidRPr="00EC426C" w:rsidRDefault="00320615" w:rsidP="00EC426C">
      <w:pPr>
        <w:spacing w:line="360" w:lineRule="auto"/>
        <w:jc w:val="both"/>
        <w:rPr>
          <w:rFonts w:ascii="Arial" w:hAnsi="Arial" w:cs="Arial"/>
          <w:sz w:val="22"/>
        </w:rPr>
      </w:pPr>
      <w:r w:rsidRPr="00EC426C">
        <w:rPr>
          <w:rFonts w:ascii="Arial" w:hAnsi="Arial" w:cs="Arial"/>
          <w:sz w:val="22"/>
        </w:rPr>
        <w:t xml:space="preserve">Involving Mr. Ahmed and his spouse in the care planning process is particularly crucial because it guarantees that the care will continue to be person-centered and sensitive to their needs. In general, efficient teamwork increases coordination, lowers risks, and raises the standard of care. </w:t>
      </w:r>
    </w:p>
    <w:p w14:paraId="0F37CE25" w14:textId="194390F5" w:rsidR="00320615" w:rsidRPr="00EC426C" w:rsidRDefault="00320615" w:rsidP="00EC426C">
      <w:pPr>
        <w:spacing w:line="360" w:lineRule="auto"/>
        <w:jc w:val="both"/>
        <w:rPr>
          <w:rFonts w:ascii="Arial" w:hAnsi="Arial" w:cs="Arial"/>
          <w:sz w:val="22"/>
        </w:rPr>
      </w:pPr>
      <w:r w:rsidRPr="00EC426C">
        <w:rPr>
          <w:rFonts w:ascii="Arial" w:hAnsi="Arial" w:cs="Arial"/>
          <w:sz w:val="22"/>
        </w:rPr>
        <w:lastRenderedPageBreak/>
        <w:t>Conclusion In summary, the case of Mr. Ahmed highlights the significance of strong administrative abilities, good communication, and teamwork in providing high-quality health and social care. In order to ensure compliance with the Equality Act 2010 and promote person-centered care, communication must be modified to accommodate his language and health needs. Ensuring safety, accountability, and continuity of care requires administrative skills, especially precise record-keeping and compliance with the Data Protection Act of 2018. The missing domiciliary visit serves as a reminder of the possible dangers of inadequate administrative procedures and communication, especially when it comes to drug administration and patient safety. The necessity of precise documentation, dependable scheduling mechanisms, and robust professional responsibility is highlighted by this occurrence. Additionally, coordinated and comprehensive care that satisfies Mr. Ahmed's complicated needs is ensured via successful collaboration amongst multidisciplinary personnel.</w:t>
      </w:r>
    </w:p>
    <w:p w14:paraId="64BFEF12" w14:textId="77777777" w:rsidR="00EC426C" w:rsidRDefault="00EC426C" w:rsidP="00C00416">
      <w:pPr>
        <w:tabs>
          <w:tab w:val="left" w:pos="6540"/>
        </w:tabs>
        <w:spacing w:line="360" w:lineRule="auto"/>
        <w:jc w:val="both"/>
        <w:rPr>
          <w:rFonts w:ascii="Arial Narrow" w:hAnsi="Arial Narrow" w:cs="Arial"/>
          <w:sz w:val="22"/>
        </w:rPr>
      </w:pPr>
    </w:p>
    <w:p w14:paraId="60667E9D" w14:textId="77777777" w:rsidR="00EC426C" w:rsidRDefault="00EC426C" w:rsidP="00C00416">
      <w:pPr>
        <w:tabs>
          <w:tab w:val="left" w:pos="6540"/>
        </w:tabs>
        <w:spacing w:line="360" w:lineRule="auto"/>
        <w:jc w:val="both"/>
        <w:rPr>
          <w:rFonts w:ascii="Arial Narrow" w:hAnsi="Arial Narrow" w:cs="Arial"/>
          <w:sz w:val="22"/>
        </w:rPr>
      </w:pPr>
    </w:p>
    <w:p w14:paraId="3B18B191" w14:textId="77777777" w:rsidR="00EC426C" w:rsidRDefault="00EC426C" w:rsidP="00C00416">
      <w:pPr>
        <w:tabs>
          <w:tab w:val="left" w:pos="6540"/>
        </w:tabs>
        <w:spacing w:line="360" w:lineRule="auto"/>
        <w:jc w:val="both"/>
        <w:rPr>
          <w:rFonts w:ascii="Arial Narrow" w:hAnsi="Arial Narrow" w:cs="Arial"/>
          <w:sz w:val="22"/>
        </w:rPr>
      </w:pPr>
    </w:p>
    <w:p w14:paraId="455FBD2A" w14:textId="77777777" w:rsidR="00EC426C" w:rsidRDefault="00EC426C" w:rsidP="00C00416">
      <w:pPr>
        <w:tabs>
          <w:tab w:val="left" w:pos="6540"/>
        </w:tabs>
        <w:spacing w:line="360" w:lineRule="auto"/>
        <w:jc w:val="both"/>
        <w:rPr>
          <w:rFonts w:ascii="Arial Narrow" w:hAnsi="Arial Narrow" w:cs="Arial"/>
          <w:sz w:val="22"/>
        </w:rPr>
      </w:pPr>
    </w:p>
    <w:p w14:paraId="723766C0" w14:textId="77777777" w:rsidR="00EC426C" w:rsidRDefault="00EC426C" w:rsidP="00C00416">
      <w:pPr>
        <w:tabs>
          <w:tab w:val="left" w:pos="6540"/>
        </w:tabs>
        <w:spacing w:line="360" w:lineRule="auto"/>
        <w:jc w:val="both"/>
        <w:rPr>
          <w:rFonts w:ascii="Arial Narrow" w:hAnsi="Arial Narrow" w:cs="Arial"/>
          <w:sz w:val="22"/>
        </w:rPr>
      </w:pPr>
    </w:p>
    <w:p w14:paraId="5A57CA29" w14:textId="77777777" w:rsidR="00EC426C" w:rsidRDefault="00EC426C" w:rsidP="00C00416">
      <w:pPr>
        <w:tabs>
          <w:tab w:val="left" w:pos="6540"/>
        </w:tabs>
        <w:spacing w:line="360" w:lineRule="auto"/>
        <w:jc w:val="both"/>
        <w:rPr>
          <w:rFonts w:ascii="Arial Narrow" w:hAnsi="Arial Narrow" w:cs="Arial"/>
          <w:sz w:val="22"/>
        </w:rPr>
      </w:pPr>
    </w:p>
    <w:p w14:paraId="3C81880A" w14:textId="77777777" w:rsidR="00EC426C" w:rsidRDefault="00EC426C" w:rsidP="00C00416">
      <w:pPr>
        <w:tabs>
          <w:tab w:val="left" w:pos="6540"/>
        </w:tabs>
        <w:spacing w:line="360" w:lineRule="auto"/>
        <w:jc w:val="both"/>
        <w:rPr>
          <w:rFonts w:ascii="Arial Narrow" w:hAnsi="Arial Narrow" w:cs="Arial"/>
          <w:sz w:val="22"/>
        </w:rPr>
      </w:pPr>
    </w:p>
    <w:p w14:paraId="59C2099E" w14:textId="77777777" w:rsidR="00EC426C" w:rsidRDefault="00EC426C" w:rsidP="00C00416">
      <w:pPr>
        <w:tabs>
          <w:tab w:val="left" w:pos="6540"/>
        </w:tabs>
        <w:spacing w:line="360" w:lineRule="auto"/>
        <w:jc w:val="both"/>
        <w:rPr>
          <w:rFonts w:ascii="Arial Narrow" w:hAnsi="Arial Narrow" w:cs="Arial"/>
          <w:sz w:val="22"/>
        </w:rPr>
      </w:pPr>
    </w:p>
    <w:p w14:paraId="54437341" w14:textId="77777777" w:rsidR="00EC426C" w:rsidRDefault="00EC426C" w:rsidP="00C00416">
      <w:pPr>
        <w:tabs>
          <w:tab w:val="left" w:pos="6540"/>
        </w:tabs>
        <w:spacing w:line="360" w:lineRule="auto"/>
        <w:jc w:val="both"/>
        <w:rPr>
          <w:rFonts w:ascii="Arial Narrow" w:hAnsi="Arial Narrow" w:cs="Arial"/>
          <w:sz w:val="22"/>
        </w:rPr>
      </w:pPr>
    </w:p>
    <w:p w14:paraId="0F936E90" w14:textId="77777777" w:rsidR="00EC426C" w:rsidRDefault="00EC426C" w:rsidP="00C00416">
      <w:pPr>
        <w:tabs>
          <w:tab w:val="left" w:pos="6540"/>
        </w:tabs>
        <w:spacing w:line="360" w:lineRule="auto"/>
        <w:jc w:val="both"/>
        <w:rPr>
          <w:rFonts w:ascii="Arial Narrow" w:hAnsi="Arial Narrow" w:cs="Arial"/>
          <w:sz w:val="22"/>
        </w:rPr>
      </w:pPr>
    </w:p>
    <w:p w14:paraId="35D1F582" w14:textId="77777777" w:rsidR="00EC426C" w:rsidRDefault="00EC426C" w:rsidP="00C00416">
      <w:pPr>
        <w:tabs>
          <w:tab w:val="left" w:pos="6540"/>
        </w:tabs>
        <w:spacing w:line="360" w:lineRule="auto"/>
        <w:jc w:val="both"/>
        <w:rPr>
          <w:rFonts w:ascii="Arial Narrow" w:hAnsi="Arial Narrow" w:cs="Arial"/>
          <w:sz w:val="22"/>
        </w:rPr>
      </w:pPr>
    </w:p>
    <w:p w14:paraId="4F1E5341" w14:textId="77777777" w:rsidR="00EC426C" w:rsidRDefault="00EC426C" w:rsidP="00C00416">
      <w:pPr>
        <w:tabs>
          <w:tab w:val="left" w:pos="6540"/>
        </w:tabs>
        <w:spacing w:line="360" w:lineRule="auto"/>
        <w:jc w:val="both"/>
        <w:rPr>
          <w:rFonts w:ascii="Arial Narrow" w:hAnsi="Arial Narrow" w:cs="Arial"/>
          <w:sz w:val="22"/>
        </w:rPr>
      </w:pPr>
    </w:p>
    <w:p w14:paraId="3E4E7D3B" w14:textId="77777777" w:rsidR="00EC426C" w:rsidRDefault="00EC426C" w:rsidP="00C00416">
      <w:pPr>
        <w:tabs>
          <w:tab w:val="left" w:pos="6540"/>
        </w:tabs>
        <w:spacing w:line="360" w:lineRule="auto"/>
        <w:jc w:val="both"/>
        <w:rPr>
          <w:rFonts w:ascii="Arial Narrow" w:hAnsi="Arial Narrow" w:cs="Arial"/>
          <w:sz w:val="22"/>
        </w:rPr>
      </w:pPr>
    </w:p>
    <w:p w14:paraId="4C94D0AD" w14:textId="77777777" w:rsidR="00EC426C" w:rsidRDefault="00EC426C" w:rsidP="00C00416">
      <w:pPr>
        <w:tabs>
          <w:tab w:val="left" w:pos="6540"/>
        </w:tabs>
        <w:spacing w:line="360" w:lineRule="auto"/>
        <w:jc w:val="both"/>
        <w:rPr>
          <w:rFonts w:ascii="Arial Narrow" w:hAnsi="Arial Narrow" w:cs="Arial"/>
          <w:sz w:val="22"/>
        </w:rPr>
      </w:pPr>
    </w:p>
    <w:p w14:paraId="6A0538B7" w14:textId="77777777" w:rsidR="00EC426C" w:rsidRDefault="00EC426C" w:rsidP="00C00416">
      <w:pPr>
        <w:tabs>
          <w:tab w:val="left" w:pos="6540"/>
        </w:tabs>
        <w:spacing w:line="360" w:lineRule="auto"/>
        <w:jc w:val="both"/>
        <w:rPr>
          <w:rFonts w:ascii="Arial Narrow" w:hAnsi="Arial Narrow" w:cs="Arial"/>
          <w:sz w:val="22"/>
        </w:rPr>
      </w:pPr>
    </w:p>
    <w:p w14:paraId="4B5DDF3D" w14:textId="77777777" w:rsidR="00EC426C" w:rsidRDefault="00EC426C" w:rsidP="00C00416">
      <w:pPr>
        <w:tabs>
          <w:tab w:val="left" w:pos="6540"/>
        </w:tabs>
        <w:spacing w:line="360" w:lineRule="auto"/>
        <w:jc w:val="both"/>
        <w:rPr>
          <w:rFonts w:ascii="Arial Narrow" w:hAnsi="Arial Narrow" w:cs="Arial"/>
          <w:sz w:val="22"/>
        </w:rPr>
      </w:pPr>
    </w:p>
    <w:p w14:paraId="13B010AC" w14:textId="77777777" w:rsidR="00EC426C" w:rsidRPr="00EC426C" w:rsidRDefault="00EC426C" w:rsidP="00C00416">
      <w:pPr>
        <w:tabs>
          <w:tab w:val="left" w:pos="6540"/>
        </w:tabs>
        <w:spacing w:line="360" w:lineRule="auto"/>
        <w:jc w:val="both"/>
        <w:rPr>
          <w:rFonts w:ascii="Arial Narrow" w:hAnsi="Arial Narrow" w:cs="Arial"/>
          <w:sz w:val="22"/>
        </w:rPr>
      </w:pPr>
    </w:p>
    <w:p w14:paraId="6AEC222D" w14:textId="4CA53A70" w:rsidR="00320615" w:rsidRPr="00320615" w:rsidRDefault="00320615" w:rsidP="00C00416">
      <w:pPr>
        <w:tabs>
          <w:tab w:val="left" w:pos="6540"/>
        </w:tabs>
        <w:spacing w:line="360" w:lineRule="auto"/>
        <w:jc w:val="both"/>
        <w:rPr>
          <w:rFonts w:ascii="Arial Narrow" w:hAnsi="Arial Narrow" w:cs="Arial"/>
          <w:b/>
          <w:bCs/>
          <w:sz w:val="22"/>
        </w:rPr>
      </w:pPr>
      <w:r w:rsidRPr="00320615">
        <w:rPr>
          <w:rFonts w:ascii="Arial Narrow" w:hAnsi="Arial Narrow" w:cs="Arial"/>
          <w:b/>
          <w:bCs/>
          <w:sz w:val="22"/>
        </w:rPr>
        <w:t xml:space="preserve"> Reference</w:t>
      </w:r>
      <w:r w:rsidR="00EC426C">
        <w:rPr>
          <w:rFonts w:ascii="Arial Narrow" w:hAnsi="Arial Narrow" w:cs="Arial"/>
          <w:b/>
          <w:bCs/>
          <w:sz w:val="22"/>
        </w:rPr>
        <w:t>s</w:t>
      </w:r>
    </w:p>
    <w:p w14:paraId="7FE81626" w14:textId="77777777" w:rsidR="00320615" w:rsidRPr="00320615" w:rsidRDefault="00320615" w:rsidP="00EC426C">
      <w:pPr>
        <w:tabs>
          <w:tab w:val="left" w:pos="6540"/>
        </w:tabs>
        <w:spacing w:line="360" w:lineRule="auto"/>
        <w:rPr>
          <w:rFonts w:ascii="Arial Narrow" w:hAnsi="Arial Narrow" w:cs="Arial"/>
          <w:sz w:val="22"/>
        </w:rPr>
      </w:pPr>
      <w:r w:rsidRPr="00320615">
        <w:rPr>
          <w:rFonts w:ascii="Arial Narrow" w:hAnsi="Arial Narrow" w:cs="Arial"/>
          <w:sz w:val="22"/>
        </w:rPr>
        <w:t>Equality Act 2010</w:t>
      </w:r>
      <w:r w:rsidRPr="00320615">
        <w:rPr>
          <w:rFonts w:ascii="Arial Narrow" w:hAnsi="Arial Narrow" w:cs="Arial"/>
          <w:sz w:val="22"/>
        </w:rPr>
        <w:br/>
        <w:t xml:space="preserve">UK Government (2010) </w:t>
      </w:r>
      <w:r w:rsidRPr="00320615">
        <w:rPr>
          <w:rFonts w:ascii="Arial Narrow" w:hAnsi="Arial Narrow" w:cs="Arial"/>
          <w:i/>
          <w:iCs/>
          <w:sz w:val="22"/>
        </w:rPr>
        <w:t>Equality Act 2010</w:t>
      </w:r>
      <w:r w:rsidRPr="00320615">
        <w:rPr>
          <w:rFonts w:ascii="Arial Narrow" w:hAnsi="Arial Narrow" w:cs="Arial"/>
          <w:sz w:val="22"/>
        </w:rPr>
        <w:t xml:space="preserve">. London: The Stationery Office. </w:t>
      </w:r>
    </w:p>
    <w:p w14:paraId="05A6AF1D" w14:textId="77777777" w:rsidR="00320615" w:rsidRPr="00320615" w:rsidRDefault="00320615" w:rsidP="00EC426C">
      <w:pPr>
        <w:tabs>
          <w:tab w:val="left" w:pos="6540"/>
        </w:tabs>
        <w:spacing w:line="360" w:lineRule="auto"/>
        <w:rPr>
          <w:rFonts w:ascii="Arial Narrow" w:hAnsi="Arial Narrow" w:cs="Arial"/>
          <w:sz w:val="22"/>
        </w:rPr>
      </w:pPr>
      <w:r w:rsidRPr="00320615">
        <w:rPr>
          <w:rFonts w:ascii="Arial Narrow" w:hAnsi="Arial Narrow" w:cs="Arial"/>
          <w:sz w:val="22"/>
        </w:rPr>
        <w:t>Data Protection Act 2018</w:t>
      </w:r>
      <w:r w:rsidRPr="00320615">
        <w:rPr>
          <w:rFonts w:ascii="Arial Narrow" w:hAnsi="Arial Narrow" w:cs="Arial"/>
          <w:sz w:val="22"/>
        </w:rPr>
        <w:br/>
        <w:t xml:space="preserve">UK Government (2018) </w:t>
      </w:r>
      <w:r w:rsidRPr="00320615">
        <w:rPr>
          <w:rFonts w:ascii="Arial Narrow" w:hAnsi="Arial Narrow" w:cs="Arial"/>
          <w:i/>
          <w:iCs/>
          <w:sz w:val="22"/>
        </w:rPr>
        <w:t>Data Protection Act 2018</w:t>
      </w:r>
      <w:r w:rsidRPr="00320615">
        <w:rPr>
          <w:rFonts w:ascii="Arial Narrow" w:hAnsi="Arial Narrow" w:cs="Arial"/>
          <w:sz w:val="22"/>
        </w:rPr>
        <w:t xml:space="preserve">. London: The Stationery Office. </w:t>
      </w:r>
    </w:p>
    <w:p w14:paraId="66989006" w14:textId="77777777" w:rsidR="00320615" w:rsidRPr="00320615" w:rsidRDefault="00320615" w:rsidP="00EC426C">
      <w:pPr>
        <w:tabs>
          <w:tab w:val="left" w:pos="6540"/>
        </w:tabs>
        <w:spacing w:line="360" w:lineRule="auto"/>
        <w:rPr>
          <w:rFonts w:ascii="Arial Narrow" w:hAnsi="Arial Narrow" w:cs="Arial"/>
          <w:sz w:val="22"/>
        </w:rPr>
      </w:pPr>
      <w:r w:rsidRPr="00320615">
        <w:rPr>
          <w:rFonts w:ascii="Arial Narrow" w:hAnsi="Arial Narrow" w:cs="Arial"/>
          <w:sz w:val="22"/>
        </w:rPr>
        <w:t>Care Act 2014</w:t>
      </w:r>
      <w:r w:rsidRPr="00320615">
        <w:rPr>
          <w:rFonts w:ascii="Arial Narrow" w:hAnsi="Arial Narrow" w:cs="Arial"/>
          <w:sz w:val="22"/>
        </w:rPr>
        <w:br/>
        <w:t xml:space="preserve">UK Government (2014) </w:t>
      </w:r>
      <w:r w:rsidRPr="00320615">
        <w:rPr>
          <w:rFonts w:ascii="Arial Narrow" w:hAnsi="Arial Narrow" w:cs="Arial"/>
          <w:i/>
          <w:iCs/>
          <w:sz w:val="22"/>
        </w:rPr>
        <w:t>Care Act 2014</w:t>
      </w:r>
      <w:r w:rsidRPr="00320615">
        <w:rPr>
          <w:rFonts w:ascii="Arial Narrow" w:hAnsi="Arial Narrow" w:cs="Arial"/>
          <w:sz w:val="22"/>
        </w:rPr>
        <w:t xml:space="preserve">. London: The Stationery Office. </w:t>
      </w:r>
    </w:p>
    <w:p w14:paraId="05DA21A1" w14:textId="77777777" w:rsidR="00320615" w:rsidRPr="00320615" w:rsidRDefault="00320615" w:rsidP="00EC426C">
      <w:pPr>
        <w:tabs>
          <w:tab w:val="left" w:pos="6540"/>
        </w:tabs>
        <w:spacing w:line="360" w:lineRule="auto"/>
        <w:rPr>
          <w:rFonts w:ascii="Arial Narrow" w:hAnsi="Arial Narrow" w:cs="Arial"/>
          <w:sz w:val="22"/>
        </w:rPr>
      </w:pPr>
      <w:r w:rsidRPr="00320615">
        <w:rPr>
          <w:rFonts w:ascii="Arial Narrow" w:hAnsi="Arial Narrow" w:cs="Arial"/>
          <w:sz w:val="22"/>
        </w:rPr>
        <w:t>Nursing and Midwifery Council</w:t>
      </w:r>
      <w:r w:rsidRPr="00320615">
        <w:rPr>
          <w:rFonts w:ascii="Arial Narrow" w:hAnsi="Arial Narrow" w:cs="Arial"/>
          <w:sz w:val="22"/>
        </w:rPr>
        <w:br/>
        <w:t xml:space="preserve">Nursing and Midwifery Council (2018) </w:t>
      </w:r>
      <w:r w:rsidRPr="00320615">
        <w:rPr>
          <w:rFonts w:ascii="Arial Narrow" w:hAnsi="Arial Narrow" w:cs="Arial"/>
          <w:i/>
          <w:iCs/>
          <w:sz w:val="22"/>
        </w:rPr>
        <w:t>The Code: Professional standards of practice and behaviour for nurses, midwives and nursing associates</w:t>
      </w:r>
      <w:r w:rsidRPr="00320615">
        <w:rPr>
          <w:rFonts w:ascii="Arial Narrow" w:hAnsi="Arial Narrow" w:cs="Arial"/>
          <w:sz w:val="22"/>
        </w:rPr>
        <w:t xml:space="preserve">. London: NMC. </w:t>
      </w:r>
    </w:p>
    <w:p w14:paraId="1C48E319" w14:textId="77777777" w:rsidR="00320615" w:rsidRPr="00320615" w:rsidRDefault="00320615" w:rsidP="00EC426C">
      <w:pPr>
        <w:tabs>
          <w:tab w:val="left" w:pos="6540"/>
        </w:tabs>
        <w:spacing w:line="360" w:lineRule="auto"/>
        <w:rPr>
          <w:rFonts w:ascii="Arial Narrow" w:hAnsi="Arial Narrow" w:cs="Arial"/>
          <w:sz w:val="22"/>
        </w:rPr>
      </w:pPr>
      <w:r w:rsidRPr="00320615">
        <w:rPr>
          <w:rFonts w:ascii="Arial Narrow" w:hAnsi="Arial Narrow" w:cs="Arial"/>
          <w:sz w:val="22"/>
        </w:rPr>
        <w:t>Communication in Nursing and Healthcare</w:t>
      </w:r>
      <w:r w:rsidRPr="00320615">
        <w:rPr>
          <w:rFonts w:ascii="Arial Narrow" w:hAnsi="Arial Narrow" w:cs="Arial"/>
          <w:sz w:val="22"/>
        </w:rPr>
        <w:br/>
        <w:t xml:space="preserve">Ellis, R. and Gates, B. (2020) </w:t>
      </w:r>
      <w:r w:rsidRPr="00320615">
        <w:rPr>
          <w:rFonts w:ascii="Arial Narrow" w:hAnsi="Arial Narrow" w:cs="Arial"/>
          <w:i/>
          <w:iCs/>
          <w:sz w:val="22"/>
        </w:rPr>
        <w:t>Communication in Nursing and Healthcare: A Guide for Compassionate Practice</w:t>
      </w:r>
      <w:r w:rsidRPr="00320615">
        <w:rPr>
          <w:rFonts w:ascii="Arial Narrow" w:hAnsi="Arial Narrow" w:cs="Arial"/>
          <w:sz w:val="22"/>
        </w:rPr>
        <w:t xml:space="preserve">. 4th edn. London: Sage. </w:t>
      </w:r>
    </w:p>
    <w:p w14:paraId="333D061B" w14:textId="77777777" w:rsidR="00320615" w:rsidRPr="00320615" w:rsidRDefault="00320615" w:rsidP="00EC426C">
      <w:pPr>
        <w:tabs>
          <w:tab w:val="left" w:pos="6540"/>
        </w:tabs>
        <w:spacing w:line="360" w:lineRule="auto"/>
        <w:rPr>
          <w:rFonts w:ascii="Arial Narrow" w:hAnsi="Arial Narrow" w:cs="Arial"/>
          <w:sz w:val="22"/>
        </w:rPr>
      </w:pPr>
      <w:r w:rsidRPr="00320615">
        <w:rPr>
          <w:rFonts w:ascii="Arial Narrow" w:hAnsi="Arial Narrow" w:cs="Arial"/>
          <w:sz w:val="22"/>
        </w:rPr>
        <w:t>Partnership Working in Health and Social Care</w:t>
      </w:r>
      <w:r w:rsidRPr="00320615">
        <w:rPr>
          <w:rFonts w:ascii="Arial Narrow" w:hAnsi="Arial Narrow" w:cs="Arial"/>
          <w:sz w:val="22"/>
        </w:rPr>
        <w:br/>
        <w:t xml:space="preserve">Glasby, J. and Dickinson, H. (2014) </w:t>
      </w:r>
      <w:r w:rsidRPr="00320615">
        <w:rPr>
          <w:rFonts w:ascii="Arial Narrow" w:hAnsi="Arial Narrow" w:cs="Arial"/>
          <w:i/>
          <w:iCs/>
          <w:sz w:val="22"/>
        </w:rPr>
        <w:t>Partnership Working in Health and Social Care: What is Integrated Care and How Can We Deliver It?</w:t>
      </w:r>
      <w:r w:rsidRPr="00320615">
        <w:rPr>
          <w:rFonts w:ascii="Arial Narrow" w:hAnsi="Arial Narrow" w:cs="Arial"/>
          <w:sz w:val="22"/>
        </w:rPr>
        <w:t xml:space="preserve"> 2nd edn. Bristol: Policy Press.</w:t>
      </w:r>
    </w:p>
    <w:p w14:paraId="506FB0BF" w14:textId="77777777" w:rsidR="00BD08B1" w:rsidRPr="004D26D5" w:rsidRDefault="00BD08B1" w:rsidP="00C00416">
      <w:pPr>
        <w:tabs>
          <w:tab w:val="left" w:pos="6540"/>
        </w:tabs>
        <w:spacing w:line="360" w:lineRule="auto"/>
        <w:jc w:val="both"/>
        <w:rPr>
          <w:rFonts w:ascii="Arial" w:hAnsi="Arial" w:cs="Arial"/>
          <w:sz w:val="22"/>
        </w:rPr>
      </w:pPr>
    </w:p>
    <w:sectPr w:rsidR="00BD08B1" w:rsidRPr="004D26D5"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D6131" w14:textId="77777777" w:rsidR="006A16B6" w:rsidRDefault="006A16B6" w:rsidP="003E4ECF">
      <w:pPr>
        <w:spacing w:after="0" w:line="240" w:lineRule="auto"/>
      </w:pPr>
      <w:r>
        <w:separator/>
      </w:r>
    </w:p>
  </w:endnote>
  <w:endnote w:type="continuationSeparator" w:id="0">
    <w:p w14:paraId="27BE222E" w14:textId="77777777" w:rsidR="006A16B6" w:rsidRDefault="006A16B6"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5A7B8" w14:textId="77777777" w:rsidR="006A16B6" w:rsidRDefault="006A16B6" w:rsidP="003E4ECF">
      <w:pPr>
        <w:spacing w:after="0" w:line="240" w:lineRule="auto"/>
      </w:pPr>
      <w:r>
        <w:separator/>
      </w:r>
    </w:p>
  </w:footnote>
  <w:footnote w:type="continuationSeparator" w:id="0">
    <w:p w14:paraId="334A58DB" w14:textId="77777777" w:rsidR="006A16B6" w:rsidRDefault="006A16B6"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81060"/>
    <w:multiLevelType w:val="hybridMultilevel"/>
    <w:tmpl w:val="458433D6"/>
    <w:lvl w:ilvl="0" w:tplc="D5CA642C">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 w15:restartNumberingAfterBreak="0">
    <w:nsid w:val="6549773F"/>
    <w:multiLevelType w:val="hybridMultilevel"/>
    <w:tmpl w:val="458433D6"/>
    <w:lvl w:ilvl="0" w:tplc="FFFFFFFF">
      <w:start w:val="1"/>
      <w:numFmt w:val="decimal"/>
      <w:lvlText w:val="%1."/>
      <w:lvlJc w:val="left"/>
      <w:pPr>
        <w:ind w:left="408" w:hanging="360"/>
      </w:pPr>
      <w:rPr>
        <w:rFonts w:hint="default"/>
      </w:rPr>
    </w:lvl>
    <w:lvl w:ilvl="1" w:tplc="FFFFFFFF" w:tentative="1">
      <w:start w:val="1"/>
      <w:numFmt w:val="lowerLetter"/>
      <w:lvlText w:val="%2."/>
      <w:lvlJc w:val="left"/>
      <w:pPr>
        <w:ind w:left="1128" w:hanging="360"/>
      </w:pPr>
    </w:lvl>
    <w:lvl w:ilvl="2" w:tplc="FFFFFFFF" w:tentative="1">
      <w:start w:val="1"/>
      <w:numFmt w:val="lowerRoman"/>
      <w:lvlText w:val="%3."/>
      <w:lvlJc w:val="right"/>
      <w:pPr>
        <w:ind w:left="1848" w:hanging="180"/>
      </w:pPr>
    </w:lvl>
    <w:lvl w:ilvl="3" w:tplc="FFFFFFFF" w:tentative="1">
      <w:start w:val="1"/>
      <w:numFmt w:val="decimal"/>
      <w:lvlText w:val="%4."/>
      <w:lvlJc w:val="left"/>
      <w:pPr>
        <w:ind w:left="2568" w:hanging="360"/>
      </w:pPr>
    </w:lvl>
    <w:lvl w:ilvl="4" w:tplc="FFFFFFFF" w:tentative="1">
      <w:start w:val="1"/>
      <w:numFmt w:val="lowerLetter"/>
      <w:lvlText w:val="%5."/>
      <w:lvlJc w:val="left"/>
      <w:pPr>
        <w:ind w:left="3288" w:hanging="360"/>
      </w:pPr>
    </w:lvl>
    <w:lvl w:ilvl="5" w:tplc="FFFFFFFF" w:tentative="1">
      <w:start w:val="1"/>
      <w:numFmt w:val="lowerRoman"/>
      <w:lvlText w:val="%6."/>
      <w:lvlJc w:val="right"/>
      <w:pPr>
        <w:ind w:left="4008" w:hanging="180"/>
      </w:pPr>
    </w:lvl>
    <w:lvl w:ilvl="6" w:tplc="FFFFFFFF" w:tentative="1">
      <w:start w:val="1"/>
      <w:numFmt w:val="decimal"/>
      <w:lvlText w:val="%7."/>
      <w:lvlJc w:val="left"/>
      <w:pPr>
        <w:ind w:left="4728" w:hanging="360"/>
      </w:pPr>
    </w:lvl>
    <w:lvl w:ilvl="7" w:tplc="FFFFFFFF" w:tentative="1">
      <w:start w:val="1"/>
      <w:numFmt w:val="lowerLetter"/>
      <w:lvlText w:val="%8."/>
      <w:lvlJc w:val="left"/>
      <w:pPr>
        <w:ind w:left="5448" w:hanging="360"/>
      </w:pPr>
    </w:lvl>
    <w:lvl w:ilvl="8" w:tplc="FFFFFFFF" w:tentative="1">
      <w:start w:val="1"/>
      <w:numFmt w:val="lowerRoman"/>
      <w:lvlText w:val="%9."/>
      <w:lvlJc w:val="right"/>
      <w:pPr>
        <w:ind w:left="6168" w:hanging="180"/>
      </w:pPr>
    </w:lvl>
  </w:abstractNum>
  <w:abstractNum w:abstractNumId="2" w15:restartNumberingAfterBreak="0">
    <w:nsid w:val="70122492"/>
    <w:multiLevelType w:val="hybridMultilevel"/>
    <w:tmpl w:val="458433D6"/>
    <w:lvl w:ilvl="0" w:tplc="FFFFFFFF">
      <w:start w:val="1"/>
      <w:numFmt w:val="decimal"/>
      <w:lvlText w:val="%1."/>
      <w:lvlJc w:val="left"/>
      <w:pPr>
        <w:ind w:left="408" w:hanging="360"/>
      </w:pPr>
      <w:rPr>
        <w:rFonts w:hint="default"/>
      </w:rPr>
    </w:lvl>
    <w:lvl w:ilvl="1" w:tplc="FFFFFFFF" w:tentative="1">
      <w:start w:val="1"/>
      <w:numFmt w:val="lowerLetter"/>
      <w:lvlText w:val="%2."/>
      <w:lvlJc w:val="left"/>
      <w:pPr>
        <w:ind w:left="1128" w:hanging="360"/>
      </w:pPr>
    </w:lvl>
    <w:lvl w:ilvl="2" w:tplc="FFFFFFFF" w:tentative="1">
      <w:start w:val="1"/>
      <w:numFmt w:val="lowerRoman"/>
      <w:lvlText w:val="%3."/>
      <w:lvlJc w:val="right"/>
      <w:pPr>
        <w:ind w:left="1848" w:hanging="180"/>
      </w:pPr>
    </w:lvl>
    <w:lvl w:ilvl="3" w:tplc="FFFFFFFF" w:tentative="1">
      <w:start w:val="1"/>
      <w:numFmt w:val="decimal"/>
      <w:lvlText w:val="%4."/>
      <w:lvlJc w:val="left"/>
      <w:pPr>
        <w:ind w:left="2568" w:hanging="360"/>
      </w:pPr>
    </w:lvl>
    <w:lvl w:ilvl="4" w:tplc="FFFFFFFF" w:tentative="1">
      <w:start w:val="1"/>
      <w:numFmt w:val="lowerLetter"/>
      <w:lvlText w:val="%5."/>
      <w:lvlJc w:val="left"/>
      <w:pPr>
        <w:ind w:left="3288" w:hanging="360"/>
      </w:pPr>
    </w:lvl>
    <w:lvl w:ilvl="5" w:tplc="FFFFFFFF" w:tentative="1">
      <w:start w:val="1"/>
      <w:numFmt w:val="lowerRoman"/>
      <w:lvlText w:val="%6."/>
      <w:lvlJc w:val="right"/>
      <w:pPr>
        <w:ind w:left="4008" w:hanging="180"/>
      </w:pPr>
    </w:lvl>
    <w:lvl w:ilvl="6" w:tplc="FFFFFFFF" w:tentative="1">
      <w:start w:val="1"/>
      <w:numFmt w:val="decimal"/>
      <w:lvlText w:val="%7."/>
      <w:lvlJc w:val="left"/>
      <w:pPr>
        <w:ind w:left="4728" w:hanging="360"/>
      </w:pPr>
    </w:lvl>
    <w:lvl w:ilvl="7" w:tplc="FFFFFFFF" w:tentative="1">
      <w:start w:val="1"/>
      <w:numFmt w:val="lowerLetter"/>
      <w:lvlText w:val="%8."/>
      <w:lvlJc w:val="left"/>
      <w:pPr>
        <w:ind w:left="5448" w:hanging="360"/>
      </w:pPr>
    </w:lvl>
    <w:lvl w:ilvl="8" w:tplc="FFFFFFFF" w:tentative="1">
      <w:start w:val="1"/>
      <w:numFmt w:val="lowerRoman"/>
      <w:lvlText w:val="%9."/>
      <w:lvlJc w:val="right"/>
      <w:pPr>
        <w:ind w:left="6168" w:hanging="180"/>
      </w:pPr>
    </w:lvl>
  </w:abstractNum>
  <w:num w:numId="1" w16cid:durableId="496656346">
    <w:abstractNumId w:val="0"/>
  </w:num>
  <w:num w:numId="2" w16cid:durableId="1046180377">
    <w:abstractNumId w:val="2"/>
  </w:num>
  <w:num w:numId="3" w16cid:durableId="201703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35E88"/>
    <w:rsid w:val="000363D5"/>
    <w:rsid w:val="000572BF"/>
    <w:rsid w:val="00060F55"/>
    <w:rsid w:val="00074402"/>
    <w:rsid w:val="000C24A2"/>
    <w:rsid w:val="000C4105"/>
    <w:rsid w:val="000F4518"/>
    <w:rsid w:val="0014017A"/>
    <w:rsid w:val="001953BD"/>
    <w:rsid w:val="001B5D37"/>
    <w:rsid w:val="001D6F0F"/>
    <w:rsid w:val="001D7C03"/>
    <w:rsid w:val="00216C85"/>
    <w:rsid w:val="002347F5"/>
    <w:rsid w:val="00253533"/>
    <w:rsid w:val="0026393A"/>
    <w:rsid w:val="00273EDD"/>
    <w:rsid w:val="002C3965"/>
    <w:rsid w:val="002D46F4"/>
    <w:rsid w:val="002D634C"/>
    <w:rsid w:val="00320615"/>
    <w:rsid w:val="00321C4C"/>
    <w:rsid w:val="00341286"/>
    <w:rsid w:val="00363F8A"/>
    <w:rsid w:val="00392BBC"/>
    <w:rsid w:val="0039388C"/>
    <w:rsid w:val="003B2879"/>
    <w:rsid w:val="003E3E8F"/>
    <w:rsid w:val="003E4ECF"/>
    <w:rsid w:val="003F361E"/>
    <w:rsid w:val="00424609"/>
    <w:rsid w:val="00493970"/>
    <w:rsid w:val="004A736E"/>
    <w:rsid w:val="004B3C82"/>
    <w:rsid w:val="004D26D5"/>
    <w:rsid w:val="004D577E"/>
    <w:rsid w:val="004F5F04"/>
    <w:rsid w:val="005043C2"/>
    <w:rsid w:val="00504E97"/>
    <w:rsid w:val="00555097"/>
    <w:rsid w:val="005603E6"/>
    <w:rsid w:val="00576271"/>
    <w:rsid w:val="005B1580"/>
    <w:rsid w:val="005C3042"/>
    <w:rsid w:val="005D42C0"/>
    <w:rsid w:val="0062694B"/>
    <w:rsid w:val="00652684"/>
    <w:rsid w:val="0065498C"/>
    <w:rsid w:val="0065624A"/>
    <w:rsid w:val="006925AA"/>
    <w:rsid w:val="006A16B6"/>
    <w:rsid w:val="006A7767"/>
    <w:rsid w:val="006B3DD8"/>
    <w:rsid w:val="00725177"/>
    <w:rsid w:val="007A1B8D"/>
    <w:rsid w:val="007D199B"/>
    <w:rsid w:val="007F11A3"/>
    <w:rsid w:val="00814A9E"/>
    <w:rsid w:val="00875019"/>
    <w:rsid w:val="0089609A"/>
    <w:rsid w:val="008B5CDD"/>
    <w:rsid w:val="008B5D3F"/>
    <w:rsid w:val="008E3943"/>
    <w:rsid w:val="0090040D"/>
    <w:rsid w:val="00933197"/>
    <w:rsid w:val="0093516B"/>
    <w:rsid w:val="00942BC5"/>
    <w:rsid w:val="009578A0"/>
    <w:rsid w:val="00990ABB"/>
    <w:rsid w:val="009D052C"/>
    <w:rsid w:val="009D1D1E"/>
    <w:rsid w:val="009D352A"/>
    <w:rsid w:val="00A0159B"/>
    <w:rsid w:val="00A035FD"/>
    <w:rsid w:val="00A11736"/>
    <w:rsid w:val="00A502E5"/>
    <w:rsid w:val="00A72AF8"/>
    <w:rsid w:val="00AD23A0"/>
    <w:rsid w:val="00B87E75"/>
    <w:rsid w:val="00BC420D"/>
    <w:rsid w:val="00BD08B1"/>
    <w:rsid w:val="00C00416"/>
    <w:rsid w:val="00C51769"/>
    <w:rsid w:val="00C73088"/>
    <w:rsid w:val="00CD33A8"/>
    <w:rsid w:val="00CF73A2"/>
    <w:rsid w:val="00CF776D"/>
    <w:rsid w:val="00D00285"/>
    <w:rsid w:val="00D43F8D"/>
    <w:rsid w:val="00D97D1B"/>
    <w:rsid w:val="00DB5813"/>
    <w:rsid w:val="00E10DB6"/>
    <w:rsid w:val="00E10E0D"/>
    <w:rsid w:val="00E569FD"/>
    <w:rsid w:val="00E620E7"/>
    <w:rsid w:val="00EA5D35"/>
    <w:rsid w:val="00EC426C"/>
    <w:rsid w:val="00EE078E"/>
    <w:rsid w:val="00EE0FEE"/>
    <w:rsid w:val="00F51488"/>
    <w:rsid w:val="00F66E1B"/>
    <w:rsid w:val="00FA78C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9B466142-D3EC-4474-AE3E-90EC7F0FF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00285"/>
    <w:pPr>
      <w:keepNext/>
      <w:keepLines/>
      <w:spacing w:before="240" w:after="0" w:line="360" w:lineRule="auto"/>
      <w:outlineLvl w:val="0"/>
    </w:pPr>
    <w:rPr>
      <w:rFonts w:ascii="Arial" w:eastAsiaTheme="majorEastAsia" w:hAnsi="Arial"/>
      <w:b/>
      <w:sz w:val="2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285"/>
    <w:rPr>
      <w:rFonts w:ascii="Arial" w:eastAsiaTheme="majorEastAsia" w:hAnsi="Arial"/>
      <w:b/>
      <w:sz w:val="2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C73088"/>
    <w:rPr>
      <w:color w:val="0563C1" w:themeColor="hyperlink"/>
      <w:u w:val="single"/>
    </w:rPr>
  </w:style>
  <w:style w:type="character" w:styleId="UnresolvedMention">
    <w:name w:val="Unresolved Mention"/>
    <w:basedOn w:val="DefaultParagraphFont"/>
    <w:uiPriority w:val="99"/>
    <w:semiHidden/>
    <w:unhideWhenUsed/>
    <w:rsid w:val="00C73088"/>
    <w:rPr>
      <w:color w:val="605E5C"/>
      <w:shd w:val="clear" w:color="auto" w:fill="E1DFDD"/>
    </w:rPr>
  </w:style>
  <w:style w:type="paragraph" w:styleId="TOCHeading">
    <w:name w:val="TOC Heading"/>
    <w:basedOn w:val="Heading1"/>
    <w:next w:val="Normal"/>
    <w:uiPriority w:val="39"/>
    <w:unhideWhenUsed/>
    <w:qFormat/>
    <w:rsid w:val="005B1580"/>
    <w:pPr>
      <w:spacing w:line="259" w:lineRule="auto"/>
      <w:outlineLvl w:val="9"/>
    </w:pPr>
    <w:rPr>
      <w:rFonts w:asciiTheme="majorHAnsi" w:hAnsiTheme="majorHAnsi" w:cstheme="majorBidi"/>
      <w:b w:val="0"/>
      <w:color w:val="2F5496" w:themeColor="accent1" w:themeShade="BF"/>
      <w:sz w:val="32"/>
      <w:szCs w:val="32"/>
      <w:lang w:eastAsia="en-GB"/>
    </w:rPr>
  </w:style>
  <w:style w:type="paragraph" w:styleId="TOC1">
    <w:name w:val="toc 1"/>
    <w:basedOn w:val="Normal"/>
    <w:next w:val="Normal"/>
    <w:autoRedefine/>
    <w:uiPriority w:val="39"/>
    <w:unhideWhenUsed/>
    <w:rsid w:val="005B1580"/>
    <w:pPr>
      <w:spacing w:after="100"/>
    </w:pPr>
  </w:style>
  <w:style w:type="character" w:customStyle="1" w:styleId="muibox-root">
    <w:name w:val="muibox-root"/>
    <w:basedOn w:val="DefaultParagraphFont"/>
    <w:rsid w:val="00BD08B1"/>
  </w:style>
  <w:style w:type="character" w:customStyle="1" w:styleId="extn-css-1tmeul0">
    <w:name w:val="extn-css-1tmeul0"/>
    <w:basedOn w:val="DefaultParagraphFont"/>
    <w:rsid w:val="00BD08B1"/>
  </w:style>
  <w:style w:type="character" w:customStyle="1" w:styleId="extn-css-1g9q2al">
    <w:name w:val="extn-css-1g9q2al"/>
    <w:basedOn w:val="DefaultParagraphFont"/>
    <w:rsid w:val="00BD08B1"/>
  </w:style>
  <w:style w:type="character" w:customStyle="1" w:styleId="extn-css-0">
    <w:name w:val="extn-css-0"/>
    <w:basedOn w:val="DefaultParagraphFont"/>
    <w:rsid w:val="00BD08B1"/>
  </w:style>
  <w:style w:type="character" w:customStyle="1" w:styleId="extn-css-10o52y0">
    <w:name w:val="extn-css-10o52y0"/>
    <w:basedOn w:val="DefaultParagraphFont"/>
    <w:rsid w:val="00BD08B1"/>
  </w:style>
  <w:style w:type="character" w:customStyle="1" w:styleId="extn-css-lq4jk2">
    <w:name w:val="extn-css-lq4jk2"/>
    <w:basedOn w:val="DefaultParagraphFont"/>
    <w:rsid w:val="00BD08B1"/>
  </w:style>
  <w:style w:type="character" w:customStyle="1" w:styleId="extn-css-h5d7i9">
    <w:name w:val="extn-css-h5d7i9"/>
    <w:basedOn w:val="DefaultParagraphFont"/>
    <w:rsid w:val="00BD0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4C350-2A41-4B4B-9E76-8316B4335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7</Pages>
  <Words>1743</Words>
  <Characters>9937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diana asare</cp:lastModifiedBy>
  <cp:revision>7</cp:revision>
  <dcterms:created xsi:type="dcterms:W3CDTF">2026-04-17T15:06:00Z</dcterms:created>
  <dcterms:modified xsi:type="dcterms:W3CDTF">2026-04-23T11:01:00Z</dcterms:modified>
</cp:coreProperties>
</file>