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AAAAAA" w:sz="2"/>
              <w:left w:val="single" w:color="AAAAAA" w:sz="2"/>
              <w:bottom w:val="single" w:color="AAAAAA" w:sz="2"/>
              <w:right w:val="single" w:color="AAAAAA" w:sz="2"/>
            </w:tcBorders>
            <w:shd w:fill="004B55" w:val="clear"/>
            <w:tcMar>
              <w:top w:type="dxa" w:w="160"/>
              <w:left w:type="dxa" w:w="240"/>
              <w:bottom w:type="dxa" w:w="160"/>
              <w:right w:type="dxa" w:w="240"/>
            </w:tcMar>
          </w:tcPr>
          <w:p>
            <w:pPr>
              <w:spacing w:after="80" w:before="120"/>
              <w:jc w:val="center"/>
            </w:pPr>
            <w:r>
              <w:rPr>
                <w:rFonts w:ascii="Calibri" w:cs="Calibri" w:eastAsia="Calibri" w:hAnsi="Calibri"/>
                <w:b/>
                <w:bCs/>
                <w:color w:val="C0D8D8"/>
                <w:sz w:val="22"/>
                <w:szCs w:val="22"/>
              </w:rPr>
              <w:t xml:space="preserve">LCDB7007  |  Research Principles and Philosophy</w:t>
            </w:r>
          </w:p>
          <w:p>
            <w:pPr>
              <w:spacing w:after="120" w:before="0"/>
              <w:jc w:val="center"/>
            </w:pPr>
            <w:r>
              <w:rPr>
                <w:rFonts w:ascii="Cambria" w:cs="Cambria" w:eastAsia="Cambria" w:hAnsi="Cambria"/>
                <w:b/>
                <w:bCs/>
                <w:color w:val="C9A84C"/>
                <w:sz w:val="52"/>
                <w:szCs w:val="52"/>
              </w:rPr>
              <w:t xml:space="preserve">Quality in Qualitative Research</w:t>
            </w:r>
          </w:p>
          <w:p>
            <w:pPr>
              <w:spacing w:after="80" w:before="0"/>
              <w:jc w:val="center"/>
            </w:pPr>
            <w:r>
              <w:rPr>
                <w:rFonts w:ascii="Cambria" w:cs="Cambria" w:eastAsia="Cambria" w:hAnsi="Cambria"/>
                <w:color w:val="FFFFFF"/>
                <w:sz w:val="30"/>
                <w:szCs w:val="30"/>
              </w:rPr>
              <w:t xml:space="preserve">Student Reference and Reflection Companion</w:t>
            </w:r>
          </w:p>
          <w:p>
            <w:pPr>
              <w:spacing w:after="120" w:before="60"/>
              <w:jc w:val="center"/>
            </w:pPr>
            <w:r>
              <w:rPr>
                <w:rFonts w:ascii="Calibri" w:cs="Calibri" w:eastAsia="Calibri" w:hAnsi="Calibri"/>
                <w:color w:val="A0C0C0"/>
                <w:sz w:val="20"/>
                <w:szCs w:val="20"/>
              </w:rPr>
              <w:t xml:space="preserve">Dr Caroline Jawad  |  University of Wales Trinity Saint David</w:t>
            </w:r>
          </w:p>
        </w:tc>
      </w:tr>
    </w:tbl>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AAAAAA" w:sz="2"/>
              <w:left w:val="single" w:color="AAAAAA" w:sz="2"/>
              <w:bottom w:val="single" w:color="AAAAAA" w:sz="2"/>
              <w:right w:val="single" w:color="AAAAAA" w:sz="2"/>
            </w:tcBorders>
            <w:shd w:fill="F0F4F4" w:val="clear"/>
            <w:tcMar>
              <w:top w:type="dxa" w:w="160"/>
              <w:left w:type="dxa" w:w="240"/>
              <w:bottom w:type="dxa" w:w="160"/>
              <w:right w:type="dxa" w:w="240"/>
            </w:tcMar>
          </w:tcPr>
          <w:p>
            <w:pPr>
              <w:spacing w:after="120" w:before="60"/>
            </w:pPr>
            <w:r>
              <w:rPr>
                <w:rFonts w:ascii="Calibri" w:cs="Calibri" w:eastAsia="Calibri" w:hAnsi="Calibri"/>
                <w:b/>
                <w:bCs/>
                <w:color w:val="007C8A"/>
                <w:sz w:val="22"/>
                <w:szCs w:val="22"/>
              </w:rPr>
              <w:t xml:space="preserve">How to use this companion: </w:t>
            </w:r>
            <w:r>
              <w:rPr>
                <w:rFonts w:ascii="Calibri" w:cs="Calibri" w:eastAsia="Calibri" w:hAnsi="Calibri"/>
                <w:color w:val="1A1A2E"/>
                <w:sz w:val="22"/>
                <w:szCs w:val="22"/>
              </w:rPr>
              <w:t xml:space="preserve">This document is your reference and reflection resource for the session. It contains the key frameworks, a quality self-assessment for your own pilot study, and write-in reflection spaces for Activities 1 and 4. Activities 2 and 3 have their own separate handouts. Keep this document — the quality self-assessment in Section 5 should become the first draft of your methodology chapter’s trustworthiness section.</w:t>
            </w:r>
          </w:p>
        </w:tc>
      </w:tr>
    </w:tbl>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none"/>
              <w:left w:val="none"/>
              <w:bottom w:val="none"/>
              <w:right w:val="none"/>
            </w:tcBorders>
            <w:shd w:fill="007C8A" w:val="clear"/>
            <w:tcMar>
              <w:top w:type="dxa" w:w="120"/>
              <w:left w:type="dxa" w:w="240"/>
              <w:bottom w:type="dxa" w:w="120"/>
              <w:right w:type="dxa" w:w="240"/>
            </w:tcMar>
          </w:tcPr>
          <w:p>
            <w:pPr>
              <w:spacing w:after="0" w:before="0"/>
            </w:pPr>
            <w:r>
              <w:rPr>
                <w:rFonts w:ascii="Cambria" w:cs="Cambria" w:eastAsia="Cambria" w:hAnsi="Cambria"/>
                <w:b/>
                <w:bCs/>
                <w:color w:val="FFFFFF"/>
                <w:sz w:val="30"/>
                <w:szCs w:val="30"/>
              </w:rPr>
              <w:t xml:space="preserve">1.  Why Quality Matters in Qualitative Research</w:t>
            </w:r>
          </w:p>
        </w:tc>
      </w:tr>
    </w:tbl>
    <w:p>
      <w:pPr>
        <w:spacing w:after="120" w:before="0"/>
      </w:pPr>
      <w:r>
        <w:rPr>
          <w:rFonts w:ascii="Calibri" w:cs="Calibri" w:eastAsia="Calibri" w:hAnsi="Calibri"/>
          <w:color w:val="1A1A2E"/>
          <w:sz w:val="22"/>
          <w:szCs w:val="22"/>
        </w:rPr>
        <w:t xml:space="preserve"/>
      </w:r>
    </w:p>
    <w:p>
      <w:pPr>
        <w:spacing w:after="120" w:before="60"/>
      </w:pPr>
      <w:r>
        <w:rPr>
          <w:rFonts w:ascii="Calibri" w:cs="Calibri" w:eastAsia="Calibri" w:hAnsi="Calibri"/>
          <w:color w:val="1A1A2E"/>
          <w:sz w:val="22"/>
          <w:szCs w:val="22"/>
        </w:rPr>
        <w:t xml:space="preserve">Qualitative research is frequently criticised for lacking scientific rigour, being susceptible to researcher bias, and producing findings that are merely personal opinion. These criticisms are answerable — but answering them is your responsibility as a doctoral researcher. Quality in qualitative research does not mean adopting quantitative criteria: it means demonstrating trustworthiness through specific, documented strategies.</w:t>
      </w:r>
    </w:p>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AAAAAA" w:sz="2"/>
              <w:left w:val="single" w:color="AAAAAA" w:sz="2"/>
              <w:bottom w:val="single" w:color="AAAAAA" w:sz="2"/>
              <w:right w:val="single" w:color="AAAAAA" w:sz="2"/>
            </w:tcBorders>
            <w:shd w:fill="F0F4F4" w:val="clear"/>
            <w:tcMar>
              <w:top w:type="dxa" w:w="160"/>
              <w:left w:type="dxa" w:w="240"/>
              <w:bottom w:type="dxa" w:w="160"/>
              <w:right w:type="dxa" w:w="240"/>
            </w:tcMar>
          </w:tcPr>
          <w:p>
            <w:pPr>
              <w:spacing w:after="80" w:before="0"/>
            </w:pPr>
            <w:r>
              <w:rPr>
                <w:rFonts w:ascii="Calibri" w:cs="Calibri" w:eastAsia="Calibri" w:hAnsi="Calibri"/>
                <w:b/>
                <w:bCs/>
                <w:color w:val="004B55"/>
                <w:sz w:val="22"/>
                <w:szCs w:val="22"/>
              </w:rPr>
              <w:t xml:space="preserve">Five common criticisms and their responses</w:t>
            </w:r>
          </w:p>
          <w:p>
            <w:pPr>
              <w:spacing w:after="80" w:before="60"/>
            </w:pPr>
            <w:r>
              <w:rPr>
                <w:rFonts w:ascii="Calibri" w:cs="Calibri" w:eastAsia="Calibri" w:hAnsi="Calibri"/>
                <w:b/>
                <w:bCs/>
                <w:color w:val="007C8A"/>
                <w:sz w:val="22"/>
                <w:szCs w:val="22"/>
              </w:rPr>
              <w:t xml:space="preserve">Lacks scientific rigour: </w:t>
            </w:r>
            <w:r>
              <w:rPr>
                <w:rFonts w:ascii="Calibri" w:cs="Calibri" w:eastAsia="Calibri" w:hAnsi="Calibri"/>
                <w:color w:val="1A1A2E"/>
                <w:sz w:val="22"/>
                <w:szCs w:val="22"/>
              </w:rPr>
              <w:t xml:space="preserve">Document your methodological decisions systematically. An audit trail makes your process visible and evaluable.</w:t>
            </w:r>
          </w:p>
          <w:p>
            <w:pPr>
              <w:spacing w:after="80" w:before="60"/>
            </w:pPr>
            <w:r>
              <w:rPr>
                <w:rFonts w:ascii="Calibri" w:cs="Calibri" w:eastAsia="Calibri" w:hAnsi="Calibri"/>
                <w:b/>
                <w:bCs/>
                <w:color w:val="007C8A"/>
                <w:sz w:val="22"/>
                <w:szCs w:val="22"/>
              </w:rPr>
              <w:t xml:space="preserve">Poor justification of methods: </w:t>
            </w:r>
            <w:r>
              <w:rPr>
                <w:rFonts w:ascii="Calibri" w:cs="Calibri" w:eastAsia="Calibri" w:hAnsi="Calibri"/>
                <w:color w:val="1A1A2E"/>
                <w:sz w:val="22"/>
                <w:szCs w:val="22"/>
              </w:rPr>
              <w:t xml:space="preserve">Explain not only what you did but why — why interviews, why this sample size, why IPA rather than thematic analysis.</w:t>
            </w:r>
          </w:p>
          <w:p>
            <w:pPr>
              <w:spacing w:after="80" w:before="60"/>
            </w:pPr>
            <w:r>
              <w:rPr>
                <w:rFonts w:ascii="Calibri" w:cs="Calibri" w:eastAsia="Calibri" w:hAnsi="Calibri"/>
                <w:b/>
                <w:bCs/>
                <w:color w:val="007C8A"/>
                <w:sz w:val="22"/>
                <w:szCs w:val="22"/>
              </w:rPr>
              <w:t xml:space="preserve">Lack of transparency: </w:t>
            </w:r>
            <w:r>
              <w:rPr>
                <w:rFonts w:ascii="Calibri" w:cs="Calibri" w:eastAsia="Calibri" w:hAnsi="Calibri"/>
                <w:color w:val="1A1A2E"/>
                <w:sz w:val="22"/>
                <w:szCs w:val="22"/>
              </w:rPr>
              <w:t xml:space="preserve">A confirmability audit trail and reflexive journal allow readers to follow your reasoning.</w:t>
            </w:r>
          </w:p>
          <w:p>
            <w:pPr>
              <w:spacing w:after="80" w:before="60"/>
            </w:pPr>
            <w:r>
              <w:rPr>
                <w:rFonts w:ascii="Calibri" w:cs="Calibri" w:eastAsia="Calibri" w:hAnsi="Calibri"/>
                <w:b/>
                <w:bCs/>
                <w:color w:val="007C8A"/>
                <w:sz w:val="22"/>
                <w:szCs w:val="22"/>
              </w:rPr>
              <w:t xml:space="preserve">Findings as personal opinion: </w:t>
            </w:r>
            <w:r>
              <w:rPr>
                <w:rFonts w:ascii="Calibri" w:cs="Calibri" w:eastAsia="Calibri" w:hAnsi="Calibri"/>
                <w:color w:val="1A1A2E"/>
                <w:sz w:val="22"/>
                <w:szCs w:val="22"/>
              </w:rPr>
              <w:t xml:space="preserve">Member checking, negative case analysis and peer debriefing demonstrate that findings emerge from data, not from your preferences.</w:t>
            </w:r>
          </w:p>
          <w:p>
            <w:pPr>
              <w:spacing w:after="80" w:before="60"/>
            </w:pPr>
            <w:r>
              <w:rPr>
                <w:rFonts w:ascii="Calibri" w:cs="Calibri" w:eastAsia="Calibri" w:hAnsi="Calibri"/>
                <w:b/>
                <w:bCs/>
                <w:color w:val="007C8A"/>
                <w:sz w:val="22"/>
                <w:szCs w:val="22"/>
              </w:rPr>
              <w:t xml:space="preserve">Researcher bias: </w:t>
            </w:r>
            <w:r>
              <w:rPr>
                <w:rFonts w:ascii="Calibri" w:cs="Calibri" w:eastAsia="Calibri" w:hAnsi="Calibri"/>
                <w:color w:val="1A1A2E"/>
                <w:sz w:val="22"/>
                <w:szCs w:val="22"/>
              </w:rPr>
              <w:t xml:space="preserve">Name it, document it, manage it. Reflexivity and bracketing are not optional extras — they are core quality strategies.</w:t>
            </w:r>
          </w:p>
        </w:tc>
      </w:tr>
    </w:tbl>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D4820A" w:sz="2"/>
              <w:left w:val="single" w:color="D4820A" w:sz="2"/>
              <w:bottom w:val="single" w:color="D4820A" w:sz="2"/>
              <w:right w:val="single" w:color="D4820A" w:sz="2"/>
            </w:tcBorders>
            <w:shd w:fill="FFF8EC" w:val="clear"/>
            <w:tcMar>
              <w:top w:type="dxa" w:w="160"/>
              <w:left w:type="dxa" w:w="240"/>
              <w:bottom w:type="dxa" w:w="160"/>
              <w:right w:type="dxa" w:w="240"/>
            </w:tcMar>
          </w:tcPr>
          <w:p>
            <w:pPr>
              <w:spacing w:after="80" w:before="0"/>
            </w:pPr>
            <w:r>
              <w:rPr>
                <w:rFonts w:ascii="Cambria" w:cs="Cambria" w:eastAsia="Cambria" w:hAnsi="Cambria"/>
                <w:b/>
                <w:bCs/>
                <w:color w:val="D4820A"/>
                <w:sz w:val="24"/>
                <w:szCs w:val="24"/>
              </w:rPr>
              <w:t xml:space="preserve">Activity 1 reflection — your notes</w:t>
            </w:r>
          </w:p>
          <w:p>
            <w:pPr>
              <w:spacing w:after="120" w:before="60"/>
            </w:pPr>
            <w:r>
              <w:rPr>
                <w:rFonts w:ascii="Calibri" w:cs="Calibri" w:eastAsia="Calibri" w:hAnsi="Calibri"/>
                <w:color w:val="1A1A2E"/>
                <w:sz w:val="22"/>
                <w:szCs w:val="22"/>
              </w:rPr>
              <w:t xml:space="preserve">After completing Activity 1, record your three qualities here and note which framework they map onto. Return to these notes at the end of the session.</w:t>
            </w:r>
          </w:p>
          <w:p>
            <w:pPr>
              <w:spacing w:after="120" w:before="0"/>
            </w:pPr>
            <w:r>
              <w:rPr>
                <w:rFonts w:ascii="Calibri" w:cs="Calibri" w:eastAsia="Calibri" w:hAnsi="Calibri"/>
                <w:color w:val="1A1A2E"/>
                <w:sz w:val="22"/>
                <w:szCs w:val="22"/>
              </w:rPr>
              <w:t xml:space="preserve"/>
            </w:r>
          </w:p>
          <w:p>
            <w:pPr>
              <w:spacing w:after="120" w:before="60"/>
            </w:pPr>
            <w:r>
              <w:rPr>
                <w:rFonts w:ascii="Calibri" w:cs="Calibri" w:eastAsia="Calibri" w:hAnsi="Calibri"/>
                <w:b/>
                <w:bCs/>
                <w:color w:val="1A1A2E"/>
                <w:sz w:val="22"/>
                <w:szCs w:val="22"/>
              </w:rPr>
              <w:t xml:space="preserve">My three qualities:</w:t>
            </w:r>
          </w:p>
          <w:p>
            <w:pPr>
              <w:pBdr>
                <w:bottom w:val="single" w:color="CCCCCC" w:sz="4"/>
              </w:pBdr>
              <w:spacing w:after="4" w:before="0"/>
            </w:pPr>
            <w:r>
              <w:rPr>
                <w:rFonts w:ascii="Calibri" w:cs="Calibri" w:eastAsia="Calibri" w:hAnsi="Calibri"/>
                <w:color w:val="1A1A2E"/>
                <w:sz w:val="22"/>
                <w:szCs w:val="22"/>
              </w:rPr>
              <w:t xml:space="preserve"> </w:t>
            </w:r>
          </w:p>
          <w:p>
            <w:pPr>
              <w:spacing w:after="120" w:before="0"/>
            </w:pPr>
            <w:r>
              <w:rPr>
                <w:rFonts w:ascii="Calibri" w:cs="Calibri" w:eastAsia="Calibri" w:hAnsi="Calibri"/>
                <w:color w:val="1A1A2E"/>
                <w:sz w:val="22"/>
                <w:szCs w:val="22"/>
              </w:rPr>
              <w:t xml:space="preserve"/>
            </w:r>
          </w:p>
          <w:p>
            <w:pPr>
              <w:pBdr>
                <w:bottom w:val="single" w:color="CCCCCC" w:sz="4"/>
              </w:pBdr>
              <w:spacing w:after="4" w:before="0"/>
            </w:pPr>
            <w:r>
              <w:rPr>
                <w:rFonts w:ascii="Calibri" w:cs="Calibri" w:eastAsia="Calibri" w:hAnsi="Calibri"/>
                <w:color w:val="1A1A2E"/>
                <w:sz w:val="22"/>
                <w:szCs w:val="22"/>
              </w:rPr>
              <w:t xml:space="preserve"> </w:t>
            </w:r>
          </w:p>
          <w:p>
            <w:pPr>
              <w:spacing w:after="120" w:before="0"/>
            </w:pPr>
            <w:r>
              <w:rPr>
                <w:rFonts w:ascii="Calibri" w:cs="Calibri" w:eastAsia="Calibri" w:hAnsi="Calibri"/>
                <w:color w:val="1A1A2E"/>
                <w:sz w:val="22"/>
                <w:szCs w:val="22"/>
              </w:rPr>
              <w:t xml:space="preserve"/>
            </w:r>
          </w:p>
          <w:p>
            <w:pPr>
              <w:pBdr>
                <w:bottom w:val="single" w:color="CCCCCC" w:sz="4"/>
              </w:pBdr>
              <w:spacing w:after="4" w:before="0"/>
            </w:pPr>
            <w:r>
              <w:rPr>
                <w:rFonts w:ascii="Calibri" w:cs="Calibri" w:eastAsia="Calibri" w:hAnsi="Calibri"/>
                <w:color w:val="1A1A2E"/>
                <w:sz w:val="22"/>
                <w:szCs w:val="22"/>
              </w:rPr>
              <w:t xml:space="preserve"> </w:t>
            </w:r>
          </w:p>
          <w:p>
            <w:pPr>
              <w:spacing w:after="120" w:before="0"/>
            </w:pPr>
            <w:r>
              <w:rPr>
                <w:rFonts w:ascii="Calibri" w:cs="Calibri" w:eastAsia="Calibri" w:hAnsi="Calibri"/>
                <w:color w:val="1A1A2E"/>
                <w:sz w:val="22"/>
                <w:szCs w:val="22"/>
              </w:rPr>
              <w:t xml:space="preserve"/>
            </w:r>
          </w:p>
          <w:p>
            <w:pPr>
              <w:spacing w:after="120" w:before="60"/>
            </w:pPr>
            <w:r>
              <w:rPr>
                <w:rFonts w:ascii="Calibri" w:cs="Calibri" w:eastAsia="Calibri" w:hAnsi="Calibri"/>
                <w:b/>
                <w:bCs/>
                <w:color w:val="1A1A2E"/>
                <w:sz w:val="22"/>
                <w:szCs w:val="22"/>
              </w:rPr>
              <w:t xml:space="preserve">Where they sit in the qualitative/quantitative world:</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spacing w:after="120" w:before="0"/>
            </w:pPr>
            <w:r>
              <w:rPr>
                <w:rFonts w:ascii="Calibri" w:cs="Calibri" w:eastAsia="Calibri" w:hAnsi="Calibri"/>
                <w:color w:val="1A1A2E"/>
                <w:sz w:val="22"/>
                <w:szCs w:val="22"/>
              </w:rPr>
              <w:t xml:space="preserve"/>
            </w:r>
          </w:p>
          <w:p>
            <w:pPr>
              <w:spacing w:after="120" w:before="60"/>
            </w:pPr>
            <w:r>
              <w:rPr>
                <w:rFonts w:ascii="Calibri" w:cs="Calibri" w:eastAsia="Calibri" w:hAnsi="Calibri"/>
                <w:b/>
                <w:bCs/>
                <w:color w:val="1A1A2E"/>
                <w:sz w:val="22"/>
                <w:szCs w:val="22"/>
              </w:rPr>
              <w:t xml:space="preserve">What changed in my thinking by the end of the session:</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r>
    </w:tbl>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none"/>
              <w:left w:val="none"/>
              <w:bottom w:val="none"/>
              <w:right w:val="none"/>
            </w:tcBorders>
            <w:shd w:fill="007C8A" w:val="clear"/>
            <w:tcMar>
              <w:top w:type="dxa" w:w="120"/>
              <w:left w:type="dxa" w:w="240"/>
              <w:bottom w:type="dxa" w:w="120"/>
              <w:right w:type="dxa" w:w="240"/>
            </w:tcMar>
          </w:tcPr>
          <w:p>
            <w:pPr>
              <w:spacing w:after="0" w:before="0"/>
            </w:pPr>
            <w:r>
              <w:rPr>
                <w:rFonts w:ascii="Cambria" w:cs="Cambria" w:eastAsia="Cambria" w:hAnsi="Cambria"/>
                <w:b/>
                <w:bCs/>
                <w:color w:val="FFFFFF"/>
                <w:sz w:val="30"/>
                <w:szCs w:val="30"/>
              </w:rPr>
              <w:t xml:space="preserve">2.  Lincoln and Guba’s Four Trustworthiness Criteria</w:t>
            </w:r>
          </w:p>
        </w:tc>
      </w:tr>
    </w:tbl>
    <w:p>
      <w:pPr>
        <w:spacing w:after="120" w:before="0"/>
      </w:pPr>
      <w:r>
        <w:rPr>
          <w:rFonts w:ascii="Calibri" w:cs="Calibri" w:eastAsia="Calibri" w:hAnsi="Calibri"/>
          <w:color w:val="1A1A2E"/>
          <w:sz w:val="22"/>
          <w:szCs w:val="22"/>
        </w:rPr>
        <w:t xml:space="preserve"/>
      </w:r>
    </w:p>
    <w:p>
      <w:pPr>
        <w:spacing w:after="120" w:before="60"/>
      </w:pPr>
      <w:r>
        <w:rPr>
          <w:rFonts w:ascii="Calibri" w:cs="Calibri" w:eastAsia="Calibri" w:hAnsi="Calibri"/>
          <w:color w:val="1A1A2E"/>
          <w:sz w:val="22"/>
          <w:szCs w:val="22"/>
        </w:rPr>
        <w:t xml:space="preserve">Lincoln and Guba (1985) proposed four parallel criteria as the qualitative equivalent of rigour. These are the doctoral standard. Enworo (2023) confirmed they apply across diverse contexts, including non-Western and ethnographic research settings. Each criterion is a question your methodology chapter must be able to answer.</w:t>
      </w:r>
    </w:p>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2200"/>
        <w:gridCol w:w="1400"/>
        <w:gridCol w:w="5426"/>
      </w:tblGrid>
      <w:tr>
        <w:tc>
          <w:tcPr>
            <w:tcW w:type="dxa" w:w="2200"/>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Criterion</w:t>
            </w:r>
          </w:p>
        </w:tc>
        <w:tc>
          <w:tcPr>
            <w:tcW w:type="dxa" w:w="1400"/>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Parallel concept</w:t>
            </w:r>
          </w:p>
        </w:tc>
        <w:tc>
          <w:tcPr>
            <w:tcW w:type="dxa" w:w="5426"/>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Core question</w:t>
            </w:r>
          </w:p>
        </w:tc>
      </w:tr>
      <w:tr>
        <w:tc>
          <w:tcPr>
            <w:tcW w:type="dxa" w:w="22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Credibility</w:t>
            </w:r>
          </w:p>
        </w:tc>
        <w:tc>
          <w:tcPr>
            <w:tcW w:type="dxa" w:w="14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Internal validity</w:t>
            </w:r>
          </w:p>
        </w:tc>
        <w:tc>
          <w:tcPr>
            <w:tcW w:type="dxa" w:w="5426"/>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Are my findings a true and accurate reflection of participants’ realities?</w:t>
            </w:r>
          </w:p>
        </w:tc>
      </w:tr>
      <w:tr>
        <w:tc>
          <w:tcPr>
            <w:tcW w:type="dxa" w:w="22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Transferability</w:t>
            </w:r>
          </w:p>
        </w:tc>
        <w:tc>
          <w:tcPr>
            <w:tcW w:type="dxa" w:w="14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External validity</w:t>
            </w:r>
          </w:p>
        </w:tc>
        <w:tc>
          <w:tcPr>
            <w:tcW w:type="dxa" w:w="54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Have I provided enough contextual information for readers to judge whether findings apply to their setting?</w:t>
            </w:r>
          </w:p>
        </w:tc>
      </w:tr>
      <w:tr>
        <w:tc>
          <w:tcPr>
            <w:tcW w:type="dxa" w:w="22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Dependability</w:t>
            </w:r>
          </w:p>
        </w:tc>
        <w:tc>
          <w:tcPr>
            <w:tcW w:type="dxa" w:w="14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Reliability</w:t>
            </w:r>
          </w:p>
        </w:tc>
        <w:tc>
          <w:tcPr>
            <w:tcW w:type="dxa" w:w="5426"/>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Is my research process documented thoroughly enough that another researcher could follow my steps?</w:t>
            </w:r>
          </w:p>
        </w:tc>
      </w:tr>
      <w:tr>
        <w:tc>
          <w:tcPr>
            <w:tcW w:type="dxa" w:w="22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Confirmability</w:t>
            </w:r>
          </w:p>
        </w:tc>
        <w:tc>
          <w:tcPr>
            <w:tcW w:type="dxa" w:w="14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Objectivity</w:t>
            </w:r>
          </w:p>
        </w:tc>
        <w:tc>
          <w:tcPr>
            <w:tcW w:type="dxa" w:w="54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color w:val="1A1A2E"/>
                <w:sz w:val="22"/>
                <w:szCs w:val="22"/>
              </w:rPr>
              <w:t xml:space="preserve">Are my findings shaped by the data rather than by my own preconceptions and values?</w:t>
            </w:r>
          </w:p>
        </w:tc>
      </w:tr>
    </w:tbl>
    <w:p>
      <w:pPr>
        <w:spacing w:after="120" w:before="0"/>
      </w:pPr>
      <w:r>
        <w:rPr>
          <w:rFonts w:ascii="Calibri" w:cs="Calibri" w:eastAsia="Calibri" w:hAnsi="Calibri"/>
          <w:color w:val="1A1A2E"/>
          <w:sz w:val="22"/>
          <w:szCs w:val="22"/>
        </w:rPr>
        <w:t xml:space="preserve"/>
      </w:r>
    </w:p>
    <w:p>
      <w:pPr>
        <w:pStyle w:val="Heading2"/>
        <w:spacing w:after="120" w:before="240"/>
      </w:pPr>
      <w:r>
        <w:rPr>
          <w:rFonts w:ascii="Cambria" w:cs="Cambria" w:eastAsia="Cambria" w:hAnsi="Cambria"/>
          <w:b/>
          <w:bCs/>
          <w:color w:val="007C8A"/>
          <w:sz w:val="26"/>
          <w:szCs w:val="26"/>
        </w:rPr>
        <w:t xml:space="preserve">Key techniques by criterion</w:t>
      </w:r>
    </w:p>
    <w:p>
      <w:pPr>
        <w:spacing w:after="80" w:before="60"/>
      </w:pPr>
      <w:r>
        <w:rPr>
          <w:rFonts w:ascii="Calibri" w:cs="Calibri" w:eastAsia="Calibri" w:hAnsi="Calibri"/>
          <w:b/>
          <w:bCs/>
          <w:color w:val="007C8A"/>
          <w:sz w:val="22"/>
          <w:szCs w:val="22"/>
        </w:rPr>
        <w:t xml:space="preserve">Credibility: </w:t>
      </w:r>
      <w:r>
        <w:rPr>
          <w:rFonts w:ascii="Calibri" w:cs="Calibri" w:eastAsia="Calibri" w:hAnsi="Calibri"/>
          <w:color w:val="1A1A2E"/>
          <w:sz w:val="22"/>
          <w:szCs w:val="22"/>
        </w:rPr>
        <w:t xml:space="preserve">Prolonged engagement; persistent observation; triangulation of sources/methods/analysts; peer debriefing; negative case analysis; member checking; referential adequacy</w:t>
      </w:r>
    </w:p>
    <w:p>
      <w:pPr>
        <w:spacing w:after="80" w:before="60"/>
      </w:pPr>
      <w:r>
        <w:rPr>
          <w:rFonts w:ascii="Calibri" w:cs="Calibri" w:eastAsia="Calibri" w:hAnsi="Calibri"/>
          <w:b/>
          <w:bCs/>
          <w:color w:val="007C8A"/>
          <w:sz w:val="22"/>
          <w:szCs w:val="22"/>
        </w:rPr>
        <w:t xml:space="preserve">Transferability: </w:t>
      </w:r>
      <w:r>
        <w:rPr>
          <w:rFonts w:ascii="Calibri" w:cs="Calibri" w:eastAsia="Calibri" w:hAnsi="Calibri"/>
          <w:color w:val="1A1A2E"/>
          <w:sz w:val="22"/>
          <w:szCs w:val="22"/>
        </w:rPr>
        <w:t xml:space="preserve">Thick description of context, participants and setting; purposive sampling rationale; explicit statement of what cannot be transferred</w:t>
      </w:r>
    </w:p>
    <w:p>
      <w:pPr>
        <w:spacing w:after="80" w:before="60"/>
      </w:pPr>
      <w:r>
        <w:rPr>
          <w:rFonts w:ascii="Calibri" w:cs="Calibri" w:eastAsia="Calibri" w:hAnsi="Calibri"/>
          <w:b/>
          <w:bCs/>
          <w:color w:val="007C8A"/>
          <w:sz w:val="22"/>
          <w:szCs w:val="22"/>
        </w:rPr>
        <w:t xml:space="preserve">Dependability: </w:t>
      </w:r>
      <w:r>
        <w:rPr>
          <w:rFonts w:ascii="Calibri" w:cs="Calibri" w:eastAsia="Calibri" w:hAnsi="Calibri"/>
          <w:color w:val="1A1A2E"/>
          <w:sz w:val="22"/>
          <w:szCs w:val="22"/>
        </w:rPr>
        <w:t xml:space="preserve">Audit trail of all methodological decisions; documentation of design changes; code-recode strategy; stepwise replication if team-based</w:t>
      </w:r>
    </w:p>
    <w:p>
      <w:pPr>
        <w:spacing w:after="80" w:before="60"/>
      </w:pPr>
      <w:r>
        <w:rPr>
          <w:rFonts w:ascii="Calibri" w:cs="Calibri" w:eastAsia="Calibri" w:hAnsi="Calibri"/>
          <w:b/>
          <w:bCs/>
          <w:color w:val="007C8A"/>
          <w:sz w:val="22"/>
          <w:szCs w:val="22"/>
        </w:rPr>
        <w:t xml:space="preserve">Confirmability: </w:t>
      </w:r>
      <w:r>
        <w:rPr>
          <w:rFonts w:ascii="Calibri" w:cs="Calibri" w:eastAsia="Calibri" w:hAnsi="Calibri"/>
          <w:color w:val="1A1A2E"/>
          <w:sz w:val="22"/>
          <w:szCs w:val="22"/>
        </w:rPr>
        <w:t xml:space="preserve">Reflexive journal maintained throughout; positionality statement; bracketing exercise before fieldwork; confirmability audit; triangulation to reduce investigator bias</w:t>
      </w:r>
    </w:p>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B91C1C" w:sz="2"/>
              <w:left w:val="single" w:color="B91C1C" w:sz="2"/>
              <w:bottom w:val="single" w:color="B91C1C" w:sz="2"/>
              <w:right w:val="single" w:color="B91C1C" w:sz="2"/>
            </w:tcBorders>
            <w:shd w:fill="FEE2E2" w:val="clear"/>
            <w:tcMar>
              <w:top w:type="dxa" w:w="160"/>
              <w:left w:type="dxa" w:w="240"/>
              <w:bottom w:type="dxa" w:w="160"/>
              <w:right w:type="dxa" w:w="240"/>
            </w:tcMar>
          </w:tcPr>
          <w:p>
            <w:pPr>
              <w:spacing w:after="80" w:before="0"/>
            </w:pPr>
            <w:r>
              <w:rPr>
                <w:rFonts w:ascii="Cambria" w:cs="Cambria" w:eastAsia="Cambria" w:hAnsi="Cambria"/>
                <w:b/>
                <w:bCs/>
                <w:color w:val="B91C1C"/>
                <w:sz w:val="24"/>
                <w:szCs w:val="24"/>
              </w:rPr>
              <w:t xml:space="preserve">A critical reminder</w:t>
            </w:r>
          </w:p>
          <w:p>
            <w:pPr>
              <w:spacing w:after="120" w:before="60"/>
            </w:pPr>
            <w:r>
              <w:rPr>
                <w:rFonts w:ascii="Calibri" w:cs="Calibri" w:eastAsia="Calibri" w:hAnsi="Calibri"/>
                <w:b/>
                <w:bCs/>
                <w:color w:val="1A1A2E"/>
                <w:sz w:val="22"/>
                <w:szCs w:val="22"/>
              </w:rPr>
              <w:t xml:space="preserve">A pilot study is not a rehearsal for quality. It is quality in miniature. </w:t>
            </w:r>
            <w:r>
              <w:rPr>
                <w:rFonts w:ascii="Calibri" w:cs="Calibri" w:eastAsia="Calibri" w:hAnsi="Calibri"/>
                <w:color w:val="1A1A2E"/>
                <w:sz w:val="22"/>
                <w:szCs w:val="22"/>
              </w:rPr>
              <w:t xml:space="preserve">The standard does not lower because the sample is smaller. Member checking is still required. A positionality statement is still required. An audit trail is still required. What differs is scale, not standard.</w:t>
            </w:r>
          </w:p>
        </w:tc>
      </w:tr>
    </w:tbl>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none"/>
              <w:left w:val="none"/>
              <w:bottom w:val="none"/>
              <w:right w:val="none"/>
            </w:tcBorders>
            <w:shd w:fill="007C8A" w:val="clear"/>
            <w:tcMar>
              <w:top w:type="dxa" w:w="120"/>
              <w:left w:type="dxa" w:w="240"/>
              <w:bottom w:type="dxa" w:w="120"/>
              <w:right w:type="dxa" w:w="240"/>
            </w:tcMar>
          </w:tcPr>
          <w:p>
            <w:pPr>
              <w:spacing w:after="0" w:before="0"/>
            </w:pPr>
            <w:r>
              <w:rPr>
                <w:rFonts w:ascii="Cambria" w:cs="Cambria" w:eastAsia="Cambria" w:hAnsi="Cambria"/>
                <w:b/>
                <w:bCs/>
                <w:color w:val="FFFFFF"/>
                <w:sz w:val="30"/>
                <w:szCs w:val="30"/>
              </w:rPr>
              <w:t xml:space="preserve">3.  Researcher Bias — Four Phases of Impact</w:t>
            </w:r>
          </w:p>
        </w:tc>
      </w:tr>
    </w:tbl>
    <w:p>
      <w:pPr>
        <w:spacing w:after="120" w:before="0"/>
      </w:pPr>
      <w:r>
        <w:rPr>
          <w:rFonts w:ascii="Calibri" w:cs="Calibri" w:eastAsia="Calibri" w:hAnsi="Calibri"/>
          <w:color w:val="1A1A2E"/>
          <w:sz w:val="22"/>
          <w:szCs w:val="22"/>
        </w:rPr>
        <w:t xml:space="preserve"/>
      </w:r>
    </w:p>
    <w:p>
      <w:pPr>
        <w:spacing w:after="120" w:before="60"/>
      </w:pPr>
      <w:r>
        <w:rPr>
          <w:rFonts w:ascii="Calibri" w:cs="Calibri" w:eastAsia="Calibri" w:hAnsi="Calibri"/>
          <w:color w:val="1A1A2E"/>
          <w:sz w:val="22"/>
          <w:szCs w:val="22"/>
        </w:rPr>
        <w:t xml:space="preserve">Bias exists in all research. It cannot be eliminated; it can only be named, managed and declared. Patton (1999) identified four phases of the research process where bias is most likely to enter.</w:t>
      </w:r>
    </w:p>
    <w:p>
      <w:pPr>
        <w:spacing w:after="120" w:before="0"/>
      </w:pPr>
      <w:r>
        <w:rPr>
          <w:rFonts w:ascii="Calibri" w:cs="Calibri" w:eastAsia="Calibri" w:hAnsi="Calibri"/>
          <w:color w:val="1A1A2E"/>
          <w:sz w:val="22"/>
          <w:szCs w:val="22"/>
        </w:rPr>
        <w:t xml:space="preserve"/>
      </w:r>
    </w:p>
    <w:p>
      <w:pPr>
        <w:spacing w:after="80" w:before="60"/>
      </w:pPr>
      <w:r>
        <w:rPr>
          <w:rFonts w:ascii="Calibri" w:cs="Calibri" w:eastAsia="Calibri" w:hAnsi="Calibri"/>
          <w:b/>
          <w:bCs/>
          <w:color w:val="007C8A"/>
          <w:sz w:val="22"/>
          <w:szCs w:val="22"/>
        </w:rPr>
        <w:t xml:space="preserve">1. Design phase: </w:t>
      </w:r>
      <w:r>
        <w:rPr>
          <w:rFonts w:ascii="Calibri" w:cs="Calibri" w:eastAsia="Calibri" w:hAnsi="Calibri"/>
          <w:color w:val="1A1A2E"/>
          <w:sz w:val="22"/>
          <w:szCs w:val="22"/>
        </w:rPr>
        <w:t xml:space="preserve">Topic selection and question framing may reflect preexisting beliefs. Sampling decisions can skew toward confirming preconceptions. The choice of method may favour approaches that support existing views.</w:t>
      </w:r>
    </w:p>
    <w:p>
      <w:pPr>
        <w:spacing w:after="80" w:before="60"/>
      </w:pPr>
      <w:r>
        <w:rPr>
          <w:rFonts w:ascii="Calibri" w:cs="Calibri" w:eastAsia="Calibri" w:hAnsi="Calibri"/>
          <w:b/>
          <w:bCs/>
          <w:color w:val="007C8A"/>
          <w:sz w:val="22"/>
          <w:szCs w:val="22"/>
        </w:rPr>
        <w:t xml:space="preserve">2. Data collection phase: </w:t>
      </w:r>
      <w:r>
        <w:rPr>
          <w:rFonts w:ascii="Calibri" w:cs="Calibri" w:eastAsia="Calibri" w:hAnsi="Calibri"/>
          <w:color w:val="1A1A2E"/>
          <w:sz w:val="22"/>
          <w:szCs w:val="22"/>
        </w:rPr>
        <w:t xml:space="preserve">Reactivity: participants change their behaviour because the researcher is present. Question-wording bias: leading questions steer participants toward expected answers. Selective attention to confirming data.</w:t>
      </w:r>
    </w:p>
    <w:p>
      <w:pPr>
        <w:spacing w:after="80" w:before="60"/>
      </w:pPr>
      <w:r>
        <w:rPr>
          <w:rFonts w:ascii="Calibri" w:cs="Calibri" w:eastAsia="Calibri" w:hAnsi="Calibri"/>
          <w:b/>
          <w:bCs/>
          <w:color w:val="007C8A"/>
          <w:sz w:val="22"/>
          <w:szCs w:val="22"/>
        </w:rPr>
        <w:t xml:space="preserve">3. Analysis phase: </w:t>
      </w:r>
      <w:r>
        <w:rPr>
          <w:rFonts w:ascii="Calibri" w:cs="Calibri" w:eastAsia="Calibri" w:hAnsi="Calibri"/>
          <w:color w:val="1A1A2E"/>
          <w:sz w:val="22"/>
          <w:szCs w:val="22"/>
        </w:rPr>
        <w:t xml:space="preserve">Confirmation bias in pattern recognition. Over-emphasis on data that fits the emerging picture. Failure to pursue rival explanations or examine negative cases.</w:t>
      </w:r>
    </w:p>
    <w:p>
      <w:pPr>
        <w:spacing w:after="80" w:before="60"/>
      </w:pPr>
      <w:r>
        <w:rPr>
          <w:rFonts w:ascii="Calibri" w:cs="Calibri" w:eastAsia="Calibri" w:hAnsi="Calibri"/>
          <w:b/>
          <w:bCs/>
          <w:color w:val="007C8A"/>
          <w:sz w:val="22"/>
          <w:szCs w:val="22"/>
        </w:rPr>
        <w:t xml:space="preserve">4. Reporting phase: </w:t>
      </w:r>
      <w:r>
        <w:rPr>
          <w:rFonts w:ascii="Calibri" w:cs="Calibri" w:eastAsia="Calibri" w:hAnsi="Calibri"/>
          <w:color w:val="1A1A2E"/>
          <w:sz w:val="22"/>
          <w:szCs w:val="22"/>
        </w:rPr>
        <w:t xml:space="preserve">Selective reporting of confirmatory findings. Under-reporting of contradictions. Presenting interpretations as more definitive than the evidence warrants.</w:t>
      </w:r>
    </w:p>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AAAAAA" w:sz="2"/>
              <w:left w:val="single" w:color="AAAAAA" w:sz="2"/>
              <w:bottom w:val="single" w:color="AAAAAA" w:sz="2"/>
              <w:right w:val="single" w:color="AAAAAA" w:sz="2"/>
            </w:tcBorders>
            <w:shd w:fill="F0F4F4" w:val="clear"/>
            <w:tcMar>
              <w:top w:type="dxa" w:w="160"/>
              <w:left w:type="dxa" w:w="240"/>
              <w:bottom w:type="dxa" w:w="160"/>
              <w:right w:type="dxa" w:w="240"/>
            </w:tcMar>
          </w:tcPr>
          <w:p>
            <w:pPr>
              <w:spacing w:after="80" w:before="0"/>
            </w:pPr>
            <w:r>
              <w:rPr>
                <w:rFonts w:ascii="Calibri" w:cs="Calibri" w:eastAsia="Calibri" w:hAnsi="Calibri"/>
                <w:b/>
                <w:bCs/>
                <w:color w:val="004B55"/>
                <w:sz w:val="22"/>
                <w:szCs w:val="22"/>
              </w:rPr>
              <w:t xml:space="preserve">Patton’s Three-Dimensional Credibility (1999)</w:t>
            </w:r>
          </w:p>
          <w:p>
            <w:pPr>
              <w:pStyle w:val="ListParagraph"/>
              <w:numPr>
                <w:ilvl w:val="0"/>
                <w:numId w:val="2"/>
              </w:numPr>
              <w:spacing w:after="90" w:before="50"/>
            </w:pPr>
            <w:r>
              <w:rPr>
                <w:rFonts w:ascii="Calibri" w:cs="Calibri" w:eastAsia="Calibri" w:hAnsi="Calibri"/>
                <w:color w:val="1A1A2E"/>
                <w:sz w:val="22"/>
                <w:szCs w:val="22"/>
              </w:rPr>
              <w:t xml:space="preserve">Rigorous methods: high-quality data collection and careful analysis with attention to triangulation.</w:t>
            </w:r>
          </w:p>
          <w:p>
            <w:pPr>
              <w:pStyle w:val="ListParagraph"/>
              <w:numPr>
                <w:ilvl w:val="0"/>
                <w:numId w:val="2"/>
              </w:numPr>
              <w:spacing w:after="90" w:before="50"/>
            </w:pPr>
            <w:r>
              <w:rPr>
                <w:rFonts w:ascii="Calibri" w:cs="Calibri" w:eastAsia="Calibri" w:hAnsi="Calibri"/>
                <w:color w:val="1A1A2E"/>
                <w:sz w:val="22"/>
                <w:szCs w:val="22"/>
              </w:rPr>
              <w:t xml:space="preserve">Researcher credibility: the researcher’s training, experience, track record and honest presentation of self.</w:t>
            </w:r>
          </w:p>
          <w:p>
            <w:pPr>
              <w:pStyle w:val="ListParagraph"/>
              <w:numPr>
                <w:ilvl w:val="0"/>
                <w:numId w:val="2"/>
              </w:numPr>
              <w:spacing w:after="90" w:before="50"/>
            </w:pPr>
            <w:r>
              <w:rPr>
                <w:rFonts w:ascii="Calibri" w:cs="Calibri" w:eastAsia="Calibri" w:hAnsi="Calibri"/>
                <w:color w:val="1A1A2E"/>
                <w:sz w:val="22"/>
                <w:szCs w:val="22"/>
              </w:rPr>
              <w:t xml:space="preserve">Philosophical belief: genuine commitment to the value of qualitative inquiry, including inductive analysis and purposeful sampling.</w:t>
            </w:r>
          </w:p>
        </w:tc>
      </w:tr>
    </w:tbl>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none"/>
              <w:left w:val="none"/>
              <w:bottom w:val="none"/>
              <w:right w:val="none"/>
            </w:tcBorders>
            <w:shd w:fill="007C8A" w:val="clear"/>
            <w:tcMar>
              <w:top w:type="dxa" w:w="120"/>
              <w:left w:type="dxa" w:w="240"/>
              <w:bottom w:type="dxa" w:w="120"/>
              <w:right w:type="dxa" w:w="240"/>
            </w:tcMar>
          </w:tcPr>
          <w:p>
            <w:pPr>
              <w:spacing w:after="0" w:before="0"/>
            </w:pPr>
            <w:r>
              <w:rPr>
                <w:rFonts w:ascii="Cambria" w:cs="Cambria" w:eastAsia="Cambria" w:hAnsi="Cambria"/>
                <w:b/>
                <w:bCs/>
                <w:color w:val="FFFFFF"/>
                <w:sz w:val="30"/>
                <w:szCs w:val="30"/>
              </w:rPr>
              <w:t xml:space="preserve">4.  Whittemore, Chase and Mandle (2001)</w:t>
            </w:r>
          </w:p>
        </w:tc>
      </w:tr>
    </w:tbl>
    <w:p>
      <w:pPr>
        <w:spacing w:after="120" w:before="0"/>
      </w:pPr>
      <w:r>
        <w:rPr>
          <w:rFonts w:ascii="Calibri" w:cs="Calibri" w:eastAsia="Calibri" w:hAnsi="Calibri"/>
          <w:color w:val="1A1A2E"/>
          <w:sz w:val="22"/>
          <w:szCs w:val="22"/>
        </w:rPr>
        <w:t xml:space="preserve"/>
      </w:r>
    </w:p>
    <w:p>
      <w:pPr>
        <w:spacing w:after="120" w:before="60"/>
      </w:pPr>
      <w:r>
        <w:rPr>
          <w:rFonts w:ascii="Calibri" w:cs="Calibri" w:eastAsia="Calibri" w:hAnsi="Calibri"/>
          <w:color w:val="1A1A2E"/>
          <w:sz w:val="22"/>
          <w:szCs w:val="22"/>
        </w:rPr>
        <w:t xml:space="preserve">Whittemore et al. (2001) extend the trustworthiness conversation with primary and secondary criteria. Primary criteria are non-negotiable; secondary criteria provide additional dimensions against which doctoral work is evaluated.</w:t>
      </w:r>
    </w:p>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4400"/>
        <w:gridCol w:w="4626"/>
      </w:tblGrid>
      <w:tr>
        <w:tc>
          <w:tcPr>
            <w:tcW w:type="dxa" w:w="4400"/>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Primary criteria (non-negotiable)</w:t>
            </w:r>
          </w:p>
        </w:tc>
        <w:tc>
          <w:tcPr>
            <w:tcW w:type="dxa" w:w="4626"/>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Secondary criteria (additional quality dimensions)</w:t>
            </w:r>
          </w:p>
        </w:tc>
      </w:tr>
      <w:tr>
        <w:tc>
          <w:tcPr>
            <w:tcW w:type="dxa" w:w="4400"/>
            <w:tcBorders>
              <w:top w:val="single" w:color="CCCCCC" w:sz="1"/>
              <w:left w:val="single" w:color="CCCCCC" w:sz="1"/>
              <w:bottom w:val="single" w:color="CCCCCC" w:sz="1"/>
              <w:right w:val="single" w:color="CCCCCC" w:sz="1"/>
            </w:tcBorders>
            <w:shd w:fill="F0F4F4" w:val="clear"/>
            <w:tcMar>
              <w:top w:type="dxa" w:w="100"/>
              <w:left w:type="dxa" w:w="120"/>
              <w:bottom w:type="dxa" w:w="100"/>
              <w:right w:type="dxa" w:w="120"/>
            </w:tcMar>
          </w:tcPr>
          <w:p>
            <w:pPr>
              <w:spacing w:after="60" w:before="40"/>
            </w:pPr>
            <w:r>
              <w:rPr>
                <w:rFonts w:ascii="Calibri" w:cs="Calibri" w:eastAsia="Calibri" w:hAnsi="Calibri"/>
                <w:b/>
                <w:bCs/>
                <w:color w:val="004B55"/>
                <w:sz w:val="22"/>
                <w:szCs w:val="22"/>
              </w:rPr>
              <w:t xml:space="preserve">Credibility: </w:t>
            </w:r>
            <w:r>
              <w:rPr>
                <w:rFonts w:ascii="Calibri" w:cs="Calibri" w:eastAsia="Calibri" w:hAnsi="Calibri"/>
                <w:color w:val="1A1A2E"/>
                <w:sz w:val="22"/>
                <w:szCs w:val="22"/>
              </w:rPr>
              <w:t xml:space="preserve">Are findings a true and accurate reflection of what participants meant?</w:t>
            </w:r>
          </w:p>
          <w:p>
            <w:pPr>
              <w:spacing w:after="60" w:before="40"/>
            </w:pPr>
            <w:r>
              <w:rPr>
                <w:rFonts w:ascii="Calibri" w:cs="Calibri" w:eastAsia="Calibri" w:hAnsi="Calibri"/>
                <w:b/>
                <w:bCs/>
                <w:color w:val="004B55"/>
                <w:sz w:val="22"/>
                <w:szCs w:val="22"/>
              </w:rPr>
              <w:t xml:space="preserve">Authenticity: </w:t>
            </w:r>
            <w:r>
              <w:rPr>
                <w:rFonts w:ascii="Calibri" w:cs="Calibri" w:eastAsia="Calibri" w:hAnsi="Calibri"/>
                <w:color w:val="1A1A2E"/>
                <w:sz w:val="22"/>
                <w:szCs w:val="22"/>
              </w:rPr>
              <w:t xml:space="preserve">Are different perspectives and voices fairly represented?</w:t>
            </w:r>
          </w:p>
          <w:p>
            <w:pPr>
              <w:spacing w:after="60" w:before="40"/>
            </w:pPr>
            <w:r>
              <w:rPr>
                <w:rFonts w:ascii="Calibri" w:cs="Calibri" w:eastAsia="Calibri" w:hAnsi="Calibri"/>
                <w:b/>
                <w:bCs/>
                <w:color w:val="004B55"/>
                <w:sz w:val="22"/>
                <w:szCs w:val="22"/>
              </w:rPr>
              <w:t xml:space="preserve">Criticality: </w:t>
            </w:r>
            <w:r>
              <w:rPr>
                <w:rFonts w:ascii="Calibri" w:cs="Calibri" w:eastAsia="Calibri" w:hAnsi="Calibri"/>
                <w:color w:val="1A1A2E"/>
                <w:sz w:val="22"/>
                <w:szCs w:val="22"/>
              </w:rPr>
              <w:t xml:space="preserve">Has the research process been carefully and critically examined?</w:t>
            </w:r>
          </w:p>
          <w:p>
            <w:pPr>
              <w:spacing w:after="60" w:before="40"/>
            </w:pPr>
            <w:r>
              <w:rPr>
                <w:rFonts w:ascii="Calibri" w:cs="Calibri" w:eastAsia="Calibri" w:hAnsi="Calibri"/>
                <w:b/>
                <w:bCs/>
                <w:color w:val="004B55"/>
                <w:sz w:val="22"/>
                <w:szCs w:val="22"/>
              </w:rPr>
              <w:t xml:space="preserve">Integrity: </w:t>
            </w:r>
            <w:r>
              <w:rPr>
                <w:rFonts w:ascii="Calibri" w:cs="Calibri" w:eastAsia="Calibri" w:hAnsi="Calibri"/>
                <w:color w:val="1A1A2E"/>
                <w:sz w:val="22"/>
                <w:szCs w:val="22"/>
              </w:rPr>
              <w:t xml:space="preserve">Have the researchers been honest and self-reflective about biases and limitations?</w:t>
            </w:r>
          </w:p>
        </w:tc>
        <w:tc>
          <w:tcPr>
            <w:tcW w:type="dxa" w:w="4626"/>
            <w:tcBorders>
              <w:top w:val="single" w:color="CCCCCC" w:sz="1"/>
              <w:left w:val="single" w:color="CCCCCC" w:sz="1"/>
              <w:bottom w:val="single" w:color="CCCCCC" w:sz="1"/>
              <w:right w:val="single" w:color="CCCCCC" w:sz="1"/>
            </w:tcBorders>
            <w:shd w:fill="FFFFFF" w:val="clear"/>
            <w:tcMar>
              <w:top w:type="dxa" w:w="100"/>
              <w:left w:type="dxa" w:w="120"/>
              <w:bottom w:type="dxa" w:w="100"/>
              <w:right w:type="dxa" w:w="120"/>
            </w:tcMar>
          </w:tcPr>
          <w:p>
            <w:pPr>
              <w:spacing w:after="60" w:before="40"/>
            </w:pPr>
            <w:r>
              <w:rPr>
                <w:rFonts w:ascii="Calibri" w:cs="Calibri" w:eastAsia="Calibri" w:hAnsi="Calibri"/>
                <w:b/>
                <w:bCs/>
                <w:color w:val="007C8A"/>
                <w:sz w:val="22"/>
                <w:szCs w:val="22"/>
              </w:rPr>
              <w:t xml:space="preserve">Explicitness: </w:t>
            </w:r>
            <w:r>
              <w:rPr>
                <w:rFonts w:ascii="Calibri" w:cs="Calibri" w:eastAsia="Calibri" w:hAnsi="Calibri"/>
                <w:color w:val="1A1A2E"/>
                <w:sz w:val="22"/>
                <w:szCs w:val="22"/>
              </w:rPr>
              <w:t xml:space="preserve">Research process and decisions are clearly explained</w:t>
            </w:r>
          </w:p>
          <w:p>
            <w:pPr>
              <w:spacing w:after="60" w:before="40"/>
            </w:pPr>
            <w:r>
              <w:rPr>
                <w:rFonts w:ascii="Calibri" w:cs="Calibri" w:eastAsia="Calibri" w:hAnsi="Calibri"/>
                <w:b/>
                <w:bCs/>
                <w:color w:val="007C8A"/>
                <w:sz w:val="22"/>
                <w:szCs w:val="22"/>
              </w:rPr>
              <w:t xml:space="preserve">Vividness: </w:t>
            </w:r>
            <w:r>
              <w:rPr>
                <w:rFonts w:ascii="Calibri" w:cs="Calibri" w:eastAsia="Calibri" w:hAnsi="Calibri"/>
                <w:color w:val="1A1A2E"/>
                <w:sz w:val="22"/>
                <w:szCs w:val="22"/>
              </w:rPr>
              <w:t xml:space="preserve">Findings are rich, clear and engaging</w:t>
            </w:r>
          </w:p>
          <w:p>
            <w:pPr>
              <w:spacing w:after="60" w:before="40"/>
            </w:pPr>
            <w:r>
              <w:rPr>
                <w:rFonts w:ascii="Calibri" w:cs="Calibri" w:eastAsia="Calibri" w:hAnsi="Calibri"/>
                <w:b/>
                <w:bCs/>
                <w:color w:val="007C8A"/>
                <w:sz w:val="22"/>
                <w:szCs w:val="22"/>
              </w:rPr>
              <w:t xml:space="preserve">Creativity: </w:t>
            </w:r>
            <w:r>
              <w:rPr>
                <w:rFonts w:ascii="Calibri" w:cs="Calibri" w:eastAsia="Calibri" w:hAnsi="Calibri"/>
                <w:color w:val="1A1A2E"/>
                <w:sz w:val="22"/>
                <w:szCs w:val="22"/>
              </w:rPr>
              <w:t xml:space="preserve">Innovative methods enhance understanding</w:t>
            </w:r>
          </w:p>
          <w:p>
            <w:pPr>
              <w:spacing w:after="60" w:before="40"/>
            </w:pPr>
            <w:r>
              <w:rPr>
                <w:rFonts w:ascii="Calibri" w:cs="Calibri" w:eastAsia="Calibri" w:hAnsi="Calibri"/>
                <w:b/>
                <w:bCs/>
                <w:color w:val="007C8A"/>
                <w:sz w:val="22"/>
                <w:szCs w:val="22"/>
              </w:rPr>
              <w:t xml:space="preserve">Thoroughness: </w:t>
            </w:r>
            <w:r>
              <w:rPr>
                <w:rFonts w:ascii="Calibri" w:cs="Calibri" w:eastAsia="Calibri" w:hAnsi="Calibri"/>
                <w:color w:val="1A1A2E"/>
                <w:sz w:val="22"/>
                <w:szCs w:val="22"/>
              </w:rPr>
              <w:t xml:space="preserve">Research is detailed and comprehensive throughout</w:t>
            </w:r>
          </w:p>
          <w:p>
            <w:pPr>
              <w:spacing w:after="60" w:before="40"/>
            </w:pPr>
            <w:r>
              <w:rPr>
                <w:rFonts w:ascii="Calibri" w:cs="Calibri" w:eastAsia="Calibri" w:hAnsi="Calibri"/>
                <w:b/>
                <w:bCs/>
                <w:color w:val="007C8A"/>
                <w:sz w:val="22"/>
                <w:szCs w:val="22"/>
              </w:rPr>
              <w:t xml:space="preserve">Congruence: </w:t>
            </w:r>
            <w:r>
              <w:rPr>
                <w:rFonts w:ascii="Calibri" w:cs="Calibri" w:eastAsia="Calibri" w:hAnsi="Calibri"/>
                <w:color w:val="1A1A2E"/>
                <w:sz w:val="22"/>
                <w:szCs w:val="22"/>
              </w:rPr>
              <w:t xml:space="preserve">Methods and findings align with the research aim</w:t>
            </w:r>
          </w:p>
          <w:p>
            <w:pPr>
              <w:spacing w:after="60" w:before="40"/>
            </w:pPr>
            <w:r>
              <w:rPr>
                <w:rFonts w:ascii="Calibri" w:cs="Calibri" w:eastAsia="Calibri" w:hAnsi="Calibri"/>
                <w:b/>
                <w:bCs/>
                <w:color w:val="007C8A"/>
                <w:sz w:val="22"/>
                <w:szCs w:val="22"/>
              </w:rPr>
              <w:t xml:space="preserve">Sensitivity: </w:t>
            </w:r>
            <w:r>
              <w:rPr>
                <w:rFonts w:ascii="Calibri" w:cs="Calibri" w:eastAsia="Calibri" w:hAnsi="Calibri"/>
                <w:color w:val="1A1A2E"/>
                <w:sz w:val="22"/>
                <w:szCs w:val="22"/>
              </w:rPr>
              <w:t xml:space="preserve">Respectful and considerate towards participants and context</w:t>
            </w:r>
          </w:p>
        </w:tc>
      </w:tr>
    </w:tbl>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none"/>
              <w:left w:val="none"/>
              <w:bottom w:val="none"/>
              <w:right w:val="none"/>
            </w:tcBorders>
            <w:shd w:fill="007C8A" w:val="clear"/>
            <w:tcMar>
              <w:top w:type="dxa" w:w="120"/>
              <w:left w:type="dxa" w:w="240"/>
              <w:bottom w:type="dxa" w:w="120"/>
              <w:right w:type="dxa" w:w="240"/>
            </w:tcMar>
          </w:tcPr>
          <w:p>
            <w:pPr>
              <w:spacing w:after="0" w:before="0"/>
            </w:pPr>
            <w:r>
              <w:rPr>
                <w:rFonts w:ascii="Cambria" w:cs="Cambria" w:eastAsia="Cambria" w:hAnsi="Cambria"/>
                <w:b/>
                <w:bCs/>
                <w:color w:val="FFFFFF"/>
                <w:sz w:val="30"/>
                <w:szCs w:val="30"/>
              </w:rPr>
              <w:t xml:space="preserve">5.  Quality Self-Assessment: Your Own Pilot Study</w:t>
            </w:r>
          </w:p>
        </w:tc>
      </w:tr>
    </w:tbl>
    <w:p>
      <w:pPr>
        <w:spacing w:after="120" w:before="0"/>
      </w:pPr>
      <w:r>
        <w:rPr>
          <w:rFonts w:ascii="Calibri" w:cs="Calibri" w:eastAsia="Calibri" w:hAnsi="Calibri"/>
          <w:color w:val="1A1A2E"/>
          <w:sz w:val="22"/>
          <w:szCs w:val="22"/>
        </w:rPr>
        <w:t xml:space="preserve"/>
      </w:r>
    </w:p>
    <w:p>
      <w:pPr>
        <w:spacing w:after="120" w:before="60"/>
      </w:pPr>
      <w:r>
        <w:rPr>
          <w:rFonts w:ascii="Calibri" w:cs="Calibri" w:eastAsia="Calibri" w:hAnsi="Calibri"/>
          <w:color w:val="1A1A2E"/>
          <w:sz w:val="22"/>
          <w:szCs w:val="22"/>
        </w:rPr>
        <w:t xml:space="preserve">Complete this section after Activity 4. This is the first substantive draft of the quality and trustworthiness section of your methodology chapter. Take it seriously: your supervisor will expect to see evidence of this thinking in your Chapter 3 or methodology appendix.</w:t>
      </w:r>
    </w:p>
    <w:p>
      <w:pPr>
        <w:spacing w:after="120" w:before="0"/>
      </w:pPr>
      <w:r>
        <w:rPr>
          <w:rFonts w:ascii="Calibri" w:cs="Calibri" w:eastAsia="Calibri" w:hAnsi="Calibri"/>
          <w:color w:val="1A1A2E"/>
          <w:sz w:val="22"/>
          <w:szCs w:val="22"/>
        </w:rPr>
        <w:t xml:space="preserve"/>
      </w:r>
    </w:p>
    <w:p>
      <w:pPr>
        <w:pStyle w:val="Heading2"/>
        <w:spacing w:after="120" w:before="240"/>
      </w:pPr>
      <w:r>
        <w:rPr>
          <w:rFonts w:ascii="Cambria" w:cs="Cambria" w:eastAsia="Cambria" w:hAnsi="Cambria"/>
          <w:b/>
          <w:bCs/>
          <w:color w:val="007C8A"/>
          <w:sz w:val="26"/>
          <w:szCs w:val="26"/>
        </w:rPr>
        <w:t xml:space="preserve">5.1  My positionality statement (draft)</w:t>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D4820A" w:sz="2"/>
              <w:left w:val="single" w:color="D4820A" w:sz="2"/>
              <w:bottom w:val="single" w:color="D4820A" w:sz="2"/>
              <w:right w:val="single" w:color="D4820A" w:sz="2"/>
            </w:tcBorders>
            <w:shd w:fill="FFF8EC" w:val="clear"/>
            <w:tcMar>
              <w:top w:type="dxa" w:w="160"/>
              <w:left w:type="dxa" w:w="240"/>
              <w:bottom w:type="dxa" w:w="160"/>
              <w:right w:type="dxa" w:w="240"/>
            </w:tcMar>
          </w:tcPr>
          <w:p>
            <w:pPr>
              <w:spacing w:after="120" w:before="60"/>
            </w:pPr>
            <w:r>
              <w:rPr>
                <w:rFonts w:ascii="Calibri" w:cs="Calibri" w:eastAsia="Calibri" w:hAnsi="Calibri"/>
                <w:color w:val="1A1A2E"/>
                <w:sz w:val="22"/>
                <w:szCs w:val="22"/>
              </w:rPr>
              <w:t xml:space="preserve">A positionality statement should address: your professional and personal background relevant to the topic; what assumptions or expectations you bring to the research; and how you will manage the influence of these on your data collection and analysis. Aim for 150–200 words in your thesis. Draft it here.</w:t>
            </w:r>
          </w:p>
        </w:tc>
      </w:tr>
    </w:tbl>
    <w:p>
      <w:pPr>
        <w:spacing w:after="120" w:before="0"/>
      </w:pPr>
      <w:r>
        <w:rPr>
          <w:rFonts w:ascii="Calibri" w:cs="Calibri" w:eastAsia="Calibri" w:hAnsi="Calibri"/>
          <w:color w:val="1A1A2E"/>
          <w:sz w:val="22"/>
          <w:szCs w:val="22"/>
        </w:rPr>
        <w:t xml:space="preserve"/>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spacing w:after="120" w:before="0"/>
      </w:pPr>
      <w:r>
        <w:rPr>
          <w:rFonts w:ascii="Calibri" w:cs="Calibri" w:eastAsia="Calibri" w:hAnsi="Calibri"/>
          <w:color w:val="1A1A2E"/>
          <w:sz w:val="22"/>
          <w:szCs w:val="22"/>
        </w:rPr>
        <w:t xml:space="preserve"/>
      </w:r>
    </w:p>
    <w:p>
      <w:pPr>
        <w:pStyle w:val="Heading2"/>
        <w:spacing w:after="120" w:before="240"/>
      </w:pPr>
      <w:r>
        <w:rPr>
          <w:rFonts w:ascii="Cambria" w:cs="Cambria" w:eastAsia="Cambria" w:hAnsi="Cambria"/>
          <w:b/>
          <w:bCs/>
          <w:color w:val="007C8A"/>
          <w:sz w:val="26"/>
          <w:szCs w:val="26"/>
        </w:rPr>
        <w:t xml:space="preserve">5.2  My trustworthiness strategy</w:t>
      </w:r>
    </w:p>
    <w:p>
      <w:pPr>
        <w:spacing w:after="120" w:before="60"/>
      </w:pPr>
      <w:r>
        <w:rPr>
          <w:rFonts w:ascii="Calibri" w:cs="Calibri" w:eastAsia="Calibri" w:hAnsi="Calibri"/>
          <w:color w:val="1A1A2E"/>
          <w:sz w:val="22"/>
          <w:szCs w:val="22"/>
        </w:rPr>
        <w:t xml:space="preserve">Rate your current provision for each criterion and specify exactly what you will do. Be concrete: not ‘I will use member checking’ but ‘I will share a summary of themes with participants by email within four weeks of interviewing, and document their responses in my audit trail.’</w:t>
      </w:r>
    </w:p>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2200"/>
        <w:gridCol w:w="1400"/>
        <w:gridCol w:w="5426"/>
      </w:tblGrid>
      <w:tr>
        <w:tc>
          <w:tcPr>
            <w:tcW w:type="dxa" w:w="2200"/>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Criterion</w:t>
            </w:r>
          </w:p>
        </w:tc>
        <w:tc>
          <w:tcPr>
            <w:tcW w:type="dxa" w:w="1400"/>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RAG</w:t>
            </w:r>
          </w:p>
        </w:tc>
        <w:tc>
          <w:tcPr>
            <w:tcW w:type="dxa" w:w="5426"/>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How I will address this in my pilot study</w:t>
            </w:r>
          </w:p>
        </w:tc>
      </w:tr>
      <w:tr>
        <w:tc>
          <w:tcPr>
            <w:tcW w:type="dxa" w:w="22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b/>
                <w:bCs/>
                <w:color w:val="1A1A2E"/>
                <w:sz w:val="22"/>
                <w:szCs w:val="22"/>
              </w:rPr>
              <w:t xml:space="preserve">Credibility</w:t>
            </w:r>
          </w:p>
        </w:tc>
        <w:tc>
          <w:tcPr>
            <w:tcW w:type="dxa" w:w="14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c>
          <w:tcPr>
            <w:tcW w:type="dxa" w:w="54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r>
      <w:tr>
        <w:tc>
          <w:tcPr>
            <w:tcW w:type="dxa" w:w="22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b/>
                <w:bCs/>
                <w:color w:val="1A1A2E"/>
                <w:sz w:val="22"/>
                <w:szCs w:val="22"/>
              </w:rPr>
              <w:t xml:space="preserve">Transferability</w:t>
            </w:r>
          </w:p>
        </w:tc>
        <w:tc>
          <w:tcPr>
            <w:tcW w:type="dxa" w:w="14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c>
          <w:tcPr>
            <w:tcW w:type="dxa" w:w="54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r>
      <w:tr>
        <w:tc>
          <w:tcPr>
            <w:tcW w:type="dxa" w:w="22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b/>
                <w:bCs/>
                <w:color w:val="1A1A2E"/>
                <w:sz w:val="22"/>
                <w:szCs w:val="22"/>
              </w:rPr>
              <w:t xml:space="preserve">Dependability</w:t>
            </w:r>
          </w:p>
        </w:tc>
        <w:tc>
          <w:tcPr>
            <w:tcW w:type="dxa" w:w="14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c>
          <w:tcPr>
            <w:tcW w:type="dxa" w:w="54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r>
      <w:tr>
        <w:tc>
          <w:tcPr>
            <w:tcW w:type="dxa" w:w="22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b/>
                <w:bCs/>
                <w:color w:val="1A1A2E"/>
                <w:sz w:val="22"/>
                <w:szCs w:val="22"/>
              </w:rPr>
              <w:t xml:space="preserve">Confirmability</w:t>
            </w:r>
          </w:p>
        </w:tc>
        <w:tc>
          <w:tcPr>
            <w:tcW w:type="dxa" w:w="14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c>
          <w:tcPr>
            <w:tcW w:type="dxa" w:w="54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r>
    </w:tbl>
    <w:p>
      <w:pPr>
        <w:spacing w:after="120" w:before="0"/>
      </w:pPr>
      <w:r>
        <w:rPr>
          <w:rFonts w:ascii="Calibri" w:cs="Calibri" w:eastAsia="Calibri" w:hAnsi="Calibri"/>
          <w:color w:val="1A1A2E"/>
          <w:sz w:val="22"/>
          <w:szCs w:val="22"/>
        </w:rPr>
        <w:t xml:space="preserve"/>
      </w:r>
    </w:p>
    <w:p>
      <w:pPr>
        <w:pStyle w:val="Heading2"/>
        <w:spacing w:after="120" w:before="240"/>
      </w:pPr>
      <w:r>
        <w:rPr>
          <w:rFonts w:ascii="Cambria" w:cs="Cambria" w:eastAsia="Cambria" w:hAnsi="Cambria"/>
          <w:b/>
          <w:bCs/>
          <w:color w:val="007C8A"/>
          <w:sz w:val="26"/>
          <w:szCs w:val="26"/>
        </w:rPr>
        <w:t xml:space="preserve">5.3  My primary bias concern</w:t>
      </w:r>
    </w:p>
    <w:p>
      <w:pPr>
        <w:spacing w:after="120" w:before="60"/>
      </w:pPr>
      <w:r>
        <w:rPr>
          <w:rFonts w:ascii="Calibri" w:cs="Calibri" w:eastAsia="Calibri" w:hAnsi="Calibri"/>
          <w:color w:val="1A1A2E"/>
          <w:sz w:val="22"/>
          <w:szCs w:val="22"/>
        </w:rPr>
        <w:t xml:space="preserve">Identify the phase of the research process (design, data collection, analysis, reporting) where bias is most likely to affect your study, and explain specifically how you will address it.</w:t>
      </w:r>
    </w:p>
    <w:p>
      <w:pPr>
        <w:spacing w:after="120" w:before="0"/>
      </w:pPr>
      <w:r>
        <w:rPr>
          <w:rFonts w:ascii="Calibri" w:cs="Calibri" w:eastAsia="Calibri" w:hAnsi="Calibri"/>
          <w:color w:val="1A1A2E"/>
          <w:sz w:val="22"/>
          <w:szCs w:val="22"/>
        </w:rPr>
        <w:t xml:space="preserve"/>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spacing w:after="120" w:before="0"/>
      </w:pPr>
      <w:r>
        <w:rPr>
          <w:rFonts w:ascii="Calibri" w:cs="Calibri" w:eastAsia="Calibri" w:hAnsi="Calibri"/>
          <w:color w:val="1A1A2E"/>
          <w:sz w:val="22"/>
          <w:szCs w:val="22"/>
        </w:rPr>
        <w:t xml:space="preserve"/>
      </w:r>
    </w:p>
    <w:p>
      <w:pPr>
        <w:pStyle w:val="Heading2"/>
        <w:spacing w:after="120" w:before="240"/>
      </w:pPr>
      <w:r>
        <w:rPr>
          <w:rFonts w:ascii="Cambria" w:cs="Cambria" w:eastAsia="Cambria" w:hAnsi="Cambria"/>
          <w:b/>
          <w:bCs/>
          <w:color w:val="007C8A"/>
          <w:sz w:val="26"/>
          <w:szCs w:val="26"/>
        </w:rPr>
        <w:t xml:space="preserve">5.4  Peer feedback received (Activity 4)</w:t>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2800"/>
        <w:gridCol w:w="6226"/>
      </w:tblGrid>
      <w:tr>
        <w:tc>
          <w:tcPr>
            <w:tcW w:type="dxa" w:w="2800"/>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Whittemore et al. criterion</w:t>
            </w:r>
          </w:p>
        </w:tc>
        <w:tc>
          <w:tcPr>
            <w:tcW w:type="dxa" w:w="6226"/>
            <w:tcBorders>
              <w:top w:val="single" w:color="CCCCCC" w:sz="1"/>
              <w:left w:val="single" w:color="CCCCCC" w:sz="1"/>
              <w:bottom w:val="single" w:color="CCCCCC" w:sz="1"/>
              <w:right w:val="single" w:color="CCCCCC" w:sz="1"/>
            </w:tcBorders>
            <w:shd w:fill="004B55" w:val="clear"/>
            <w:tcMar>
              <w:top w:type="dxa" w:w="80"/>
              <w:left w:type="dxa" w:w="120"/>
              <w:bottom w:type="dxa" w:w="80"/>
              <w:right w:type="dxa" w:w="120"/>
            </w:tcMar>
          </w:tcPr>
          <w:p>
            <w:pPr>
              <w:spacing w:after="0" w:before="0"/>
            </w:pPr>
            <w:r>
              <w:rPr>
                <w:rFonts w:ascii="Calibri" w:cs="Calibri" w:eastAsia="Calibri" w:hAnsi="Calibri"/>
                <w:b/>
                <w:bCs/>
                <w:color w:val="FFFFFF"/>
                <w:sz w:val="21"/>
                <w:szCs w:val="21"/>
              </w:rPr>
              <w:t xml:space="preserve">Peer feedback</w:t>
            </w:r>
          </w:p>
        </w:tc>
      </w:tr>
      <w:tr>
        <w:tc>
          <w:tcPr>
            <w:tcW w:type="dxa" w:w="28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b/>
                <w:bCs/>
                <w:color w:val="1A1A2E"/>
                <w:sz w:val="22"/>
                <w:szCs w:val="22"/>
              </w:rPr>
              <w:t xml:space="preserve">Credibility</w:t>
            </w:r>
          </w:p>
        </w:tc>
        <w:tc>
          <w:tcPr>
            <w:tcW w:type="dxa" w:w="62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r>
      <w:tr>
        <w:tc>
          <w:tcPr>
            <w:tcW w:type="dxa" w:w="28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b/>
                <w:bCs/>
                <w:color w:val="1A1A2E"/>
                <w:sz w:val="22"/>
                <w:szCs w:val="22"/>
              </w:rPr>
              <w:t xml:space="preserve">Criticality</w:t>
            </w:r>
          </w:p>
        </w:tc>
        <w:tc>
          <w:tcPr>
            <w:tcW w:type="dxa" w:w="62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r>
      <w:tr>
        <w:tc>
          <w:tcPr>
            <w:tcW w:type="dxa" w:w="2800"/>
            <w:tcBorders>
              <w:top w:val="single" w:color="CCCCCC" w:sz="1"/>
              <w:left w:val="single" w:color="CCCCCC" w:sz="1"/>
              <w:bottom w:val="single" w:color="CCCCCC" w:sz="1"/>
              <w:right w:val="single" w:color="CCCCCC" w:sz="1"/>
            </w:tcBorders>
            <w:shd w:fill="F0F4F4" w:val="clear"/>
            <w:tcMar>
              <w:top w:type="dxa" w:w="80"/>
              <w:left w:type="dxa" w:w="120"/>
              <w:bottom w:type="dxa" w:w="80"/>
              <w:right w:type="dxa" w:w="120"/>
            </w:tcMar>
          </w:tcPr>
          <w:p>
            <w:pPr>
              <w:spacing w:after="0" w:before="0"/>
            </w:pPr>
            <w:r>
              <w:rPr>
                <w:rFonts w:ascii="Calibri" w:cs="Calibri" w:eastAsia="Calibri" w:hAnsi="Calibri"/>
                <w:b/>
                <w:bCs/>
                <w:color w:val="1A1A2E"/>
                <w:sz w:val="22"/>
                <w:szCs w:val="22"/>
              </w:rPr>
              <w:t xml:space="preserve">Integrity</w:t>
            </w:r>
          </w:p>
        </w:tc>
        <w:tc>
          <w:tcPr>
            <w:tcW w:type="dxa" w:w="62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r>
      <w:tr>
        <w:tc>
          <w:tcPr>
            <w:tcW w:type="dxa" w:w="2800"/>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spacing w:after="0" w:before="0"/>
            </w:pPr>
            <w:r>
              <w:rPr>
                <w:rFonts w:ascii="Calibri" w:cs="Calibri" w:eastAsia="Calibri" w:hAnsi="Calibri"/>
                <w:b/>
                <w:bCs/>
                <w:color w:val="1A1A2E"/>
                <w:sz w:val="22"/>
                <w:szCs w:val="22"/>
              </w:rPr>
              <w:t xml:space="preserve">One suggestion for improvement</w:t>
            </w:r>
          </w:p>
        </w:tc>
        <w:tc>
          <w:tcPr>
            <w:tcW w:type="dxa" w:w="6226"/>
            <w:tcBorders>
              <w:top w:val="single" w:color="CCCCCC" w:sz="1"/>
              <w:left w:val="single" w:color="CCCCCC" w:sz="1"/>
              <w:bottom w:val="single" w:color="CCCCCC" w:sz="1"/>
              <w:right w:val="single" w:color="CCCCCC" w:sz="1"/>
            </w:tcBorders>
            <w:shd w:fill="FFFFFF" w:val="clear"/>
            <w:tcMar>
              <w:top w:type="dxa" w:w="80"/>
              <w:left w:type="dxa" w:w="120"/>
              <w:bottom w:type="dxa" w:w="80"/>
              <w:right w:type="dxa" w:w="120"/>
            </w:tcMar>
          </w:tcPr>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tc>
      </w:tr>
    </w:tbl>
    <w:p>
      <w:pPr>
        <w:spacing w:after="120" w:before="0"/>
      </w:pPr>
      <w:r>
        <w:rPr>
          <w:rFonts w:ascii="Calibri" w:cs="Calibri" w:eastAsia="Calibri" w:hAnsi="Calibri"/>
          <w:color w:val="1A1A2E"/>
          <w:sz w:val="22"/>
          <w:szCs w:val="22"/>
        </w:rPr>
        <w:t xml:space="preserve"/>
      </w:r>
    </w:p>
    <w:p>
      <w:pPr>
        <w:pStyle w:val="Heading2"/>
        <w:spacing w:after="120" w:before="240"/>
      </w:pPr>
      <w:r>
        <w:rPr>
          <w:rFonts w:ascii="Cambria" w:cs="Cambria" w:eastAsia="Cambria" w:hAnsi="Cambria"/>
          <w:b/>
          <w:bCs/>
          <w:color w:val="007C8A"/>
          <w:sz w:val="26"/>
          <w:szCs w:val="26"/>
        </w:rPr>
        <w:t xml:space="preserve">5.5  Revised memo: how I will demonstrate trustworthiness in my pilot study</w:t>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single" w:color="D4820A" w:sz="2"/>
              <w:left w:val="single" w:color="D4820A" w:sz="2"/>
              <w:bottom w:val="single" w:color="D4820A" w:sz="2"/>
              <w:right w:val="single" w:color="D4820A" w:sz="2"/>
            </w:tcBorders>
            <w:shd w:fill="FFF8EC" w:val="clear"/>
            <w:tcMar>
              <w:top w:type="dxa" w:w="160"/>
              <w:left w:type="dxa" w:w="240"/>
              <w:bottom w:type="dxa" w:w="160"/>
              <w:right w:type="dxa" w:w="240"/>
            </w:tcMar>
          </w:tcPr>
          <w:p>
            <w:pPr>
              <w:spacing w:after="120" w:before="60"/>
            </w:pPr>
            <w:r>
              <w:rPr>
                <w:rFonts w:ascii="Calibri" w:cs="Calibri" w:eastAsia="Calibri" w:hAnsi="Calibri"/>
                <w:color w:val="1A1A2E"/>
                <w:sz w:val="22"/>
                <w:szCs w:val="22"/>
              </w:rPr>
              <w:t xml:space="preserve">Write your revised 200-word memo here, incorporating the peer feedback above. This version should address at least two of Lincoln and Guba’s four criteria explicitly, name the specific techniques you will use, and explain why those techniques are appropriate for your methodology and paradigm. This is the version your supervisor should see.</w:t>
            </w:r>
          </w:p>
        </w:tc>
      </w:tr>
    </w:tbl>
    <w:p>
      <w:pPr>
        <w:spacing w:after="120" w:before="0"/>
      </w:pPr>
      <w:r>
        <w:rPr>
          <w:rFonts w:ascii="Calibri" w:cs="Calibri" w:eastAsia="Calibri" w:hAnsi="Calibri"/>
          <w:color w:val="1A1A2E"/>
          <w:sz w:val="22"/>
          <w:szCs w:val="22"/>
        </w:rPr>
        <w:t xml:space="preserve"/>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pBdr>
          <w:bottom w:val="single" w:color="CCCCCC" w:sz="4"/>
        </w:pBdr>
        <w:spacing w:after="4" w:before="0"/>
      </w:pPr>
      <w:r>
        <w:rPr>
          <w:rFonts w:ascii="Calibri" w:cs="Calibri" w:eastAsia="Calibri" w:hAnsi="Calibri"/>
          <w:color w:val="1A1A2E"/>
          <w:sz w:val="22"/>
          <w:szCs w:val="22"/>
        </w:rPr>
        <w:t xml:space="preserve"> </w:t>
      </w:r>
    </w:p>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none"/>
              <w:left w:val="none"/>
              <w:bottom w:val="none"/>
              <w:right w:val="none"/>
            </w:tcBorders>
            <w:shd w:fill="007C8A" w:val="clear"/>
            <w:tcMar>
              <w:top w:type="dxa" w:w="120"/>
              <w:left w:type="dxa" w:w="240"/>
              <w:bottom w:type="dxa" w:w="120"/>
              <w:right w:type="dxa" w:w="240"/>
            </w:tcMar>
          </w:tcPr>
          <w:p>
            <w:pPr>
              <w:spacing w:after="0" w:before="0"/>
            </w:pPr>
            <w:r>
              <w:rPr>
                <w:rFonts w:ascii="Cambria" w:cs="Cambria" w:eastAsia="Cambria" w:hAnsi="Cambria"/>
                <w:b/>
                <w:bCs/>
                <w:color w:val="FFFFFF"/>
                <w:sz w:val="30"/>
                <w:szCs w:val="30"/>
              </w:rPr>
              <w:t xml:space="preserve">6.  Key Messages from the Session</w:t>
            </w:r>
          </w:p>
        </w:tc>
      </w:tr>
    </w:tbl>
    <w:p>
      <w:pPr>
        <w:spacing w:after="120" w:before="0"/>
      </w:pPr>
      <w:r>
        <w:rPr>
          <w:rFonts w:ascii="Calibri" w:cs="Calibri" w:eastAsia="Calibri" w:hAnsi="Calibri"/>
          <w:color w:val="1A1A2E"/>
          <w:sz w:val="22"/>
          <w:szCs w:val="22"/>
        </w:rPr>
        <w:t xml:space="preserve"/>
      </w:r>
    </w:p>
    <w:p>
      <w:pPr>
        <w:pStyle w:val="ListParagraph"/>
        <w:numPr>
          <w:ilvl w:val="0"/>
          <w:numId w:val="3"/>
        </w:numPr>
        <w:spacing w:after="90" w:before="50"/>
      </w:pPr>
      <w:r>
        <w:rPr>
          <w:rFonts w:ascii="Calibri" w:cs="Calibri" w:eastAsia="Calibri" w:hAnsi="Calibri"/>
          <w:color w:val="1A1A2E"/>
          <w:sz w:val="22"/>
          <w:szCs w:val="22"/>
        </w:rPr>
        <w:t xml:space="preserve">Quality in qualitative research is not absent — it is different. Trustworthiness is the language of that difference.</w:t>
      </w:r>
    </w:p>
    <w:p>
      <w:pPr>
        <w:pStyle w:val="ListParagraph"/>
        <w:numPr>
          <w:ilvl w:val="0"/>
          <w:numId w:val="3"/>
        </w:numPr>
        <w:spacing w:after="90" w:before="50"/>
      </w:pPr>
      <w:r>
        <w:rPr>
          <w:rFonts w:ascii="Calibri" w:cs="Calibri" w:eastAsia="Calibri" w:hAnsi="Calibri"/>
          <w:color w:val="1A1A2E"/>
          <w:sz w:val="22"/>
          <w:szCs w:val="22"/>
        </w:rPr>
        <w:t xml:space="preserve">Lincoln and Guba’s four criteria (credibility, transferability, dependability, confirmability) are the doctoral standard. Enworo (2023) confirms they apply across diverse qualitative contexts.</w:t>
      </w:r>
    </w:p>
    <w:p>
      <w:pPr>
        <w:pStyle w:val="ListParagraph"/>
        <w:numPr>
          <w:ilvl w:val="0"/>
          <w:numId w:val="3"/>
        </w:numPr>
        <w:spacing w:after="90" w:before="50"/>
      </w:pPr>
      <w:r>
        <w:rPr>
          <w:rFonts w:ascii="Calibri" w:cs="Calibri" w:eastAsia="Calibri" w:hAnsi="Calibri"/>
          <w:color w:val="1A1A2E"/>
          <w:sz w:val="22"/>
          <w:szCs w:val="22"/>
        </w:rPr>
        <w:t xml:space="preserve">Bias cannot be eliminated. It must be named, managed and declared. Reflexivity is not optional.</w:t>
      </w:r>
    </w:p>
    <w:p>
      <w:pPr>
        <w:pStyle w:val="ListParagraph"/>
        <w:numPr>
          <w:ilvl w:val="0"/>
          <w:numId w:val="3"/>
        </w:numPr>
        <w:spacing w:after="90" w:before="50"/>
      </w:pPr>
      <w:r>
        <w:rPr>
          <w:rFonts w:ascii="Calibri" w:cs="Calibri" w:eastAsia="Calibri" w:hAnsi="Calibri"/>
          <w:color w:val="1A1A2E"/>
          <w:sz w:val="22"/>
          <w:szCs w:val="22"/>
        </w:rPr>
        <w:t xml:space="preserve">Every technique must be deployed purposefully and documented. Member checking for its own sake, without genuine engagement, is not credible.</w:t>
      </w:r>
    </w:p>
    <w:p>
      <w:pPr>
        <w:pStyle w:val="ListParagraph"/>
        <w:numPr>
          <w:ilvl w:val="0"/>
          <w:numId w:val="3"/>
        </w:numPr>
        <w:spacing w:after="90" w:before="50"/>
      </w:pPr>
      <w:r>
        <w:rPr>
          <w:rFonts w:ascii="Calibri" w:cs="Calibri" w:eastAsia="Calibri" w:hAnsi="Calibri"/>
          <w:color w:val="1A1A2E"/>
          <w:sz w:val="22"/>
          <w:szCs w:val="22"/>
        </w:rPr>
        <w:t xml:space="preserve">The standard does not lower for a pilot study. Habits of rigour established in the pilot will define the quality of the thesis.</w:t>
      </w:r>
    </w:p>
    <w:p>
      <w:pPr>
        <w:pStyle w:val="ListParagraph"/>
        <w:numPr>
          <w:ilvl w:val="0"/>
          <w:numId w:val="3"/>
        </w:numPr>
        <w:spacing w:after="90" w:before="50"/>
      </w:pPr>
      <w:r>
        <w:rPr>
          <w:rFonts w:ascii="Calibri" w:cs="Calibri" w:eastAsia="Calibri" w:hAnsi="Calibri"/>
          <w:color w:val="1A1A2E"/>
          <w:sz w:val="22"/>
          <w:szCs w:val="22"/>
        </w:rPr>
        <w:t xml:space="preserve">Examiners are looking for thinking, not ticking. Demonstrate that you understand why these criteria exist, not merely that you can list them.</w:t>
      </w:r>
    </w:p>
    <w:p>
      <w:pPr>
        <w:pStyle w:val="ListParagraph"/>
        <w:numPr>
          <w:ilvl w:val="0"/>
          <w:numId w:val="3"/>
        </w:numPr>
        <w:spacing w:after="90" w:before="50"/>
      </w:pPr>
      <w:r>
        <w:rPr>
          <w:rFonts w:ascii="Calibri" w:cs="Calibri" w:eastAsia="Calibri" w:hAnsi="Calibri"/>
          <w:color w:val="1A1A2E"/>
          <w:sz w:val="22"/>
          <w:szCs w:val="22"/>
        </w:rPr>
        <w:t xml:space="preserve">Whittemore et al.’s secondary criteria — particularly criticality and integrity — are what distinguish a competent methodology chapter from an excellent one.</w:t>
      </w:r>
    </w:p>
    <w:p>
      <w:pPr>
        <w:spacing w:after="120" w:before="0"/>
      </w:pPr>
      <w:r>
        <w:rPr>
          <w:rFonts w:ascii="Calibri" w:cs="Calibri" w:eastAsia="Calibri" w:hAnsi="Calibri"/>
          <w:color w:val="1A1A2E"/>
          <w:sz w:val="22"/>
          <w:szCs w:val="22"/>
        </w:rPr>
        <w:t xml:space="preserve"/>
      </w:r>
    </w:p>
    <w:tbl>
      <w:tblPr>
        <w:tblW w:type="dxa" w:w="9026"/>
        <w:tblBorders>
          <w:top w:val="single" w:color="auto" w:sz="4"/>
          <w:left w:val="single" w:color="auto" w:sz="4"/>
          <w:bottom w:val="single" w:color="auto" w:sz="4"/>
          <w:right w:val="single" w:color="auto" w:sz="4"/>
          <w:insideH w:val="single" w:color="auto" w:sz="4"/>
          <w:insideV w:val="single" w:color="auto" w:sz="4"/>
        </w:tblBorders>
      </w:tblPr>
      <w:tblGrid>
        <w:gridCol w:w="9026"/>
      </w:tblGrid>
      <w:tr>
        <w:tc>
          <w:tcPr>
            <w:tcW w:type="dxa" w:w="9026"/>
            <w:tcBorders>
              <w:top w:val="none"/>
              <w:left w:val="none"/>
              <w:bottom w:val="none"/>
              <w:right w:val="none"/>
            </w:tcBorders>
            <w:shd w:fill="007C8A" w:val="clear"/>
            <w:tcMar>
              <w:top w:type="dxa" w:w="120"/>
              <w:left w:type="dxa" w:w="240"/>
              <w:bottom w:type="dxa" w:w="120"/>
              <w:right w:type="dxa" w:w="240"/>
            </w:tcMar>
          </w:tcPr>
          <w:p>
            <w:pPr>
              <w:spacing w:after="0" w:before="0"/>
            </w:pPr>
            <w:r>
              <w:rPr>
                <w:rFonts w:ascii="Cambria" w:cs="Cambria" w:eastAsia="Cambria" w:hAnsi="Cambria"/>
                <w:b/>
                <w:bCs/>
                <w:color w:val="FFFFFF"/>
                <w:sz w:val="30"/>
                <w:szCs w:val="30"/>
              </w:rPr>
              <w:t xml:space="preserve">7.  Key References</w:t>
            </w:r>
          </w:p>
        </w:tc>
      </w:tr>
    </w:tbl>
    <w:p>
      <w:pPr>
        <w:spacing w:after="120" w:before="0"/>
      </w:pPr>
      <w:r>
        <w:rPr>
          <w:rFonts w:ascii="Calibri" w:cs="Calibri" w:eastAsia="Calibri" w:hAnsi="Calibri"/>
          <w:color w:val="1A1A2E"/>
          <w:sz w:val="22"/>
          <w:szCs w:val="22"/>
        </w:rPr>
        <w:t xml:space="preserve"/>
      </w:r>
    </w:p>
    <w:p>
      <w:pPr>
        <w:pStyle w:val="ListParagraph"/>
        <w:numPr>
          <w:ilvl w:val="0"/>
          <w:numId w:val="3"/>
        </w:numPr>
        <w:spacing w:after="90" w:before="50"/>
      </w:pPr>
      <w:r>
        <w:rPr>
          <w:rFonts w:ascii="Calibri" w:cs="Calibri" w:eastAsia="Calibri" w:hAnsi="Calibri"/>
          <w:color w:val="1A1A2E"/>
          <w:sz w:val="22"/>
          <w:szCs w:val="22"/>
        </w:rPr>
        <w:t xml:space="preserve">Enworo, O.C. (2023). Application of Guba and Lincoln’s parallel criteria to assess trustworthiness of qualitative research on indigenous social protection systems. Qualitative Research Journal, 23(4), 372–384.</w:t>
      </w:r>
    </w:p>
    <w:p>
      <w:pPr>
        <w:pStyle w:val="ListParagraph"/>
        <w:numPr>
          <w:ilvl w:val="0"/>
          <w:numId w:val="3"/>
        </w:numPr>
        <w:spacing w:after="90" w:before="50"/>
      </w:pPr>
      <w:r>
        <w:rPr>
          <w:rFonts w:ascii="Calibri" w:cs="Calibri" w:eastAsia="Calibri" w:hAnsi="Calibri"/>
          <w:color w:val="1A1A2E"/>
          <w:sz w:val="22"/>
          <w:szCs w:val="22"/>
        </w:rPr>
        <w:t xml:space="preserve">Lincoln, Y.S. and Guba, E.G. (1985). Naturalistic Inquiry. Beverly Hills, CA: Sage.</w:t>
      </w:r>
    </w:p>
    <w:p>
      <w:pPr>
        <w:pStyle w:val="ListParagraph"/>
        <w:numPr>
          <w:ilvl w:val="0"/>
          <w:numId w:val="3"/>
        </w:numPr>
        <w:spacing w:after="90" w:before="50"/>
      </w:pPr>
      <w:r>
        <w:rPr>
          <w:rFonts w:ascii="Calibri" w:cs="Calibri" w:eastAsia="Calibri" w:hAnsi="Calibri"/>
          <w:color w:val="1A1A2E"/>
          <w:sz w:val="22"/>
          <w:szCs w:val="22"/>
        </w:rPr>
        <w:t xml:space="preserve">Patton, M.Q. (1999). Enhancing the quality and credibility of qualitative analysis. Health Services Research, 34(5 Pt 2), 1189–1208.</w:t>
      </w:r>
    </w:p>
    <w:p>
      <w:pPr>
        <w:pStyle w:val="ListParagraph"/>
        <w:numPr>
          <w:ilvl w:val="0"/>
          <w:numId w:val="3"/>
        </w:numPr>
        <w:spacing w:after="90" w:before="50"/>
      </w:pPr>
      <w:r>
        <w:rPr>
          <w:rFonts w:ascii="Calibri" w:cs="Calibri" w:eastAsia="Calibri" w:hAnsi="Calibri"/>
          <w:color w:val="1A1A2E"/>
          <w:sz w:val="22"/>
          <w:szCs w:val="22"/>
        </w:rPr>
        <w:t xml:space="preserve">Whittemore, R., Chase, S.K. and Mandle, C.L. (2001). Validity in qualitative research. Qualitative Health Research, 11(4), 522–537.</w:t>
      </w:r>
    </w:p>
    <w:p>
      <w:pPr>
        <w:pStyle w:val="ListParagraph"/>
        <w:numPr>
          <w:ilvl w:val="0"/>
          <w:numId w:val="3"/>
        </w:numPr>
        <w:spacing w:after="90" w:before="50"/>
      </w:pPr>
      <w:r>
        <w:rPr>
          <w:rFonts w:ascii="Calibri" w:cs="Calibri" w:eastAsia="Calibri" w:hAnsi="Calibri"/>
          <w:color w:val="1A1A2E"/>
          <w:sz w:val="22"/>
          <w:szCs w:val="22"/>
        </w:rPr>
        <w:t xml:space="preserve">Bryman, A. (2008). Social Research Methods (3rd ed.). Oxford: Oxford University Press.</w:t>
      </w:r>
    </w:p>
    <w:p>
      <w:pPr>
        <w:pStyle w:val="ListParagraph"/>
        <w:numPr>
          <w:ilvl w:val="0"/>
          <w:numId w:val="3"/>
        </w:numPr>
        <w:spacing w:after="90" w:before="50"/>
      </w:pPr>
      <w:r>
        <w:rPr>
          <w:rFonts w:ascii="Calibri" w:cs="Calibri" w:eastAsia="Calibri" w:hAnsi="Calibri"/>
          <w:color w:val="1A1A2E"/>
          <w:sz w:val="22"/>
          <w:szCs w:val="22"/>
        </w:rPr>
        <w:t xml:space="preserve">Smith, J.A., Flowers, P. and Larkin, M. (2009). Interpretative Phenomenological Analysis: Theory, Method and Research. London: Sage.</w:t>
      </w:r>
    </w:p>
    <w:sectPr>
      <w:pgSz w:w="11906" w:h="16838" w:orient="portrait"/>
      <w:pgMar w:top="1134" w:right="1134" w:bottom="1134" w:left="1134"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abstractNum w:abstractNumId="2" w15:restartNumberingAfterBreak="0">
    <w:multiLevelType w:val="hybridMultilevel"/>
    <w:lvl w:ilvl="0" w15:tentative="1">
      <w:start w:val="1"/>
      <w:numFmt w:val="bullet"/>
      <w:lvlText w:val="•"/>
      <w:lvlJc w:val="left"/>
      <w:pPr>
        <w:ind w:left="720" w:hanging="360"/>
      </w:pPr>
    </w:lvl>
  </w:abstractNum>
  <w:abstractNum w:abstractNumId="3" w15:restartNumberingAfterBreak="0">
    <w:multiLevelType w:val="hybridMultilevel"/>
    <w:lvl w:ilvl="0" w15:tentative="1">
      <w:start w:val="1"/>
      <w:numFmt w:val="decimal"/>
      <w:lvlText w:val="%1."/>
      <w:lvlJc w:val="left"/>
      <w:pPr>
        <w:ind w:left="720" w:hanging="360"/>
      </w:pPr>
    </w:lvl>
  </w:abstractNum>
  <w:abstractNum w:abstractNumId="4" w15:restartNumberingAfterBreak="0">
    <w:multiLevelType w:val="hybridMultilevel"/>
    <w:lvl w:ilvl="0" w15:tentative="1">
      <w:start w:val="1"/>
      <w:numFmt w:val="bullet"/>
      <w:lvlText w:val="•"/>
      <w:lvlJc w:val="left"/>
      <w:pPr>
        <w:ind w:left="720" w:hanging="360"/>
      </w:pPr>
    </w:lvl>
  </w:abstractNum>
  <w:abstractNum w:abstractNumId="5" w15:restartNumberingAfterBreak="0">
    <w:multiLevelType w:val="hybridMultilevel"/>
    <w:lvl w:ilvl="0" w15:tentative="1">
      <w:start w:val="1"/>
      <w:numFmt w:val="decimal"/>
      <w:lvlText w:val="%1."/>
      <w:lvlJc w:val="left"/>
      <w:pPr>
        <w:ind w:left="720" w:hanging="360"/>
      </w:pPr>
    </w:lvl>
  </w:abstractNum>
  <w:num w:numId="1">
    <w:abstractNumId w:val="1"/>
    <w:lvlOverride w:ilvl="0">
      <w:startOverride w:val="1"/>
    </w:lvlOverride>
  </w:num>
  <w:num w:numId="2">
    <w:abstractNumId w:val="2"/>
    <w:lvlOverride w:ilvl="0">
      <w:startOverride w:val="1"/>
    </w:lvlOverride>
  </w:num>
  <w:num w:numId="3">
    <w:abstractNumId w:val="4"/>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cs="Calibri" w:eastAsia="Calibri" w:hAnsi="Calibri"/>
        <w:sz w:val="22"/>
        <w:szCs w:val="22"/>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 w:type="paragraph" w:styleId="Heading1">
    <w:name w:val="Heading 1"/>
    <w:basedOn w:val="Normal"/>
    <w:next w:val="Normal"/>
    <w:qFormat/>
    <w:pPr>
      <w:spacing w:after="160" w:before="360"/>
      <w:outlineLvl w:val="0"/>
    </w:pPr>
    <w:rPr>
      <w:rFonts w:ascii="Cambria" w:cs="Cambria" w:eastAsia="Cambria" w:hAnsi="Cambria"/>
      <w:b/>
      <w:bCs/>
      <w:color w:val="004B55"/>
      <w:sz w:val="34"/>
      <w:szCs w:val="34"/>
    </w:rPr>
  </w:style>
  <w:style w:type="paragraph" w:styleId="Heading2">
    <w:name w:val="Heading 2"/>
    <w:basedOn w:val="Normal"/>
    <w:next w:val="Normal"/>
    <w:qFormat/>
    <w:pPr>
      <w:spacing w:after="120" w:before="240"/>
      <w:outlineLvl w:val="1"/>
    </w:pPr>
    <w:rPr>
      <w:rFonts w:ascii="Cambria" w:cs="Cambria" w:eastAsia="Cambria" w:hAnsi="Cambria"/>
      <w:b/>
      <w:bCs/>
      <w:color w:val="007C8A"/>
      <w:sz w:val="26"/>
      <w:szCs w:val="26"/>
    </w:rPr>
  </w:style>
  <w:style w:type="paragraph" w:styleId="Heading3">
    <w:name w:val="Heading 3"/>
    <w:basedOn w:val="Normal"/>
    <w:next w:val="Normal"/>
    <w:qFormat/>
    <w:pPr>
      <w:spacing w:after="80" w:before="180"/>
      <w:outlineLvl w:val="2"/>
    </w:pPr>
    <w:rPr>
      <w:rFonts w:ascii="Calibri" w:cs="Calibri" w:eastAsia="Calibri" w:hAnsi="Calibri"/>
      <w:b/>
      <w:bCs/>
      <w:color w:val="1A1A2E"/>
      <w:sz w:val="22"/>
      <w:szCs w:val="22"/>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2026-03-18T16:51:12.069Z</dcterms:created>
  <dcterms:modified xsi:type="dcterms:W3CDTF">2026-03-18T16:51:12.070Z</dcterms:modified>
</cp:coreProperties>
</file>

<file path=docProps/custom.xml><?xml version="1.0" encoding="utf-8"?>
<Properties xmlns="http://schemas.openxmlformats.org/officeDocument/2006/custom-properties" xmlns:vt="http://schemas.openxmlformats.org/officeDocument/2006/docPropsVTypes"/>
</file>