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3BC6D" w14:textId="4063B93F" w:rsidR="008C21F1" w:rsidRDefault="00B61E41" w:rsidP="008C21F1">
      <w:pPr>
        <w:spacing w:line="360" w:lineRule="auto"/>
        <w:jc w:val="both"/>
        <w:rPr>
          <w:rFonts w:ascii="Arial" w:hAnsi="Arial" w:cs="Arial"/>
          <w:sz w:val="22"/>
          <w:szCs w:val="22"/>
        </w:rPr>
      </w:pPr>
      <w:r>
        <w:rPr>
          <w:rFonts w:ascii="Arial" w:hAnsi="Arial" w:cs="Arial"/>
          <w:sz w:val="22"/>
          <w:szCs w:val="22"/>
        </w:rPr>
        <w:t>Critically evaluate the processes employed in a complex investigation:</w:t>
      </w:r>
    </w:p>
    <w:p w14:paraId="21745876" w14:textId="1E52974D" w:rsidR="008C080E" w:rsidRDefault="00B3682B" w:rsidP="008C21F1">
      <w:pPr>
        <w:spacing w:line="360" w:lineRule="auto"/>
        <w:jc w:val="both"/>
        <w:rPr>
          <w:rFonts w:ascii="Arial" w:hAnsi="Arial" w:cs="Arial"/>
          <w:sz w:val="22"/>
          <w:szCs w:val="22"/>
        </w:rPr>
      </w:pPr>
      <w:r>
        <w:rPr>
          <w:rFonts w:ascii="Arial" w:hAnsi="Arial" w:cs="Arial"/>
          <w:sz w:val="22"/>
          <w:szCs w:val="22"/>
        </w:rPr>
        <w:t xml:space="preserve">In order to critically evaluate the processes employed in a complex investigation, the term investigation and investigator will need to be defined. </w:t>
      </w:r>
    </w:p>
    <w:p w14:paraId="493A310E" w14:textId="35BBA76E" w:rsidR="008C080E" w:rsidRDefault="008C080E" w:rsidP="008C21F1">
      <w:pPr>
        <w:spacing w:line="360" w:lineRule="auto"/>
        <w:jc w:val="both"/>
        <w:rPr>
          <w:rFonts w:ascii="Arial" w:hAnsi="Arial" w:cs="Arial"/>
          <w:sz w:val="22"/>
          <w:szCs w:val="22"/>
        </w:rPr>
      </w:pPr>
      <w:r>
        <w:rPr>
          <w:rFonts w:ascii="Arial" w:hAnsi="Arial" w:cs="Arial"/>
          <w:sz w:val="22"/>
          <w:szCs w:val="22"/>
        </w:rPr>
        <w:t>The C</w:t>
      </w:r>
      <w:r w:rsidR="00AE247B">
        <w:rPr>
          <w:rFonts w:ascii="Arial" w:hAnsi="Arial" w:cs="Arial"/>
          <w:sz w:val="22"/>
          <w:szCs w:val="22"/>
        </w:rPr>
        <w:t>PI</w:t>
      </w:r>
      <w:r>
        <w:rPr>
          <w:rFonts w:ascii="Arial" w:hAnsi="Arial" w:cs="Arial"/>
          <w:sz w:val="22"/>
          <w:szCs w:val="22"/>
        </w:rPr>
        <w:t>A (2015) defines a criminal investigation as:</w:t>
      </w:r>
    </w:p>
    <w:p w14:paraId="3AE2866C" w14:textId="3A644940" w:rsidR="00D628FB" w:rsidRDefault="008C080E" w:rsidP="008C21F1">
      <w:pPr>
        <w:spacing w:line="360" w:lineRule="auto"/>
        <w:jc w:val="both"/>
        <w:rPr>
          <w:rFonts w:ascii="Arial" w:hAnsi="Arial" w:cs="Arial"/>
          <w:sz w:val="22"/>
          <w:szCs w:val="22"/>
        </w:rPr>
      </w:pPr>
      <w:r>
        <w:rPr>
          <w:rFonts w:ascii="Arial" w:hAnsi="Arial" w:cs="Arial"/>
          <w:sz w:val="22"/>
          <w:szCs w:val="22"/>
        </w:rPr>
        <w:t>“</w:t>
      </w:r>
      <w:r w:rsidRPr="008C080E">
        <w:rPr>
          <w:rFonts w:ascii="Arial" w:hAnsi="Arial" w:cs="Arial"/>
          <w:sz w:val="22"/>
          <w:szCs w:val="22"/>
        </w:rPr>
        <w:t>An investigation conducted by police officers with a view to it being ascertained whether a person should be charged with an offence, or whether a person charged with an offence is guilty of it.</w:t>
      </w:r>
      <w:r>
        <w:rPr>
          <w:rFonts w:ascii="Arial" w:hAnsi="Arial" w:cs="Arial"/>
          <w:sz w:val="22"/>
          <w:szCs w:val="22"/>
        </w:rPr>
        <w:t>”</w:t>
      </w:r>
    </w:p>
    <w:p w14:paraId="5F5C6E7A" w14:textId="5F8BEE93" w:rsidR="00AE247B" w:rsidRDefault="00AE247B" w:rsidP="008C21F1">
      <w:pPr>
        <w:spacing w:line="360" w:lineRule="auto"/>
        <w:jc w:val="both"/>
        <w:rPr>
          <w:rFonts w:ascii="Arial" w:hAnsi="Arial" w:cs="Arial"/>
          <w:sz w:val="22"/>
          <w:szCs w:val="22"/>
        </w:rPr>
      </w:pPr>
      <w:r>
        <w:rPr>
          <w:rFonts w:ascii="Arial" w:hAnsi="Arial" w:cs="Arial"/>
          <w:sz w:val="22"/>
          <w:szCs w:val="22"/>
        </w:rPr>
        <w:t xml:space="preserve">The CPIA (2015) defines a criminal investigator as: </w:t>
      </w:r>
    </w:p>
    <w:p w14:paraId="0BE39E5E" w14:textId="0C7DEAF8" w:rsidR="00AE247B" w:rsidRDefault="00AE247B" w:rsidP="008C21F1">
      <w:pPr>
        <w:spacing w:line="360" w:lineRule="auto"/>
        <w:jc w:val="both"/>
        <w:rPr>
          <w:rFonts w:ascii="Arial" w:hAnsi="Arial" w:cs="Arial"/>
          <w:sz w:val="22"/>
          <w:szCs w:val="22"/>
        </w:rPr>
      </w:pPr>
      <w:r>
        <w:rPr>
          <w:rFonts w:ascii="Arial" w:hAnsi="Arial" w:cs="Arial"/>
          <w:sz w:val="22"/>
          <w:szCs w:val="22"/>
        </w:rPr>
        <w:t>“A</w:t>
      </w:r>
      <w:r w:rsidRPr="00AE247B">
        <w:rPr>
          <w:rFonts w:ascii="Arial" w:hAnsi="Arial" w:cs="Arial"/>
          <w:sz w:val="22"/>
          <w:szCs w:val="22"/>
        </w:rPr>
        <w:t>ny police officer involved in the conduct of a criminal investigation. All investigators have a responsibility for carrying out the duties imposed on them under this code including,</w:t>
      </w:r>
      <w:r w:rsidR="0017229D">
        <w:rPr>
          <w:rFonts w:ascii="Arial" w:hAnsi="Arial" w:cs="Arial"/>
          <w:sz w:val="22"/>
          <w:szCs w:val="22"/>
        </w:rPr>
        <w:t xml:space="preserve"> </w:t>
      </w:r>
      <w:r w:rsidRPr="00AE247B">
        <w:rPr>
          <w:rFonts w:ascii="Arial" w:hAnsi="Arial" w:cs="Arial"/>
          <w:sz w:val="22"/>
          <w:szCs w:val="22"/>
        </w:rPr>
        <w:t>in particular</w:t>
      </w:r>
      <w:r w:rsidR="0017229D">
        <w:rPr>
          <w:rFonts w:ascii="Arial" w:hAnsi="Arial" w:cs="Arial"/>
          <w:sz w:val="22"/>
          <w:szCs w:val="22"/>
        </w:rPr>
        <w:t>,</w:t>
      </w:r>
      <w:r w:rsidRPr="00AE247B">
        <w:rPr>
          <w:rFonts w:ascii="Arial" w:hAnsi="Arial" w:cs="Arial"/>
          <w:sz w:val="22"/>
          <w:szCs w:val="22"/>
        </w:rPr>
        <w:t xml:space="preserve"> recording information and retaining records of information and material.</w:t>
      </w:r>
      <w:r>
        <w:rPr>
          <w:rFonts w:ascii="Arial" w:hAnsi="Arial" w:cs="Arial"/>
          <w:sz w:val="22"/>
          <w:szCs w:val="22"/>
        </w:rPr>
        <w:t>”</w:t>
      </w:r>
    </w:p>
    <w:p w14:paraId="63B9096E" w14:textId="77777777" w:rsidR="007F6D4C" w:rsidRDefault="007F6D4C" w:rsidP="008C21F1">
      <w:pPr>
        <w:spacing w:line="360" w:lineRule="auto"/>
        <w:jc w:val="both"/>
        <w:rPr>
          <w:rFonts w:ascii="Arial" w:hAnsi="Arial" w:cs="Arial"/>
          <w:sz w:val="22"/>
          <w:szCs w:val="22"/>
        </w:rPr>
      </w:pPr>
    </w:p>
    <w:p w14:paraId="7E260C73" w14:textId="7E327B25" w:rsidR="00A05994" w:rsidRDefault="00A05994" w:rsidP="008C21F1">
      <w:pPr>
        <w:spacing w:line="360" w:lineRule="auto"/>
        <w:jc w:val="both"/>
        <w:rPr>
          <w:rFonts w:ascii="Arial" w:hAnsi="Arial" w:cs="Arial"/>
          <w:sz w:val="22"/>
          <w:szCs w:val="22"/>
        </w:rPr>
      </w:pPr>
      <w:proofErr w:type="spellStart"/>
      <w:r>
        <w:rPr>
          <w:rFonts w:ascii="Arial" w:hAnsi="Arial" w:cs="Arial"/>
          <w:sz w:val="22"/>
          <w:szCs w:val="22"/>
        </w:rPr>
        <w:t>Steflox</w:t>
      </w:r>
      <w:proofErr w:type="spellEnd"/>
      <w:r>
        <w:rPr>
          <w:rFonts w:ascii="Arial" w:hAnsi="Arial" w:cs="Arial"/>
          <w:sz w:val="22"/>
          <w:szCs w:val="22"/>
        </w:rPr>
        <w:t xml:space="preserve"> (2009) states that criminal investigation involves gathering information and evidence to identify and bring offenders to justice also identifying and achieving other objectives such as victim care and managing crime risk. </w:t>
      </w:r>
    </w:p>
    <w:p w14:paraId="37817CA7" w14:textId="0DC6762F" w:rsidR="00D628FB" w:rsidRDefault="00D628FB" w:rsidP="008C21F1">
      <w:pPr>
        <w:spacing w:line="360" w:lineRule="auto"/>
        <w:jc w:val="both"/>
        <w:rPr>
          <w:rFonts w:ascii="Arial" w:hAnsi="Arial" w:cs="Arial"/>
          <w:sz w:val="22"/>
          <w:szCs w:val="22"/>
        </w:rPr>
      </w:pPr>
      <w:r>
        <w:rPr>
          <w:rFonts w:ascii="Arial" w:hAnsi="Arial" w:cs="Arial"/>
          <w:sz w:val="22"/>
          <w:szCs w:val="22"/>
        </w:rPr>
        <w:t xml:space="preserve">A complex police investigation involves input from multiple agencies and a series of interlinked processes that must adhere to legal and ethical standards and the utilisation of relevant policing powers. </w:t>
      </w:r>
      <w:r w:rsidR="00F8652B">
        <w:rPr>
          <w:rFonts w:ascii="Arial" w:hAnsi="Arial" w:cs="Arial"/>
          <w:sz w:val="22"/>
          <w:szCs w:val="22"/>
        </w:rPr>
        <w:t xml:space="preserve">The exercise of legal powers should be proportionate to the crime being investigated and should not be oppressive (COP 2025). </w:t>
      </w:r>
    </w:p>
    <w:p w14:paraId="7120A0C2" w14:textId="3A8AC0ED" w:rsidR="00983574" w:rsidRDefault="00983574" w:rsidP="008C21F1">
      <w:pPr>
        <w:spacing w:line="360" w:lineRule="auto"/>
        <w:jc w:val="both"/>
        <w:rPr>
          <w:rFonts w:ascii="Arial" w:hAnsi="Arial" w:cs="Arial"/>
          <w:sz w:val="22"/>
          <w:szCs w:val="22"/>
        </w:rPr>
      </w:pPr>
      <w:r>
        <w:rPr>
          <w:rFonts w:ascii="Arial" w:hAnsi="Arial" w:cs="Arial"/>
          <w:sz w:val="22"/>
          <w:szCs w:val="22"/>
        </w:rPr>
        <w:t>Investigators need to identify and follow all possible, reasonable lines of enquiry in order to gather enough evidential material that will either point towards or away from an identified suspect. (College of Policing 202</w:t>
      </w:r>
      <w:r w:rsidR="009509AB">
        <w:rPr>
          <w:rFonts w:ascii="Arial" w:hAnsi="Arial" w:cs="Arial"/>
          <w:sz w:val="22"/>
          <w:szCs w:val="22"/>
        </w:rPr>
        <w:t>5</w:t>
      </w:r>
      <w:r>
        <w:rPr>
          <w:rFonts w:ascii="Arial" w:hAnsi="Arial" w:cs="Arial"/>
          <w:sz w:val="22"/>
          <w:szCs w:val="22"/>
        </w:rPr>
        <w:t>)</w:t>
      </w:r>
    </w:p>
    <w:p w14:paraId="3CCFE4FF" w14:textId="53910A9D" w:rsidR="005742CB" w:rsidRDefault="005742CB" w:rsidP="008C21F1">
      <w:pPr>
        <w:spacing w:line="360" w:lineRule="auto"/>
        <w:jc w:val="both"/>
        <w:rPr>
          <w:rFonts w:ascii="Arial" w:hAnsi="Arial" w:cs="Arial"/>
          <w:sz w:val="22"/>
          <w:szCs w:val="22"/>
        </w:rPr>
      </w:pPr>
      <w:r>
        <w:rPr>
          <w:rFonts w:ascii="Arial" w:hAnsi="Arial" w:cs="Arial"/>
          <w:sz w:val="22"/>
          <w:szCs w:val="22"/>
        </w:rPr>
        <w:t>The processes of a complex investigation generally involve an initial response to a report of a crime, the management of an identifie</w:t>
      </w:r>
      <w:r w:rsidR="00FF3D87">
        <w:rPr>
          <w:rFonts w:ascii="Arial" w:hAnsi="Arial" w:cs="Arial"/>
          <w:sz w:val="22"/>
          <w:szCs w:val="22"/>
        </w:rPr>
        <w:t>d</w:t>
      </w:r>
      <w:r>
        <w:rPr>
          <w:rFonts w:ascii="Arial" w:hAnsi="Arial" w:cs="Arial"/>
          <w:sz w:val="22"/>
          <w:szCs w:val="22"/>
        </w:rPr>
        <w:t xml:space="preserve"> crime scene or multiple scenes, the collection of evidence from crime scenes (a person can also be considered a crime scene), analysis of evidence collected (for example, </w:t>
      </w:r>
      <w:r w:rsidR="00BA61C7">
        <w:rPr>
          <w:rFonts w:ascii="Arial" w:hAnsi="Arial" w:cs="Arial"/>
          <w:sz w:val="22"/>
          <w:szCs w:val="22"/>
        </w:rPr>
        <w:t>DNA</w:t>
      </w:r>
      <w:r>
        <w:rPr>
          <w:rFonts w:ascii="Arial" w:hAnsi="Arial" w:cs="Arial"/>
          <w:sz w:val="22"/>
          <w:szCs w:val="22"/>
        </w:rPr>
        <w:t xml:space="preserve"> </w:t>
      </w:r>
      <w:r w:rsidR="00BA61C7">
        <w:rPr>
          <w:rFonts w:ascii="Arial" w:hAnsi="Arial" w:cs="Arial"/>
          <w:sz w:val="22"/>
          <w:szCs w:val="22"/>
        </w:rPr>
        <w:t>analysis</w:t>
      </w:r>
      <w:r>
        <w:rPr>
          <w:rFonts w:ascii="Arial" w:hAnsi="Arial" w:cs="Arial"/>
          <w:sz w:val="22"/>
          <w:szCs w:val="22"/>
        </w:rPr>
        <w:t>), the identification of any potential suspects, gathering information and taking statements from witnesses, interviewing of suspects and building a case file of evidence</w:t>
      </w:r>
      <w:r w:rsidR="005417EE">
        <w:rPr>
          <w:rFonts w:ascii="Arial" w:hAnsi="Arial" w:cs="Arial"/>
          <w:sz w:val="22"/>
          <w:szCs w:val="22"/>
        </w:rPr>
        <w:t xml:space="preserve"> to be sent to the Crown Prosecution Service. </w:t>
      </w:r>
    </w:p>
    <w:p w14:paraId="4E5A7660" w14:textId="77777777" w:rsidR="00294C1B" w:rsidRDefault="00294C1B" w:rsidP="008C21F1">
      <w:pPr>
        <w:spacing w:line="360" w:lineRule="auto"/>
        <w:jc w:val="both"/>
        <w:rPr>
          <w:rFonts w:ascii="Arial" w:hAnsi="Arial" w:cs="Arial"/>
          <w:sz w:val="22"/>
          <w:szCs w:val="22"/>
        </w:rPr>
      </w:pPr>
    </w:p>
    <w:p w14:paraId="70659A58" w14:textId="0BF39E2A" w:rsidR="000F7940" w:rsidRDefault="000F7940" w:rsidP="008C21F1">
      <w:pPr>
        <w:spacing w:line="360" w:lineRule="auto"/>
        <w:jc w:val="both"/>
        <w:rPr>
          <w:rFonts w:ascii="Arial" w:hAnsi="Arial" w:cs="Arial"/>
          <w:sz w:val="22"/>
          <w:szCs w:val="22"/>
        </w:rPr>
      </w:pPr>
      <w:r>
        <w:rPr>
          <w:rFonts w:ascii="Arial" w:hAnsi="Arial" w:cs="Arial"/>
          <w:sz w:val="22"/>
          <w:szCs w:val="22"/>
        </w:rPr>
        <w:t xml:space="preserve">The investigation I will be referring to in this task will be that of multiple offences carried out by a </w:t>
      </w:r>
      <w:r w:rsidR="00BD5413">
        <w:rPr>
          <w:rFonts w:ascii="Arial" w:hAnsi="Arial" w:cs="Arial"/>
          <w:sz w:val="22"/>
          <w:szCs w:val="22"/>
        </w:rPr>
        <w:t xml:space="preserve">single </w:t>
      </w:r>
      <w:r>
        <w:rPr>
          <w:rFonts w:ascii="Arial" w:hAnsi="Arial" w:cs="Arial"/>
          <w:sz w:val="22"/>
          <w:szCs w:val="22"/>
        </w:rPr>
        <w:t xml:space="preserve">male juvenile who has been identified as being at risk of criminal exploitation. </w:t>
      </w:r>
      <w:r w:rsidR="00F50896">
        <w:rPr>
          <w:rFonts w:ascii="Arial" w:hAnsi="Arial" w:cs="Arial"/>
          <w:sz w:val="22"/>
          <w:szCs w:val="22"/>
        </w:rPr>
        <w:t xml:space="preserve">The two distinguishing features of this investigation which made it complex, were that there were </w:t>
      </w:r>
      <w:r w:rsidR="00F50896">
        <w:rPr>
          <w:rFonts w:ascii="Arial" w:hAnsi="Arial" w:cs="Arial"/>
          <w:sz w:val="22"/>
          <w:szCs w:val="22"/>
        </w:rPr>
        <w:lastRenderedPageBreak/>
        <w:t xml:space="preserve">multiple offences identified, as well as multiple intelligence reports and the youth was at risk of being criminally exploited. </w:t>
      </w:r>
    </w:p>
    <w:p w14:paraId="417A300A" w14:textId="6BD124F1" w:rsidR="000F7940" w:rsidRDefault="000F7940" w:rsidP="008C21F1">
      <w:pPr>
        <w:spacing w:line="360" w:lineRule="auto"/>
        <w:jc w:val="both"/>
        <w:rPr>
          <w:rFonts w:ascii="Arial" w:hAnsi="Arial" w:cs="Arial"/>
          <w:sz w:val="22"/>
          <w:szCs w:val="22"/>
        </w:rPr>
      </w:pPr>
      <w:r>
        <w:rPr>
          <w:rFonts w:ascii="Arial" w:hAnsi="Arial" w:cs="Arial"/>
          <w:sz w:val="22"/>
          <w:szCs w:val="22"/>
        </w:rPr>
        <w:t>As a PC on a neighbourhood policing team, the male first came to my attention by way of discussion with local PCSO’s with regards to anti-social behaviour</w:t>
      </w:r>
      <w:r w:rsidR="00BD5413">
        <w:rPr>
          <w:rFonts w:ascii="Arial" w:hAnsi="Arial" w:cs="Arial"/>
          <w:sz w:val="22"/>
          <w:szCs w:val="22"/>
        </w:rPr>
        <w:t xml:space="preserve"> he had been involved in. </w:t>
      </w:r>
    </w:p>
    <w:p w14:paraId="2C55C1B2" w14:textId="610E652D" w:rsidR="00BD5413" w:rsidRDefault="00BD5413" w:rsidP="008C21F1">
      <w:pPr>
        <w:spacing w:line="360" w:lineRule="auto"/>
        <w:jc w:val="both"/>
        <w:rPr>
          <w:rFonts w:ascii="Arial" w:hAnsi="Arial" w:cs="Arial"/>
          <w:sz w:val="22"/>
          <w:szCs w:val="22"/>
        </w:rPr>
      </w:pPr>
      <w:r>
        <w:rPr>
          <w:rFonts w:ascii="Arial" w:hAnsi="Arial" w:cs="Arial"/>
          <w:sz w:val="22"/>
          <w:szCs w:val="22"/>
        </w:rPr>
        <w:t xml:space="preserve">There were also multiple intelligence reports for the male involving incidents where the male has been reported to </w:t>
      </w:r>
      <w:r w:rsidR="00AA0494">
        <w:rPr>
          <w:rFonts w:ascii="Arial" w:hAnsi="Arial" w:cs="Arial"/>
          <w:sz w:val="22"/>
          <w:szCs w:val="22"/>
        </w:rPr>
        <w:t>have been</w:t>
      </w:r>
      <w:r>
        <w:rPr>
          <w:rFonts w:ascii="Arial" w:hAnsi="Arial" w:cs="Arial"/>
          <w:sz w:val="22"/>
          <w:szCs w:val="22"/>
        </w:rPr>
        <w:t xml:space="preserve"> associating with older adults and an older girlfriend. </w:t>
      </w:r>
      <w:r w:rsidR="006778CC">
        <w:rPr>
          <w:rFonts w:ascii="Arial" w:hAnsi="Arial" w:cs="Arial"/>
          <w:sz w:val="22"/>
          <w:szCs w:val="22"/>
        </w:rPr>
        <w:t>One particular intelligence report referenced the male talking to a</w:t>
      </w:r>
      <w:r w:rsidR="00AA0494">
        <w:rPr>
          <w:rFonts w:ascii="Arial" w:hAnsi="Arial" w:cs="Arial"/>
          <w:sz w:val="22"/>
          <w:szCs w:val="22"/>
        </w:rPr>
        <w:t xml:space="preserve"> </w:t>
      </w:r>
      <w:r w:rsidR="007F6D4C">
        <w:rPr>
          <w:rFonts w:ascii="Arial" w:hAnsi="Arial" w:cs="Arial"/>
          <w:sz w:val="22"/>
          <w:szCs w:val="22"/>
        </w:rPr>
        <w:t>37-year-old</w:t>
      </w:r>
      <w:r w:rsidR="006778CC">
        <w:rPr>
          <w:rFonts w:ascii="Arial" w:hAnsi="Arial" w:cs="Arial"/>
          <w:sz w:val="22"/>
          <w:szCs w:val="22"/>
        </w:rPr>
        <w:t xml:space="preserve"> male from London who is known to travel to Cardiff to visit the juvenile. </w:t>
      </w:r>
      <w:r w:rsidR="00616E07">
        <w:rPr>
          <w:rFonts w:ascii="Arial" w:hAnsi="Arial" w:cs="Arial"/>
          <w:sz w:val="22"/>
          <w:szCs w:val="22"/>
        </w:rPr>
        <w:t>The male was also associating with another local male in his early 20’s who was known in the area for his involvement with drug sales, carrying weapons and using illegal ‘</w:t>
      </w:r>
      <w:proofErr w:type="spellStart"/>
      <w:r w:rsidR="00616E07">
        <w:rPr>
          <w:rFonts w:ascii="Arial" w:hAnsi="Arial" w:cs="Arial"/>
          <w:sz w:val="22"/>
          <w:szCs w:val="22"/>
        </w:rPr>
        <w:t>Sur</w:t>
      </w:r>
      <w:r w:rsidR="00350AF6">
        <w:rPr>
          <w:rFonts w:ascii="Arial" w:hAnsi="Arial" w:cs="Arial"/>
          <w:sz w:val="22"/>
          <w:szCs w:val="22"/>
        </w:rPr>
        <w:t>r</w:t>
      </w:r>
      <w:r w:rsidR="00616E07">
        <w:rPr>
          <w:rFonts w:ascii="Arial" w:hAnsi="Arial" w:cs="Arial"/>
          <w:sz w:val="22"/>
          <w:szCs w:val="22"/>
        </w:rPr>
        <w:t>on</w:t>
      </w:r>
      <w:proofErr w:type="spellEnd"/>
      <w:r w:rsidR="00616E07">
        <w:rPr>
          <w:rFonts w:ascii="Arial" w:hAnsi="Arial" w:cs="Arial"/>
          <w:sz w:val="22"/>
          <w:szCs w:val="22"/>
        </w:rPr>
        <w:t xml:space="preserve">’ bikes to facilitate drug deals and evading police. </w:t>
      </w:r>
    </w:p>
    <w:p w14:paraId="6B2068AC" w14:textId="77E2B248" w:rsidR="00B750F8" w:rsidRDefault="00903FC3" w:rsidP="008C21F1">
      <w:pPr>
        <w:spacing w:line="360" w:lineRule="auto"/>
        <w:jc w:val="both"/>
        <w:rPr>
          <w:rFonts w:ascii="Arial" w:hAnsi="Arial" w:cs="Arial"/>
          <w:sz w:val="22"/>
          <w:szCs w:val="22"/>
        </w:rPr>
      </w:pPr>
      <w:r>
        <w:rPr>
          <w:rFonts w:ascii="Arial" w:hAnsi="Arial" w:cs="Arial"/>
          <w:sz w:val="22"/>
          <w:szCs w:val="22"/>
        </w:rPr>
        <w:t>The specific offence I was involved in investigating was the theft of a motorcycle. However, upon the male’s arrest for the offence, it transpired that he was a suspect for multiple shoplifting offences in the area. He would late</w:t>
      </w:r>
      <w:r w:rsidR="0011234B">
        <w:rPr>
          <w:rFonts w:ascii="Arial" w:hAnsi="Arial" w:cs="Arial"/>
          <w:sz w:val="22"/>
          <w:szCs w:val="22"/>
        </w:rPr>
        <w:t>r also</w:t>
      </w:r>
      <w:r>
        <w:rPr>
          <w:rFonts w:ascii="Arial" w:hAnsi="Arial" w:cs="Arial"/>
          <w:sz w:val="22"/>
          <w:szCs w:val="22"/>
        </w:rPr>
        <w:t xml:space="preserve"> be identified as a suspect for multiple instances of vehicle crim</w:t>
      </w:r>
      <w:r w:rsidR="0011234B">
        <w:rPr>
          <w:rFonts w:ascii="Arial" w:hAnsi="Arial" w:cs="Arial"/>
          <w:sz w:val="22"/>
          <w:szCs w:val="22"/>
        </w:rPr>
        <w:t>e</w:t>
      </w:r>
      <w:r>
        <w:rPr>
          <w:rFonts w:ascii="Arial" w:hAnsi="Arial" w:cs="Arial"/>
          <w:sz w:val="22"/>
          <w:szCs w:val="22"/>
        </w:rPr>
        <w:t xml:space="preserve"> in the local area, highlighting an escalation </w:t>
      </w:r>
      <w:r w:rsidR="0011234B">
        <w:rPr>
          <w:rFonts w:ascii="Arial" w:hAnsi="Arial" w:cs="Arial"/>
          <w:sz w:val="22"/>
          <w:szCs w:val="22"/>
        </w:rPr>
        <w:t>regarding</w:t>
      </w:r>
      <w:r>
        <w:rPr>
          <w:rFonts w:ascii="Arial" w:hAnsi="Arial" w:cs="Arial"/>
          <w:sz w:val="22"/>
          <w:szCs w:val="22"/>
        </w:rPr>
        <w:t xml:space="preserve"> his offending</w:t>
      </w:r>
      <w:r w:rsidR="00B750F8">
        <w:rPr>
          <w:rFonts w:ascii="Arial" w:hAnsi="Arial" w:cs="Arial"/>
          <w:sz w:val="22"/>
          <w:szCs w:val="22"/>
        </w:rPr>
        <w:t xml:space="preserve"> and the potential of him being at risk of or currently being criminally exploited. </w:t>
      </w:r>
    </w:p>
    <w:p w14:paraId="55CA1C00" w14:textId="176E0AFE" w:rsidR="00294C1B" w:rsidRDefault="00294C1B" w:rsidP="00294C1B">
      <w:pPr>
        <w:spacing w:line="360" w:lineRule="auto"/>
        <w:jc w:val="both"/>
        <w:rPr>
          <w:rFonts w:ascii="Arial" w:hAnsi="Arial" w:cs="Arial"/>
          <w:sz w:val="22"/>
          <w:szCs w:val="22"/>
        </w:rPr>
      </w:pPr>
      <w:r>
        <w:rPr>
          <w:rFonts w:ascii="Arial" w:hAnsi="Arial" w:cs="Arial"/>
          <w:sz w:val="22"/>
          <w:szCs w:val="22"/>
        </w:rPr>
        <w:t>The initial response to an incident involves securing and preserving evidence, ensuring the safety of the public and identifying any potential suspects or witnesses</w:t>
      </w:r>
      <w:r w:rsidR="00B27146">
        <w:rPr>
          <w:rFonts w:ascii="Arial" w:hAnsi="Arial" w:cs="Arial"/>
          <w:sz w:val="22"/>
          <w:szCs w:val="22"/>
        </w:rPr>
        <w:t xml:space="preserve"> and obtaining an initial account from the victim</w:t>
      </w:r>
      <w:r>
        <w:rPr>
          <w:rFonts w:ascii="Arial" w:hAnsi="Arial" w:cs="Arial"/>
          <w:sz w:val="22"/>
          <w:szCs w:val="22"/>
        </w:rPr>
        <w:t>.</w:t>
      </w:r>
      <w:r w:rsidR="00AB4AC8">
        <w:rPr>
          <w:rFonts w:ascii="Arial" w:hAnsi="Arial" w:cs="Arial"/>
          <w:sz w:val="22"/>
          <w:szCs w:val="22"/>
        </w:rPr>
        <w:t xml:space="preserve"> Investigators need to gather all the material available which will add any evidential weight to the investigation </w:t>
      </w:r>
      <w:r w:rsidR="00BB6A9B">
        <w:rPr>
          <w:rFonts w:ascii="Arial" w:hAnsi="Arial" w:cs="Arial"/>
          <w:sz w:val="22"/>
          <w:szCs w:val="22"/>
        </w:rPr>
        <w:t>or</w:t>
      </w:r>
      <w:r w:rsidR="00AB4AC8">
        <w:rPr>
          <w:rFonts w:ascii="Arial" w:hAnsi="Arial" w:cs="Arial"/>
          <w:sz w:val="22"/>
          <w:szCs w:val="22"/>
        </w:rPr>
        <w:t xml:space="preserve"> indeed undermine it. Digital material is particularly beneficial. </w:t>
      </w:r>
      <w:r w:rsidR="00BB6A9B">
        <w:rPr>
          <w:rFonts w:ascii="Arial" w:hAnsi="Arial" w:cs="Arial"/>
          <w:sz w:val="22"/>
          <w:szCs w:val="22"/>
        </w:rPr>
        <w:t>This evidence should be recorded and analysed</w:t>
      </w:r>
      <w:r>
        <w:rPr>
          <w:rFonts w:ascii="Arial" w:hAnsi="Arial" w:cs="Arial"/>
          <w:sz w:val="22"/>
          <w:szCs w:val="22"/>
        </w:rPr>
        <w:t xml:space="preserve"> (CoP 2025)</w:t>
      </w:r>
      <w:r w:rsidR="0031346C">
        <w:rPr>
          <w:rFonts w:ascii="Arial" w:hAnsi="Arial" w:cs="Arial"/>
          <w:sz w:val="22"/>
          <w:szCs w:val="22"/>
        </w:rPr>
        <w:t xml:space="preserve">. </w:t>
      </w:r>
    </w:p>
    <w:p w14:paraId="33D2378C" w14:textId="23899F8C" w:rsidR="0008148A" w:rsidRDefault="0031346C" w:rsidP="00294C1B">
      <w:pPr>
        <w:spacing w:line="360" w:lineRule="auto"/>
        <w:jc w:val="both"/>
        <w:rPr>
          <w:rFonts w:ascii="Arial" w:hAnsi="Arial" w:cs="Arial"/>
          <w:sz w:val="22"/>
          <w:szCs w:val="22"/>
        </w:rPr>
      </w:pPr>
      <w:r>
        <w:rPr>
          <w:rFonts w:ascii="Arial" w:hAnsi="Arial" w:cs="Arial"/>
          <w:sz w:val="22"/>
          <w:szCs w:val="22"/>
        </w:rPr>
        <w:t>The offence being investigated was the theft of a motorcycle from outside the victim’s place of work. The initial response was to apprehend the offender by using in</w:t>
      </w:r>
      <w:r w:rsidR="006D2AB2">
        <w:rPr>
          <w:rFonts w:ascii="Arial" w:hAnsi="Arial" w:cs="Arial"/>
          <w:sz w:val="22"/>
          <w:szCs w:val="22"/>
        </w:rPr>
        <w:t>formation</w:t>
      </w:r>
      <w:r>
        <w:rPr>
          <w:rFonts w:ascii="Arial" w:hAnsi="Arial" w:cs="Arial"/>
          <w:sz w:val="22"/>
          <w:szCs w:val="22"/>
        </w:rPr>
        <w:t xml:space="preserve"> gained from the incident</w:t>
      </w:r>
      <w:r w:rsidR="006D2AB2">
        <w:rPr>
          <w:rFonts w:ascii="Arial" w:hAnsi="Arial" w:cs="Arial"/>
          <w:sz w:val="22"/>
          <w:szCs w:val="22"/>
        </w:rPr>
        <w:t xml:space="preserve"> provided by the victim and witnesses to the incident. </w:t>
      </w:r>
      <w:r>
        <w:rPr>
          <w:rFonts w:ascii="Arial" w:hAnsi="Arial" w:cs="Arial"/>
          <w:sz w:val="22"/>
          <w:szCs w:val="22"/>
        </w:rPr>
        <w:t xml:space="preserve"> This was primarily the direction of travel and a description of the offender. However, an area search for the offender initially proved fruitless. After speaking with the victim to obtain an initial account, a de</w:t>
      </w:r>
      <w:r w:rsidR="00DF5BC0">
        <w:rPr>
          <w:rFonts w:ascii="Arial" w:hAnsi="Arial" w:cs="Arial"/>
          <w:sz w:val="22"/>
          <w:szCs w:val="22"/>
        </w:rPr>
        <w:t>s</w:t>
      </w:r>
      <w:r>
        <w:rPr>
          <w:rFonts w:ascii="Arial" w:hAnsi="Arial" w:cs="Arial"/>
          <w:sz w:val="22"/>
          <w:szCs w:val="22"/>
        </w:rPr>
        <w:t xml:space="preserve">cription of the offender was obtained and a witness to the incident was identified. </w:t>
      </w:r>
    </w:p>
    <w:p w14:paraId="5F962922" w14:textId="50AECEE7" w:rsidR="00774DD0" w:rsidRDefault="0031346C" w:rsidP="00294C1B">
      <w:pPr>
        <w:spacing w:line="360" w:lineRule="auto"/>
        <w:jc w:val="both"/>
        <w:rPr>
          <w:rFonts w:ascii="Arial" w:hAnsi="Arial" w:cs="Arial"/>
          <w:sz w:val="22"/>
          <w:szCs w:val="22"/>
        </w:rPr>
      </w:pPr>
      <w:r>
        <w:rPr>
          <w:rFonts w:ascii="Arial" w:hAnsi="Arial" w:cs="Arial"/>
          <w:sz w:val="22"/>
          <w:szCs w:val="22"/>
        </w:rPr>
        <w:t>The witness to the incident had a vehicle</w:t>
      </w:r>
      <w:r w:rsidR="00986740">
        <w:rPr>
          <w:rFonts w:ascii="Arial" w:hAnsi="Arial" w:cs="Arial"/>
          <w:sz w:val="22"/>
          <w:szCs w:val="22"/>
        </w:rPr>
        <w:t xml:space="preserve"> which was parked at the location at the time of the incident</w:t>
      </w:r>
      <w:r>
        <w:rPr>
          <w:rFonts w:ascii="Arial" w:hAnsi="Arial" w:cs="Arial"/>
          <w:sz w:val="22"/>
          <w:szCs w:val="22"/>
        </w:rPr>
        <w:t xml:space="preserve"> which had built in CCTV and had captured the incident. </w:t>
      </w:r>
      <w:r w:rsidR="00774DD0">
        <w:rPr>
          <w:rFonts w:ascii="Arial" w:hAnsi="Arial" w:cs="Arial"/>
          <w:sz w:val="22"/>
          <w:szCs w:val="22"/>
        </w:rPr>
        <w:t xml:space="preserve">After obtaining the CCTV from </w:t>
      </w:r>
      <w:r w:rsidR="0008148A">
        <w:rPr>
          <w:rFonts w:ascii="Arial" w:hAnsi="Arial" w:cs="Arial"/>
          <w:sz w:val="22"/>
          <w:szCs w:val="22"/>
        </w:rPr>
        <w:t>the</w:t>
      </w:r>
      <w:r w:rsidR="00A21F99">
        <w:rPr>
          <w:rFonts w:ascii="Arial" w:hAnsi="Arial" w:cs="Arial"/>
          <w:sz w:val="22"/>
          <w:szCs w:val="22"/>
        </w:rPr>
        <w:t xml:space="preserve"> </w:t>
      </w:r>
      <w:r w:rsidR="0008148A">
        <w:rPr>
          <w:rFonts w:ascii="Arial" w:hAnsi="Arial" w:cs="Arial"/>
          <w:sz w:val="22"/>
          <w:szCs w:val="22"/>
        </w:rPr>
        <w:t>independent</w:t>
      </w:r>
      <w:r w:rsidR="00774DD0">
        <w:rPr>
          <w:rFonts w:ascii="Arial" w:hAnsi="Arial" w:cs="Arial"/>
          <w:sz w:val="22"/>
          <w:szCs w:val="22"/>
        </w:rPr>
        <w:t xml:space="preserve"> witness, one of the </w:t>
      </w:r>
      <w:r w:rsidR="0052085A">
        <w:rPr>
          <w:rFonts w:ascii="Arial" w:hAnsi="Arial" w:cs="Arial"/>
          <w:sz w:val="22"/>
          <w:szCs w:val="22"/>
        </w:rPr>
        <w:t>fast-track</w:t>
      </w:r>
      <w:r w:rsidR="00774DD0">
        <w:rPr>
          <w:rFonts w:ascii="Arial" w:hAnsi="Arial" w:cs="Arial"/>
          <w:sz w:val="22"/>
          <w:szCs w:val="22"/>
        </w:rPr>
        <w:t xml:space="preserve"> actions I was able to utilise was asking the local PCSO’s if they were able to identify the offender. A local PCSO was able to confidently identify him and the write a statement to that effect. The second fast track action I was able to utilise was the use of</w:t>
      </w:r>
      <w:r w:rsidR="00950965">
        <w:rPr>
          <w:rFonts w:ascii="Arial" w:hAnsi="Arial" w:cs="Arial"/>
          <w:sz w:val="22"/>
          <w:szCs w:val="22"/>
        </w:rPr>
        <w:t xml:space="preserve"> Retrospective</w:t>
      </w:r>
      <w:r w:rsidR="00774DD0">
        <w:rPr>
          <w:rFonts w:ascii="Arial" w:hAnsi="Arial" w:cs="Arial"/>
          <w:sz w:val="22"/>
          <w:szCs w:val="22"/>
        </w:rPr>
        <w:t xml:space="preserve"> Facial Recognition Technology </w:t>
      </w:r>
      <w:r w:rsidR="00C21A1A">
        <w:rPr>
          <w:rFonts w:ascii="Arial" w:hAnsi="Arial" w:cs="Arial"/>
          <w:sz w:val="22"/>
          <w:szCs w:val="22"/>
        </w:rPr>
        <w:t xml:space="preserve">involving </w:t>
      </w:r>
      <w:r w:rsidR="00774DD0">
        <w:rPr>
          <w:rFonts w:ascii="Arial" w:hAnsi="Arial" w:cs="Arial"/>
          <w:sz w:val="22"/>
          <w:szCs w:val="22"/>
        </w:rPr>
        <w:t>sending a still of the offender</w:t>
      </w:r>
      <w:r w:rsidR="00950965">
        <w:rPr>
          <w:rFonts w:ascii="Arial" w:hAnsi="Arial" w:cs="Arial"/>
          <w:sz w:val="22"/>
          <w:szCs w:val="22"/>
        </w:rPr>
        <w:t>’s</w:t>
      </w:r>
      <w:r w:rsidR="00774DD0">
        <w:rPr>
          <w:rFonts w:ascii="Arial" w:hAnsi="Arial" w:cs="Arial"/>
          <w:sz w:val="22"/>
          <w:szCs w:val="22"/>
        </w:rPr>
        <w:t xml:space="preserve"> face from the CCTV for analysis. </w:t>
      </w:r>
      <w:r w:rsidR="00950965">
        <w:rPr>
          <w:rFonts w:ascii="Arial" w:hAnsi="Arial" w:cs="Arial"/>
          <w:sz w:val="22"/>
          <w:szCs w:val="22"/>
        </w:rPr>
        <w:t xml:space="preserve">As Murray (2024) </w:t>
      </w:r>
      <w:r w:rsidR="009E4171">
        <w:rPr>
          <w:rFonts w:ascii="Arial" w:hAnsi="Arial" w:cs="Arial"/>
          <w:sz w:val="22"/>
          <w:szCs w:val="22"/>
        </w:rPr>
        <w:t xml:space="preserve">explains, Facial Recognition </w:t>
      </w:r>
      <w:r w:rsidR="009E4171">
        <w:rPr>
          <w:rFonts w:ascii="Arial" w:hAnsi="Arial" w:cs="Arial"/>
          <w:sz w:val="22"/>
          <w:szCs w:val="22"/>
        </w:rPr>
        <w:lastRenderedPageBreak/>
        <w:t xml:space="preserve">Technology uses machine learning to detect faces in an image creating a unique biometric template and then compares these templates to a database of individuals known to police to find possible matches. </w:t>
      </w:r>
      <w:r w:rsidR="00950965">
        <w:rPr>
          <w:rFonts w:ascii="Arial" w:hAnsi="Arial" w:cs="Arial"/>
          <w:sz w:val="22"/>
          <w:szCs w:val="22"/>
        </w:rPr>
        <w:t xml:space="preserve"> </w:t>
      </w:r>
      <w:r w:rsidR="0052085A">
        <w:rPr>
          <w:rFonts w:ascii="Arial" w:hAnsi="Arial" w:cs="Arial"/>
          <w:sz w:val="22"/>
          <w:szCs w:val="22"/>
        </w:rPr>
        <w:t xml:space="preserve">Unfortunately, </w:t>
      </w:r>
      <w:r w:rsidR="009E4171">
        <w:rPr>
          <w:rFonts w:ascii="Arial" w:hAnsi="Arial" w:cs="Arial"/>
          <w:sz w:val="22"/>
          <w:szCs w:val="22"/>
        </w:rPr>
        <w:t>the RFR on this occasion provided</w:t>
      </w:r>
      <w:r w:rsidR="0052085A">
        <w:rPr>
          <w:rFonts w:ascii="Arial" w:hAnsi="Arial" w:cs="Arial"/>
          <w:sz w:val="22"/>
          <w:szCs w:val="22"/>
        </w:rPr>
        <w:t xml:space="preserve"> a negative result.</w:t>
      </w:r>
      <w:r w:rsidR="00067654">
        <w:rPr>
          <w:rFonts w:ascii="Arial" w:hAnsi="Arial" w:cs="Arial"/>
          <w:sz w:val="22"/>
          <w:szCs w:val="22"/>
        </w:rPr>
        <w:t xml:space="preserve"> A pitfall to Retrospective Facial Recognition technology is that the images sent for analysis need to be of a reasonable quality. However, many CCTV systems are lacking in quality. </w:t>
      </w:r>
      <w:r w:rsidR="0052085A">
        <w:rPr>
          <w:rFonts w:ascii="Arial" w:hAnsi="Arial" w:cs="Arial"/>
          <w:sz w:val="22"/>
          <w:szCs w:val="22"/>
        </w:rPr>
        <w:t xml:space="preserve"> However, with a suspect now being identified, I was able to conduct arrest enquiries in order to</w:t>
      </w:r>
      <w:r w:rsidR="008F3A76">
        <w:rPr>
          <w:rFonts w:ascii="Arial" w:hAnsi="Arial" w:cs="Arial"/>
          <w:sz w:val="22"/>
          <w:szCs w:val="22"/>
        </w:rPr>
        <w:t xml:space="preserve"> locate and</w:t>
      </w:r>
      <w:r w:rsidR="0052085A">
        <w:rPr>
          <w:rFonts w:ascii="Arial" w:hAnsi="Arial" w:cs="Arial"/>
          <w:sz w:val="22"/>
          <w:szCs w:val="22"/>
        </w:rPr>
        <w:t xml:space="preserve"> interview the suspect. </w:t>
      </w:r>
    </w:p>
    <w:p w14:paraId="5C7B8622" w14:textId="77777777" w:rsidR="007F6D4C" w:rsidRDefault="00A227AA" w:rsidP="008C21F1">
      <w:pPr>
        <w:spacing w:line="360" w:lineRule="auto"/>
        <w:jc w:val="both"/>
        <w:rPr>
          <w:rFonts w:ascii="Arial" w:hAnsi="Arial" w:cs="Arial"/>
          <w:sz w:val="22"/>
          <w:szCs w:val="22"/>
        </w:rPr>
      </w:pPr>
      <w:r>
        <w:rPr>
          <w:rFonts w:ascii="Arial" w:hAnsi="Arial" w:cs="Arial"/>
          <w:sz w:val="22"/>
          <w:szCs w:val="22"/>
        </w:rPr>
        <w:t xml:space="preserve">Criminal investigation is heavily managed by criminal law. However, not every law can be enforced at all times. Police forces are required to make decisions regarding which crimes to prioritise and the specific circumstances surrounding the drivers for those crimes, determining which resources to allocate to them. Society expects investigators to uphold high </w:t>
      </w:r>
      <w:r w:rsidR="008D6C45">
        <w:rPr>
          <w:rFonts w:ascii="Arial" w:hAnsi="Arial" w:cs="Arial"/>
          <w:sz w:val="22"/>
          <w:szCs w:val="22"/>
        </w:rPr>
        <w:t>ethical</w:t>
      </w:r>
      <w:r>
        <w:rPr>
          <w:rFonts w:ascii="Arial" w:hAnsi="Arial" w:cs="Arial"/>
          <w:sz w:val="22"/>
          <w:szCs w:val="22"/>
        </w:rPr>
        <w:t xml:space="preserve"> standards, act with fairness and civility </w:t>
      </w:r>
      <w:r w:rsidR="008D6C45">
        <w:rPr>
          <w:rFonts w:ascii="Arial" w:hAnsi="Arial" w:cs="Arial"/>
          <w:sz w:val="22"/>
          <w:szCs w:val="22"/>
        </w:rPr>
        <w:t>and</w:t>
      </w:r>
      <w:r>
        <w:rPr>
          <w:rFonts w:ascii="Arial" w:hAnsi="Arial" w:cs="Arial"/>
          <w:sz w:val="22"/>
          <w:szCs w:val="22"/>
        </w:rPr>
        <w:t xml:space="preserve"> exercise discretion when </w:t>
      </w:r>
      <w:r w:rsidR="008D6C45">
        <w:rPr>
          <w:rFonts w:ascii="Arial" w:hAnsi="Arial" w:cs="Arial"/>
          <w:sz w:val="22"/>
          <w:szCs w:val="22"/>
        </w:rPr>
        <w:t>utilising</w:t>
      </w:r>
      <w:r>
        <w:rPr>
          <w:rFonts w:ascii="Arial" w:hAnsi="Arial" w:cs="Arial"/>
          <w:sz w:val="22"/>
          <w:szCs w:val="22"/>
        </w:rPr>
        <w:t xml:space="preserve"> their legal powers. </w:t>
      </w:r>
      <w:r w:rsidR="00B27146">
        <w:rPr>
          <w:rFonts w:ascii="Arial" w:hAnsi="Arial" w:cs="Arial"/>
          <w:sz w:val="22"/>
          <w:szCs w:val="22"/>
        </w:rPr>
        <w:t>Therefore,</w:t>
      </w:r>
      <w:r>
        <w:rPr>
          <w:rFonts w:ascii="Arial" w:hAnsi="Arial" w:cs="Arial"/>
          <w:sz w:val="22"/>
          <w:szCs w:val="22"/>
        </w:rPr>
        <w:t xml:space="preserve"> the way investigators apply the law is crucial (</w:t>
      </w:r>
      <w:proofErr w:type="spellStart"/>
      <w:r w:rsidR="008D6C45">
        <w:rPr>
          <w:rFonts w:ascii="Arial" w:hAnsi="Arial" w:cs="Arial"/>
          <w:sz w:val="22"/>
          <w:szCs w:val="22"/>
        </w:rPr>
        <w:t>Steflox</w:t>
      </w:r>
      <w:proofErr w:type="spellEnd"/>
      <w:r>
        <w:rPr>
          <w:rFonts w:ascii="Arial" w:hAnsi="Arial" w:cs="Arial"/>
          <w:sz w:val="22"/>
          <w:szCs w:val="22"/>
        </w:rPr>
        <w:t xml:space="preserve"> 2009)</w:t>
      </w:r>
      <w:r w:rsidR="00246BC1">
        <w:rPr>
          <w:rFonts w:ascii="Arial" w:hAnsi="Arial" w:cs="Arial"/>
          <w:sz w:val="22"/>
          <w:szCs w:val="22"/>
        </w:rPr>
        <w:t>.</w:t>
      </w:r>
      <w:r w:rsidR="00B27146">
        <w:rPr>
          <w:rFonts w:ascii="Arial" w:hAnsi="Arial" w:cs="Arial"/>
          <w:sz w:val="22"/>
          <w:szCs w:val="22"/>
        </w:rPr>
        <w:t xml:space="preserve"> </w:t>
      </w:r>
      <w:r w:rsidR="0018163C">
        <w:rPr>
          <w:rFonts w:ascii="Arial" w:hAnsi="Arial" w:cs="Arial"/>
          <w:sz w:val="22"/>
          <w:szCs w:val="22"/>
        </w:rPr>
        <w:t xml:space="preserve">Therefore, when deciding on the objections of this investigation. It was of high importance to consider the risk the young offender was exposed to in the form of being potentially criminally exploited. </w:t>
      </w:r>
      <w:r w:rsidR="00B27146">
        <w:rPr>
          <w:rFonts w:ascii="Arial" w:hAnsi="Arial" w:cs="Arial"/>
          <w:sz w:val="22"/>
          <w:szCs w:val="22"/>
        </w:rPr>
        <w:t>The College of Policing (2025) state that safeguarding is essential to an effective investigation as crimes may involve abuse and exploitation of people who are less able to look after themselves. The offender in this case had been identified as being at risk of being criminally exploited,</w:t>
      </w:r>
      <w:r w:rsidR="00156062">
        <w:rPr>
          <w:rFonts w:ascii="Arial" w:hAnsi="Arial" w:cs="Arial"/>
          <w:sz w:val="22"/>
          <w:szCs w:val="22"/>
        </w:rPr>
        <w:t xml:space="preserve"> and his criminality was becoming more frequent and reckless, with him later being identified as potentially being involved in multiple vehicle interferences in the local area.</w:t>
      </w:r>
      <w:r w:rsidR="00B27146">
        <w:rPr>
          <w:rFonts w:ascii="Arial" w:hAnsi="Arial" w:cs="Arial"/>
          <w:sz w:val="22"/>
          <w:szCs w:val="22"/>
        </w:rPr>
        <w:t xml:space="preserve"> </w:t>
      </w:r>
      <w:r w:rsidR="00156062">
        <w:rPr>
          <w:rFonts w:ascii="Arial" w:hAnsi="Arial" w:cs="Arial"/>
          <w:sz w:val="22"/>
          <w:szCs w:val="22"/>
        </w:rPr>
        <w:t>S</w:t>
      </w:r>
      <w:r w:rsidR="00B27146">
        <w:rPr>
          <w:rFonts w:ascii="Arial" w:hAnsi="Arial" w:cs="Arial"/>
          <w:sz w:val="22"/>
          <w:szCs w:val="22"/>
        </w:rPr>
        <w:t>o</w:t>
      </w:r>
      <w:r w:rsidR="00156062">
        <w:rPr>
          <w:rFonts w:ascii="Arial" w:hAnsi="Arial" w:cs="Arial"/>
          <w:sz w:val="22"/>
          <w:szCs w:val="22"/>
        </w:rPr>
        <w:t>,</w:t>
      </w:r>
      <w:r w:rsidR="00B27146">
        <w:rPr>
          <w:rFonts w:ascii="Arial" w:hAnsi="Arial" w:cs="Arial"/>
          <w:sz w:val="22"/>
          <w:szCs w:val="22"/>
        </w:rPr>
        <w:t xml:space="preserve"> it was vital that’s steps were taken to ensure his safety and to put interventions in place to reduce the risk of him being exploited or to allow him to escape those who were</w:t>
      </w:r>
      <w:r w:rsidR="00156062">
        <w:rPr>
          <w:rFonts w:ascii="Arial" w:hAnsi="Arial" w:cs="Arial"/>
          <w:sz w:val="22"/>
          <w:szCs w:val="22"/>
        </w:rPr>
        <w:t xml:space="preserve"> potentially</w:t>
      </w:r>
      <w:r w:rsidR="00B27146">
        <w:rPr>
          <w:rFonts w:ascii="Arial" w:hAnsi="Arial" w:cs="Arial"/>
          <w:sz w:val="22"/>
          <w:szCs w:val="22"/>
        </w:rPr>
        <w:t xml:space="preserve"> attempting to exploit him.</w:t>
      </w:r>
    </w:p>
    <w:p w14:paraId="2A56294A" w14:textId="09D59FA9" w:rsidR="00B61E41" w:rsidRPr="007F6D4C" w:rsidRDefault="00156062" w:rsidP="008C21F1">
      <w:pPr>
        <w:spacing w:line="360" w:lineRule="auto"/>
        <w:jc w:val="both"/>
        <w:rPr>
          <w:rFonts w:ascii="Arial" w:hAnsi="Arial" w:cs="Arial"/>
          <w:sz w:val="22"/>
          <w:szCs w:val="22"/>
        </w:rPr>
      </w:pPr>
      <w:r w:rsidRPr="006A3B67">
        <w:rPr>
          <w:rFonts w:ascii="Arial" w:hAnsi="Arial" w:cs="Arial"/>
          <w:color w:val="000000" w:themeColor="text1"/>
          <w:sz w:val="22"/>
          <w:szCs w:val="22"/>
        </w:rPr>
        <w:t>Investigators should pay particular attention and provide adequate support for vulnerable people and children (CoP 2025)</w:t>
      </w:r>
      <w:r w:rsidR="00246BC1" w:rsidRPr="006A3B67">
        <w:rPr>
          <w:rFonts w:ascii="Arial" w:hAnsi="Arial" w:cs="Arial"/>
          <w:color w:val="000000" w:themeColor="text1"/>
          <w:sz w:val="22"/>
          <w:szCs w:val="22"/>
        </w:rPr>
        <w:t xml:space="preserve">. Part of the </w:t>
      </w:r>
      <w:r w:rsidR="003F00AA" w:rsidRPr="006A3B67">
        <w:rPr>
          <w:rFonts w:ascii="Arial" w:hAnsi="Arial" w:cs="Arial"/>
          <w:color w:val="000000" w:themeColor="text1"/>
          <w:sz w:val="22"/>
          <w:szCs w:val="22"/>
        </w:rPr>
        <w:t>fast-track</w:t>
      </w:r>
      <w:r w:rsidR="00246BC1" w:rsidRPr="006A3B67">
        <w:rPr>
          <w:rFonts w:ascii="Arial" w:hAnsi="Arial" w:cs="Arial"/>
          <w:color w:val="000000" w:themeColor="text1"/>
          <w:sz w:val="22"/>
          <w:szCs w:val="22"/>
        </w:rPr>
        <w:t xml:space="preserve"> actions utilised for this case was the completion of a CPS Children’s</w:t>
      </w:r>
      <w:r w:rsidR="006A3B67">
        <w:rPr>
          <w:rFonts w:ascii="Arial" w:hAnsi="Arial" w:cs="Arial"/>
          <w:color w:val="000000" w:themeColor="text1"/>
          <w:sz w:val="22"/>
          <w:szCs w:val="22"/>
        </w:rPr>
        <w:t xml:space="preserve"> Information </w:t>
      </w:r>
      <w:r w:rsidR="00246BC1" w:rsidRPr="006A3B67">
        <w:rPr>
          <w:rFonts w:ascii="Arial" w:hAnsi="Arial" w:cs="Arial"/>
          <w:color w:val="000000" w:themeColor="text1"/>
          <w:sz w:val="22"/>
          <w:szCs w:val="22"/>
        </w:rPr>
        <w:t>Form</w:t>
      </w:r>
      <w:r w:rsidR="006A3B67">
        <w:rPr>
          <w:rFonts w:ascii="Arial" w:hAnsi="Arial" w:cs="Arial"/>
          <w:color w:val="000000" w:themeColor="text1"/>
          <w:sz w:val="22"/>
          <w:szCs w:val="22"/>
        </w:rPr>
        <w:t xml:space="preserve">. </w:t>
      </w:r>
      <w:r w:rsidR="001A2899">
        <w:rPr>
          <w:rFonts w:ascii="Arial" w:hAnsi="Arial" w:cs="Arial"/>
          <w:color w:val="000000" w:themeColor="text1"/>
          <w:sz w:val="22"/>
          <w:szCs w:val="22"/>
        </w:rPr>
        <w:t xml:space="preserve">This form has been introduced by the NPCC and CPS to improve sharing information about child suspects to various agencies. </w:t>
      </w:r>
      <w:r w:rsidRPr="006A3B67">
        <w:rPr>
          <w:rFonts w:ascii="Arial" w:hAnsi="Arial" w:cs="Arial"/>
          <w:color w:val="000000" w:themeColor="text1"/>
          <w:sz w:val="22"/>
          <w:szCs w:val="22"/>
        </w:rPr>
        <w:t xml:space="preserve"> </w:t>
      </w:r>
      <w:r w:rsidR="005F7FCD">
        <w:rPr>
          <w:rFonts w:ascii="Arial" w:hAnsi="Arial" w:cs="Arial"/>
          <w:color w:val="000000" w:themeColor="text1"/>
          <w:sz w:val="22"/>
          <w:szCs w:val="22"/>
        </w:rPr>
        <w:t xml:space="preserve">The CIF helps prosecutors consider the child’s personal circumstances when making charging decisions and decisions through the entire case. </w:t>
      </w:r>
      <w:r w:rsidR="00DA75A7">
        <w:rPr>
          <w:rFonts w:ascii="Arial" w:hAnsi="Arial" w:cs="Arial"/>
          <w:color w:val="000000" w:themeColor="text1"/>
          <w:sz w:val="22"/>
          <w:szCs w:val="22"/>
        </w:rPr>
        <w:t xml:space="preserve">The CIF collaborates inputs from a range of individuals involved in the child’s life including the health and welfare of the child, the occupation/education of the child, the circumstances of the offence and previous offending and behaviour. </w:t>
      </w:r>
      <w:r w:rsidR="009E4203">
        <w:rPr>
          <w:rFonts w:ascii="Arial" w:hAnsi="Arial" w:cs="Arial"/>
          <w:color w:val="000000" w:themeColor="text1"/>
          <w:sz w:val="22"/>
          <w:szCs w:val="22"/>
        </w:rPr>
        <w:t xml:space="preserve">The CIF promotes earlier and more accurate communication between agencies encouraging the inclusion of child-specific information in every case. Children often face formal prosecution when their situations could have been addressed by alternative support. The CIF aims to ensure unnecessary court proceedings resulting in trauma are </w:t>
      </w:r>
      <w:r w:rsidR="009E4203">
        <w:rPr>
          <w:rFonts w:ascii="Arial" w:hAnsi="Arial" w:cs="Arial"/>
          <w:color w:val="000000" w:themeColor="text1"/>
          <w:sz w:val="22"/>
          <w:szCs w:val="22"/>
        </w:rPr>
        <w:lastRenderedPageBreak/>
        <w:t>avoided when possible. This encourages community-based resolutions, especially for first time or vulnerable offenders</w:t>
      </w:r>
      <w:r w:rsidR="00A86C9D">
        <w:rPr>
          <w:rFonts w:ascii="Arial" w:hAnsi="Arial" w:cs="Arial"/>
          <w:color w:val="000000" w:themeColor="text1"/>
          <w:sz w:val="22"/>
          <w:szCs w:val="22"/>
        </w:rPr>
        <w:t xml:space="preserve"> (Youth Justice Legal Centre 2025).</w:t>
      </w:r>
    </w:p>
    <w:p w14:paraId="4572C84A" w14:textId="77777777" w:rsidR="00BB117D" w:rsidRDefault="00BB117D" w:rsidP="008C21F1">
      <w:pPr>
        <w:spacing w:line="360" w:lineRule="auto"/>
        <w:jc w:val="both"/>
        <w:rPr>
          <w:rFonts w:ascii="Arial" w:hAnsi="Arial" w:cs="Arial"/>
          <w:sz w:val="22"/>
          <w:szCs w:val="22"/>
        </w:rPr>
      </w:pPr>
    </w:p>
    <w:p w14:paraId="77806983" w14:textId="3546F407" w:rsidR="00BB117D" w:rsidRDefault="00BB117D" w:rsidP="008C21F1">
      <w:pPr>
        <w:spacing w:line="360" w:lineRule="auto"/>
        <w:jc w:val="both"/>
        <w:rPr>
          <w:rFonts w:ascii="Arial" w:hAnsi="Arial" w:cs="Arial"/>
          <w:sz w:val="22"/>
          <w:szCs w:val="22"/>
        </w:rPr>
      </w:pPr>
      <w:r>
        <w:rPr>
          <w:rFonts w:ascii="Arial" w:hAnsi="Arial" w:cs="Arial"/>
          <w:sz w:val="22"/>
          <w:szCs w:val="22"/>
        </w:rPr>
        <w:t xml:space="preserve">Forensic investigation is intimately connected with the search for the truth in an enquiry. The principal forensic enquiry utilised for this investigation was DNA as there is much evidence to suggest that our DNA is unique. </w:t>
      </w:r>
      <w:r w:rsidR="00EE3C27">
        <w:rPr>
          <w:rFonts w:ascii="Arial" w:hAnsi="Arial" w:cs="Arial"/>
          <w:sz w:val="22"/>
          <w:szCs w:val="22"/>
        </w:rPr>
        <w:t xml:space="preserve">Tong et al (2009). </w:t>
      </w:r>
    </w:p>
    <w:p w14:paraId="395105A7" w14:textId="5FC71104" w:rsidR="00AD2D2E" w:rsidRDefault="00AD2D2E" w:rsidP="008C21F1">
      <w:pPr>
        <w:spacing w:line="360" w:lineRule="auto"/>
        <w:jc w:val="both"/>
        <w:rPr>
          <w:rFonts w:ascii="Arial" w:hAnsi="Arial" w:cs="Arial"/>
          <w:sz w:val="22"/>
          <w:szCs w:val="22"/>
        </w:rPr>
      </w:pPr>
      <w:r>
        <w:rPr>
          <w:rFonts w:ascii="Arial" w:hAnsi="Arial" w:cs="Arial"/>
          <w:sz w:val="22"/>
          <w:szCs w:val="22"/>
        </w:rPr>
        <w:t xml:space="preserve">DNA evidence is valuable whilst solving crimes. However, expanding criminal DNA databases to include many innocent people has not improved crime </w:t>
      </w:r>
      <w:r w:rsidR="00CB215E">
        <w:rPr>
          <w:rFonts w:ascii="Arial" w:hAnsi="Arial" w:cs="Arial"/>
          <w:sz w:val="22"/>
          <w:szCs w:val="22"/>
        </w:rPr>
        <w:t>detection</w:t>
      </w:r>
      <w:r>
        <w:rPr>
          <w:rFonts w:ascii="Arial" w:hAnsi="Arial" w:cs="Arial"/>
          <w:sz w:val="22"/>
          <w:szCs w:val="22"/>
        </w:rPr>
        <w:t xml:space="preserve"> rates. The UK uniquely records DNA detections which are cases where a match leads to a prosecution of an offender. This highlights that many matches account for victims or bystanders, not just perpetrators. DNA evidence in court must be supported by other evidence especially when the DNA profile is partial. Studies in the UK and USA show that analysing crime scene data is far more effective than collecting DNA from individuals when solving crime. (Wallace et al </w:t>
      </w:r>
      <w:r w:rsidR="00CB215E">
        <w:rPr>
          <w:rFonts w:ascii="Arial" w:hAnsi="Arial" w:cs="Arial"/>
          <w:sz w:val="22"/>
          <w:szCs w:val="22"/>
        </w:rPr>
        <w:t>2014)</w:t>
      </w:r>
      <w:r w:rsidR="00F17E41">
        <w:rPr>
          <w:rFonts w:ascii="Arial" w:hAnsi="Arial" w:cs="Arial"/>
          <w:sz w:val="22"/>
          <w:szCs w:val="22"/>
        </w:rPr>
        <w:t>. This case was strengthened by the collection of DNA</w:t>
      </w:r>
      <w:r w:rsidR="00321FF7">
        <w:rPr>
          <w:rFonts w:ascii="Arial" w:hAnsi="Arial" w:cs="Arial"/>
          <w:sz w:val="22"/>
          <w:szCs w:val="22"/>
        </w:rPr>
        <w:t xml:space="preserve"> evidence</w:t>
      </w:r>
      <w:r w:rsidR="00F17E41">
        <w:rPr>
          <w:rFonts w:ascii="Arial" w:hAnsi="Arial" w:cs="Arial"/>
          <w:sz w:val="22"/>
          <w:szCs w:val="22"/>
        </w:rPr>
        <w:t xml:space="preserve"> from the scene which was found to be a partial match for the defendant. A DNA elimination sample was also provided by the victim to discount him from the investigation as the owner of the vehicle. </w:t>
      </w:r>
    </w:p>
    <w:p w14:paraId="1B09932D" w14:textId="77777777" w:rsidR="00B61E41" w:rsidRDefault="00B61E41" w:rsidP="008C21F1">
      <w:pPr>
        <w:spacing w:line="360" w:lineRule="auto"/>
        <w:jc w:val="both"/>
        <w:rPr>
          <w:rFonts w:ascii="Arial" w:hAnsi="Arial" w:cs="Arial"/>
          <w:sz w:val="22"/>
          <w:szCs w:val="22"/>
        </w:rPr>
      </w:pPr>
    </w:p>
    <w:p w14:paraId="50BCBDE8" w14:textId="2A0B39EC" w:rsidR="00B61E41" w:rsidRDefault="00A66FA0" w:rsidP="008C21F1">
      <w:pPr>
        <w:spacing w:line="360" w:lineRule="auto"/>
        <w:jc w:val="both"/>
        <w:rPr>
          <w:rFonts w:ascii="Arial" w:hAnsi="Arial" w:cs="Arial"/>
          <w:sz w:val="22"/>
          <w:szCs w:val="22"/>
        </w:rPr>
      </w:pPr>
      <w:r>
        <w:rPr>
          <w:rFonts w:ascii="Arial" w:hAnsi="Arial" w:cs="Arial"/>
          <w:sz w:val="22"/>
          <w:szCs w:val="22"/>
        </w:rPr>
        <w:t>I will now e</w:t>
      </w:r>
      <w:r w:rsidR="00B61E41">
        <w:rPr>
          <w:rFonts w:ascii="Arial" w:hAnsi="Arial" w:cs="Arial"/>
          <w:sz w:val="22"/>
          <w:szCs w:val="22"/>
        </w:rPr>
        <w:t xml:space="preserve">valuate </w:t>
      </w:r>
      <w:r>
        <w:rPr>
          <w:rFonts w:ascii="Arial" w:hAnsi="Arial" w:cs="Arial"/>
          <w:sz w:val="22"/>
          <w:szCs w:val="22"/>
        </w:rPr>
        <w:t xml:space="preserve">the </w:t>
      </w:r>
      <w:r w:rsidR="00B61E41">
        <w:rPr>
          <w:rFonts w:ascii="Arial" w:hAnsi="Arial" w:cs="Arial"/>
          <w:sz w:val="22"/>
          <w:szCs w:val="22"/>
        </w:rPr>
        <w:t xml:space="preserve">support </w:t>
      </w:r>
      <w:r>
        <w:rPr>
          <w:rFonts w:ascii="Arial" w:hAnsi="Arial" w:cs="Arial"/>
          <w:sz w:val="22"/>
          <w:szCs w:val="22"/>
        </w:rPr>
        <w:t xml:space="preserve">I </w:t>
      </w:r>
      <w:r w:rsidR="00B61E41">
        <w:rPr>
          <w:rFonts w:ascii="Arial" w:hAnsi="Arial" w:cs="Arial"/>
          <w:sz w:val="22"/>
          <w:szCs w:val="22"/>
        </w:rPr>
        <w:t xml:space="preserve">provided to </w:t>
      </w:r>
      <w:r>
        <w:rPr>
          <w:rFonts w:ascii="Arial" w:hAnsi="Arial" w:cs="Arial"/>
          <w:sz w:val="22"/>
          <w:szCs w:val="22"/>
        </w:rPr>
        <w:t xml:space="preserve">the </w:t>
      </w:r>
      <w:r w:rsidR="00B61E41">
        <w:rPr>
          <w:rFonts w:ascii="Arial" w:hAnsi="Arial" w:cs="Arial"/>
          <w:sz w:val="22"/>
          <w:szCs w:val="22"/>
        </w:rPr>
        <w:t>victim</w:t>
      </w:r>
      <w:r>
        <w:rPr>
          <w:rFonts w:ascii="Arial" w:hAnsi="Arial" w:cs="Arial"/>
          <w:sz w:val="22"/>
          <w:szCs w:val="22"/>
        </w:rPr>
        <w:t>,</w:t>
      </w:r>
      <w:r w:rsidR="00B61E41">
        <w:rPr>
          <w:rFonts w:ascii="Arial" w:hAnsi="Arial" w:cs="Arial"/>
          <w:sz w:val="22"/>
          <w:szCs w:val="22"/>
        </w:rPr>
        <w:t xml:space="preserve"> witness and offender</w:t>
      </w:r>
      <w:r>
        <w:rPr>
          <w:rFonts w:ascii="Arial" w:hAnsi="Arial" w:cs="Arial"/>
          <w:sz w:val="22"/>
          <w:szCs w:val="22"/>
        </w:rPr>
        <w:t xml:space="preserve"> involved in this case. </w:t>
      </w:r>
      <w:r w:rsidR="00B61E41">
        <w:rPr>
          <w:rFonts w:ascii="Arial" w:hAnsi="Arial" w:cs="Arial"/>
          <w:sz w:val="22"/>
          <w:szCs w:val="22"/>
        </w:rPr>
        <w:t xml:space="preserve"> </w:t>
      </w:r>
    </w:p>
    <w:p w14:paraId="5A877D0B" w14:textId="11248459" w:rsidR="00B86D49" w:rsidRDefault="004817D3" w:rsidP="008C21F1">
      <w:pPr>
        <w:spacing w:line="360" w:lineRule="auto"/>
        <w:jc w:val="both"/>
        <w:rPr>
          <w:rFonts w:ascii="Arial" w:hAnsi="Arial" w:cs="Arial"/>
          <w:sz w:val="22"/>
          <w:szCs w:val="22"/>
        </w:rPr>
      </w:pPr>
      <w:r>
        <w:rPr>
          <w:rFonts w:ascii="Arial" w:hAnsi="Arial" w:cs="Arial"/>
          <w:sz w:val="22"/>
          <w:szCs w:val="22"/>
        </w:rPr>
        <w:t xml:space="preserve">The victim was provided </w:t>
      </w:r>
      <w:r w:rsidR="00D32EF5">
        <w:rPr>
          <w:rFonts w:ascii="Arial" w:hAnsi="Arial" w:cs="Arial"/>
          <w:sz w:val="22"/>
          <w:szCs w:val="22"/>
        </w:rPr>
        <w:t xml:space="preserve">with a </w:t>
      </w:r>
      <w:r>
        <w:rPr>
          <w:rFonts w:ascii="Arial" w:hAnsi="Arial" w:cs="Arial"/>
          <w:sz w:val="22"/>
          <w:szCs w:val="22"/>
        </w:rPr>
        <w:t xml:space="preserve">referral to South Wales Victim Focus (2025). The service aims to support victims of crime offering immediate and </w:t>
      </w:r>
      <w:r w:rsidR="005F46E5">
        <w:rPr>
          <w:rFonts w:ascii="Arial" w:hAnsi="Arial" w:cs="Arial"/>
          <w:sz w:val="22"/>
          <w:szCs w:val="22"/>
        </w:rPr>
        <w:t>long-term</w:t>
      </w:r>
      <w:r>
        <w:rPr>
          <w:rFonts w:ascii="Arial" w:hAnsi="Arial" w:cs="Arial"/>
          <w:sz w:val="22"/>
          <w:szCs w:val="22"/>
        </w:rPr>
        <w:t xml:space="preserve"> support by from specially trained staff and volunteers. </w:t>
      </w:r>
      <w:r w:rsidR="005F46E5">
        <w:rPr>
          <w:rFonts w:ascii="Arial" w:hAnsi="Arial" w:cs="Arial"/>
          <w:sz w:val="22"/>
          <w:szCs w:val="22"/>
        </w:rPr>
        <w:t xml:space="preserve">The victim was also offered special measures as outlined by </w:t>
      </w:r>
      <w:r w:rsidR="001E79ED">
        <w:rPr>
          <w:rFonts w:ascii="Arial" w:hAnsi="Arial" w:cs="Arial"/>
          <w:sz w:val="22"/>
          <w:szCs w:val="22"/>
        </w:rPr>
        <w:t>The Code of Practice for Victims of Crime in England and Wales (2020) these include measure</w:t>
      </w:r>
      <w:r w:rsidR="00B86D49">
        <w:rPr>
          <w:rFonts w:ascii="Arial" w:hAnsi="Arial" w:cs="Arial"/>
          <w:sz w:val="22"/>
          <w:szCs w:val="22"/>
        </w:rPr>
        <w:t>s</w:t>
      </w:r>
      <w:r w:rsidR="001E79ED">
        <w:rPr>
          <w:rFonts w:ascii="Arial" w:hAnsi="Arial" w:cs="Arial"/>
          <w:sz w:val="22"/>
          <w:szCs w:val="22"/>
        </w:rPr>
        <w:t xml:space="preserve"> to protect vulnerable victims a</w:t>
      </w:r>
      <w:r w:rsidR="00B86D49">
        <w:rPr>
          <w:rFonts w:ascii="Arial" w:hAnsi="Arial" w:cs="Arial"/>
          <w:sz w:val="22"/>
          <w:szCs w:val="22"/>
        </w:rPr>
        <w:t>nd</w:t>
      </w:r>
      <w:r w:rsidR="001E79ED">
        <w:rPr>
          <w:rFonts w:ascii="Arial" w:hAnsi="Arial" w:cs="Arial"/>
          <w:sz w:val="22"/>
          <w:szCs w:val="22"/>
        </w:rPr>
        <w:t xml:space="preserve"> witnesses such as giving evidence behind a screen or via live video link so as not to have to come face to fa</w:t>
      </w:r>
      <w:r w:rsidR="00B86D49">
        <w:rPr>
          <w:rFonts w:ascii="Arial" w:hAnsi="Arial" w:cs="Arial"/>
          <w:sz w:val="22"/>
          <w:szCs w:val="22"/>
        </w:rPr>
        <w:t>c</w:t>
      </w:r>
      <w:r w:rsidR="001E79ED">
        <w:rPr>
          <w:rFonts w:ascii="Arial" w:hAnsi="Arial" w:cs="Arial"/>
          <w:sz w:val="22"/>
          <w:szCs w:val="22"/>
        </w:rPr>
        <w:t xml:space="preserve">e with the offender. </w:t>
      </w:r>
      <w:r w:rsidR="00B86D49">
        <w:rPr>
          <w:rFonts w:ascii="Arial" w:hAnsi="Arial" w:cs="Arial"/>
          <w:sz w:val="22"/>
          <w:szCs w:val="22"/>
        </w:rPr>
        <w:t xml:space="preserve">The victim was also given the opportunity to provide a Victim Personal Statement which gives the victim an opportunity to express how the crime has affected them in their own words. This could be emotionally, physically or financially and is considered by the judge when determining sentencing. </w:t>
      </w:r>
    </w:p>
    <w:p w14:paraId="2633D62B" w14:textId="060BB23C" w:rsidR="00B86D49" w:rsidRDefault="00CA59B1" w:rsidP="008C21F1">
      <w:pPr>
        <w:spacing w:line="360" w:lineRule="auto"/>
        <w:jc w:val="both"/>
        <w:rPr>
          <w:rFonts w:ascii="Arial" w:hAnsi="Arial" w:cs="Arial"/>
          <w:sz w:val="22"/>
          <w:szCs w:val="22"/>
        </w:rPr>
      </w:pPr>
      <w:r>
        <w:rPr>
          <w:rFonts w:ascii="Arial" w:hAnsi="Arial" w:cs="Arial"/>
          <w:sz w:val="22"/>
          <w:szCs w:val="22"/>
        </w:rPr>
        <w:t>The victim declined these offers a</w:t>
      </w:r>
      <w:r w:rsidR="00BC3E12">
        <w:rPr>
          <w:rFonts w:ascii="Arial" w:hAnsi="Arial" w:cs="Arial"/>
          <w:sz w:val="22"/>
          <w:szCs w:val="22"/>
        </w:rPr>
        <w:t>s</w:t>
      </w:r>
      <w:r>
        <w:rPr>
          <w:rFonts w:ascii="Arial" w:hAnsi="Arial" w:cs="Arial"/>
          <w:sz w:val="22"/>
          <w:szCs w:val="22"/>
        </w:rPr>
        <w:t xml:space="preserve"> he felt he had adequate support from friends and family and did not feel as if he were vulnerable. </w:t>
      </w:r>
      <w:r w:rsidR="00D32EF5">
        <w:rPr>
          <w:rFonts w:ascii="Arial" w:hAnsi="Arial" w:cs="Arial"/>
          <w:sz w:val="22"/>
          <w:szCs w:val="22"/>
        </w:rPr>
        <w:t xml:space="preserve">The victim was reminded that he could provide a VPS at any point during the investigation before sentencing takes place. </w:t>
      </w:r>
    </w:p>
    <w:p w14:paraId="7D23F4CB" w14:textId="13BD471E" w:rsidR="001E3E85" w:rsidRDefault="001E3E85" w:rsidP="008C21F1">
      <w:pPr>
        <w:spacing w:line="360" w:lineRule="auto"/>
        <w:jc w:val="both"/>
        <w:rPr>
          <w:rFonts w:ascii="Arial" w:hAnsi="Arial" w:cs="Arial"/>
          <w:sz w:val="22"/>
          <w:szCs w:val="22"/>
        </w:rPr>
      </w:pPr>
      <w:r>
        <w:rPr>
          <w:rFonts w:ascii="Arial" w:hAnsi="Arial" w:cs="Arial"/>
          <w:sz w:val="22"/>
          <w:szCs w:val="22"/>
        </w:rPr>
        <w:t xml:space="preserve">The witness also had special measures explained to him as he was initially reluctant to provide a statement in relation to the offence due to not knowing the implications of giving evidence in </w:t>
      </w:r>
      <w:r>
        <w:rPr>
          <w:rFonts w:ascii="Arial" w:hAnsi="Arial" w:cs="Arial"/>
          <w:sz w:val="22"/>
          <w:szCs w:val="22"/>
        </w:rPr>
        <w:lastRenderedPageBreak/>
        <w:t xml:space="preserve">court. The court process was explained to the witness along with the different types of special measures available. </w:t>
      </w:r>
    </w:p>
    <w:p w14:paraId="0C7A5903" w14:textId="4421A516" w:rsidR="003F00AA" w:rsidRDefault="00382530" w:rsidP="008C21F1">
      <w:pPr>
        <w:spacing w:line="360" w:lineRule="auto"/>
        <w:jc w:val="both"/>
        <w:rPr>
          <w:rFonts w:ascii="Arial" w:hAnsi="Arial" w:cs="Arial"/>
          <w:sz w:val="22"/>
          <w:szCs w:val="22"/>
        </w:rPr>
      </w:pPr>
      <w:r>
        <w:rPr>
          <w:rFonts w:ascii="Arial" w:hAnsi="Arial" w:cs="Arial"/>
          <w:sz w:val="22"/>
          <w:szCs w:val="22"/>
        </w:rPr>
        <w:t xml:space="preserve">The suspect in this case was already known to the local Youth Offending Team. </w:t>
      </w:r>
      <w:r w:rsidR="003F00AA">
        <w:rPr>
          <w:rFonts w:ascii="Arial" w:hAnsi="Arial" w:cs="Arial"/>
          <w:sz w:val="22"/>
          <w:szCs w:val="22"/>
        </w:rPr>
        <w:t>“</w:t>
      </w:r>
      <w:r w:rsidR="003F00AA" w:rsidRPr="003F00AA">
        <w:rPr>
          <w:rFonts w:ascii="Arial" w:hAnsi="Arial" w:cs="Arial"/>
          <w:sz w:val="22"/>
          <w:szCs w:val="22"/>
        </w:rPr>
        <w:t>Youth offending teams work with young people that get into trouble with the law.</w:t>
      </w:r>
      <w:r w:rsidR="003F00AA">
        <w:rPr>
          <w:rFonts w:ascii="Arial" w:hAnsi="Arial" w:cs="Arial"/>
          <w:sz w:val="22"/>
          <w:szCs w:val="22"/>
        </w:rPr>
        <w:t xml:space="preserve"> </w:t>
      </w:r>
      <w:r w:rsidR="003F00AA" w:rsidRPr="003F00AA">
        <w:rPr>
          <w:rFonts w:ascii="Arial" w:hAnsi="Arial" w:cs="Arial"/>
          <w:sz w:val="22"/>
          <w:szCs w:val="22"/>
        </w:rPr>
        <w:t>They look into the background of a young person and try to help them stay away from crime.</w:t>
      </w:r>
      <w:r w:rsidR="003F00AA">
        <w:rPr>
          <w:rFonts w:ascii="Arial" w:hAnsi="Arial" w:cs="Arial"/>
          <w:sz w:val="22"/>
          <w:szCs w:val="22"/>
        </w:rPr>
        <w:t>”</w:t>
      </w:r>
      <w:r w:rsidR="004A3005">
        <w:rPr>
          <w:rFonts w:ascii="Arial" w:hAnsi="Arial" w:cs="Arial"/>
          <w:sz w:val="22"/>
          <w:szCs w:val="22"/>
        </w:rPr>
        <w:t xml:space="preserve"> </w:t>
      </w:r>
      <w:r w:rsidR="003F00AA">
        <w:rPr>
          <w:rFonts w:ascii="Arial" w:hAnsi="Arial" w:cs="Arial"/>
          <w:sz w:val="22"/>
          <w:szCs w:val="22"/>
        </w:rPr>
        <w:t>GOV.UK (2025)</w:t>
      </w:r>
    </w:p>
    <w:p w14:paraId="128F4EB6" w14:textId="266F875C" w:rsidR="005D3AAA" w:rsidRDefault="005D3AAA" w:rsidP="008C21F1">
      <w:pPr>
        <w:spacing w:line="360" w:lineRule="auto"/>
        <w:jc w:val="both"/>
        <w:rPr>
          <w:rFonts w:ascii="Arial" w:hAnsi="Arial" w:cs="Arial"/>
          <w:sz w:val="22"/>
          <w:szCs w:val="22"/>
        </w:rPr>
      </w:pPr>
      <w:r>
        <w:rPr>
          <w:rFonts w:ascii="Arial" w:hAnsi="Arial" w:cs="Arial"/>
          <w:sz w:val="22"/>
          <w:szCs w:val="22"/>
        </w:rPr>
        <w:t xml:space="preserve">The Youth Justice service supports young offenders to help them move away from crime and becoming involved in the Youth Justice System. (Youth Justice service 2025).  </w:t>
      </w:r>
    </w:p>
    <w:p w14:paraId="1C29A6F9" w14:textId="3F6307CD" w:rsidR="008B2EB9" w:rsidRDefault="008B2EB9" w:rsidP="008C21F1">
      <w:pPr>
        <w:spacing w:line="360" w:lineRule="auto"/>
        <w:jc w:val="both"/>
        <w:rPr>
          <w:rFonts w:ascii="Arial" w:hAnsi="Arial" w:cs="Arial"/>
          <w:sz w:val="22"/>
          <w:szCs w:val="22"/>
        </w:rPr>
      </w:pPr>
      <w:r>
        <w:rPr>
          <w:rFonts w:ascii="Arial" w:hAnsi="Arial" w:cs="Arial"/>
          <w:sz w:val="22"/>
          <w:szCs w:val="22"/>
        </w:rPr>
        <w:t>Some of the ways the Youth Justice System work with young people who have been placed on orders or cautions is to provide help with education, employment and training opportunities alongside interventions which address offending behaviour, drug and alcohol misuse and communication difficulties. They provide programmes which focus on understanding and repairing harm trough tailored support from agencies s</w:t>
      </w:r>
      <w:r w:rsidR="00A66FA0">
        <w:rPr>
          <w:rFonts w:ascii="Arial" w:hAnsi="Arial" w:cs="Arial"/>
          <w:sz w:val="22"/>
          <w:szCs w:val="22"/>
        </w:rPr>
        <w:t>u</w:t>
      </w:r>
      <w:r>
        <w:rPr>
          <w:rFonts w:ascii="Arial" w:hAnsi="Arial" w:cs="Arial"/>
          <w:sz w:val="22"/>
          <w:szCs w:val="22"/>
        </w:rPr>
        <w:t xml:space="preserve">ch as CAMHS and communication experts. (Youth Justice service 2025).  </w:t>
      </w:r>
      <w:r w:rsidR="00A66FA0">
        <w:rPr>
          <w:rFonts w:ascii="Arial" w:hAnsi="Arial" w:cs="Arial"/>
          <w:sz w:val="22"/>
          <w:szCs w:val="22"/>
        </w:rPr>
        <w:t xml:space="preserve">Youth offending teams are currently supporting the suspect by providing him with the majority of the interventions mentioned above. </w:t>
      </w:r>
    </w:p>
    <w:p w14:paraId="00A0277B" w14:textId="77777777" w:rsidR="00156062" w:rsidRPr="00F8652B" w:rsidRDefault="00156062" w:rsidP="008C21F1">
      <w:pPr>
        <w:spacing w:line="360" w:lineRule="auto"/>
        <w:jc w:val="both"/>
        <w:rPr>
          <w:rFonts w:ascii="Arial" w:hAnsi="Arial" w:cs="Arial"/>
          <w:color w:val="FF0000"/>
          <w:sz w:val="22"/>
          <w:szCs w:val="22"/>
        </w:rPr>
      </w:pPr>
    </w:p>
    <w:p w14:paraId="1A27975B" w14:textId="330C0A1C" w:rsidR="00B61E41" w:rsidRDefault="00B61E41" w:rsidP="008C21F1">
      <w:pPr>
        <w:spacing w:line="360" w:lineRule="auto"/>
        <w:jc w:val="both"/>
        <w:rPr>
          <w:rFonts w:ascii="Arial" w:hAnsi="Arial" w:cs="Arial"/>
          <w:sz w:val="22"/>
          <w:szCs w:val="22"/>
        </w:rPr>
      </w:pPr>
      <w:r>
        <w:rPr>
          <w:rFonts w:ascii="Arial" w:hAnsi="Arial" w:cs="Arial"/>
          <w:sz w:val="22"/>
          <w:szCs w:val="22"/>
        </w:rPr>
        <w:t xml:space="preserve">Management of personal values and attitudes: </w:t>
      </w:r>
    </w:p>
    <w:p w14:paraId="6F08FD3F" w14:textId="77777777" w:rsidR="00984468" w:rsidRDefault="00984468" w:rsidP="008C21F1">
      <w:pPr>
        <w:spacing w:line="360" w:lineRule="auto"/>
        <w:jc w:val="both"/>
        <w:rPr>
          <w:rFonts w:ascii="Arial" w:hAnsi="Arial" w:cs="Arial"/>
          <w:sz w:val="22"/>
          <w:szCs w:val="22"/>
        </w:rPr>
      </w:pPr>
    </w:p>
    <w:p w14:paraId="5834545D" w14:textId="64343D35" w:rsidR="00984468" w:rsidRDefault="00984468" w:rsidP="008C21F1">
      <w:pPr>
        <w:spacing w:line="360" w:lineRule="auto"/>
        <w:jc w:val="both"/>
        <w:rPr>
          <w:rFonts w:ascii="Arial" w:hAnsi="Arial" w:cs="Arial"/>
          <w:sz w:val="22"/>
          <w:szCs w:val="22"/>
        </w:rPr>
      </w:pPr>
      <w:r>
        <w:rPr>
          <w:rFonts w:ascii="Arial" w:hAnsi="Arial" w:cs="Arial"/>
          <w:sz w:val="22"/>
          <w:szCs w:val="22"/>
        </w:rPr>
        <w:t>To manage my own personal values and attitudes I had to en</w:t>
      </w:r>
      <w:r w:rsidR="00847329">
        <w:rPr>
          <w:rFonts w:ascii="Arial" w:hAnsi="Arial" w:cs="Arial"/>
          <w:sz w:val="22"/>
          <w:szCs w:val="22"/>
        </w:rPr>
        <w:t>su</w:t>
      </w:r>
      <w:r>
        <w:rPr>
          <w:rFonts w:ascii="Arial" w:hAnsi="Arial" w:cs="Arial"/>
          <w:sz w:val="22"/>
          <w:szCs w:val="22"/>
        </w:rPr>
        <w:t xml:space="preserve">re that I did not let any biases impact the actions I took when dealing with the </w:t>
      </w:r>
      <w:r w:rsidR="00847329">
        <w:rPr>
          <w:rFonts w:ascii="Arial" w:hAnsi="Arial" w:cs="Arial"/>
          <w:sz w:val="22"/>
          <w:szCs w:val="22"/>
        </w:rPr>
        <w:t>suspect, considering the circumstances of the crime and the personal circumstances of the suspect</w:t>
      </w:r>
      <w:r>
        <w:rPr>
          <w:rFonts w:ascii="Arial" w:hAnsi="Arial" w:cs="Arial"/>
          <w:sz w:val="22"/>
          <w:szCs w:val="22"/>
        </w:rPr>
        <w:t xml:space="preserve">. This involved being self-aware and using emotional intelligence that aligned with decisions I made and positive behaviour regarding this case. </w:t>
      </w:r>
      <w:r w:rsidR="00847329">
        <w:rPr>
          <w:rFonts w:ascii="Arial" w:hAnsi="Arial" w:cs="Arial"/>
          <w:sz w:val="22"/>
          <w:szCs w:val="22"/>
        </w:rPr>
        <w:t xml:space="preserve">It is all </w:t>
      </w:r>
      <w:proofErr w:type="spellStart"/>
      <w:r w:rsidR="00847329">
        <w:rPr>
          <w:rFonts w:ascii="Arial" w:hAnsi="Arial" w:cs="Arial"/>
          <w:sz w:val="22"/>
          <w:szCs w:val="22"/>
        </w:rPr>
        <w:t>to</w:t>
      </w:r>
      <w:proofErr w:type="spellEnd"/>
      <w:r w:rsidR="00847329">
        <w:rPr>
          <w:rFonts w:ascii="Arial" w:hAnsi="Arial" w:cs="Arial"/>
          <w:sz w:val="22"/>
          <w:szCs w:val="22"/>
        </w:rPr>
        <w:t xml:space="preserve"> easy to make judgements based on personal biases. However, I had to look at the scenario as a whole, identifying any risk factors affecting the youth. It was imperative that he was safeguarded from </w:t>
      </w:r>
      <w:r w:rsidR="000351ED">
        <w:rPr>
          <w:rFonts w:ascii="Arial" w:hAnsi="Arial" w:cs="Arial"/>
          <w:sz w:val="22"/>
          <w:szCs w:val="22"/>
        </w:rPr>
        <w:t>potential</w:t>
      </w:r>
      <w:r w:rsidR="00847329">
        <w:rPr>
          <w:rFonts w:ascii="Arial" w:hAnsi="Arial" w:cs="Arial"/>
          <w:sz w:val="22"/>
          <w:szCs w:val="22"/>
        </w:rPr>
        <w:t xml:space="preserve"> harm. Particularly as he had been identified as being at risk of being criminally exploited. This had to take precedence. Fortunately, the youth was already engaging with the Youth Offending Team Prior to this crime being committed.  </w:t>
      </w:r>
      <w:r w:rsidR="000351ED">
        <w:rPr>
          <w:rFonts w:ascii="Arial" w:hAnsi="Arial" w:cs="Arial"/>
          <w:sz w:val="22"/>
          <w:szCs w:val="22"/>
        </w:rPr>
        <w:t xml:space="preserve">My role was to investigate the crime and to ensure procedures, such as completing the CIF to a high standard were followed as to ensure the correct outcome for not only the victim, but for the young offender as well. </w:t>
      </w:r>
    </w:p>
    <w:p w14:paraId="656C5FCE" w14:textId="17C5E273" w:rsidR="00B61E41" w:rsidRDefault="005E3AEF" w:rsidP="008C21F1">
      <w:pPr>
        <w:spacing w:line="360" w:lineRule="auto"/>
        <w:jc w:val="both"/>
        <w:rPr>
          <w:rFonts w:ascii="Arial" w:hAnsi="Arial" w:cs="Arial"/>
          <w:sz w:val="22"/>
          <w:szCs w:val="22"/>
        </w:rPr>
      </w:pPr>
      <w:r>
        <w:rPr>
          <w:rFonts w:ascii="Arial" w:hAnsi="Arial" w:cs="Arial"/>
          <w:sz w:val="22"/>
          <w:szCs w:val="22"/>
        </w:rPr>
        <w:t>Word Count: 2,130</w:t>
      </w:r>
    </w:p>
    <w:p w14:paraId="762649ED" w14:textId="77777777" w:rsidR="00EF2514" w:rsidRDefault="00EF2514" w:rsidP="008C21F1">
      <w:pPr>
        <w:spacing w:line="360" w:lineRule="auto"/>
        <w:jc w:val="both"/>
        <w:rPr>
          <w:rFonts w:ascii="Arial" w:hAnsi="Arial" w:cs="Arial"/>
          <w:sz w:val="22"/>
          <w:szCs w:val="22"/>
        </w:rPr>
      </w:pPr>
    </w:p>
    <w:p w14:paraId="2C8434E5" w14:textId="77777777" w:rsidR="00EF2514" w:rsidRDefault="00EF2514" w:rsidP="008C21F1">
      <w:pPr>
        <w:spacing w:line="360" w:lineRule="auto"/>
        <w:jc w:val="both"/>
        <w:rPr>
          <w:rFonts w:ascii="Arial" w:hAnsi="Arial" w:cs="Arial"/>
          <w:sz w:val="22"/>
          <w:szCs w:val="22"/>
        </w:rPr>
      </w:pPr>
    </w:p>
    <w:p w14:paraId="503D0005" w14:textId="77777777" w:rsidR="00EF2514" w:rsidRDefault="00EF2514" w:rsidP="008C21F1">
      <w:pPr>
        <w:spacing w:line="360" w:lineRule="auto"/>
        <w:jc w:val="both"/>
        <w:rPr>
          <w:rFonts w:ascii="Arial" w:hAnsi="Arial" w:cs="Arial"/>
          <w:sz w:val="22"/>
          <w:szCs w:val="22"/>
        </w:rPr>
      </w:pPr>
    </w:p>
    <w:p w14:paraId="606C05DA" w14:textId="77777777" w:rsidR="00EF2514" w:rsidRPr="00EF2514" w:rsidRDefault="00EF2514" w:rsidP="00EF2514">
      <w:pPr>
        <w:spacing w:line="360" w:lineRule="auto"/>
        <w:jc w:val="both"/>
        <w:rPr>
          <w:rFonts w:ascii="Arial" w:hAnsi="Arial" w:cs="Arial"/>
          <w:b/>
          <w:bCs/>
          <w:sz w:val="22"/>
          <w:szCs w:val="22"/>
          <w:u w:val="single"/>
        </w:rPr>
      </w:pPr>
      <w:bookmarkStart w:id="0" w:name="_Hlk194931238"/>
      <w:r w:rsidRPr="00EF2514">
        <w:rPr>
          <w:rFonts w:ascii="Arial" w:hAnsi="Arial" w:cs="Arial"/>
          <w:b/>
          <w:bCs/>
          <w:sz w:val="22"/>
          <w:szCs w:val="22"/>
          <w:u w:val="single"/>
        </w:rPr>
        <w:t>Reference List: Task 2 – Conducting Investigations</w:t>
      </w:r>
    </w:p>
    <w:p w14:paraId="2B295D27" w14:textId="77777777" w:rsidR="00EF2514" w:rsidRPr="00EF2514" w:rsidRDefault="00EF2514" w:rsidP="00EF2514">
      <w:pPr>
        <w:spacing w:line="360" w:lineRule="auto"/>
        <w:jc w:val="both"/>
        <w:rPr>
          <w:rFonts w:ascii="Arial" w:hAnsi="Arial" w:cs="Arial"/>
          <w:sz w:val="22"/>
          <w:szCs w:val="22"/>
        </w:rPr>
      </w:pPr>
    </w:p>
    <w:p w14:paraId="6CE77CA7"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 xml:space="preserve">College of Policing. 2025. A career pathway investigating serious and complex crime. </w:t>
      </w:r>
      <w:hyperlink r:id="rId4" w:history="1">
        <w:r w:rsidRPr="00EF2514">
          <w:rPr>
            <w:rStyle w:val="Hyperlink"/>
            <w:rFonts w:ascii="Arial" w:hAnsi="Arial" w:cs="Arial"/>
            <w:sz w:val="22"/>
            <w:szCs w:val="22"/>
          </w:rPr>
          <w:t>https://assets.college.police.uk/s3fs-public/2021-04/a-career-pathway-investigating-serious-and-complex-crime.pdf</w:t>
        </w:r>
      </w:hyperlink>
      <w:r w:rsidRPr="00EF2514">
        <w:rPr>
          <w:rFonts w:ascii="Arial" w:hAnsi="Arial" w:cs="Arial"/>
          <w:sz w:val="22"/>
          <w:szCs w:val="22"/>
        </w:rPr>
        <w:t xml:space="preserve"> Accessed: 28</w:t>
      </w:r>
      <w:r w:rsidRPr="00EF2514">
        <w:rPr>
          <w:rFonts w:ascii="Arial" w:hAnsi="Arial" w:cs="Arial"/>
          <w:sz w:val="22"/>
          <w:szCs w:val="22"/>
          <w:vertAlign w:val="superscript"/>
        </w:rPr>
        <w:t>th</w:t>
      </w:r>
      <w:r w:rsidRPr="00EF2514">
        <w:rPr>
          <w:rFonts w:ascii="Arial" w:hAnsi="Arial" w:cs="Arial"/>
          <w:sz w:val="22"/>
          <w:szCs w:val="22"/>
        </w:rPr>
        <w:t xml:space="preserve"> March 2025</w:t>
      </w:r>
    </w:p>
    <w:p w14:paraId="07A60A8F" w14:textId="77777777" w:rsidR="00EF2514" w:rsidRPr="00EF2514" w:rsidRDefault="00EF2514" w:rsidP="00EF2514">
      <w:pPr>
        <w:spacing w:line="360" w:lineRule="auto"/>
        <w:jc w:val="both"/>
        <w:rPr>
          <w:rFonts w:ascii="Arial" w:hAnsi="Arial" w:cs="Arial"/>
          <w:sz w:val="22"/>
          <w:szCs w:val="22"/>
        </w:rPr>
      </w:pPr>
    </w:p>
    <w:p w14:paraId="07EFB50B"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 xml:space="preserve">College of Policing. 2025. Investigation Process. </w:t>
      </w:r>
      <w:hyperlink r:id="rId5" w:history="1">
        <w:r w:rsidRPr="00EF2514">
          <w:rPr>
            <w:rStyle w:val="Hyperlink"/>
            <w:rFonts w:ascii="Arial" w:hAnsi="Arial" w:cs="Arial"/>
            <w:sz w:val="22"/>
            <w:szCs w:val="22"/>
          </w:rPr>
          <w:t>https://www.college.police.uk/app/investigation/investigation-process?highlight=major%20incident%20investigation</w:t>
        </w:r>
      </w:hyperlink>
      <w:r w:rsidRPr="00EF2514">
        <w:rPr>
          <w:rFonts w:ascii="Arial" w:hAnsi="Arial" w:cs="Arial"/>
          <w:sz w:val="22"/>
          <w:szCs w:val="22"/>
        </w:rPr>
        <w:t xml:space="preserve"> Accessed: 28</w:t>
      </w:r>
      <w:r w:rsidRPr="00EF2514">
        <w:rPr>
          <w:rFonts w:ascii="Arial" w:hAnsi="Arial" w:cs="Arial"/>
          <w:sz w:val="22"/>
          <w:szCs w:val="22"/>
          <w:vertAlign w:val="superscript"/>
        </w:rPr>
        <w:t>th</w:t>
      </w:r>
      <w:r w:rsidRPr="00EF2514">
        <w:rPr>
          <w:rFonts w:ascii="Arial" w:hAnsi="Arial" w:cs="Arial"/>
          <w:sz w:val="22"/>
          <w:szCs w:val="22"/>
        </w:rPr>
        <w:t xml:space="preserve"> March 2025. </w:t>
      </w:r>
    </w:p>
    <w:p w14:paraId="1201171A" w14:textId="77777777" w:rsidR="00EF2514" w:rsidRPr="00EF2514" w:rsidRDefault="00EF2514" w:rsidP="00EF2514">
      <w:pPr>
        <w:spacing w:line="360" w:lineRule="auto"/>
        <w:jc w:val="both"/>
        <w:rPr>
          <w:rFonts w:ascii="Arial" w:hAnsi="Arial" w:cs="Arial"/>
          <w:sz w:val="22"/>
          <w:szCs w:val="22"/>
        </w:rPr>
      </w:pPr>
    </w:p>
    <w:p w14:paraId="4EE00B73"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 xml:space="preserve">Criminal Procedure and Investigations Act 1996 (section 23(1)) Code of Practice. 2015. </w:t>
      </w:r>
      <w:hyperlink r:id="rId6" w:history="1">
        <w:r w:rsidRPr="00EF2514">
          <w:rPr>
            <w:rStyle w:val="Hyperlink"/>
            <w:rFonts w:ascii="Arial" w:hAnsi="Arial" w:cs="Arial"/>
            <w:sz w:val="22"/>
            <w:szCs w:val="22"/>
          </w:rPr>
          <w:t>https://assets.publishing.service.gov.uk/government/uploads/system/uploads/attachment_data/file/447967/code-of-practice-approved.pdf</w:t>
        </w:r>
      </w:hyperlink>
      <w:r w:rsidRPr="00EF2514">
        <w:rPr>
          <w:rFonts w:ascii="Arial" w:hAnsi="Arial" w:cs="Arial"/>
          <w:sz w:val="22"/>
          <w:szCs w:val="22"/>
        </w:rPr>
        <w:t xml:space="preserve"> Accessed: 28</w:t>
      </w:r>
      <w:r w:rsidRPr="00EF2514">
        <w:rPr>
          <w:rFonts w:ascii="Arial" w:hAnsi="Arial" w:cs="Arial"/>
          <w:sz w:val="22"/>
          <w:szCs w:val="22"/>
          <w:vertAlign w:val="superscript"/>
        </w:rPr>
        <w:t>th</w:t>
      </w:r>
      <w:r w:rsidRPr="00EF2514">
        <w:rPr>
          <w:rFonts w:ascii="Arial" w:hAnsi="Arial" w:cs="Arial"/>
          <w:sz w:val="22"/>
          <w:szCs w:val="22"/>
        </w:rPr>
        <w:t xml:space="preserve"> March 2025. </w:t>
      </w:r>
    </w:p>
    <w:p w14:paraId="04240DCD" w14:textId="77777777" w:rsidR="00EF2514" w:rsidRPr="00EF2514" w:rsidRDefault="00EF2514" w:rsidP="00EF2514">
      <w:pPr>
        <w:spacing w:line="360" w:lineRule="auto"/>
        <w:jc w:val="both"/>
        <w:rPr>
          <w:rFonts w:ascii="Arial" w:hAnsi="Arial" w:cs="Arial"/>
          <w:sz w:val="22"/>
          <w:szCs w:val="22"/>
        </w:rPr>
      </w:pPr>
    </w:p>
    <w:p w14:paraId="76322ED6"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 xml:space="preserve">GOV.UK.2020. </w:t>
      </w:r>
      <w:r w:rsidRPr="00EF2514">
        <w:rPr>
          <w:rFonts w:ascii="Arial" w:hAnsi="Arial" w:cs="Arial"/>
          <w:i/>
          <w:iCs/>
          <w:sz w:val="22"/>
          <w:szCs w:val="22"/>
        </w:rPr>
        <w:t xml:space="preserve">Code of Practice for Victims of Crime in England and Wales. </w:t>
      </w:r>
      <w:hyperlink r:id="rId7" w:history="1">
        <w:r w:rsidRPr="00EF2514">
          <w:rPr>
            <w:rStyle w:val="Hyperlink"/>
            <w:rFonts w:ascii="Arial" w:hAnsi="Arial" w:cs="Arial"/>
            <w:sz w:val="22"/>
            <w:szCs w:val="22"/>
          </w:rPr>
          <w:t>https://assets.publishing.service.gov.uk/media/60620279d3bf7f5ceaca0d89/victims-code-2020.pdf</w:t>
        </w:r>
      </w:hyperlink>
      <w:r w:rsidRPr="00EF2514">
        <w:rPr>
          <w:rFonts w:ascii="Arial" w:hAnsi="Arial" w:cs="Arial"/>
          <w:sz w:val="22"/>
          <w:szCs w:val="22"/>
        </w:rPr>
        <w:t xml:space="preserve"> Accessed: 7</w:t>
      </w:r>
      <w:r w:rsidRPr="00EF2514">
        <w:rPr>
          <w:rFonts w:ascii="Arial" w:hAnsi="Arial" w:cs="Arial"/>
          <w:sz w:val="22"/>
          <w:szCs w:val="22"/>
          <w:vertAlign w:val="superscript"/>
        </w:rPr>
        <w:t>th</w:t>
      </w:r>
      <w:r w:rsidRPr="00EF2514">
        <w:rPr>
          <w:rFonts w:ascii="Arial" w:hAnsi="Arial" w:cs="Arial"/>
          <w:sz w:val="22"/>
          <w:szCs w:val="22"/>
        </w:rPr>
        <w:t xml:space="preserve"> April 2025. </w:t>
      </w:r>
    </w:p>
    <w:p w14:paraId="7E3BBEE0" w14:textId="77777777" w:rsidR="00EF2514" w:rsidRPr="00EF2514" w:rsidRDefault="00EF2514" w:rsidP="00EF2514">
      <w:pPr>
        <w:spacing w:line="360" w:lineRule="auto"/>
        <w:jc w:val="both"/>
        <w:rPr>
          <w:rFonts w:ascii="Arial" w:hAnsi="Arial" w:cs="Arial"/>
          <w:sz w:val="22"/>
          <w:szCs w:val="22"/>
        </w:rPr>
      </w:pPr>
    </w:p>
    <w:p w14:paraId="55169062"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 xml:space="preserve">GOV.UK. 2025. </w:t>
      </w:r>
      <w:r w:rsidRPr="00EF2514">
        <w:rPr>
          <w:rFonts w:ascii="Arial" w:hAnsi="Arial" w:cs="Arial"/>
          <w:i/>
          <w:iCs/>
          <w:sz w:val="22"/>
          <w:szCs w:val="22"/>
        </w:rPr>
        <w:t xml:space="preserve">Youth Offending Teams. </w:t>
      </w:r>
      <w:hyperlink r:id="rId8" w:history="1">
        <w:r w:rsidRPr="00EF2514">
          <w:rPr>
            <w:rStyle w:val="Hyperlink"/>
            <w:rFonts w:ascii="Arial" w:hAnsi="Arial" w:cs="Arial"/>
            <w:sz w:val="22"/>
            <w:szCs w:val="22"/>
          </w:rPr>
          <w:t>https://www.gov.uk/youth-offending-team</w:t>
        </w:r>
      </w:hyperlink>
      <w:r w:rsidRPr="00EF2514">
        <w:rPr>
          <w:rFonts w:ascii="Arial" w:hAnsi="Arial" w:cs="Arial"/>
          <w:sz w:val="22"/>
          <w:szCs w:val="22"/>
        </w:rPr>
        <w:t xml:space="preserve"> Accessed: 1</w:t>
      </w:r>
      <w:r w:rsidRPr="00EF2514">
        <w:rPr>
          <w:rFonts w:ascii="Arial" w:hAnsi="Arial" w:cs="Arial"/>
          <w:sz w:val="22"/>
          <w:szCs w:val="22"/>
          <w:vertAlign w:val="superscript"/>
        </w:rPr>
        <w:t>st</w:t>
      </w:r>
      <w:r w:rsidRPr="00EF2514">
        <w:rPr>
          <w:rFonts w:ascii="Arial" w:hAnsi="Arial" w:cs="Arial"/>
          <w:sz w:val="22"/>
          <w:szCs w:val="22"/>
        </w:rPr>
        <w:t xml:space="preserve"> April 2025. </w:t>
      </w:r>
    </w:p>
    <w:p w14:paraId="5DADE6ED" w14:textId="77777777" w:rsidR="00EF2514" w:rsidRPr="00EF2514" w:rsidRDefault="00EF2514" w:rsidP="00EF2514">
      <w:pPr>
        <w:spacing w:line="360" w:lineRule="auto"/>
        <w:jc w:val="both"/>
        <w:rPr>
          <w:rFonts w:ascii="Arial" w:hAnsi="Arial" w:cs="Arial"/>
          <w:sz w:val="22"/>
          <w:szCs w:val="22"/>
        </w:rPr>
      </w:pPr>
    </w:p>
    <w:p w14:paraId="7380FE71"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 xml:space="preserve">Murray, D. (2024), Police Use of Retrospective Facial Recognition Technology: A Step Change in Surveillance Capability Necessitating an Evolution of the Human Rights Law Framework. Mod Law Rev., 87: 833-863. </w:t>
      </w:r>
      <w:hyperlink r:id="rId9" w:history="1">
        <w:r w:rsidRPr="00EF2514">
          <w:rPr>
            <w:rStyle w:val="Hyperlink"/>
            <w:rFonts w:ascii="Arial" w:hAnsi="Arial" w:cs="Arial"/>
            <w:sz w:val="22"/>
            <w:szCs w:val="22"/>
          </w:rPr>
          <w:t>https://onlinelibrary.wiley.com/doi/full/10.1111/1468-2230.12862</w:t>
        </w:r>
      </w:hyperlink>
      <w:r w:rsidRPr="00EF2514">
        <w:rPr>
          <w:rFonts w:ascii="Arial" w:hAnsi="Arial" w:cs="Arial"/>
          <w:sz w:val="22"/>
          <w:szCs w:val="22"/>
        </w:rPr>
        <w:t xml:space="preserve"> Accessed: 1</w:t>
      </w:r>
      <w:r w:rsidRPr="00EF2514">
        <w:rPr>
          <w:rFonts w:ascii="Arial" w:hAnsi="Arial" w:cs="Arial"/>
          <w:sz w:val="22"/>
          <w:szCs w:val="22"/>
          <w:vertAlign w:val="superscript"/>
        </w:rPr>
        <w:t>st</w:t>
      </w:r>
      <w:r w:rsidRPr="00EF2514">
        <w:rPr>
          <w:rFonts w:ascii="Arial" w:hAnsi="Arial" w:cs="Arial"/>
          <w:sz w:val="22"/>
          <w:szCs w:val="22"/>
        </w:rPr>
        <w:t xml:space="preserve"> April 2025. </w:t>
      </w:r>
    </w:p>
    <w:p w14:paraId="36AE27EB"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 xml:space="preserve">South Wales Victim Focus. 2025. </w:t>
      </w:r>
      <w:hyperlink r:id="rId10" w:history="1">
        <w:r w:rsidRPr="00EF2514">
          <w:rPr>
            <w:rStyle w:val="Hyperlink"/>
            <w:rFonts w:ascii="Arial" w:hAnsi="Arial" w:cs="Arial"/>
            <w:sz w:val="22"/>
            <w:szCs w:val="22"/>
          </w:rPr>
          <w:t>https://www.southwalesvictimfocus.org.uk/what-we-do/</w:t>
        </w:r>
      </w:hyperlink>
      <w:r w:rsidRPr="00EF2514">
        <w:rPr>
          <w:rFonts w:ascii="Arial" w:hAnsi="Arial" w:cs="Arial"/>
          <w:sz w:val="22"/>
          <w:szCs w:val="22"/>
        </w:rPr>
        <w:t xml:space="preserve"> Accessed: 7</w:t>
      </w:r>
      <w:r w:rsidRPr="00EF2514">
        <w:rPr>
          <w:rFonts w:ascii="Arial" w:hAnsi="Arial" w:cs="Arial"/>
          <w:sz w:val="22"/>
          <w:szCs w:val="22"/>
          <w:vertAlign w:val="superscript"/>
        </w:rPr>
        <w:t>th</w:t>
      </w:r>
      <w:r w:rsidRPr="00EF2514">
        <w:rPr>
          <w:rFonts w:ascii="Arial" w:hAnsi="Arial" w:cs="Arial"/>
          <w:sz w:val="22"/>
          <w:szCs w:val="22"/>
        </w:rPr>
        <w:t xml:space="preserve"> April 2025. </w:t>
      </w:r>
    </w:p>
    <w:p w14:paraId="523E2761" w14:textId="77777777" w:rsidR="00EF2514" w:rsidRPr="00EF2514" w:rsidRDefault="00EF2514" w:rsidP="00EF2514">
      <w:pPr>
        <w:spacing w:line="360" w:lineRule="auto"/>
        <w:jc w:val="both"/>
        <w:rPr>
          <w:rFonts w:ascii="Arial" w:hAnsi="Arial" w:cs="Arial"/>
          <w:sz w:val="22"/>
          <w:szCs w:val="22"/>
        </w:rPr>
      </w:pPr>
    </w:p>
    <w:p w14:paraId="3579993E"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lastRenderedPageBreak/>
        <w:t xml:space="preserve">Stelfox, P. 2009. Criminal Investigation: An Introduction to Principles and Practice (1st ed.). Willan. </w:t>
      </w:r>
      <w:hyperlink r:id="rId11" w:history="1">
        <w:r w:rsidRPr="00EF2514">
          <w:rPr>
            <w:rStyle w:val="Hyperlink"/>
            <w:rFonts w:ascii="Arial" w:hAnsi="Arial" w:cs="Arial"/>
            <w:sz w:val="22"/>
            <w:szCs w:val="22"/>
          </w:rPr>
          <w:t>https://www.taylorfrancis.com/books/mono/10.4324/9781315880730/criminal-investigation-peter-stelfox</w:t>
        </w:r>
      </w:hyperlink>
      <w:r w:rsidRPr="00EF2514">
        <w:rPr>
          <w:rFonts w:ascii="Arial" w:hAnsi="Arial" w:cs="Arial"/>
          <w:sz w:val="22"/>
          <w:szCs w:val="22"/>
        </w:rPr>
        <w:t xml:space="preserve"> Accessed: 28</w:t>
      </w:r>
      <w:r w:rsidRPr="00EF2514">
        <w:rPr>
          <w:rFonts w:ascii="Arial" w:hAnsi="Arial" w:cs="Arial"/>
          <w:sz w:val="22"/>
          <w:szCs w:val="22"/>
          <w:vertAlign w:val="superscript"/>
        </w:rPr>
        <w:t>th</w:t>
      </w:r>
      <w:r w:rsidRPr="00EF2514">
        <w:rPr>
          <w:rFonts w:ascii="Arial" w:hAnsi="Arial" w:cs="Arial"/>
          <w:sz w:val="22"/>
          <w:szCs w:val="22"/>
        </w:rPr>
        <w:t xml:space="preserve"> March 2025. </w:t>
      </w:r>
    </w:p>
    <w:p w14:paraId="14F8B3AC" w14:textId="77777777" w:rsidR="00EF2514" w:rsidRPr="00EF2514" w:rsidRDefault="00EF2514" w:rsidP="00EF2514">
      <w:pPr>
        <w:spacing w:line="360" w:lineRule="auto"/>
        <w:jc w:val="both"/>
        <w:rPr>
          <w:rFonts w:ascii="Arial" w:hAnsi="Arial" w:cs="Arial"/>
          <w:sz w:val="22"/>
          <w:szCs w:val="22"/>
        </w:rPr>
      </w:pPr>
    </w:p>
    <w:p w14:paraId="2411804A"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 xml:space="preserve">Tong, S., Bryant, R.P. and Horvath, M.A., 2009. Understanding Criminal Investigation. </w:t>
      </w:r>
      <w:hyperlink r:id="rId12" w:history="1">
        <w:r w:rsidRPr="00EF2514">
          <w:rPr>
            <w:rStyle w:val="Hyperlink"/>
            <w:rFonts w:ascii="Arial" w:hAnsi="Arial" w:cs="Arial"/>
            <w:sz w:val="22"/>
            <w:szCs w:val="22"/>
          </w:rPr>
          <w:t>https://onlinelibrary.wiley.com/doi/book/10.1002/9780470682388</w:t>
        </w:r>
      </w:hyperlink>
      <w:r w:rsidRPr="00EF2514">
        <w:rPr>
          <w:rFonts w:ascii="Arial" w:hAnsi="Arial" w:cs="Arial"/>
          <w:sz w:val="22"/>
          <w:szCs w:val="22"/>
        </w:rPr>
        <w:t xml:space="preserve"> Accessed: 28</w:t>
      </w:r>
      <w:r w:rsidRPr="00EF2514">
        <w:rPr>
          <w:rFonts w:ascii="Arial" w:hAnsi="Arial" w:cs="Arial"/>
          <w:sz w:val="22"/>
          <w:szCs w:val="22"/>
          <w:vertAlign w:val="superscript"/>
        </w:rPr>
        <w:t>th</w:t>
      </w:r>
      <w:r w:rsidRPr="00EF2514">
        <w:rPr>
          <w:rFonts w:ascii="Arial" w:hAnsi="Arial" w:cs="Arial"/>
          <w:sz w:val="22"/>
          <w:szCs w:val="22"/>
        </w:rPr>
        <w:t xml:space="preserve"> March 2025. </w:t>
      </w:r>
    </w:p>
    <w:p w14:paraId="4E735034" w14:textId="77777777" w:rsidR="00EF2514" w:rsidRPr="00EF2514" w:rsidRDefault="00EF2514" w:rsidP="00EF2514">
      <w:pPr>
        <w:spacing w:line="360" w:lineRule="auto"/>
        <w:jc w:val="both"/>
        <w:rPr>
          <w:rFonts w:ascii="Arial" w:hAnsi="Arial" w:cs="Arial"/>
          <w:sz w:val="22"/>
          <w:szCs w:val="22"/>
        </w:rPr>
      </w:pPr>
    </w:p>
    <w:p w14:paraId="38D8B302"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WALLACE, H.M., JACKSON, A.R., GRUBER, J. and THIBEDEAU, A.D., 2014. Forensic DNA databases–Ethical and legal standards: A global review. </w:t>
      </w:r>
      <w:r w:rsidRPr="00EF2514">
        <w:rPr>
          <w:rFonts w:ascii="Arial" w:hAnsi="Arial" w:cs="Arial"/>
          <w:i/>
          <w:iCs/>
          <w:sz w:val="22"/>
          <w:szCs w:val="22"/>
        </w:rPr>
        <w:t>Egyptian Journal of Forensic Sciences, </w:t>
      </w:r>
      <w:r w:rsidRPr="00EF2514">
        <w:rPr>
          <w:rFonts w:ascii="Arial" w:hAnsi="Arial" w:cs="Arial"/>
          <w:b/>
          <w:bCs/>
          <w:sz w:val="22"/>
          <w:szCs w:val="22"/>
        </w:rPr>
        <w:t>4</w:t>
      </w:r>
      <w:r w:rsidRPr="00EF2514">
        <w:rPr>
          <w:rFonts w:ascii="Arial" w:hAnsi="Arial" w:cs="Arial"/>
          <w:sz w:val="22"/>
          <w:szCs w:val="22"/>
        </w:rPr>
        <w:t>(3), pp. 57–63.</w:t>
      </w:r>
    </w:p>
    <w:p w14:paraId="6C581E94" w14:textId="77777777" w:rsidR="00EF2514" w:rsidRPr="00EF2514" w:rsidRDefault="00EF2514" w:rsidP="00EF2514">
      <w:pPr>
        <w:spacing w:line="360" w:lineRule="auto"/>
        <w:jc w:val="both"/>
        <w:rPr>
          <w:rFonts w:ascii="Arial" w:hAnsi="Arial" w:cs="Arial"/>
          <w:sz w:val="22"/>
          <w:szCs w:val="22"/>
        </w:rPr>
      </w:pPr>
      <w:hyperlink r:id="rId13" w:history="1">
        <w:r w:rsidRPr="00EF2514">
          <w:rPr>
            <w:rStyle w:val="Hyperlink"/>
            <w:rFonts w:ascii="Arial" w:hAnsi="Arial" w:cs="Arial"/>
            <w:sz w:val="22"/>
            <w:szCs w:val="22"/>
          </w:rPr>
          <w:t>https://www.sciencedirect.com/science/article/pii/S2090536X14000239</w:t>
        </w:r>
      </w:hyperlink>
      <w:r w:rsidRPr="00EF2514">
        <w:rPr>
          <w:rFonts w:ascii="Arial" w:hAnsi="Arial" w:cs="Arial"/>
          <w:sz w:val="22"/>
          <w:szCs w:val="22"/>
        </w:rPr>
        <w:t xml:space="preserve"> Accessed: 01</w:t>
      </w:r>
      <w:r w:rsidRPr="00EF2514">
        <w:rPr>
          <w:rFonts w:ascii="Arial" w:hAnsi="Arial" w:cs="Arial"/>
          <w:sz w:val="22"/>
          <w:szCs w:val="22"/>
          <w:vertAlign w:val="superscript"/>
        </w:rPr>
        <w:t>st</w:t>
      </w:r>
      <w:r w:rsidRPr="00EF2514">
        <w:rPr>
          <w:rFonts w:ascii="Arial" w:hAnsi="Arial" w:cs="Arial"/>
          <w:sz w:val="22"/>
          <w:szCs w:val="22"/>
        </w:rPr>
        <w:t xml:space="preserve"> April 2025. </w:t>
      </w:r>
    </w:p>
    <w:p w14:paraId="0B99FF37" w14:textId="77777777" w:rsidR="00EF2514" w:rsidRPr="00EF2514" w:rsidRDefault="00EF2514" w:rsidP="00EF2514">
      <w:pPr>
        <w:spacing w:line="360" w:lineRule="auto"/>
        <w:jc w:val="both"/>
        <w:rPr>
          <w:rFonts w:ascii="Arial" w:hAnsi="Arial" w:cs="Arial"/>
          <w:sz w:val="22"/>
          <w:szCs w:val="22"/>
        </w:rPr>
      </w:pPr>
    </w:p>
    <w:p w14:paraId="2DE0A6BD"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 xml:space="preserve">Youth Justice Legal Centre. 2025. </w:t>
      </w:r>
      <w:r w:rsidRPr="00EF2514">
        <w:rPr>
          <w:rFonts w:ascii="Arial" w:hAnsi="Arial" w:cs="Arial"/>
          <w:i/>
          <w:iCs/>
          <w:sz w:val="22"/>
          <w:szCs w:val="22"/>
        </w:rPr>
        <w:t>The New Child Information Form (CIF)</w:t>
      </w:r>
      <w:r w:rsidRPr="00EF2514">
        <w:rPr>
          <w:rFonts w:ascii="Arial" w:hAnsi="Arial" w:cs="Arial"/>
          <w:sz w:val="22"/>
          <w:szCs w:val="22"/>
        </w:rPr>
        <w:t xml:space="preserve">. </w:t>
      </w:r>
      <w:hyperlink r:id="rId14" w:history="1">
        <w:r w:rsidRPr="00EF2514">
          <w:rPr>
            <w:rStyle w:val="Hyperlink"/>
            <w:rFonts w:ascii="Arial" w:hAnsi="Arial" w:cs="Arial"/>
            <w:sz w:val="22"/>
            <w:szCs w:val="22"/>
          </w:rPr>
          <w:t>https://yjlc.uk/resources/legal-updates/new-child-information-form-cif</w:t>
        </w:r>
      </w:hyperlink>
      <w:r w:rsidRPr="00EF2514">
        <w:rPr>
          <w:rFonts w:ascii="Arial" w:hAnsi="Arial" w:cs="Arial"/>
          <w:sz w:val="22"/>
          <w:szCs w:val="22"/>
        </w:rPr>
        <w:t xml:space="preserve"> Accessed: 7</w:t>
      </w:r>
      <w:r w:rsidRPr="00EF2514">
        <w:rPr>
          <w:rFonts w:ascii="Arial" w:hAnsi="Arial" w:cs="Arial"/>
          <w:sz w:val="22"/>
          <w:szCs w:val="22"/>
          <w:vertAlign w:val="superscript"/>
        </w:rPr>
        <w:t>th</w:t>
      </w:r>
      <w:r w:rsidRPr="00EF2514">
        <w:rPr>
          <w:rFonts w:ascii="Arial" w:hAnsi="Arial" w:cs="Arial"/>
          <w:sz w:val="22"/>
          <w:szCs w:val="22"/>
        </w:rPr>
        <w:t xml:space="preserve"> April 2025. </w:t>
      </w:r>
    </w:p>
    <w:p w14:paraId="1E697E9F" w14:textId="77777777" w:rsidR="00EF2514" w:rsidRPr="00EF2514" w:rsidRDefault="00EF2514" w:rsidP="00EF2514">
      <w:pPr>
        <w:spacing w:line="360" w:lineRule="auto"/>
        <w:jc w:val="both"/>
        <w:rPr>
          <w:rFonts w:ascii="Arial" w:hAnsi="Arial" w:cs="Arial"/>
          <w:sz w:val="22"/>
          <w:szCs w:val="22"/>
        </w:rPr>
      </w:pPr>
      <w:r w:rsidRPr="00EF2514">
        <w:rPr>
          <w:rFonts w:ascii="Arial" w:hAnsi="Arial" w:cs="Arial"/>
          <w:sz w:val="22"/>
          <w:szCs w:val="22"/>
        </w:rPr>
        <w:t xml:space="preserve">Youth Justice Service. 2025. </w:t>
      </w:r>
      <w:r w:rsidRPr="00EF2514">
        <w:rPr>
          <w:rFonts w:ascii="Arial" w:hAnsi="Arial" w:cs="Arial"/>
          <w:i/>
          <w:iCs/>
          <w:sz w:val="22"/>
          <w:szCs w:val="22"/>
        </w:rPr>
        <w:t xml:space="preserve">Brighter Futures for Children. </w:t>
      </w:r>
      <w:hyperlink r:id="rId15" w:history="1">
        <w:r w:rsidRPr="00EF2514">
          <w:rPr>
            <w:rStyle w:val="Hyperlink"/>
            <w:rFonts w:ascii="Arial" w:hAnsi="Arial" w:cs="Arial"/>
            <w:sz w:val="22"/>
            <w:szCs w:val="22"/>
          </w:rPr>
          <w:t>https://brighterfuturesforchildren.org/for-parents-carers/youth-justice-service/</w:t>
        </w:r>
      </w:hyperlink>
      <w:r w:rsidRPr="00EF2514">
        <w:rPr>
          <w:rFonts w:ascii="Arial" w:hAnsi="Arial" w:cs="Arial"/>
          <w:sz w:val="22"/>
          <w:szCs w:val="22"/>
        </w:rPr>
        <w:t xml:space="preserve"> Accessed: 1</w:t>
      </w:r>
      <w:r w:rsidRPr="00EF2514">
        <w:rPr>
          <w:rFonts w:ascii="Arial" w:hAnsi="Arial" w:cs="Arial"/>
          <w:sz w:val="22"/>
          <w:szCs w:val="22"/>
          <w:vertAlign w:val="superscript"/>
        </w:rPr>
        <w:t>st</w:t>
      </w:r>
      <w:r w:rsidRPr="00EF2514">
        <w:rPr>
          <w:rFonts w:ascii="Arial" w:hAnsi="Arial" w:cs="Arial"/>
          <w:sz w:val="22"/>
          <w:szCs w:val="22"/>
        </w:rPr>
        <w:t xml:space="preserve"> April 2025. </w:t>
      </w:r>
    </w:p>
    <w:p w14:paraId="502B6B0F" w14:textId="77777777" w:rsidR="00EF2514" w:rsidRPr="00EF2514" w:rsidRDefault="00EF2514" w:rsidP="00EF2514">
      <w:pPr>
        <w:spacing w:line="360" w:lineRule="auto"/>
        <w:jc w:val="both"/>
        <w:rPr>
          <w:rFonts w:ascii="Arial" w:hAnsi="Arial" w:cs="Arial"/>
          <w:sz w:val="22"/>
          <w:szCs w:val="22"/>
        </w:rPr>
      </w:pPr>
    </w:p>
    <w:bookmarkEnd w:id="0"/>
    <w:p w14:paraId="2CB6FB5D" w14:textId="77777777" w:rsidR="00EF2514" w:rsidRPr="00EF2514" w:rsidRDefault="00EF2514" w:rsidP="00EF2514">
      <w:pPr>
        <w:spacing w:line="360" w:lineRule="auto"/>
        <w:jc w:val="both"/>
        <w:rPr>
          <w:rFonts w:ascii="Arial" w:hAnsi="Arial" w:cs="Arial"/>
          <w:sz w:val="22"/>
          <w:szCs w:val="22"/>
        </w:rPr>
      </w:pPr>
    </w:p>
    <w:p w14:paraId="7F80335E" w14:textId="77777777" w:rsidR="00EF2514" w:rsidRDefault="00EF2514" w:rsidP="008C21F1">
      <w:pPr>
        <w:spacing w:line="360" w:lineRule="auto"/>
        <w:jc w:val="both"/>
        <w:rPr>
          <w:rFonts w:ascii="Arial" w:hAnsi="Arial" w:cs="Arial"/>
          <w:sz w:val="22"/>
          <w:szCs w:val="22"/>
        </w:rPr>
      </w:pPr>
    </w:p>
    <w:p w14:paraId="7D9AA19E" w14:textId="77777777" w:rsidR="00B61E41" w:rsidRDefault="00B61E41" w:rsidP="008C21F1">
      <w:pPr>
        <w:spacing w:line="360" w:lineRule="auto"/>
        <w:jc w:val="both"/>
        <w:rPr>
          <w:rFonts w:ascii="Arial" w:hAnsi="Arial" w:cs="Arial"/>
          <w:sz w:val="22"/>
          <w:szCs w:val="22"/>
        </w:rPr>
      </w:pPr>
    </w:p>
    <w:p w14:paraId="779D230A" w14:textId="77777777" w:rsidR="00B61E41" w:rsidRDefault="00B61E41" w:rsidP="008C21F1">
      <w:pPr>
        <w:spacing w:line="360" w:lineRule="auto"/>
        <w:jc w:val="both"/>
        <w:rPr>
          <w:rFonts w:ascii="Arial" w:hAnsi="Arial" w:cs="Arial"/>
          <w:sz w:val="22"/>
          <w:szCs w:val="22"/>
        </w:rPr>
      </w:pPr>
    </w:p>
    <w:p w14:paraId="1ECAB55A" w14:textId="77777777" w:rsidR="00B61E41" w:rsidRDefault="00B61E41" w:rsidP="008C21F1">
      <w:pPr>
        <w:spacing w:line="360" w:lineRule="auto"/>
        <w:jc w:val="both"/>
        <w:rPr>
          <w:rFonts w:ascii="Arial" w:hAnsi="Arial" w:cs="Arial"/>
          <w:sz w:val="22"/>
          <w:szCs w:val="22"/>
        </w:rPr>
      </w:pPr>
    </w:p>
    <w:p w14:paraId="74DD95B2" w14:textId="77777777" w:rsidR="00B61E41" w:rsidRDefault="00B61E41" w:rsidP="008C21F1">
      <w:pPr>
        <w:spacing w:line="360" w:lineRule="auto"/>
        <w:jc w:val="both"/>
        <w:rPr>
          <w:rFonts w:ascii="Arial" w:hAnsi="Arial" w:cs="Arial"/>
          <w:sz w:val="22"/>
          <w:szCs w:val="22"/>
        </w:rPr>
      </w:pPr>
    </w:p>
    <w:p w14:paraId="60512D03" w14:textId="77777777" w:rsidR="00B61E41" w:rsidRPr="008C21F1" w:rsidRDefault="00B61E41" w:rsidP="008C21F1">
      <w:pPr>
        <w:spacing w:line="360" w:lineRule="auto"/>
        <w:jc w:val="both"/>
        <w:rPr>
          <w:rFonts w:ascii="Arial" w:hAnsi="Arial" w:cs="Arial"/>
          <w:sz w:val="22"/>
          <w:szCs w:val="22"/>
        </w:rPr>
      </w:pPr>
    </w:p>
    <w:sectPr w:rsidR="00B61E41" w:rsidRPr="008C21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1F1"/>
    <w:rsid w:val="000351ED"/>
    <w:rsid w:val="00067654"/>
    <w:rsid w:val="0008148A"/>
    <w:rsid w:val="000F7940"/>
    <w:rsid w:val="0011234B"/>
    <w:rsid w:val="00156062"/>
    <w:rsid w:val="0017229D"/>
    <w:rsid w:val="0018163C"/>
    <w:rsid w:val="001A2899"/>
    <w:rsid w:val="001E3E85"/>
    <w:rsid w:val="001E79ED"/>
    <w:rsid w:val="00246BC1"/>
    <w:rsid w:val="00294C1B"/>
    <w:rsid w:val="0031346C"/>
    <w:rsid w:val="00321FF7"/>
    <w:rsid w:val="00350AF6"/>
    <w:rsid w:val="00382530"/>
    <w:rsid w:val="003F00AA"/>
    <w:rsid w:val="0042785E"/>
    <w:rsid w:val="004817D3"/>
    <w:rsid w:val="004A3005"/>
    <w:rsid w:val="0052085A"/>
    <w:rsid w:val="005417EE"/>
    <w:rsid w:val="005742CB"/>
    <w:rsid w:val="005D3AAA"/>
    <w:rsid w:val="005E3AEF"/>
    <w:rsid w:val="005F46E5"/>
    <w:rsid w:val="005F7FCD"/>
    <w:rsid w:val="00616E07"/>
    <w:rsid w:val="00670256"/>
    <w:rsid w:val="006778CC"/>
    <w:rsid w:val="006A3B67"/>
    <w:rsid w:val="006D2AB2"/>
    <w:rsid w:val="006D7557"/>
    <w:rsid w:val="00774DD0"/>
    <w:rsid w:val="007F6D4C"/>
    <w:rsid w:val="00847329"/>
    <w:rsid w:val="008B2EB9"/>
    <w:rsid w:val="008B59E2"/>
    <w:rsid w:val="008C080E"/>
    <w:rsid w:val="008C21F1"/>
    <w:rsid w:val="008D6C45"/>
    <w:rsid w:val="008E785C"/>
    <w:rsid w:val="008F3A76"/>
    <w:rsid w:val="00903FC3"/>
    <w:rsid w:val="00932156"/>
    <w:rsid w:val="00932186"/>
    <w:rsid w:val="00950965"/>
    <w:rsid w:val="009509AB"/>
    <w:rsid w:val="00983574"/>
    <w:rsid w:val="00984468"/>
    <w:rsid w:val="00986740"/>
    <w:rsid w:val="009E4171"/>
    <w:rsid w:val="009E4203"/>
    <w:rsid w:val="00A05994"/>
    <w:rsid w:val="00A21F99"/>
    <w:rsid w:val="00A227AA"/>
    <w:rsid w:val="00A66FA0"/>
    <w:rsid w:val="00A86C9D"/>
    <w:rsid w:val="00AA0494"/>
    <w:rsid w:val="00AB4AC8"/>
    <w:rsid w:val="00AD2D2E"/>
    <w:rsid w:val="00AE247B"/>
    <w:rsid w:val="00B27146"/>
    <w:rsid w:val="00B3682B"/>
    <w:rsid w:val="00B47206"/>
    <w:rsid w:val="00B61E41"/>
    <w:rsid w:val="00B750F8"/>
    <w:rsid w:val="00B86D49"/>
    <w:rsid w:val="00BA61C7"/>
    <w:rsid w:val="00BB117D"/>
    <w:rsid w:val="00BB6A9B"/>
    <w:rsid w:val="00BC3E12"/>
    <w:rsid w:val="00BD5413"/>
    <w:rsid w:val="00C21A1A"/>
    <w:rsid w:val="00C72398"/>
    <w:rsid w:val="00CA59B1"/>
    <w:rsid w:val="00CB215E"/>
    <w:rsid w:val="00D32EF5"/>
    <w:rsid w:val="00D628FB"/>
    <w:rsid w:val="00DA75A7"/>
    <w:rsid w:val="00DF5BC0"/>
    <w:rsid w:val="00EE3C27"/>
    <w:rsid w:val="00EF2514"/>
    <w:rsid w:val="00F17E41"/>
    <w:rsid w:val="00F50896"/>
    <w:rsid w:val="00F8652B"/>
    <w:rsid w:val="00FF3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51BE"/>
  <w15:chartTrackingRefBased/>
  <w15:docId w15:val="{9AD1E7AB-921D-47BD-9720-83268BB41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1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1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1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1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1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1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1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1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1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1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1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1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1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1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1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1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1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1F1"/>
    <w:rPr>
      <w:rFonts w:eastAsiaTheme="majorEastAsia" w:cstheme="majorBidi"/>
      <w:color w:val="272727" w:themeColor="text1" w:themeTint="D8"/>
    </w:rPr>
  </w:style>
  <w:style w:type="paragraph" w:styleId="Title">
    <w:name w:val="Title"/>
    <w:basedOn w:val="Normal"/>
    <w:next w:val="Normal"/>
    <w:link w:val="TitleChar"/>
    <w:uiPriority w:val="10"/>
    <w:qFormat/>
    <w:rsid w:val="008C21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1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1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1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1F1"/>
    <w:pPr>
      <w:spacing w:before="160"/>
      <w:jc w:val="center"/>
    </w:pPr>
    <w:rPr>
      <w:i/>
      <w:iCs/>
      <w:color w:val="404040" w:themeColor="text1" w:themeTint="BF"/>
    </w:rPr>
  </w:style>
  <w:style w:type="character" w:customStyle="1" w:styleId="QuoteChar">
    <w:name w:val="Quote Char"/>
    <w:basedOn w:val="DefaultParagraphFont"/>
    <w:link w:val="Quote"/>
    <w:uiPriority w:val="29"/>
    <w:rsid w:val="008C21F1"/>
    <w:rPr>
      <w:i/>
      <w:iCs/>
      <w:color w:val="404040" w:themeColor="text1" w:themeTint="BF"/>
    </w:rPr>
  </w:style>
  <w:style w:type="paragraph" w:styleId="ListParagraph">
    <w:name w:val="List Paragraph"/>
    <w:basedOn w:val="Normal"/>
    <w:uiPriority w:val="34"/>
    <w:qFormat/>
    <w:rsid w:val="008C21F1"/>
    <w:pPr>
      <w:ind w:left="720"/>
      <w:contextualSpacing/>
    </w:pPr>
  </w:style>
  <w:style w:type="character" w:styleId="IntenseEmphasis">
    <w:name w:val="Intense Emphasis"/>
    <w:basedOn w:val="DefaultParagraphFont"/>
    <w:uiPriority w:val="21"/>
    <w:qFormat/>
    <w:rsid w:val="008C21F1"/>
    <w:rPr>
      <w:i/>
      <w:iCs/>
      <w:color w:val="0F4761" w:themeColor="accent1" w:themeShade="BF"/>
    </w:rPr>
  </w:style>
  <w:style w:type="paragraph" w:styleId="IntenseQuote">
    <w:name w:val="Intense Quote"/>
    <w:basedOn w:val="Normal"/>
    <w:next w:val="Normal"/>
    <w:link w:val="IntenseQuoteChar"/>
    <w:uiPriority w:val="30"/>
    <w:qFormat/>
    <w:rsid w:val="008C21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1F1"/>
    <w:rPr>
      <w:i/>
      <w:iCs/>
      <w:color w:val="0F4761" w:themeColor="accent1" w:themeShade="BF"/>
    </w:rPr>
  </w:style>
  <w:style w:type="character" w:styleId="IntenseReference">
    <w:name w:val="Intense Reference"/>
    <w:basedOn w:val="DefaultParagraphFont"/>
    <w:uiPriority w:val="32"/>
    <w:qFormat/>
    <w:rsid w:val="008C21F1"/>
    <w:rPr>
      <w:b/>
      <w:bCs/>
      <w:smallCaps/>
      <w:color w:val="0F4761" w:themeColor="accent1" w:themeShade="BF"/>
      <w:spacing w:val="5"/>
    </w:rPr>
  </w:style>
  <w:style w:type="character" w:styleId="Hyperlink">
    <w:name w:val="Hyperlink"/>
    <w:basedOn w:val="DefaultParagraphFont"/>
    <w:uiPriority w:val="99"/>
    <w:unhideWhenUsed/>
    <w:rsid w:val="00EF2514"/>
    <w:rPr>
      <w:color w:val="467886" w:themeColor="hyperlink"/>
      <w:u w:val="single"/>
    </w:rPr>
  </w:style>
  <w:style w:type="character" w:styleId="UnresolvedMention">
    <w:name w:val="Unresolved Mention"/>
    <w:basedOn w:val="DefaultParagraphFont"/>
    <w:uiPriority w:val="99"/>
    <w:semiHidden/>
    <w:unhideWhenUsed/>
    <w:rsid w:val="00EF2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523282">
      <w:bodyDiv w:val="1"/>
      <w:marLeft w:val="0"/>
      <w:marRight w:val="0"/>
      <w:marTop w:val="0"/>
      <w:marBottom w:val="0"/>
      <w:divBdr>
        <w:top w:val="none" w:sz="0" w:space="0" w:color="auto"/>
        <w:left w:val="none" w:sz="0" w:space="0" w:color="auto"/>
        <w:bottom w:val="none" w:sz="0" w:space="0" w:color="auto"/>
        <w:right w:val="none" w:sz="0" w:space="0" w:color="auto"/>
      </w:divBdr>
    </w:div>
    <w:div w:id="19070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youth-offending-team" TargetMode="External"/><Relationship Id="rId13" Type="http://schemas.openxmlformats.org/officeDocument/2006/relationships/hyperlink" Target="https://www.sciencedirect.com/science/article/pii/S2090536X14000239" TargetMode="External"/><Relationship Id="rId3" Type="http://schemas.openxmlformats.org/officeDocument/2006/relationships/webSettings" Target="webSettings.xml"/><Relationship Id="rId7" Type="http://schemas.openxmlformats.org/officeDocument/2006/relationships/hyperlink" Target="https://assets.publishing.service.gov.uk/media/60620279d3bf7f5ceaca0d89/victims-code-2020.pdf" TargetMode="External"/><Relationship Id="rId12" Type="http://schemas.openxmlformats.org/officeDocument/2006/relationships/hyperlink" Target="https://onlinelibrary.wiley.com/doi/book/10.1002/9780470682388"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447967/code-of-practice-approved.pdf" TargetMode="External"/><Relationship Id="rId11" Type="http://schemas.openxmlformats.org/officeDocument/2006/relationships/hyperlink" Target="https://www.taylorfrancis.com/books/mono/10.4324/9781315880730/criminal-investigation-peter-stelfox" TargetMode="External"/><Relationship Id="rId5" Type="http://schemas.openxmlformats.org/officeDocument/2006/relationships/hyperlink" Target="https://www.college.police.uk/app/investigation/investigation-process?highlight=major%20incident%20investigation" TargetMode="External"/><Relationship Id="rId15" Type="http://schemas.openxmlformats.org/officeDocument/2006/relationships/hyperlink" Target="https://brighterfuturesforchildren.org/for-parents-carers/youth-justice-service/" TargetMode="External"/><Relationship Id="rId10" Type="http://schemas.openxmlformats.org/officeDocument/2006/relationships/hyperlink" Target="https://www.southwalesvictimfocus.org.uk/what-we-do/" TargetMode="External"/><Relationship Id="rId4" Type="http://schemas.openxmlformats.org/officeDocument/2006/relationships/hyperlink" Target="https://assets.college.police.uk/s3fs-public/2021-04/a-career-pathway-investigating-serious-and-complex-crime.pdf" TargetMode="External"/><Relationship Id="rId9" Type="http://schemas.openxmlformats.org/officeDocument/2006/relationships/hyperlink" Target="https://onlinelibrary.wiley.com/doi/full/10.1111/1468-2230.12862" TargetMode="External"/><Relationship Id="rId14" Type="http://schemas.openxmlformats.org/officeDocument/2006/relationships/hyperlink" Target="https://yjlc.uk/resources/legal-updates/new-child-information-form-c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6300</TotalTime>
  <Pages>7</Pages>
  <Words>2553</Words>
  <Characters>14554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Brewer,Samantha swp8802</dc:creator>
  <cp:keywords/>
  <dc:description/>
  <cp:lastModifiedBy>Brewer,Samantha swp8802</cp:lastModifiedBy>
  <cp:revision>90</cp:revision>
  <dcterms:created xsi:type="dcterms:W3CDTF">2025-03-28T11:32:00Z</dcterms:created>
  <dcterms:modified xsi:type="dcterms:W3CDTF">2025-04-07T14:21:00Z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2025-03-28T11:33:27Z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5afae404-5c52-479e-ad91-512fde437d20</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