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87892" w14:textId="15BAFE98" w:rsidR="001A4C0B" w:rsidRPr="000E69BF" w:rsidRDefault="00230826" w:rsidP="001A4C0B">
      <w:pPr>
        <w:spacing w:after="220" w:line="360" w:lineRule="auto"/>
        <w:ind w:left="426"/>
        <w:rPr>
          <w:rFonts w:ascii="Arial" w:eastAsia="Century Schoolbook" w:hAnsi="Arial" w:cs="Arial"/>
          <w:szCs w:val="24"/>
          <w:lang w:val="en-US"/>
        </w:rPr>
      </w:pPr>
      <w:r w:rsidRPr="000E69BF">
        <w:rPr>
          <w:rFonts w:ascii="Century Schoolbook" w:eastAsia="Century Schoolbook" w:hAnsi="Century Schoolbook" w:cs="Times New Roman"/>
          <w:noProof/>
          <w:lang w:val="en-US"/>
        </w:rPr>
        <w:drawing>
          <wp:anchor distT="0" distB="0" distL="114300" distR="114300" simplePos="0" relativeHeight="251659264" behindDoc="0" locked="0" layoutInCell="1" allowOverlap="1" wp14:anchorId="2D3BD2D3" wp14:editId="04846333">
            <wp:simplePos x="0" y="0"/>
            <wp:positionH relativeFrom="margin">
              <wp:posOffset>2529840</wp:posOffset>
            </wp:positionH>
            <wp:positionV relativeFrom="paragraph">
              <wp:posOffset>0</wp:posOffset>
            </wp:positionV>
            <wp:extent cx="2600325" cy="914400"/>
            <wp:effectExtent l="0" t="0" r="9525" b="0"/>
            <wp:wrapSquare wrapText="bothSides"/>
            <wp:docPr id="1738574180" name="Picture 1" descr="Description: 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pic:spPr>
                </pic:pic>
              </a:graphicData>
            </a:graphic>
            <wp14:sizeRelH relativeFrom="margin">
              <wp14:pctWidth>0</wp14:pctWidth>
            </wp14:sizeRelH>
            <wp14:sizeRelV relativeFrom="margin">
              <wp14:pctHeight>0</wp14:pctHeight>
            </wp14:sizeRelV>
          </wp:anchor>
        </w:drawing>
      </w:r>
    </w:p>
    <w:p w14:paraId="52063834" w14:textId="28F68E3A" w:rsidR="001A4C0B" w:rsidRPr="000E69BF" w:rsidRDefault="00230826" w:rsidP="001A4C0B">
      <w:pPr>
        <w:spacing w:after="220" w:line="360" w:lineRule="auto"/>
        <w:ind w:left="426"/>
        <w:rPr>
          <w:rFonts w:ascii="Arial" w:eastAsia="Century Schoolbook" w:hAnsi="Arial" w:cs="Arial"/>
          <w:szCs w:val="24"/>
          <w:lang w:val="en-US"/>
        </w:rPr>
      </w:pP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r>
        <w:rPr>
          <w:rFonts w:ascii="Arial" w:eastAsia="Century Schoolbook" w:hAnsi="Arial" w:cs="Arial"/>
          <w:szCs w:val="24"/>
          <w:lang w:val="en-US"/>
        </w:rPr>
        <w:tab/>
      </w:r>
    </w:p>
    <w:p w14:paraId="53A70173" w14:textId="77777777" w:rsidR="001A4C0B" w:rsidRDefault="001A4C0B" w:rsidP="001A4C0B">
      <w:pPr>
        <w:spacing w:after="220" w:line="360" w:lineRule="auto"/>
        <w:ind w:left="426"/>
        <w:rPr>
          <w:rFonts w:ascii="Arial" w:eastAsia="Century Schoolbook" w:hAnsi="Arial" w:cs="Arial"/>
          <w:szCs w:val="24"/>
          <w:lang w:val="en-US"/>
        </w:rPr>
      </w:pPr>
    </w:p>
    <w:p w14:paraId="5DEAF6E4" w14:textId="77777777" w:rsidR="00230826" w:rsidRDefault="00230826" w:rsidP="001A4C0B">
      <w:pPr>
        <w:spacing w:after="220" w:line="360" w:lineRule="auto"/>
        <w:ind w:left="426"/>
        <w:rPr>
          <w:rFonts w:ascii="Arial" w:eastAsia="Century Schoolbook" w:hAnsi="Arial" w:cs="Arial"/>
          <w:szCs w:val="24"/>
          <w:lang w:val="en-US"/>
        </w:rPr>
      </w:pPr>
    </w:p>
    <w:p w14:paraId="688554B7" w14:textId="77777777" w:rsidR="00230826" w:rsidRDefault="00230826" w:rsidP="001A4C0B">
      <w:pPr>
        <w:spacing w:after="220" w:line="360" w:lineRule="auto"/>
        <w:ind w:left="426"/>
        <w:rPr>
          <w:rFonts w:ascii="Arial" w:eastAsia="Century Schoolbook" w:hAnsi="Arial" w:cs="Arial"/>
          <w:szCs w:val="24"/>
          <w:lang w:val="en-US"/>
        </w:rPr>
      </w:pPr>
    </w:p>
    <w:p w14:paraId="3131F8E7" w14:textId="77777777" w:rsidR="000B0758" w:rsidRPr="000E69BF" w:rsidRDefault="000B0758" w:rsidP="001A4C0B">
      <w:pPr>
        <w:spacing w:after="220" w:line="360" w:lineRule="auto"/>
        <w:ind w:left="426"/>
        <w:rPr>
          <w:rFonts w:ascii="Arial" w:eastAsia="Century Schoolbook" w:hAnsi="Arial" w:cs="Arial"/>
          <w:szCs w:val="24"/>
          <w:lang w:val="en-US"/>
        </w:rPr>
      </w:pPr>
    </w:p>
    <w:p w14:paraId="48EF7B75" w14:textId="6BD7F87D" w:rsidR="001A4C0B" w:rsidRPr="001A4C0B" w:rsidRDefault="001A4C0B" w:rsidP="001A4C0B">
      <w:pPr>
        <w:spacing w:before="120" w:after="120" w:line="360" w:lineRule="auto"/>
        <w:rPr>
          <w:rFonts w:ascii="Arial" w:eastAsia="Calibri" w:hAnsi="Arial" w:cs="Arial"/>
          <w:noProof/>
          <w:sz w:val="28"/>
          <w:szCs w:val="28"/>
        </w:rPr>
      </w:pPr>
      <w:r w:rsidRPr="001A4C0B">
        <w:rPr>
          <w:rFonts w:ascii="Arial" w:eastAsia="Century Schoolbook" w:hAnsi="Arial" w:cs="Arial"/>
          <w:b/>
          <w:bCs/>
          <w:sz w:val="28"/>
          <w:szCs w:val="28"/>
          <w:lang w:val="en-US"/>
        </w:rPr>
        <w:t>Assignment Tile:</w:t>
      </w:r>
      <w:r>
        <w:rPr>
          <w:rFonts w:ascii="Arial" w:eastAsia="Century Schoolbook" w:hAnsi="Arial" w:cs="Arial"/>
          <w:sz w:val="28"/>
          <w:szCs w:val="28"/>
          <w:lang w:val="en-US"/>
        </w:rPr>
        <w:t xml:space="preserve"> </w:t>
      </w:r>
      <w:r w:rsidRPr="00FA4992">
        <w:rPr>
          <w:rFonts w:ascii="Arial" w:eastAsia="Calibri" w:hAnsi="Arial" w:cs="Arial"/>
          <w:noProof/>
          <w:sz w:val="28"/>
          <w:szCs w:val="28"/>
        </w:rPr>
        <w:t>Mrs Mann Case study Report</w:t>
      </w:r>
    </w:p>
    <w:p w14:paraId="266019D0" w14:textId="77777777" w:rsidR="001A4C0B" w:rsidRPr="000E69BF" w:rsidRDefault="001A4C0B" w:rsidP="001A4C0B">
      <w:pPr>
        <w:tabs>
          <w:tab w:val="left" w:pos="6540"/>
        </w:tabs>
        <w:spacing w:after="220" w:line="360" w:lineRule="auto"/>
        <w:rPr>
          <w:rFonts w:ascii="Arial" w:eastAsia="Century Schoolbook" w:hAnsi="Arial" w:cs="Arial"/>
          <w:sz w:val="28"/>
          <w:szCs w:val="28"/>
        </w:rPr>
      </w:pPr>
      <w:r w:rsidRPr="000E69BF">
        <w:rPr>
          <w:rFonts w:ascii="Arial" w:eastAsia="Century Schoolbook" w:hAnsi="Arial" w:cs="Arial"/>
          <w:b/>
          <w:bCs/>
          <w:sz w:val="28"/>
          <w:szCs w:val="28"/>
        </w:rPr>
        <w:t>Student name</w:t>
      </w:r>
      <w:r w:rsidRPr="000E69BF">
        <w:rPr>
          <w:rFonts w:ascii="Arial" w:eastAsia="Century Schoolbook" w:hAnsi="Arial" w:cs="Arial"/>
          <w:sz w:val="28"/>
          <w:szCs w:val="28"/>
        </w:rPr>
        <w:t>:</w:t>
      </w:r>
      <w:r w:rsidRPr="005960E4">
        <w:rPr>
          <w:rFonts w:ascii="Arial" w:eastAsia="Century Schoolbook" w:hAnsi="Arial" w:cs="Arial"/>
          <w:sz w:val="28"/>
          <w:szCs w:val="28"/>
        </w:rPr>
        <w:t xml:space="preserve"> Jose Ng</w:t>
      </w:r>
      <w:r>
        <w:rPr>
          <w:rFonts w:ascii="Arial" w:eastAsia="Century Schoolbook" w:hAnsi="Arial" w:cs="Arial"/>
          <w:sz w:val="28"/>
          <w:szCs w:val="28"/>
        </w:rPr>
        <w:t>onga</w:t>
      </w:r>
    </w:p>
    <w:p w14:paraId="4FCB0007" w14:textId="214C1110" w:rsidR="001A4C0B" w:rsidRPr="000E69BF" w:rsidRDefault="001A4C0B" w:rsidP="001A4C0B">
      <w:pPr>
        <w:tabs>
          <w:tab w:val="left" w:pos="6540"/>
        </w:tabs>
        <w:spacing w:after="220" w:line="360" w:lineRule="auto"/>
        <w:rPr>
          <w:rFonts w:ascii="Arial" w:eastAsia="Century Schoolbook" w:hAnsi="Arial" w:cs="Arial"/>
          <w:sz w:val="28"/>
          <w:szCs w:val="28"/>
        </w:rPr>
      </w:pPr>
      <w:r w:rsidRPr="000E69BF">
        <w:rPr>
          <w:rFonts w:ascii="Arial" w:eastAsia="Century Schoolbook" w:hAnsi="Arial" w:cs="Arial"/>
          <w:b/>
          <w:bCs/>
          <w:sz w:val="28"/>
          <w:szCs w:val="28"/>
        </w:rPr>
        <w:t>Student ID</w:t>
      </w:r>
      <w:r w:rsidRPr="000E69BF">
        <w:rPr>
          <w:rFonts w:ascii="Arial" w:eastAsia="Century Schoolbook" w:hAnsi="Arial" w:cs="Arial"/>
          <w:sz w:val="28"/>
          <w:szCs w:val="28"/>
        </w:rPr>
        <w:t>:</w:t>
      </w:r>
      <w:r w:rsidR="00EA54EB">
        <w:rPr>
          <w:rFonts w:ascii="Arial" w:eastAsia="Century Schoolbook" w:hAnsi="Arial" w:cs="Arial"/>
          <w:sz w:val="28"/>
          <w:szCs w:val="28"/>
        </w:rPr>
        <w:t xml:space="preserve"> 2320803</w:t>
      </w:r>
    </w:p>
    <w:p w14:paraId="39CCE09D" w14:textId="77777777" w:rsidR="001A4C0B" w:rsidRPr="000E69BF" w:rsidRDefault="001A4C0B" w:rsidP="001A4C0B">
      <w:pPr>
        <w:tabs>
          <w:tab w:val="left" w:pos="6540"/>
        </w:tabs>
        <w:spacing w:after="220" w:line="360" w:lineRule="auto"/>
        <w:rPr>
          <w:rFonts w:ascii="Arial" w:eastAsia="Century Schoolbook" w:hAnsi="Arial" w:cs="Arial"/>
          <w:sz w:val="28"/>
          <w:szCs w:val="28"/>
        </w:rPr>
      </w:pPr>
      <w:r w:rsidRPr="000E69BF">
        <w:rPr>
          <w:rFonts w:ascii="Arial" w:eastAsia="Century Schoolbook" w:hAnsi="Arial" w:cs="Arial"/>
          <w:b/>
          <w:bCs/>
          <w:sz w:val="28"/>
          <w:szCs w:val="28"/>
        </w:rPr>
        <w:t>Module name</w:t>
      </w:r>
      <w:r w:rsidRPr="000E69BF">
        <w:rPr>
          <w:rFonts w:ascii="Arial" w:eastAsia="Century Schoolbook" w:hAnsi="Arial" w:cs="Arial"/>
          <w:sz w:val="28"/>
          <w:szCs w:val="28"/>
        </w:rPr>
        <w:t xml:space="preserve">: </w:t>
      </w:r>
      <w:r w:rsidRPr="005960E4">
        <w:rPr>
          <w:rFonts w:ascii="Arial" w:eastAsia="Century Schoolbook" w:hAnsi="Arial" w:cs="Arial"/>
          <w:sz w:val="28"/>
          <w:szCs w:val="28"/>
        </w:rPr>
        <w:t xml:space="preserve"> Introduction to H</w:t>
      </w:r>
      <w:r>
        <w:rPr>
          <w:rFonts w:ascii="Arial" w:eastAsia="Century Schoolbook" w:hAnsi="Arial" w:cs="Arial"/>
          <w:sz w:val="28"/>
          <w:szCs w:val="28"/>
        </w:rPr>
        <w:t>ealth and Social Care</w:t>
      </w:r>
    </w:p>
    <w:p w14:paraId="03D1B93C" w14:textId="77777777" w:rsidR="001A4C0B" w:rsidRPr="005960E4" w:rsidRDefault="001A4C0B" w:rsidP="001A4C0B">
      <w:pPr>
        <w:tabs>
          <w:tab w:val="left" w:pos="6540"/>
        </w:tabs>
        <w:spacing w:after="220" w:line="360" w:lineRule="auto"/>
        <w:rPr>
          <w:rFonts w:ascii="Arial" w:eastAsia="Century Schoolbook" w:hAnsi="Arial" w:cs="Arial"/>
          <w:sz w:val="28"/>
          <w:szCs w:val="28"/>
          <w:lang w:val="fr-FR"/>
        </w:rPr>
      </w:pPr>
      <w:r w:rsidRPr="000E69BF">
        <w:rPr>
          <w:rFonts w:ascii="Arial" w:eastAsia="Century Schoolbook" w:hAnsi="Arial" w:cs="Arial"/>
          <w:b/>
          <w:bCs/>
          <w:sz w:val="28"/>
          <w:szCs w:val="28"/>
          <w:lang w:val="fr-FR"/>
        </w:rPr>
        <w:t>Module code</w:t>
      </w:r>
      <w:r w:rsidRPr="000E69BF">
        <w:rPr>
          <w:rFonts w:ascii="Arial" w:eastAsia="Century Schoolbook" w:hAnsi="Arial" w:cs="Arial"/>
          <w:sz w:val="28"/>
          <w:szCs w:val="28"/>
          <w:lang w:val="fr-FR"/>
        </w:rPr>
        <w:t>:</w:t>
      </w:r>
      <w:r w:rsidRPr="005960E4">
        <w:rPr>
          <w:rFonts w:ascii="Arial" w:eastAsia="Century Schoolbook" w:hAnsi="Arial" w:cs="Arial"/>
          <w:sz w:val="28"/>
          <w:szCs w:val="28"/>
          <w:lang w:val="fr-FR"/>
        </w:rPr>
        <w:t xml:space="preserve"> LCHS4003</w:t>
      </w:r>
    </w:p>
    <w:p w14:paraId="1FBBF03E" w14:textId="41E2619C" w:rsidR="001A4C0B" w:rsidRPr="001A4C0B" w:rsidRDefault="001A4C0B" w:rsidP="001A4C0B">
      <w:pPr>
        <w:tabs>
          <w:tab w:val="left" w:pos="6540"/>
        </w:tabs>
        <w:spacing w:after="220" w:line="360" w:lineRule="auto"/>
        <w:rPr>
          <w:rFonts w:ascii="Arial" w:eastAsia="Century Schoolbook" w:hAnsi="Arial" w:cs="Arial"/>
          <w:sz w:val="28"/>
          <w:szCs w:val="28"/>
          <w:lang w:val="fr-FR"/>
        </w:rPr>
      </w:pPr>
      <w:r w:rsidRPr="001A4C0B">
        <w:rPr>
          <w:rFonts w:ascii="Arial" w:eastAsia="Century Schoolbook" w:hAnsi="Arial" w:cs="Arial"/>
          <w:b/>
          <w:bCs/>
          <w:sz w:val="28"/>
          <w:szCs w:val="28"/>
          <w:lang w:val="fr-FR"/>
        </w:rPr>
        <w:t>Lecture name</w:t>
      </w:r>
      <w:r w:rsidRPr="001A4C0B">
        <w:rPr>
          <w:rFonts w:ascii="Arial" w:eastAsia="Century Schoolbook" w:hAnsi="Arial" w:cs="Arial"/>
          <w:sz w:val="28"/>
          <w:szCs w:val="28"/>
          <w:lang w:val="fr-FR"/>
        </w:rPr>
        <w:t xml:space="preserve">: </w:t>
      </w:r>
      <w:r w:rsidR="00EA54EB">
        <w:rPr>
          <w:rFonts w:ascii="Arial" w:eastAsia="Century Schoolbook" w:hAnsi="Arial" w:cs="Arial"/>
          <w:sz w:val="28"/>
          <w:szCs w:val="28"/>
          <w:lang w:val="fr-FR"/>
        </w:rPr>
        <w:t xml:space="preserve">Jolly </w:t>
      </w:r>
      <w:r w:rsidR="00D5108A">
        <w:rPr>
          <w:rFonts w:ascii="Arial" w:eastAsia="Century Schoolbook" w:hAnsi="Arial" w:cs="Arial"/>
          <w:sz w:val="28"/>
          <w:szCs w:val="28"/>
          <w:lang w:val="en-US"/>
        </w:rPr>
        <w:t xml:space="preserve">Nwankwo </w:t>
      </w:r>
    </w:p>
    <w:p w14:paraId="7B6C711B" w14:textId="77777777" w:rsidR="001A4C0B" w:rsidRPr="001A4C0B" w:rsidRDefault="001A4C0B" w:rsidP="00FA4992">
      <w:pPr>
        <w:spacing w:before="120" w:after="120" w:line="360" w:lineRule="auto"/>
        <w:jc w:val="center"/>
        <w:rPr>
          <w:rFonts w:ascii="Arial" w:eastAsia="Calibri" w:hAnsi="Arial" w:cs="Arial"/>
          <w:noProof/>
          <w:lang w:val="fr-FR"/>
        </w:rPr>
      </w:pPr>
    </w:p>
    <w:p w14:paraId="3EBAD849" w14:textId="77777777" w:rsidR="001A4C0B" w:rsidRPr="001A4C0B" w:rsidRDefault="001A4C0B" w:rsidP="00FA4992">
      <w:pPr>
        <w:spacing w:before="120" w:after="120" w:line="360" w:lineRule="auto"/>
        <w:jc w:val="center"/>
        <w:rPr>
          <w:rFonts w:ascii="Arial" w:eastAsia="Calibri" w:hAnsi="Arial" w:cs="Arial"/>
          <w:noProof/>
          <w:lang w:val="fr-FR"/>
        </w:rPr>
      </w:pPr>
    </w:p>
    <w:p w14:paraId="54373CFB" w14:textId="77777777" w:rsidR="001A4C0B" w:rsidRPr="001A4C0B" w:rsidRDefault="001A4C0B" w:rsidP="00FA4992">
      <w:pPr>
        <w:spacing w:before="120" w:after="120" w:line="360" w:lineRule="auto"/>
        <w:jc w:val="center"/>
        <w:rPr>
          <w:rFonts w:ascii="Arial" w:eastAsia="Calibri" w:hAnsi="Arial" w:cs="Arial"/>
          <w:noProof/>
          <w:lang w:val="fr-FR"/>
        </w:rPr>
      </w:pPr>
    </w:p>
    <w:p w14:paraId="27D34B08" w14:textId="77777777" w:rsidR="001A4C0B" w:rsidRPr="001A4C0B" w:rsidRDefault="001A4C0B" w:rsidP="00FA4992">
      <w:pPr>
        <w:spacing w:before="120" w:after="120" w:line="360" w:lineRule="auto"/>
        <w:jc w:val="center"/>
        <w:rPr>
          <w:rFonts w:ascii="Arial" w:eastAsia="Calibri" w:hAnsi="Arial" w:cs="Arial"/>
          <w:noProof/>
          <w:lang w:val="fr-FR"/>
        </w:rPr>
      </w:pPr>
    </w:p>
    <w:p w14:paraId="38E702E2" w14:textId="77777777" w:rsidR="001A4C0B" w:rsidRPr="001A4C0B" w:rsidRDefault="001A4C0B" w:rsidP="00FA4992">
      <w:pPr>
        <w:spacing w:before="120" w:after="120" w:line="360" w:lineRule="auto"/>
        <w:jc w:val="center"/>
        <w:rPr>
          <w:rFonts w:ascii="Arial" w:eastAsia="Calibri" w:hAnsi="Arial" w:cs="Arial"/>
          <w:noProof/>
          <w:lang w:val="fr-FR"/>
        </w:rPr>
      </w:pPr>
    </w:p>
    <w:p w14:paraId="235EAE84" w14:textId="77777777" w:rsidR="001A4C0B" w:rsidRPr="001A4C0B" w:rsidRDefault="001A4C0B" w:rsidP="00FA4992">
      <w:pPr>
        <w:spacing w:before="120" w:after="120" w:line="360" w:lineRule="auto"/>
        <w:jc w:val="center"/>
        <w:rPr>
          <w:rFonts w:ascii="Arial" w:eastAsia="Calibri" w:hAnsi="Arial" w:cs="Arial"/>
          <w:noProof/>
          <w:lang w:val="fr-FR"/>
        </w:rPr>
      </w:pPr>
    </w:p>
    <w:p w14:paraId="496DF2CD" w14:textId="77777777" w:rsidR="001A4C0B" w:rsidRPr="001A4C0B" w:rsidRDefault="001A4C0B" w:rsidP="00FA4992">
      <w:pPr>
        <w:spacing w:before="120" w:after="120" w:line="360" w:lineRule="auto"/>
        <w:jc w:val="center"/>
        <w:rPr>
          <w:rFonts w:ascii="Arial" w:eastAsia="Calibri" w:hAnsi="Arial" w:cs="Arial"/>
          <w:noProof/>
          <w:lang w:val="fr-FR"/>
        </w:rPr>
      </w:pPr>
    </w:p>
    <w:p w14:paraId="6DB5C041" w14:textId="7F975652" w:rsidR="00FA4992" w:rsidRPr="00FA4992" w:rsidRDefault="00FA4992" w:rsidP="001A4C0B">
      <w:pPr>
        <w:spacing w:before="120" w:after="120" w:line="360" w:lineRule="auto"/>
        <w:rPr>
          <w:rFonts w:ascii="Arial" w:eastAsia="Calibri" w:hAnsi="Arial" w:cs="Arial"/>
          <w:noProof/>
        </w:rPr>
      </w:pPr>
    </w:p>
    <w:p w14:paraId="709D683C" w14:textId="77777777" w:rsidR="00FA4992" w:rsidRPr="00FA4992" w:rsidRDefault="00FA4992" w:rsidP="00FA4992">
      <w:pPr>
        <w:spacing w:after="160" w:line="360" w:lineRule="auto"/>
        <w:rPr>
          <w:rFonts w:ascii="Arial" w:eastAsia="Calibri" w:hAnsi="Arial" w:cs="Arial"/>
          <w:noProof/>
        </w:rPr>
      </w:pPr>
      <w:r w:rsidRPr="00FA4992">
        <w:rPr>
          <w:rFonts w:ascii="Arial" w:eastAsia="Calibri" w:hAnsi="Arial" w:cs="Arial"/>
          <w:noProof/>
        </w:rPr>
        <w:br w:type="page"/>
      </w:r>
    </w:p>
    <w:sdt>
      <w:sdtPr>
        <w:rPr>
          <w:rFonts w:ascii="Arial" w:eastAsia="Calibri" w:hAnsi="Arial" w:cs="Arial"/>
          <w:noProof/>
        </w:rPr>
        <w:id w:val="1462699216"/>
        <w:docPartObj>
          <w:docPartGallery w:val="Table of Contents"/>
          <w:docPartUnique/>
        </w:docPartObj>
      </w:sdtPr>
      <w:sdtEndPr/>
      <w:sdtContent>
        <w:p w14:paraId="61B4B1EB" w14:textId="77777777" w:rsidR="00FA4992" w:rsidRPr="00FA4992" w:rsidRDefault="00FA4992" w:rsidP="00FA4992">
          <w:pPr>
            <w:keepNext/>
            <w:keepLines/>
            <w:spacing w:before="240" w:after="0" w:line="360" w:lineRule="auto"/>
            <w:jc w:val="center"/>
            <w:rPr>
              <w:rFonts w:ascii="Arial" w:eastAsia="Times New Roman" w:hAnsi="Arial" w:cs="Arial"/>
              <w:color w:val="2F5496"/>
              <w:lang w:val="en-US"/>
            </w:rPr>
          </w:pPr>
          <w:r w:rsidRPr="00FA4992">
            <w:rPr>
              <w:rFonts w:ascii="Arial" w:eastAsia="Times New Roman" w:hAnsi="Arial" w:cs="Arial"/>
              <w:b/>
              <w:bCs/>
              <w:color w:val="000000"/>
              <w:lang w:val="en-US"/>
            </w:rPr>
            <w:t>Table of Content</w:t>
          </w:r>
        </w:p>
        <w:p w14:paraId="6C1A6267"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r w:rsidRPr="00FA4992">
            <w:rPr>
              <w:rFonts w:ascii="Arial" w:eastAsia="Times New Roman" w:hAnsi="Arial" w:cs="Arial"/>
              <w:noProof/>
              <w:lang w:val="en-US"/>
            </w:rPr>
            <w:fldChar w:fldCharType="begin"/>
          </w:r>
          <w:r w:rsidRPr="00FA4992">
            <w:rPr>
              <w:rFonts w:ascii="Arial" w:eastAsia="Times New Roman" w:hAnsi="Arial" w:cs="Arial"/>
              <w:noProof/>
              <w:lang w:val="en-US"/>
            </w:rPr>
            <w:instrText xml:space="preserve"> TOC \o "1-3" \h \z \u </w:instrText>
          </w:r>
          <w:r w:rsidRPr="00FA4992">
            <w:rPr>
              <w:rFonts w:ascii="Arial" w:eastAsia="Times New Roman" w:hAnsi="Arial" w:cs="Arial"/>
              <w:noProof/>
              <w:lang w:val="en-US"/>
            </w:rPr>
            <w:fldChar w:fldCharType="separate"/>
          </w:r>
          <w:hyperlink r:id="rId6" w:anchor="_Toc216126133" w:history="1">
            <w:r w:rsidRPr="00FA4992">
              <w:rPr>
                <w:rFonts w:ascii="Arial" w:eastAsia="Times New Roman" w:hAnsi="Arial" w:cs="Arial"/>
                <w:noProof/>
                <w:color w:val="0563C1"/>
                <w:u w:val="single"/>
                <w:lang w:val="en-US"/>
              </w:rPr>
              <w:t>Introduction</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_Toc216126133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3</w:t>
            </w:r>
            <w:r w:rsidRPr="00FA4992">
              <w:rPr>
                <w:rFonts w:ascii="Arial" w:eastAsia="Times New Roman" w:hAnsi="Arial" w:cs="Arial"/>
                <w:noProof/>
                <w:webHidden/>
                <w:u w:val="single"/>
                <w:lang w:val="en-US"/>
              </w:rPr>
              <w:fldChar w:fldCharType="end"/>
            </w:r>
          </w:hyperlink>
        </w:p>
        <w:p w14:paraId="4B3E080C"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hyperlink r:id="rId7" w:anchor="_Toc216126134" w:history="1">
            <w:r w:rsidRPr="00FA4992">
              <w:rPr>
                <w:rFonts w:ascii="Arial" w:eastAsia="Times New Roman" w:hAnsi="Arial" w:cs="Arial"/>
                <w:noProof/>
                <w:color w:val="0563C1"/>
                <w:u w:val="single"/>
                <w:lang w:val="en-US"/>
              </w:rPr>
              <w:t>Effective Communication (apply Berlo’s Model)</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_Toc216126134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3</w:t>
            </w:r>
            <w:r w:rsidRPr="00FA4992">
              <w:rPr>
                <w:rFonts w:ascii="Arial" w:eastAsia="Times New Roman" w:hAnsi="Arial" w:cs="Arial"/>
                <w:noProof/>
                <w:webHidden/>
                <w:u w:val="single"/>
                <w:lang w:val="en-US"/>
              </w:rPr>
              <w:fldChar w:fldCharType="end"/>
            </w:r>
          </w:hyperlink>
        </w:p>
        <w:p w14:paraId="25C78D4D"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hyperlink r:id="rId8" w:anchor="_Toc216126135" w:history="1">
            <w:r w:rsidRPr="00FA4992">
              <w:rPr>
                <w:rFonts w:ascii="Arial" w:eastAsia="Times New Roman" w:hAnsi="Arial" w:cs="Arial"/>
                <w:noProof/>
                <w:color w:val="0563C1"/>
                <w:u w:val="single"/>
                <w:lang w:val="en-US"/>
              </w:rPr>
              <w:t>Adminstrative Working Skills in Record-Keeping</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_Toc216126135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4</w:t>
            </w:r>
            <w:r w:rsidRPr="00FA4992">
              <w:rPr>
                <w:rFonts w:ascii="Arial" w:eastAsia="Times New Roman" w:hAnsi="Arial" w:cs="Arial"/>
                <w:noProof/>
                <w:webHidden/>
                <w:u w:val="single"/>
                <w:lang w:val="en-US"/>
              </w:rPr>
              <w:fldChar w:fldCharType="end"/>
            </w:r>
          </w:hyperlink>
        </w:p>
        <w:p w14:paraId="73848DC0"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hyperlink r:id="rId9" w:anchor="_Toc216126136" w:history="1">
            <w:r w:rsidRPr="00FA4992">
              <w:rPr>
                <w:rFonts w:ascii="Arial" w:eastAsia="Times New Roman" w:hAnsi="Arial" w:cs="Arial"/>
                <w:noProof/>
                <w:color w:val="0563C1"/>
                <w:u w:val="single"/>
                <w:lang w:val="en-US"/>
              </w:rPr>
              <w:t>Partnership  Working</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_Toc216126136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5</w:t>
            </w:r>
            <w:r w:rsidRPr="00FA4992">
              <w:rPr>
                <w:rFonts w:ascii="Arial" w:eastAsia="Times New Roman" w:hAnsi="Arial" w:cs="Arial"/>
                <w:noProof/>
                <w:webHidden/>
                <w:u w:val="single"/>
                <w:lang w:val="en-US"/>
              </w:rPr>
              <w:fldChar w:fldCharType="end"/>
            </w:r>
          </w:hyperlink>
        </w:p>
        <w:p w14:paraId="3F3EE33B"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hyperlink r:id="rId10" w:anchor="_Toc216126137" w:history="1">
            <w:r w:rsidRPr="00FA4992">
              <w:rPr>
                <w:rFonts w:ascii="Arial" w:eastAsia="Times New Roman" w:hAnsi="Arial" w:cs="Arial"/>
                <w:noProof/>
                <w:color w:val="0563C1"/>
                <w:u w:val="single"/>
                <w:lang w:val="en-US" w:eastAsia="en-GB"/>
              </w:rPr>
              <w:t>Conclusion</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_Toc216126137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6</w:t>
            </w:r>
            <w:r w:rsidRPr="00FA4992">
              <w:rPr>
                <w:rFonts w:ascii="Arial" w:eastAsia="Times New Roman" w:hAnsi="Arial" w:cs="Arial"/>
                <w:noProof/>
                <w:webHidden/>
                <w:u w:val="single"/>
                <w:lang w:val="en-US"/>
              </w:rPr>
              <w:fldChar w:fldCharType="end"/>
            </w:r>
          </w:hyperlink>
        </w:p>
        <w:p w14:paraId="6AA0183C" w14:textId="77777777" w:rsidR="00FA4992" w:rsidRPr="00FA4992" w:rsidRDefault="00FA4992" w:rsidP="00FA4992">
          <w:pPr>
            <w:tabs>
              <w:tab w:val="right" w:leader="dot" w:pos="9180"/>
            </w:tabs>
            <w:spacing w:after="100" w:line="360" w:lineRule="auto"/>
            <w:rPr>
              <w:rFonts w:ascii="Arial" w:eastAsia="Times New Roman" w:hAnsi="Arial" w:cs="Arial"/>
              <w:noProof/>
              <w:lang w:eastAsia="en-GB"/>
            </w:rPr>
          </w:pPr>
          <w:hyperlink r:id="rId11" w:anchor="_Toc216126138" w:history="1">
            <w:r w:rsidRPr="00FA4992">
              <w:rPr>
                <w:rFonts w:ascii="Arial" w:eastAsia="Times New Roman" w:hAnsi="Arial" w:cs="Arial"/>
                <w:noProof/>
                <w:color w:val="0563C1"/>
                <w:u w:val="single"/>
                <w:lang w:val="en-US" w:eastAsia="en-GB"/>
              </w:rPr>
              <w:t>References</w:t>
            </w:r>
            <w:r w:rsidRPr="00FA4992">
              <w:rPr>
                <w:rFonts w:ascii="Arial" w:eastAsia="Times New Roman" w:hAnsi="Arial" w:cs="Arial"/>
                <w:noProof/>
                <w:webHidden/>
                <w:u w:val="single"/>
                <w:lang w:val="en-US"/>
              </w:rPr>
              <w:tab/>
            </w:r>
            <w:r w:rsidRPr="00FA4992">
              <w:rPr>
                <w:rFonts w:ascii="Arial" w:eastAsia="Times New Roman" w:hAnsi="Arial" w:cs="Arial"/>
                <w:noProof/>
                <w:webHidden/>
                <w:u w:val="single"/>
                <w:lang w:val="en-US"/>
              </w:rPr>
              <w:fldChar w:fldCharType="begin"/>
            </w:r>
            <w:r w:rsidRPr="00FA4992">
              <w:rPr>
                <w:rFonts w:ascii="Arial" w:eastAsia="Times New Roman" w:hAnsi="Arial" w:cs="Arial"/>
                <w:noProof/>
                <w:webHidden/>
                <w:u w:val="single"/>
                <w:lang w:val="en-US"/>
              </w:rPr>
              <w:instrText xml:space="preserve"> PAGEREF _Toc216126138 \h </w:instrText>
            </w:r>
            <w:r w:rsidRPr="00FA4992">
              <w:rPr>
                <w:rFonts w:ascii="Arial" w:eastAsia="Times New Roman" w:hAnsi="Arial" w:cs="Arial"/>
                <w:noProof/>
                <w:webHidden/>
                <w:u w:val="single"/>
                <w:lang w:val="en-US"/>
              </w:rPr>
            </w:r>
            <w:r w:rsidRPr="00FA4992">
              <w:rPr>
                <w:rFonts w:ascii="Arial" w:eastAsia="Times New Roman" w:hAnsi="Arial" w:cs="Arial"/>
                <w:noProof/>
                <w:webHidden/>
                <w:u w:val="single"/>
                <w:lang w:val="en-US"/>
              </w:rPr>
              <w:fldChar w:fldCharType="separate"/>
            </w:r>
            <w:r w:rsidRPr="00FA4992">
              <w:rPr>
                <w:rFonts w:ascii="Arial" w:eastAsia="Times New Roman" w:hAnsi="Arial" w:cs="Arial"/>
                <w:noProof/>
                <w:webHidden/>
                <w:u w:val="single"/>
                <w:lang w:val="en-US"/>
              </w:rPr>
              <w:t>8</w:t>
            </w:r>
            <w:r w:rsidRPr="00FA4992">
              <w:rPr>
                <w:rFonts w:ascii="Arial" w:eastAsia="Times New Roman" w:hAnsi="Arial" w:cs="Arial"/>
                <w:noProof/>
                <w:webHidden/>
                <w:u w:val="single"/>
                <w:lang w:val="en-US"/>
              </w:rPr>
              <w:fldChar w:fldCharType="end"/>
            </w:r>
          </w:hyperlink>
        </w:p>
        <w:p w14:paraId="1ACEB2C8" w14:textId="77777777" w:rsidR="00FA4992" w:rsidRPr="00FA4992" w:rsidRDefault="00FA4992" w:rsidP="00FA4992">
          <w:pPr>
            <w:tabs>
              <w:tab w:val="right" w:leader="dot" w:pos="9180"/>
            </w:tabs>
            <w:spacing w:before="120" w:after="120" w:line="360" w:lineRule="auto"/>
            <w:jc w:val="both"/>
            <w:rPr>
              <w:rFonts w:ascii="Arial" w:eastAsia="Calibri" w:hAnsi="Arial" w:cs="Arial"/>
              <w:noProof/>
            </w:rPr>
          </w:pPr>
          <w:r w:rsidRPr="00FA4992">
            <w:rPr>
              <w:rFonts w:ascii="Arial" w:eastAsia="Calibri" w:hAnsi="Arial" w:cs="Arial"/>
              <w:b/>
              <w:bCs/>
              <w:noProof/>
            </w:rPr>
            <w:fldChar w:fldCharType="end"/>
          </w:r>
        </w:p>
      </w:sdtContent>
    </w:sdt>
    <w:p w14:paraId="06AD553D" w14:textId="77777777" w:rsidR="00FA4992" w:rsidRPr="00FA4992" w:rsidRDefault="00FA4992" w:rsidP="00FA4992">
      <w:pPr>
        <w:spacing w:after="160" w:line="360" w:lineRule="auto"/>
        <w:rPr>
          <w:rFonts w:ascii="Arial" w:eastAsia="Calibri" w:hAnsi="Arial" w:cs="Arial"/>
          <w:noProof/>
        </w:rPr>
      </w:pPr>
      <w:r w:rsidRPr="00FA4992">
        <w:rPr>
          <w:rFonts w:ascii="Arial" w:eastAsia="Calibri" w:hAnsi="Arial" w:cs="Arial"/>
          <w:noProof/>
        </w:rPr>
        <w:br w:type="page"/>
      </w:r>
    </w:p>
    <w:p w14:paraId="42ABA993" w14:textId="77777777" w:rsidR="00FA4992" w:rsidRPr="00FA4992" w:rsidRDefault="00FA4992" w:rsidP="00FA4992">
      <w:pPr>
        <w:keepNext/>
        <w:keepLines/>
        <w:spacing w:before="240" w:after="0" w:line="360" w:lineRule="auto"/>
        <w:outlineLvl w:val="0"/>
        <w:rPr>
          <w:rFonts w:ascii="Arial" w:eastAsia="Times New Roman" w:hAnsi="Arial" w:cs="Arial"/>
          <w:b/>
          <w:iCs/>
          <w:noProof/>
          <w:color w:val="000000"/>
        </w:rPr>
      </w:pPr>
      <w:bookmarkStart w:id="0" w:name="_Toc216126133"/>
      <w:r w:rsidRPr="00FA4992">
        <w:rPr>
          <w:rFonts w:ascii="Arial" w:eastAsia="Times New Roman" w:hAnsi="Arial" w:cs="Arial"/>
          <w:b/>
          <w:iCs/>
          <w:noProof/>
          <w:color w:val="000000"/>
        </w:rPr>
        <w:lastRenderedPageBreak/>
        <w:t>Introduction</w:t>
      </w:r>
      <w:bookmarkEnd w:id="0"/>
    </w:p>
    <w:p w14:paraId="4E9550E1" w14:textId="77777777" w:rsidR="00FA4992" w:rsidRPr="00FA4992" w:rsidRDefault="00FA4992" w:rsidP="00FA4992">
      <w:pPr>
        <w:spacing w:before="120" w:after="120" w:line="360" w:lineRule="auto"/>
        <w:jc w:val="both"/>
        <w:rPr>
          <w:rFonts w:ascii="Arial" w:eastAsia="Calibri" w:hAnsi="Arial" w:cs="Arial"/>
          <w:noProof/>
        </w:rPr>
      </w:pPr>
      <w:r w:rsidRPr="00FA4992">
        <w:rPr>
          <w:rFonts w:ascii="Arial" w:eastAsia="Calibri" w:hAnsi="Arial" w:cs="Arial"/>
          <w:noProof/>
        </w:rPr>
        <w:tab/>
        <w:t>Mrs Mann is a 72 year old lady who was recently subjected to hip replacement surgery and currently lives on her own in her personal residence. Her native language is Urdu and she speaks poor English, where English becomes a problem in comprehending her and being involved in her care without having her daughter who at many occasions takes up the role of an interpreter. A domiciliary care regularly to help her with personal care help her GP and a community physiotherapist visit regularly to chek the medical and rehabilitation (Stray, Wibe, Debesay and Bye, 2024). It is essential to make sure that the communication is effective to ensure her personal needs are met, avoid mistakes, and support her safety and well-being. In this report to examine the care provided to Mrs Mann, and will address communication based on the Berlo Model, administrative practises and how professionals were involved in providing care to Mrs Mann.</w:t>
      </w:r>
    </w:p>
    <w:p w14:paraId="514CB7D5" w14:textId="77777777" w:rsidR="00FA4992" w:rsidRPr="00FA4992" w:rsidRDefault="00FA4992" w:rsidP="00FA4992">
      <w:pPr>
        <w:keepNext/>
        <w:keepLines/>
        <w:spacing w:before="240" w:after="0" w:line="360" w:lineRule="auto"/>
        <w:outlineLvl w:val="0"/>
        <w:rPr>
          <w:rFonts w:ascii="Arial" w:eastAsia="Times New Roman" w:hAnsi="Arial" w:cs="Arial"/>
          <w:b/>
          <w:iCs/>
          <w:noProof/>
          <w:color w:val="000000"/>
        </w:rPr>
      </w:pPr>
      <w:bookmarkStart w:id="1" w:name="_Toc216126134"/>
      <w:r w:rsidRPr="00FA4992">
        <w:rPr>
          <w:rFonts w:ascii="Arial" w:eastAsia="Times New Roman" w:hAnsi="Arial" w:cs="Arial"/>
          <w:b/>
          <w:iCs/>
          <w:noProof/>
          <w:color w:val="000000"/>
        </w:rPr>
        <w:t>Effective Communication (apply Berlo’s Model)</w:t>
      </w:r>
      <w:bookmarkEnd w:id="1"/>
    </w:p>
    <w:p w14:paraId="07353608" w14:textId="77777777" w:rsidR="00FA4992" w:rsidRPr="00FA4992" w:rsidRDefault="00FA4992" w:rsidP="00FA4992">
      <w:pPr>
        <w:spacing w:before="120" w:after="120" w:line="360" w:lineRule="auto"/>
        <w:jc w:val="both"/>
        <w:rPr>
          <w:rFonts w:ascii="Arial" w:eastAsia="Calibri" w:hAnsi="Arial" w:cs="Arial"/>
          <w:noProof/>
        </w:rPr>
      </w:pPr>
      <w:r w:rsidRPr="00FA4992">
        <w:rPr>
          <w:rFonts w:ascii="Arial" w:eastAsia="Calibri" w:hAnsi="Arial" w:cs="Arial"/>
          <w:noProof/>
        </w:rPr>
        <w:tab/>
        <w:t xml:space="preserve">Communication is crucial in providing safe and person-centred care to Mrs Mann especially due to her age, recent hip replacement surgery and her living circumstances. Speaks Urdu as her first language and has little understanding of English, which poses a problem in the interpretation of care instructions and articulation of her needs. As a result, she has a daughter who tends to interpret in the situations of domiciliary visits and medical consultation. The communication with Mrs Mann and her family needs a close attention to the verbal and non-verbal tactics. Health and social care workers must communicate in clear, simple language, make use of visual aids and gestures, as well as show empathy and patience (Cam </w:t>
      </w:r>
      <w:r w:rsidRPr="00FA4992">
        <w:rPr>
          <w:rFonts w:ascii="Arial" w:eastAsia="Calibri" w:hAnsi="Arial" w:cs="Arial"/>
          <w:i/>
          <w:iCs/>
          <w:noProof/>
        </w:rPr>
        <w:t>et al.,</w:t>
      </w:r>
      <w:r w:rsidRPr="00FA4992">
        <w:rPr>
          <w:rFonts w:ascii="Arial" w:eastAsia="Calibri" w:hAnsi="Arial" w:cs="Arial"/>
          <w:noProof/>
        </w:rPr>
        <w:t xml:space="preserve"> 2023). Under the Equality Act 2010, care providers are legally required to ensure communication is accessible and free discrimination are particularly for individuals with language.</w:t>
      </w:r>
    </w:p>
    <w:p w14:paraId="1F66879B" w14:textId="77777777" w:rsidR="00FA4992" w:rsidRPr="00FA4992" w:rsidRDefault="00FA4992" w:rsidP="00FA4992">
      <w:pPr>
        <w:spacing w:before="120" w:after="120" w:line="360" w:lineRule="auto"/>
        <w:jc w:val="both"/>
        <w:rPr>
          <w:rFonts w:ascii="Arial" w:eastAsia="Calibri" w:hAnsi="Arial" w:cs="Arial"/>
          <w:noProof/>
        </w:rPr>
      </w:pPr>
      <w:r w:rsidRPr="00FA4992">
        <w:rPr>
          <w:rFonts w:ascii="Arial" w:eastAsia="Calibri" w:hAnsi="Arial" w:cs="Arial"/>
          <w:noProof/>
        </w:rPr>
        <w:tab/>
        <w:t xml:space="preserve">A structured way of analysing and enhancing the communication in the care of Mrs Mann is the Sender-Message-Channel-Receiver (SMCR) model presented by Berlo (1960). The sender is the health and social care workers who need to have the skills, knowledge, and professional attitude required to effectively communicate. The message should include long and short directives concerning personal hygiene, movement practises, and prescribed medication, so that Mrs Mann can get used to her daily routine and rehabilitation programme (Lim </w:t>
      </w:r>
      <w:r w:rsidRPr="00FA4992">
        <w:rPr>
          <w:rFonts w:ascii="Arial" w:eastAsia="Calibri" w:hAnsi="Arial" w:cs="Arial"/>
          <w:i/>
          <w:iCs/>
          <w:noProof/>
        </w:rPr>
        <w:t>et al,.</w:t>
      </w:r>
      <w:r w:rsidRPr="00FA4992">
        <w:rPr>
          <w:rFonts w:ascii="Arial" w:eastAsia="Calibri" w:hAnsi="Arial" w:cs="Arial"/>
          <w:noProof/>
        </w:rPr>
        <w:t xml:space="preserve">2025). The channel entails the mediums used to transmit the information whether it is by talking to them face-to-face, writing notes, making phone calls or using electronic communication systems. The receiver consists of Mrs Mann and her daughter who receive, comprehend and respond to the information that is presented considering language understanding, literacy, and culture. This model helps in break down the stages of </w:t>
      </w:r>
      <w:r w:rsidRPr="00FA4992">
        <w:rPr>
          <w:rFonts w:ascii="Arial" w:eastAsia="Calibri" w:hAnsi="Arial" w:cs="Arial"/>
          <w:noProof/>
        </w:rPr>
        <w:lastRenderedPageBreak/>
        <w:t xml:space="preserve">communication so staff can clearly identify where misunderstandings may occur. Other communication barriers like limited English, health literacy and culture may have an influence to overcome these barriers via a method of using interpreters, repeating important information, confirming and clarifying understanding on the part of the patient and using visual or written materials (Tiwary </w:t>
      </w:r>
      <w:r w:rsidRPr="00FA4992">
        <w:rPr>
          <w:rFonts w:ascii="Arial" w:eastAsia="Calibri" w:hAnsi="Arial" w:cs="Arial"/>
          <w:i/>
          <w:iCs/>
          <w:noProof/>
        </w:rPr>
        <w:t>et al.,</w:t>
      </w:r>
      <w:r w:rsidRPr="00FA4992">
        <w:rPr>
          <w:rFonts w:ascii="Arial" w:eastAsia="Calibri" w:hAnsi="Arial" w:cs="Arial"/>
          <w:noProof/>
        </w:rPr>
        <w:t xml:space="preserve"> 2019).</w:t>
      </w:r>
    </w:p>
    <w:p w14:paraId="3B6D0FB7" w14:textId="77777777" w:rsidR="00FA4992" w:rsidRPr="00FA4992" w:rsidRDefault="00FA4992" w:rsidP="00FA4992">
      <w:pPr>
        <w:spacing w:before="120" w:after="120" w:line="360" w:lineRule="auto"/>
        <w:ind w:firstLine="720"/>
        <w:jc w:val="both"/>
        <w:rPr>
          <w:rFonts w:ascii="Arial" w:eastAsia="Calibri" w:hAnsi="Arial" w:cs="Arial"/>
          <w:noProof/>
          <w:lang w:eastAsia="en-GB"/>
        </w:rPr>
      </w:pPr>
      <w:r w:rsidRPr="00FA4992">
        <w:rPr>
          <w:rFonts w:ascii="Arial" w:eastAsia="Calibri" w:hAnsi="Arial" w:cs="Arial"/>
          <w:noProof/>
          <w:lang w:eastAsia="en-GB"/>
        </w:rPr>
        <w:t xml:space="preserve">Ineffective  communication may lead to serious health and social care implications. In the case of Mrs Mann, the failure to change medication resulted because of the uneven reporting and misunderstanding of care staff and the GP, which indicates the existence of the risk of a communication breakdown. Avoiding errors and promoting the safety and well-being of service users requires active listening, offering a chance to receive feedback, and confirming the understanding (Guppy </w:t>
      </w:r>
      <w:r w:rsidRPr="00FA4992">
        <w:rPr>
          <w:rFonts w:ascii="Arial" w:eastAsia="Calibri" w:hAnsi="Arial" w:cs="Arial"/>
          <w:i/>
          <w:iCs/>
          <w:noProof/>
          <w:lang w:eastAsia="en-GB"/>
        </w:rPr>
        <w:t>et al.,</w:t>
      </w:r>
      <w:r w:rsidRPr="00FA4992">
        <w:rPr>
          <w:rFonts w:ascii="Arial" w:eastAsia="Calibri" w:hAnsi="Arial" w:cs="Arial"/>
          <w:noProof/>
          <w:lang w:eastAsia="en-GB"/>
        </w:rPr>
        <w:t xml:space="preserve"> 2024). The frameworks, like SMCR presented by Berlo, and compliance with the legal framework and the principles of good practise contributes to the clarity, accuracy, and timeliness of communication that helps to build trust and cooperation amongst the service users, families, and health professionals.</w:t>
      </w:r>
    </w:p>
    <w:p w14:paraId="6200A11E" w14:textId="77777777" w:rsidR="00FA4992" w:rsidRPr="00FA4992" w:rsidRDefault="00FA4992" w:rsidP="00FA4992">
      <w:pPr>
        <w:keepNext/>
        <w:keepLines/>
        <w:spacing w:before="240" w:after="0" w:line="360" w:lineRule="auto"/>
        <w:outlineLvl w:val="0"/>
        <w:rPr>
          <w:rFonts w:ascii="Arial" w:eastAsia="Times New Roman" w:hAnsi="Arial" w:cs="Arial"/>
          <w:b/>
          <w:iCs/>
          <w:noProof/>
          <w:color w:val="000000"/>
        </w:rPr>
      </w:pPr>
      <w:bookmarkStart w:id="2" w:name="_Toc216126135"/>
      <w:r w:rsidRPr="00FA4992">
        <w:rPr>
          <w:rFonts w:ascii="Arial" w:eastAsia="Times New Roman" w:hAnsi="Arial" w:cs="Arial"/>
          <w:b/>
          <w:iCs/>
          <w:noProof/>
          <w:color w:val="000000"/>
        </w:rPr>
        <w:t>Adminstrative Working Skills in Record-Keeping</w:t>
      </w:r>
      <w:bookmarkEnd w:id="2"/>
    </w:p>
    <w:p w14:paraId="4D31DA3C"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tab/>
        <w:t>The administrative expertise is a very essential aspect of professional practise in health and social care because service users such as Mrs Mann get safe, timely, and coordinated support. Administrative duties in her case involve making arrangements in the form of domiciliary visits, physiotherapy sessions, and medication schedules after her hip replacement surgery (Alert, 2017). Care continuity, minimization of errors, and compliance with care policies and protocols can be achieved by planning and organisation of care activities by health and social care workers. Effective administrative practise is the key that all the team members, such as the GP, physiotherapist, and the staff of care agency know about the current health condition and the care needs of Mrs Mann (Sharkiya, 2023).</w:t>
      </w:r>
    </w:p>
    <w:p w14:paraId="0C8DFD93" w14:textId="77777777" w:rsidR="00FA4992" w:rsidRPr="00FA4992" w:rsidRDefault="00FA4992" w:rsidP="00FA4992">
      <w:pPr>
        <w:spacing w:before="120" w:after="120" w:line="360" w:lineRule="auto"/>
        <w:jc w:val="both"/>
        <w:rPr>
          <w:rFonts w:ascii="Arial" w:eastAsia="Calibri" w:hAnsi="Arial" w:cs="Arial"/>
          <w:noProof/>
          <w:lang w:eastAsia="en-GB"/>
        </w:rPr>
      </w:pPr>
    </w:p>
    <w:p w14:paraId="3E45B8B5" w14:textId="77777777" w:rsidR="00FA4992" w:rsidRPr="00FA4992" w:rsidRDefault="00FA4992" w:rsidP="00FA4992">
      <w:pPr>
        <w:spacing w:before="120" w:after="120" w:line="360" w:lineRule="auto"/>
        <w:jc w:val="both"/>
        <w:rPr>
          <w:rFonts w:ascii="Arial" w:eastAsia="Calibri" w:hAnsi="Arial" w:cs="Arial"/>
          <w:noProof/>
          <w:lang w:eastAsia="en-GB"/>
        </w:rPr>
      </w:pPr>
    </w:p>
    <w:p w14:paraId="13CBDC76"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tab/>
        <w:t xml:space="preserve">Quality care is based on accurate and complete record keeping. Keeping current records, such as daily care records, medication records, and rehabilitation records will allow each professional involved to track the progress of Mrs Mann and react in time to any changes in her condition. Conformance to the Data Protection Act 2018 implies that personal, health information is kept safely, only shared with the authorised personnel and is treated confidentially, keeping in mind the privacy and legal rights of Mrs Mann (Rumbold and Pierscionek, 2017). The recent internal audit of her records indicates the dangers of irregular documentation and shows how the failures of record-keeping can result in the delayed use of </w:t>
      </w:r>
      <w:r w:rsidRPr="00FA4992">
        <w:rPr>
          <w:rFonts w:ascii="Arial" w:eastAsia="Calibri" w:hAnsi="Arial" w:cs="Arial"/>
          <w:noProof/>
          <w:lang w:eastAsia="en-GB"/>
        </w:rPr>
        <w:lastRenderedPageBreak/>
        <w:t>medication and undermine patient safety ultimately (Fjellså, Husebø and Storm, 2022). Administrative practises help in achieving effective accountable care delivery by adhering to professional standards, and using secure and structured systems of records.</w:t>
      </w:r>
    </w:p>
    <w:p w14:paraId="0ED55324"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tab/>
        <w:t xml:space="preserve">Health and social care administrative practise is governed by a number of policies and laws. The NHS guidelines, local authority protocols, and professional standards have offered clear expectations on record-keeping, reporting and inter-professional communication. Accurate data capture, minimization of the chances of errors, and audit and review procedures that support accountability can be achieved through the use of electronic care records (ECR). These systems make sure that every employee understands his or her duties, continues high standards of practise, and adheres to legal and ethical requirements (Dijkstra </w:t>
      </w:r>
      <w:r w:rsidRPr="00FA4992">
        <w:rPr>
          <w:rFonts w:ascii="Arial" w:eastAsia="Calibri" w:hAnsi="Arial" w:cs="Arial"/>
          <w:i/>
          <w:iCs/>
          <w:noProof/>
          <w:lang w:eastAsia="en-GB"/>
        </w:rPr>
        <w:t>et al.,</w:t>
      </w:r>
      <w:r w:rsidRPr="00FA4992">
        <w:rPr>
          <w:rFonts w:ascii="Arial" w:eastAsia="Calibri" w:hAnsi="Arial" w:cs="Arial"/>
          <w:noProof/>
          <w:lang w:eastAsia="en-GB"/>
        </w:rPr>
        <w:t xml:space="preserve"> 2022). </w:t>
      </w:r>
    </w:p>
    <w:p w14:paraId="28E34F5E" w14:textId="77777777" w:rsidR="00FA4992" w:rsidRPr="00FA4992" w:rsidRDefault="00FA4992" w:rsidP="00FA4992">
      <w:pPr>
        <w:spacing w:before="120" w:after="120" w:line="360" w:lineRule="auto"/>
        <w:jc w:val="both"/>
        <w:rPr>
          <w:rFonts w:ascii="Arial" w:eastAsia="Calibri" w:hAnsi="Arial" w:cs="Arial"/>
          <w:noProof/>
        </w:rPr>
      </w:pPr>
      <w:r w:rsidRPr="00FA4992">
        <w:rPr>
          <w:rFonts w:ascii="Arial" w:eastAsia="Calibri" w:hAnsi="Arial" w:cs="Arial"/>
          <w:noProof/>
        </w:rPr>
        <w:tab/>
        <w:t xml:space="preserve">Administrative practise that is ineffective may influence the quality and safety of care given to patients greatly. As an example, the records may be incorrect, or the care staff mistakenly communicates, which can lead to delayed medication or missed rehabilitation sessions. The focus on accountability, frequent monitoring, and reflective practises will enable professionals to determine areas of weaknesses and apply better practises and maintain high service delivery standards (Kaiser </w:t>
      </w:r>
      <w:r w:rsidRPr="00FA4992">
        <w:rPr>
          <w:rFonts w:ascii="Arial" w:eastAsia="Calibri" w:hAnsi="Arial" w:cs="Arial"/>
          <w:i/>
          <w:iCs/>
          <w:noProof/>
        </w:rPr>
        <w:t>et al.,</w:t>
      </w:r>
      <w:r w:rsidRPr="00FA4992">
        <w:rPr>
          <w:rFonts w:ascii="Arial" w:eastAsia="Calibri" w:hAnsi="Arial" w:cs="Arial"/>
          <w:noProof/>
        </w:rPr>
        <w:t xml:space="preserve"> 2022). </w:t>
      </w:r>
    </w:p>
    <w:p w14:paraId="336880F9" w14:textId="77777777" w:rsidR="00FA4992" w:rsidRPr="00FA4992" w:rsidRDefault="00FA4992" w:rsidP="00FA4992">
      <w:pPr>
        <w:keepNext/>
        <w:keepLines/>
        <w:spacing w:before="240" w:after="0" w:line="360" w:lineRule="auto"/>
        <w:outlineLvl w:val="0"/>
        <w:rPr>
          <w:rFonts w:ascii="Arial" w:eastAsia="Times New Roman" w:hAnsi="Arial" w:cs="Arial"/>
          <w:b/>
          <w:iCs/>
          <w:noProof/>
          <w:color w:val="000000"/>
        </w:rPr>
      </w:pPr>
      <w:bookmarkStart w:id="3" w:name="_Toc216126136"/>
      <w:r w:rsidRPr="00FA4992">
        <w:rPr>
          <w:rFonts w:ascii="Arial" w:eastAsia="Times New Roman" w:hAnsi="Arial" w:cs="Arial"/>
          <w:b/>
          <w:iCs/>
          <w:noProof/>
          <w:color w:val="000000"/>
        </w:rPr>
        <w:t>Partnership  Working</w:t>
      </w:r>
      <w:bookmarkEnd w:id="3"/>
      <w:r w:rsidRPr="00FA4992">
        <w:rPr>
          <w:rFonts w:ascii="Arial" w:eastAsia="Times New Roman" w:hAnsi="Arial" w:cs="Arial"/>
          <w:b/>
          <w:iCs/>
          <w:noProof/>
          <w:color w:val="000000"/>
        </w:rPr>
        <w:t xml:space="preserve"> </w:t>
      </w:r>
    </w:p>
    <w:p w14:paraId="4B28904C" w14:textId="77777777" w:rsidR="00FA4992" w:rsidRPr="00FA4992" w:rsidRDefault="00FA4992" w:rsidP="00FA4992">
      <w:pPr>
        <w:spacing w:before="120" w:after="120" w:line="360" w:lineRule="auto"/>
        <w:jc w:val="both"/>
        <w:rPr>
          <w:rFonts w:ascii="Arial" w:eastAsia="Calibri" w:hAnsi="Arial" w:cs="Arial"/>
          <w:noProof/>
        </w:rPr>
      </w:pPr>
      <w:r w:rsidRPr="00FA4992">
        <w:rPr>
          <w:rFonts w:ascii="Arial" w:eastAsia="Calibri" w:hAnsi="Arial" w:cs="Arial"/>
          <w:noProof/>
        </w:rPr>
        <w:tab/>
        <w:t xml:space="preserve">The teamwork component is critical towards providing quality and person-centred care to service users such as Mrs Mann. Since her hip replacement has been done recently, she is living alone, and she needs domiciliary care, so it is important to coordinate her GP, community physiotherapist, care agency staff, and her family members. The collaboration between agencies will provide continuity of care, minimise the possibility of errors, and encourage a holistic approach that will meet her physical, emotional, and social needs (Mobasseri </w:t>
      </w:r>
      <w:r w:rsidRPr="00FA4992">
        <w:rPr>
          <w:rFonts w:ascii="Arial" w:eastAsia="Calibri" w:hAnsi="Arial" w:cs="Arial"/>
          <w:i/>
          <w:iCs/>
          <w:noProof/>
        </w:rPr>
        <w:t>et al,</w:t>
      </w:r>
      <w:r w:rsidRPr="00FA4992">
        <w:rPr>
          <w:rFonts w:ascii="Arial" w:eastAsia="Calibri" w:hAnsi="Arial" w:cs="Arial"/>
          <w:noProof/>
        </w:rPr>
        <w:t>2024). The collaboration will allow the team to track her rehabilitation progress, modify care plans, and react timely to the changes in her condition, thus improving the results and ensuring her safety and well-being.</w:t>
      </w:r>
    </w:p>
    <w:p w14:paraId="6E348428"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tab/>
        <w:t xml:space="preserve">In order to attain effective collaborative practise, health and social care practitioners use systematic strategies, including regular multidisciplinary meetings, frequent updates on the plan of care, and common communication channels. Well established roles, duties and professional boundaries enable each member of the team to bring forth his expertise and to prevent unnecessary duplication of efforts (Tiwary </w:t>
      </w:r>
      <w:r w:rsidRPr="00FA4992">
        <w:rPr>
          <w:rFonts w:ascii="Arial" w:eastAsia="Calibri" w:hAnsi="Arial" w:cs="Arial"/>
          <w:i/>
          <w:iCs/>
          <w:noProof/>
          <w:lang w:eastAsia="en-GB"/>
        </w:rPr>
        <w:t>et al</w:t>
      </w:r>
      <w:r w:rsidRPr="00FA4992">
        <w:rPr>
          <w:rFonts w:ascii="Arial" w:eastAsia="Calibri" w:hAnsi="Arial" w:cs="Arial"/>
          <w:noProof/>
          <w:lang w:eastAsia="en-GB"/>
        </w:rPr>
        <w:t>., 2019). The use of an interpreter as the daughter in the case of Mrs Mann also enhances coordination and gives the information proper presentation of the concepts described in the communication model by Berlo.</w:t>
      </w:r>
    </w:p>
    <w:p w14:paraId="6FBED67C"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lastRenderedPageBreak/>
        <w:tab/>
        <w:t xml:space="preserve">Although there are advantages, collaborative working may encounter issues such as communication difficulties, time differences, and divergent professional visions. Some ways of beating them are planned handovers, use of electronic record sharing systems, inter-professional respect and shared problem solving. The timely prevention of possible complications that may arise and their timely elimination can keep the team coherent and eliminate negative consequences, including the delay in changing medication mentioned earlier (Guppy </w:t>
      </w:r>
      <w:r w:rsidRPr="00FA4992">
        <w:rPr>
          <w:rFonts w:ascii="Arial" w:eastAsia="Calibri" w:hAnsi="Arial" w:cs="Arial"/>
          <w:i/>
          <w:iCs/>
          <w:noProof/>
          <w:lang w:eastAsia="en-GB"/>
        </w:rPr>
        <w:t>et al.,</w:t>
      </w:r>
      <w:r w:rsidRPr="00FA4992">
        <w:rPr>
          <w:rFonts w:ascii="Arial" w:eastAsia="Calibri" w:hAnsi="Arial" w:cs="Arial"/>
          <w:noProof/>
          <w:lang w:eastAsia="en-GB"/>
        </w:rPr>
        <w:t xml:space="preserve"> 2024). Through developing a culture of collaboration, shared responsibility, and sustained communication professionals may be able to provide Mrs Mann with coordinated, safe, and effective care based on her needs.</w:t>
      </w:r>
    </w:p>
    <w:p w14:paraId="073738E1" w14:textId="77777777" w:rsidR="00FA4992" w:rsidRPr="00FA4992" w:rsidRDefault="00FA4992" w:rsidP="00FA4992">
      <w:pPr>
        <w:keepNext/>
        <w:keepLines/>
        <w:spacing w:before="240" w:after="0" w:line="360" w:lineRule="auto"/>
        <w:outlineLvl w:val="0"/>
        <w:rPr>
          <w:rFonts w:ascii="Arial" w:eastAsia="Times New Roman" w:hAnsi="Arial" w:cs="Arial"/>
          <w:b/>
          <w:iCs/>
          <w:noProof/>
          <w:color w:val="000000"/>
          <w:lang w:eastAsia="en-GB"/>
        </w:rPr>
      </w:pPr>
      <w:bookmarkStart w:id="4" w:name="_Toc216126137"/>
      <w:r w:rsidRPr="00FA4992">
        <w:rPr>
          <w:rFonts w:ascii="Arial" w:eastAsia="Times New Roman" w:hAnsi="Arial" w:cs="Arial"/>
          <w:b/>
          <w:iCs/>
          <w:noProof/>
          <w:color w:val="000000"/>
          <w:lang w:eastAsia="en-GB"/>
        </w:rPr>
        <w:t>Conclusion</w:t>
      </w:r>
      <w:bookmarkEnd w:id="4"/>
    </w:p>
    <w:p w14:paraId="6C8DBD84" w14:textId="77777777" w:rsidR="00FA4992" w:rsidRPr="00FA4992" w:rsidRDefault="00FA4992" w:rsidP="00FA4992">
      <w:pPr>
        <w:spacing w:before="120" w:after="120" w:line="360" w:lineRule="auto"/>
        <w:jc w:val="both"/>
        <w:rPr>
          <w:rFonts w:ascii="Arial" w:eastAsia="Calibri" w:hAnsi="Arial" w:cs="Arial"/>
          <w:noProof/>
          <w:lang w:eastAsia="en-GB"/>
        </w:rPr>
      </w:pPr>
      <w:r w:rsidRPr="00FA4992">
        <w:rPr>
          <w:rFonts w:ascii="Arial" w:eastAsia="Calibri" w:hAnsi="Arial" w:cs="Arial"/>
          <w:noProof/>
          <w:lang w:eastAsia="en-GB"/>
        </w:rPr>
        <w:tab/>
        <w:t xml:space="preserve">In conclusion, the case of Mrs Mann identifies the necessity of effective communication, proper administrative capabilities, and teamwork working as essential resources in providing high-quality, safe, and person-centred care. The application of the SMCR model created by Berlo serves to illustrate how effective, clear, and well-organised communication of individuals belonging to health care, social care, service users, and family members can eliminate language barriers, misunderstandings, and make care-related instructions accepted and adhered to. It is associated with continuity of care, accountability and patient safety which are supported by accurate record-keeping and good administrative practises, based on the Data Protection Act 2018 and professional standards as observed in the internal review in response to a discrepancy in documentation. A holistic and integrated approach to the risks and enhancing the rehabilitation process is promoted by collaborative work between the GP, physiotherapist, care agency staff and the family of Mrs Mann. </w:t>
      </w:r>
      <w:r w:rsidRPr="00FA4992">
        <w:rPr>
          <w:rFonts w:ascii="Arial" w:eastAsia="Calibri" w:hAnsi="Arial" w:cs="Arial"/>
          <w:noProof/>
          <w:lang w:eastAsia="en-GB"/>
        </w:rPr>
        <w:br w:type="page"/>
      </w:r>
    </w:p>
    <w:p w14:paraId="14AC707C" w14:textId="6192F6E6" w:rsidR="00FA4992" w:rsidRPr="00FA4992" w:rsidRDefault="00FA4992" w:rsidP="00FA4992">
      <w:pPr>
        <w:keepNext/>
        <w:keepLines/>
        <w:spacing w:before="240" w:after="0" w:line="360" w:lineRule="auto"/>
        <w:outlineLvl w:val="0"/>
        <w:rPr>
          <w:rFonts w:ascii="Arial" w:eastAsia="Times New Roman" w:hAnsi="Arial" w:cs="Arial"/>
          <w:b/>
          <w:iCs/>
          <w:noProof/>
          <w:color w:val="000000"/>
          <w:sz w:val="24"/>
          <w:szCs w:val="24"/>
          <w:lang w:eastAsia="en-GB"/>
        </w:rPr>
      </w:pPr>
      <w:bookmarkStart w:id="5" w:name="_Toc216126138"/>
      <w:r w:rsidRPr="00FA4992">
        <w:rPr>
          <w:rFonts w:ascii="Arial" w:eastAsia="Times New Roman" w:hAnsi="Arial" w:cs="Arial"/>
          <w:b/>
          <w:iCs/>
          <w:noProof/>
          <w:color w:val="000000"/>
          <w:sz w:val="24"/>
          <w:szCs w:val="24"/>
          <w:lang w:eastAsia="en-GB"/>
        </w:rPr>
        <w:lastRenderedPageBreak/>
        <w:t>References</w:t>
      </w:r>
      <w:bookmarkEnd w:id="5"/>
      <w:r w:rsidR="00F749B7">
        <w:rPr>
          <w:rFonts w:ascii="Arial" w:eastAsia="Times New Roman" w:hAnsi="Arial" w:cs="Arial"/>
          <w:b/>
          <w:iCs/>
          <w:noProof/>
          <w:color w:val="000000"/>
          <w:sz w:val="24"/>
          <w:szCs w:val="24"/>
          <w:lang w:eastAsia="en-GB"/>
        </w:rPr>
        <w:t>:</w:t>
      </w:r>
    </w:p>
    <w:p w14:paraId="3663FE85"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lang w:val="fr-FR"/>
        </w:rPr>
      </w:pPr>
      <w:r w:rsidRPr="00FA4992">
        <w:rPr>
          <w:rFonts w:ascii="Arial" w:eastAsia="Calibri" w:hAnsi="Arial" w:cs="Arial"/>
          <w:noProof/>
          <w:color w:val="222222"/>
          <w:shd w:val="clear" w:color="auto" w:fill="FFFFFF"/>
        </w:rPr>
        <w:t>Alert, S.E., 2017. Inadequate hand-off communication. </w:t>
      </w:r>
      <w:r w:rsidRPr="00FA4992">
        <w:rPr>
          <w:rFonts w:ascii="Arial" w:eastAsia="Calibri" w:hAnsi="Arial" w:cs="Arial"/>
          <w:i/>
          <w:iCs/>
          <w:noProof/>
          <w:color w:val="222222"/>
          <w:shd w:val="clear" w:color="auto" w:fill="FFFFFF"/>
          <w:lang w:val="fr-FR"/>
        </w:rPr>
        <w:t>Sentinel event alert</w:t>
      </w:r>
      <w:r w:rsidRPr="00FA4992">
        <w:rPr>
          <w:rFonts w:ascii="Arial" w:eastAsia="Calibri" w:hAnsi="Arial" w:cs="Arial"/>
          <w:noProof/>
          <w:color w:val="222222"/>
          <w:shd w:val="clear" w:color="auto" w:fill="FFFFFF"/>
          <w:lang w:val="fr-FR"/>
        </w:rPr>
        <w:t>, </w:t>
      </w:r>
      <w:r w:rsidRPr="00FA4992">
        <w:rPr>
          <w:rFonts w:ascii="Arial" w:eastAsia="Calibri" w:hAnsi="Arial" w:cs="Arial"/>
          <w:i/>
          <w:iCs/>
          <w:noProof/>
          <w:color w:val="222222"/>
          <w:shd w:val="clear" w:color="auto" w:fill="FFFFFF"/>
          <w:lang w:val="fr-FR"/>
        </w:rPr>
        <w:t>58</w:t>
      </w:r>
      <w:r w:rsidRPr="00FA4992">
        <w:rPr>
          <w:rFonts w:ascii="Arial" w:eastAsia="Calibri" w:hAnsi="Arial" w:cs="Arial"/>
          <w:noProof/>
          <w:color w:val="222222"/>
          <w:shd w:val="clear" w:color="auto" w:fill="FFFFFF"/>
          <w:lang w:val="fr-FR"/>
        </w:rPr>
        <w:t>(1), p.6.</w:t>
      </w:r>
      <w:r w:rsidRPr="00FA4992">
        <w:rPr>
          <w:rFonts w:ascii="Arial" w:eastAsia="Calibri" w:hAnsi="Arial" w:cs="Arial"/>
          <w:noProof/>
          <w:lang w:val="fr-FR"/>
        </w:rPr>
        <w:t xml:space="preserve"> </w:t>
      </w:r>
      <w:hyperlink r:id="rId12" w:history="1">
        <w:r w:rsidRPr="00FA4992">
          <w:rPr>
            <w:rFonts w:ascii="Arial" w:eastAsia="Calibri" w:hAnsi="Arial" w:cs="Arial"/>
            <w:noProof/>
            <w:color w:val="0563C1"/>
            <w:u w:val="single"/>
            <w:shd w:val="clear" w:color="auto" w:fill="FFFFFF"/>
            <w:lang w:val="fr-FR"/>
          </w:rPr>
          <w:t>https://www.seguridadpaciente.es/wp-content/uploads/2020/09/SEA_58_Hand_off_Comms_9_6_17_FINAL_1.pdf</w:t>
        </w:r>
      </w:hyperlink>
    </w:p>
    <w:p w14:paraId="3527F402"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lang w:val="fr-FR"/>
        </w:rPr>
        <w:t xml:space="preserve">Cam, H., Wennlöf, B., Gillespie, U., Franzon, K., Nielsen, E.I., Ling, M., Lindner, K.J., Kempen, T.G.H. and Kälvemark Sporrong, S., 2023. </w:t>
      </w:r>
      <w:r w:rsidRPr="00FA4992">
        <w:rPr>
          <w:rFonts w:ascii="Arial" w:eastAsia="Calibri" w:hAnsi="Arial" w:cs="Arial"/>
          <w:noProof/>
          <w:color w:val="222222"/>
          <w:shd w:val="clear" w:color="auto" w:fill="FFFFFF"/>
        </w:rPr>
        <w:t>The complexities of communication at hospital discharge of older patients: a qualitative study of healthcare professionals’ views. </w:t>
      </w:r>
      <w:r w:rsidRPr="00FA4992">
        <w:rPr>
          <w:rFonts w:ascii="Arial" w:eastAsia="Calibri" w:hAnsi="Arial" w:cs="Arial"/>
          <w:i/>
          <w:iCs/>
          <w:noProof/>
          <w:color w:val="222222"/>
          <w:shd w:val="clear" w:color="auto" w:fill="FFFFFF"/>
        </w:rPr>
        <w:t>BMC health services research</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23</w:t>
      </w:r>
      <w:r w:rsidRPr="00FA4992">
        <w:rPr>
          <w:rFonts w:ascii="Arial" w:eastAsia="Calibri" w:hAnsi="Arial" w:cs="Arial"/>
          <w:noProof/>
          <w:color w:val="222222"/>
          <w:shd w:val="clear" w:color="auto" w:fill="FFFFFF"/>
        </w:rPr>
        <w:t xml:space="preserve">(1), p.1211. </w:t>
      </w:r>
      <w:hyperlink r:id="rId13" w:history="1">
        <w:r w:rsidRPr="00FA4992">
          <w:rPr>
            <w:rFonts w:ascii="Arial" w:eastAsia="Calibri" w:hAnsi="Arial" w:cs="Arial"/>
            <w:noProof/>
            <w:color w:val="0563C1"/>
            <w:u w:val="single"/>
            <w:shd w:val="clear" w:color="auto" w:fill="FFFFFF"/>
          </w:rPr>
          <w:t>https://doi.org/10.1186/s12913-023-10192-5</w:t>
        </w:r>
      </w:hyperlink>
    </w:p>
    <w:p w14:paraId="58C8B356"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Dijkstra, N.E., Sino, C.G., Schoonhoven, L., Verdoorn, S., Bouvy, M.L. and Heerdink, E.R., 2022. Home care nurses’ perceptions about their role in interprofessional collaborative practice in clinical medication reviews. </w:t>
      </w:r>
      <w:r w:rsidRPr="00FA4992">
        <w:rPr>
          <w:rFonts w:ascii="Arial" w:eastAsia="Calibri" w:hAnsi="Arial" w:cs="Arial"/>
          <w:i/>
          <w:iCs/>
          <w:noProof/>
          <w:color w:val="222222"/>
          <w:shd w:val="clear" w:color="auto" w:fill="FFFFFF"/>
        </w:rPr>
        <w:t>Journal of Interprofessional Education &amp; Practice</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28</w:t>
      </w:r>
      <w:r w:rsidRPr="00FA4992">
        <w:rPr>
          <w:rFonts w:ascii="Arial" w:eastAsia="Calibri" w:hAnsi="Arial" w:cs="Arial"/>
          <w:noProof/>
          <w:color w:val="222222"/>
          <w:shd w:val="clear" w:color="auto" w:fill="FFFFFF"/>
        </w:rPr>
        <w:t>, p.100526.</w:t>
      </w:r>
      <w:r w:rsidRPr="00FA4992">
        <w:rPr>
          <w:rFonts w:ascii="Arial" w:eastAsia="Calibri" w:hAnsi="Arial" w:cs="Arial"/>
          <w:noProof/>
        </w:rPr>
        <w:t xml:space="preserve"> </w:t>
      </w:r>
      <w:hyperlink r:id="rId14" w:history="1">
        <w:r w:rsidRPr="00FA4992">
          <w:rPr>
            <w:rFonts w:ascii="Arial" w:eastAsia="Calibri" w:hAnsi="Arial" w:cs="Arial"/>
            <w:noProof/>
            <w:color w:val="0563C1"/>
            <w:u w:val="single"/>
            <w:shd w:val="clear" w:color="auto" w:fill="FFFFFF"/>
          </w:rPr>
          <w:t>https://doi.org/10.1016/j.xjep.2022.100526</w:t>
        </w:r>
      </w:hyperlink>
    </w:p>
    <w:p w14:paraId="2694D671"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Fjellså, H.M.H., Husebø, A.M.L. and Storm, M., 2022. eHealth in care coordination for older adults living at home: scoping review. </w:t>
      </w:r>
      <w:r w:rsidRPr="00FA4992">
        <w:rPr>
          <w:rFonts w:ascii="Arial" w:eastAsia="Calibri" w:hAnsi="Arial" w:cs="Arial"/>
          <w:i/>
          <w:iCs/>
          <w:noProof/>
          <w:color w:val="222222"/>
          <w:shd w:val="clear" w:color="auto" w:fill="FFFFFF"/>
        </w:rPr>
        <w:t>Journal of medical Internet research</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24</w:t>
      </w:r>
      <w:r w:rsidRPr="00FA4992">
        <w:rPr>
          <w:rFonts w:ascii="Arial" w:eastAsia="Calibri" w:hAnsi="Arial" w:cs="Arial"/>
          <w:noProof/>
          <w:color w:val="222222"/>
          <w:shd w:val="clear" w:color="auto" w:fill="FFFFFF"/>
        </w:rPr>
        <w:t>(10), p.e39584.</w:t>
      </w:r>
      <w:r w:rsidRPr="00FA4992">
        <w:rPr>
          <w:rFonts w:ascii="Arial" w:eastAsia="Calibri" w:hAnsi="Arial" w:cs="Arial"/>
          <w:noProof/>
        </w:rPr>
        <w:t xml:space="preserve"> </w:t>
      </w:r>
      <w:r w:rsidRPr="00FA4992">
        <w:rPr>
          <w:rFonts w:ascii="Arial" w:eastAsia="Calibri" w:hAnsi="Arial" w:cs="Arial"/>
          <w:noProof/>
          <w:color w:val="222222"/>
          <w:shd w:val="clear" w:color="auto" w:fill="FFFFFF"/>
        </w:rPr>
        <w:t xml:space="preserve">doi: </w:t>
      </w:r>
      <w:hyperlink r:id="rId15" w:history="1">
        <w:r w:rsidRPr="00FA4992">
          <w:rPr>
            <w:rFonts w:ascii="Arial" w:eastAsia="Calibri" w:hAnsi="Arial" w:cs="Arial"/>
            <w:noProof/>
            <w:color w:val="0563C1"/>
            <w:u w:val="single"/>
            <w:shd w:val="clear" w:color="auto" w:fill="FFFFFF"/>
          </w:rPr>
          <w:t>https://10.2196/39584</w:t>
        </w:r>
      </w:hyperlink>
    </w:p>
    <w:p w14:paraId="36F36B9E"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Guppy, J.H., Widlund, H., Munro, R. and Price, J., 2024. Incivility in healthcare: the impact of poor communication. </w:t>
      </w:r>
      <w:r w:rsidRPr="00FA4992">
        <w:rPr>
          <w:rFonts w:ascii="Arial" w:eastAsia="Calibri" w:hAnsi="Arial" w:cs="Arial"/>
          <w:i/>
          <w:iCs/>
          <w:noProof/>
          <w:color w:val="222222"/>
          <w:shd w:val="clear" w:color="auto" w:fill="FFFFFF"/>
        </w:rPr>
        <w:t>BMJ leader</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8</w:t>
      </w:r>
      <w:r w:rsidRPr="00FA4992">
        <w:rPr>
          <w:rFonts w:ascii="Arial" w:eastAsia="Calibri" w:hAnsi="Arial" w:cs="Arial"/>
          <w:noProof/>
          <w:color w:val="222222"/>
          <w:shd w:val="clear" w:color="auto" w:fill="FFFFFF"/>
        </w:rPr>
        <w:t>(1).</w:t>
      </w:r>
      <w:r w:rsidRPr="00FA4992">
        <w:rPr>
          <w:rFonts w:ascii="Arial" w:eastAsia="Calibri" w:hAnsi="Arial" w:cs="Arial"/>
          <w:noProof/>
        </w:rPr>
        <w:t xml:space="preserve"> </w:t>
      </w:r>
      <w:hyperlink r:id="rId16" w:history="1">
        <w:r w:rsidRPr="00FA4992">
          <w:rPr>
            <w:rFonts w:ascii="Arial" w:eastAsia="Calibri" w:hAnsi="Arial" w:cs="Arial"/>
            <w:noProof/>
            <w:color w:val="0563C1"/>
            <w:u w:val="single"/>
            <w:shd w:val="clear" w:color="auto" w:fill="FFFFFF"/>
          </w:rPr>
          <w:t>https://doi.org/10.1136/leader-2022-000717</w:t>
        </w:r>
      </w:hyperlink>
    </w:p>
    <w:p w14:paraId="57BAF43F" w14:textId="77777777" w:rsidR="00FA4992" w:rsidRPr="00FA4992" w:rsidRDefault="00FA4992" w:rsidP="0039679E">
      <w:pPr>
        <w:spacing w:before="120" w:after="120" w:line="360" w:lineRule="auto"/>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Mobasseri, K., Allahverdipour, H., Matlabi, H. and Kousha, A., 2024. Experiences regarding home care for older adults from the viewpoint of family, paid caregivers, nurses, and experts: a qualitative study. </w:t>
      </w:r>
      <w:r w:rsidRPr="00FA4992">
        <w:rPr>
          <w:rFonts w:ascii="Arial" w:eastAsia="Calibri" w:hAnsi="Arial" w:cs="Arial"/>
          <w:i/>
          <w:iCs/>
          <w:noProof/>
          <w:color w:val="222222"/>
          <w:shd w:val="clear" w:color="auto" w:fill="FFFFFF"/>
        </w:rPr>
        <w:t>Health &amp; Social Care in the Community</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2024</w:t>
      </w:r>
      <w:r w:rsidRPr="00FA4992">
        <w:rPr>
          <w:rFonts w:ascii="Arial" w:eastAsia="Calibri" w:hAnsi="Arial" w:cs="Arial"/>
          <w:noProof/>
          <w:color w:val="222222"/>
          <w:shd w:val="clear" w:color="auto" w:fill="FFFFFF"/>
        </w:rPr>
        <w:t>(1), p.4591881.</w:t>
      </w:r>
      <w:r w:rsidRPr="00FA4992">
        <w:rPr>
          <w:rFonts w:ascii="Arial" w:eastAsia="Calibri" w:hAnsi="Arial" w:cs="Arial"/>
          <w:noProof/>
        </w:rPr>
        <w:t xml:space="preserve"> </w:t>
      </w:r>
      <w:hyperlink r:id="rId17" w:history="1">
        <w:r w:rsidRPr="00FA4992">
          <w:rPr>
            <w:rFonts w:ascii="Arial" w:eastAsia="Calibri" w:hAnsi="Arial" w:cs="Arial"/>
            <w:noProof/>
            <w:color w:val="0563C1"/>
            <w:u w:val="single"/>
            <w:shd w:val="clear" w:color="auto" w:fill="FFFFFF"/>
          </w:rPr>
          <w:t>https://doi.org/10.1155/2024/4591881</w:t>
        </w:r>
      </w:hyperlink>
    </w:p>
    <w:p w14:paraId="3A38F086"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Rumbold, J.M.M. and Pierscionek, B., 2017. The effect of the general data protection regulation on medical research. </w:t>
      </w:r>
      <w:r w:rsidRPr="00FA4992">
        <w:rPr>
          <w:rFonts w:ascii="Arial" w:eastAsia="Calibri" w:hAnsi="Arial" w:cs="Arial"/>
          <w:i/>
          <w:iCs/>
          <w:noProof/>
          <w:color w:val="222222"/>
          <w:shd w:val="clear" w:color="auto" w:fill="FFFFFF"/>
        </w:rPr>
        <w:t>Journal of medical Internet research</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19</w:t>
      </w:r>
      <w:r w:rsidRPr="00FA4992">
        <w:rPr>
          <w:rFonts w:ascii="Arial" w:eastAsia="Calibri" w:hAnsi="Arial" w:cs="Arial"/>
          <w:noProof/>
          <w:color w:val="222222"/>
          <w:shd w:val="clear" w:color="auto" w:fill="FFFFFF"/>
        </w:rPr>
        <w:t>(2), p.e47.</w:t>
      </w:r>
      <w:r w:rsidRPr="00FA4992">
        <w:rPr>
          <w:rFonts w:ascii="Arial" w:eastAsia="Calibri" w:hAnsi="Arial" w:cs="Arial"/>
          <w:noProof/>
        </w:rPr>
        <w:t xml:space="preserve"> </w:t>
      </w:r>
      <w:r w:rsidRPr="00FA4992">
        <w:rPr>
          <w:rFonts w:ascii="Arial" w:eastAsia="Calibri" w:hAnsi="Arial" w:cs="Arial"/>
          <w:noProof/>
          <w:color w:val="222222"/>
          <w:shd w:val="clear" w:color="auto" w:fill="FFFFFF"/>
        </w:rPr>
        <w:t xml:space="preserve">doi: </w:t>
      </w:r>
      <w:hyperlink r:id="rId18" w:history="1">
        <w:r w:rsidRPr="00FA4992">
          <w:rPr>
            <w:rFonts w:ascii="Arial" w:eastAsia="Calibri" w:hAnsi="Arial" w:cs="Arial"/>
            <w:noProof/>
            <w:color w:val="0563C1"/>
            <w:u w:val="single"/>
            <w:shd w:val="clear" w:color="auto" w:fill="FFFFFF"/>
          </w:rPr>
          <w:t>https://10.2196/jmir.7108</w:t>
        </w:r>
      </w:hyperlink>
    </w:p>
    <w:p w14:paraId="35702424" w14:textId="77777777" w:rsidR="00FA4992" w:rsidRPr="00FA4992" w:rsidRDefault="00FA4992" w:rsidP="00FA4992">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Sharkiya, S.H., 2023. Quality communication can improve patient-centred health outcomes among older patients: a rapid review. </w:t>
      </w:r>
      <w:r w:rsidRPr="00FA4992">
        <w:rPr>
          <w:rFonts w:ascii="Arial" w:eastAsia="Calibri" w:hAnsi="Arial" w:cs="Arial"/>
          <w:i/>
          <w:iCs/>
          <w:noProof/>
          <w:color w:val="222222"/>
          <w:shd w:val="clear" w:color="auto" w:fill="FFFFFF"/>
        </w:rPr>
        <w:t>BMC Health Services Research</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23</w:t>
      </w:r>
      <w:r w:rsidRPr="00FA4992">
        <w:rPr>
          <w:rFonts w:ascii="Arial" w:eastAsia="Calibri" w:hAnsi="Arial" w:cs="Arial"/>
          <w:noProof/>
          <w:color w:val="222222"/>
          <w:shd w:val="clear" w:color="auto" w:fill="FFFFFF"/>
        </w:rPr>
        <w:t>(1), p.886.</w:t>
      </w:r>
      <w:r w:rsidRPr="00FA4992">
        <w:rPr>
          <w:rFonts w:ascii="Arial" w:eastAsia="Calibri" w:hAnsi="Arial" w:cs="Arial"/>
          <w:noProof/>
        </w:rPr>
        <w:t xml:space="preserve"> </w:t>
      </w:r>
      <w:hyperlink r:id="rId19" w:history="1">
        <w:r w:rsidRPr="00FA4992">
          <w:rPr>
            <w:rFonts w:ascii="Arial" w:eastAsia="Calibri" w:hAnsi="Arial" w:cs="Arial"/>
            <w:noProof/>
            <w:color w:val="0563C1"/>
            <w:u w:val="single"/>
            <w:shd w:val="clear" w:color="auto" w:fill="FFFFFF"/>
          </w:rPr>
          <w:t>https://doi.org/10.1186/s12913-023-09869-8</w:t>
        </w:r>
      </w:hyperlink>
    </w:p>
    <w:p w14:paraId="5963D4F4" w14:textId="409D6F7B" w:rsidR="00FA4992" w:rsidRPr="00011B60" w:rsidRDefault="00FA4992" w:rsidP="00011B60">
      <w:pPr>
        <w:spacing w:before="120" w:after="120" w:line="360" w:lineRule="auto"/>
        <w:ind w:left="720" w:hanging="720"/>
        <w:jc w:val="lowKashida"/>
        <w:rPr>
          <w:rFonts w:ascii="Arial" w:eastAsia="Calibri" w:hAnsi="Arial" w:cs="Arial"/>
          <w:noProof/>
          <w:color w:val="222222"/>
          <w:shd w:val="clear" w:color="auto" w:fill="FFFFFF"/>
        </w:rPr>
      </w:pPr>
      <w:r w:rsidRPr="00FA4992">
        <w:rPr>
          <w:rFonts w:ascii="Arial" w:eastAsia="Calibri" w:hAnsi="Arial" w:cs="Arial"/>
          <w:noProof/>
          <w:color w:val="222222"/>
          <w:shd w:val="clear" w:color="auto" w:fill="FFFFFF"/>
        </w:rPr>
        <w:t>Stray, K., Wibe, T., Debesay, J. and Bye, A., 2024. Older adults’ perceptions and experiences of interprofessional communication as part of the delivery of integrated care in the primary healthcare sector: a meta-ethnography of qualitative studies. </w:t>
      </w:r>
      <w:r w:rsidRPr="00FA4992">
        <w:rPr>
          <w:rFonts w:ascii="Arial" w:eastAsia="Calibri" w:hAnsi="Arial" w:cs="Arial"/>
          <w:i/>
          <w:iCs/>
          <w:noProof/>
          <w:color w:val="222222"/>
          <w:shd w:val="clear" w:color="auto" w:fill="FFFFFF"/>
        </w:rPr>
        <w:t>BMC geriatrics</w:t>
      </w:r>
      <w:r w:rsidRPr="00FA4992">
        <w:rPr>
          <w:rFonts w:ascii="Arial" w:eastAsia="Calibri" w:hAnsi="Arial" w:cs="Arial"/>
          <w:noProof/>
          <w:color w:val="222222"/>
          <w:shd w:val="clear" w:color="auto" w:fill="FFFFFF"/>
        </w:rPr>
        <w:t>, </w:t>
      </w:r>
      <w:r w:rsidRPr="00FA4992">
        <w:rPr>
          <w:rFonts w:ascii="Arial" w:eastAsia="Calibri" w:hAnsi="Arial" w:cs="Arial"/>
          <w:i/>
          <w:iCs/>
          <w:noProof/>
          <w:color w:val="222222"/>
          <w:shd w:val="clear" w:color="auto" w:fill="FFFFFF"/>
        </w:rPr>
        <w:t>24</w:t>
      </w:r>
      <w:r w:rsidRPr="00FA4992">
        <w:rPr>
          <w:rFonts w:ascii="Arial" w:eastAsia="Calibri" w:hAnsi="Arial" w:cs="Arial"/>
          <w:noProof/>
          <w:color w:val="222222"/>
          <w:shd w:val="clear" w:color="auto" w:fill="FFFFFF"/>
        </w:rPr>
        <w:t>(1), p.146.</w:t>
      </w:r>
      <w:r w:rsidRPr="00FA4992">
        <w:rPr>
          <w:rFonts w:ascii="Arial" w:eastAsia="Calibri" w:hAnsi="Arial" w:cs="Arial"/>
          <w:noProof/>
        </w:rPr>
        <w:t xml:space="preserve"> </w:t>
      </w:r>
      <w:hyperlink r:id="rId20" w:history="1">
        <w:r w:rsidRPr="00FA4992">
          <w:rPr>
            <w:rFonts w:ascii="Arial" w:eastAsia="Calibri" w:hAnsi="Arial" w:cs="Arial"/>
            <w:noProof/>
            <w:color w:val="0563C1"/>
            <w:u w:val="single"/>
            <w:shd w:val="clear" w:color="auto" w:fill="FFFFFF"/>
          </w:rPr>
          <w:t>https://doi.org/10.1186/s12877-024-04745-4</w:t>
        </w:r>
      </w:hyperlink>
    </w:p>
    <w:p w14:paraId="139F6105" w14:textId="77777777" w:rsidR="00C65591" w:rsidRPr="00FA4992" w:rsidRDefault="00C65591" w:rsidP="00FA4992">
      <w:pPr>
        <w:spacing w:line="360" w:lineRule="auto"/>
        <w:rPr>
          <w:rFonts w:ascii="Arial" w:hAnsi="Arial" w:cs="Arial"/>
        </w:rPr>
      </w:pPr>
    </w:p>
    <w:sectPr w:rsidR="00C65591" w:rsidRPr="00FA4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992"/>
    <w:rsid w:val="00011B60"/>
    <w:rsid w:val="000B0758"/>
    <w:rsid w:val="001A4C0B"/>
    <w:rsid w:val="00207879"/>
    <w:rsid w:val="002223A5"/>
    <w:rsid w:val="00230826"/>
    <w:rsid w:val="0025287F"/>
    <w:rsid w:val="0039679E"/>
    <w:rsid w:val="00460C96"/>
    <w:rsid w:val="004B382F"/>
    <w:rsid w:val="005C6C7B"/>
    <w:rsid w:val="00655374"/>
    <w:rsid w:val="0071697A"/>
    <w:rsid w:val="007B0F30"/>
    <w:rsid w:val="009E06E8"/>
    <w:rsid w:val="00C65591"/>
    <w:rsid w:val="00D5108A"/>
    <w:rsid w:val="00D866ED"/>
    <w:rsid w:val="00EA54EB"/>
    <w:rsid w:val="00F749B7"/>
    <w:rsid w:val="00F93CDA"/>
    <w:rsid w:val="00FA4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75A8"/>
  <w15:chartTrackingRefBased/>
  <w15:docId w15:val="{D5A76576-6669-4D08-BF87-3D34BCDB0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99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A499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A499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A499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A499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A49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9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9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9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99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A499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A499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A499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A499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A49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9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9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992"/>
    <w:rPr>
      <w:rFonts w:eastAsiaTheme="majorEastAsia" w:cstheme="majorBidi"/>
      <w:color w:val="272727" w:themeColor="text1" w:themeTint="D8"/>
    </w:rPr>
  </w:style>
  <w:style w:type="paragraph" w:styleId="Title">
    <w:name w:val="Title"/>
    <w:basedOn w:val="Normal"/>
    <w:next w:val="Normal"/>
    <w:link w:val="TitleChar"/>
    <w:uiPriority w:val="10"/>
    <w:qFormat/>
    <w:rsid w:val="00FA49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9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9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9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9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4992"/>
    <w:rPr>
      <w:i/>
      <w:iCs/>
      <w:color w:val="404040" w:themeColor="text1" w:themeTint="BF"/>
    </w:rPr>
  </w:style>
  <w:style w:type="paragraph" w:styleId="ListParagraph">
    <w:name w:val="List Paragraph"/>
    <w:basedOn w:val="Normal"/>
    <w:uiPriority w:val="34"/>
    <w:qFormat/>
    <w:rsid w:val="00FA4992"/>
    <w:pPr>
      <w:ind w:left="720"/>
      <w:contextualSpacing/>
    </w:pPr>
  </w:style>
  <w:style w:type="character" w:styleId="IntenseEmphasis">
    <w:name w:val="Intense Emphasis"/>
    <w:basedOn w:val="DefaultParagraphFont"/>
    <w:uiPriority w:val="21"/>
    <w:qFormat/>
    <w:rsid w:val="00FA4992"/>
    <w:rPr>
      <w:i/>
      <w:iCs/>
      <w:color w:val="365F91" w:themeColor="accent1" w:themeShade="BF"/>
    </w:rPr>
  </w:style>
  <w:style w:type="paragraph" w:styleId="IntenseQuote">
    <w:name w:val="Intense Quote"/>
    <w:basedOn w:val="Normal"/>
    <w:next w:val="Normal"/>
    <w:link w:val="IntenseQuoteChar"/>
    <w:uiPriority w:val="30"/>
    <w:qFormat/>
    <w:rsid w:val="00FA499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A4992"/>
    <w:rPr>
      <w:i/>
      <w:iCs/>
      <w:color w:val="365F91" w:themeColor="accent1" w:themeShade="BF"/>
    </w:rPr>
  </w:style>
  <w:style w:type="character" w:styleId="IntenseReference">
    <w:name w:val="Intense Reference"/>
    <w:basedOn w:val="DefaultParagraphFont"/>
    <w:uiPriority w:val="32"/>
    <w:qFormat/>
    <w:rsid w:val="00FA4992"/>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13" Type="http://schemas.openxmlformats.org/officeDocument/2006/relationships/hyperlink" Target="https://doi.org/10.1186/s12913-023-10192-5" TargetMode="External"/><Relationship Id="rId18" Type="http://schemas.openxmlformats.org/officeDocument/2006/relationships/hyperlink" Target="https://10.2196/jmir.7108"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12" Type="http://schemas.openxmlformats.org/officeDocument/2006/relationships/hyperlink" Target="https://www.seguridadpaciente.es/wp-content/uploads/2020/09/SEA_58_Hand_off_Comms_9_6_17_FINAL_1.pdf" TargetMode="External"/><Relationship Id="rId17" Type="http://schemas.openxmlformats.org/officeDocument/2006/relationships/hyperlink" Target="https://doi.org/10.1155/2024/4591881" TargetMode="External"/><Relationship Id="rId2" Type="http://schemas.openxmlformats.org/officeDocument/2006/relationships/settings" Target="settings.xml"/><Relationship Id="rId16" Type="http://schemas.openxmlformats.org/officeDocument/2006/relationships/hyperlink" Target="https://doi.org/10.1136/leader-2022-000717" TargetMode="External"/><Relationship Id="rId20" Type="http://schemas.openxmlformats.org/officeDocument/2006/relationships/hyperlink" Target="https://doi.org/10.1186/s12877-024-04745-4" TargetMode="External"/><Relationship Id="rId1" Type="http://schemas.openxmlformats.org/officeDocument/2006/relationships/styles" Target="styles.xml"/><Relationship Id="rId6"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11"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5" Type="http://schemas.openxmlformats.org/officeDocument/2006/relationships/image" Target="cid:image001.png@01D0EA4A.2BD679A0" TargetMode="External"/><Relationship Id="rId15" Type="http://schemas.openxmlformats.org/officeDocument/2006/relationships/hyperlink" Target="https://10.2196/39584" TargetMode="External"/><Relationship Id="rId10"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19" Type="http://schemas.openxmlformats.org/officeDocument/2006/relationships/hyperlink" Target="https://doi.org/10.1186/s12913-023-09869-8" TargetMode="External"/><Relationship Id="rId4" Type="http://schemas.openxmlformats.org/officeDocument/2006/relationships/image" Target="media/image1.png"/><Relationship Id="rId9" Type="http://schemas.openxmlformats.org/officeDocument/2006/relationships/hyperlink" Target="file:///C:\Users\44749\AppData\Local\Microsoft\Olk\Attachments\ooa-1af3ed29-24f5-409f-b44d-c3f352db01d3\b8bfcacb8137ff2f0fe331037364523ffadee92b1fb853845e89247472267312\9943.edited.docx" TargetMode="External"/><Relationship Id="rId14" Type="http://schemas.openxmlformats.org/officeDocument/2006/relationships/hyperlink" Target="https://doi.org/10.1016/j.xjep.2022.10052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Ngonga</dc:creator>
  <cp:keywords/>
  <dc:description/>
  <cp:lastModifiedBy>jose ngonga</cp:lastModifiedBy>
  <cp:revision>2</cp:revision>
  <dcterms:created xsi:type="dcterms:W3CDTF">2025-12-13T17:06:00Z</dcterms:created>
  <dcterms:modified xsi:type="dcterms:W3CDTF">2025-12-13T17:06:00Z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15f079b2-1021-463d-a9e4-8be750058efc</vt:lpwstr>
  </property>
</Properties>
</file>