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C9A0A" w14:textId="1D0F8FE9" w:rsidR="00AA2899" w:rsidRPr="00AA2899" w:rsidRDefault="00AA2899" w:rsidP="00AA2899">
      <w:pPr>
        <w:jc w:val="center"/>
        <w:rPr>
          <w:rFonts w:asciiTheme="majorHAnsi" w:hAnsiTheme="majorHAnsi" w:cstheme="majorHAnsi"/>
          <w:b/>
          <w:bCs/>
          <w:sz w:val="32"/>
          <w:szCs w:val="32"/>
        </w:rPr>
      </w:pPr>
      <w:r w:rsidRPr="00AA2899">
        <w:rPr>
          <w:rFonts w:asciiTheme="majorHAnsi" w:hAnsiTheme="majorHAnsi" w:cstheme="majorHAnsi"/>
          <w:b/>
          <w:bCs/>
          <w:sz w:val="32"/>
          <w:szCs w:val="32"/>
        </w:rPr>
        <w:t xml:space="preserve">A Sense </w:t>
      </w:r>
      <w:r>
        <w:rPr>
          <w:rFonts w:asciiTheme="majorHAnsi" w:hAnsiTheme="majorHAnsi" w:cstheme="majorHAnsi"/>
          <w:b/>
          <w:bCs/>
          <w:sz w:val="32"/>
          <w:szCs w:val="32"/>
        </w:rPr>
        <w:t>o</w:t>
      </w:r>
      <w:r w:rsidRPr="00AA2899">
        <w:rPr>
          <w:rFonts w:asciiTheme="majorHAnsi" w:hAnsiTheme="majorHAnsi" w:cstheme="majorHAnsi"/>
          <w:b/>
          <w:bCs/>
          <w:sz w:val="32"/>
          <w:szCs w:val="32"/>
        </w:rPr>
        <w:t>f Place</w:t>
      </w:r>
    </w:p>
    <w:p w14:paraId="5FA024E8" w14:textId="0E4E04E6" w:rsidR="00B14598" w:rsidRPr="00AA2899" w:rsidRDefault="00AA2899" w:rsidP="00AA2899">
      <w:pPr>
        <w:jc w:val="center"/>
        <w:rPr>
          <w:rFonts w:asciiTheme="majorHAnsi" w:hAnsiTheme="majorHAnsi" w:cstheme="majorHAnsi"/>
          <w:sz w:val="32"/>
          <w:szCs w:val="32"/>
        </w:rPr>
      </w:pPr>
      <w:r w:rsidRPr="00AA2899">
        <w:rPr>
          <w:rFonts w:asciiTheme="majorHAnsi" w:hAnsiTheme="majorHAnsi" w:cstheme="majorHAnsi"/>
          <w:sz w:val="32"/>
          <w:szCs w:val="32"/>
        </w:rPr>
        <w:t>How Museums in Wales Represent Going Back To Our Roots And Sharing Our History Through Food.</w:t>
      </w:r>
    </w:p>
    <w:p w14:paraId="38729D50" w14:textId="08CFE4F4" w:rsidR="00B14598" w:rsidRDefault="00B14598"/>
    <w:p w14:paraId="2A8F0F20" w14:textId="4D441817" w:rsidR="00C17ABA" w:rsidRDefault="00C17ABA"/>
    <w:p w14:paraId="485CFF8C" w14:textId="348AD56D" w:rsidR="00C17ABA" w:rsidRDefault="009F4194">
      <w:r>
        <w:rPr>
          <w:noProof/>
        </w:rPr>
        <mc:AlternateContent>
          <mc:Choice Requires="wps">
            <w:drawing>
              <wp:anchor distT="0" distB="0" distL="114300" distR="114300" simplePos="0" relativeHeight="251658241" behindDoc="0" locked="0" layoutInCell="1" allowOverlap="1" wp14:anchorId="4D2A9814" wp14:editId="2A49F9A5">
                <wp:simplePos x="0" y="0"/>
                <wp:positionH relativeFrom="column">
                  <wp:posOffset>713105</wp:posOffset>
                </wp:positionH>
                <wp:positionV relativeFrom="paragraph">
                  <wp:posOffset>4187825</wp:posOffset>
                </wp:positionV>
                <wp:extent cx="4305300" cy="635"/>
                <wp:effectExtent l="0" t="0" r="0" b="0"/>
                <wp:wrapThrough wrapText="bothSides">
                  <wp:wrapPolygon edited="0">
                    <wp:start x="0" y="0"/>
                    <wp:lineTo x="0" y="21600"/>
                    <wp:lineTo x="21600" y="21600"/>
                    <wp:lineTo x="21600" y="0"/>
                  </wp:wrapPolygon>
                </wp:wrapThrough>
                <wp:docPr id="14" name="Text Box 14"/>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6429D986" w14:textId="2B3B1F88" w:rsidR="009F4194" w:rsidRPr="00706882" w:rsidRDefault="009F4194" w:rsidP="009F4194">
                            <w:pPr>
                              <w:pStyle w:val="Caption"/>
                              <w:rPr>
                                <w:noProof/>
                                <w:sz w:val="20"/>
                                <w:szCs w:val="20"/>
                              </w:rPr>
                            </w:pPr>
                            <w:bookmarkStart w:id="0" w:name="_Toc125481805"/>
                            <w:bookmarkStart w:id="1" w:name="_Toc125481918"/>
                            <w:r w:rsidRPr="00706882">
                              <w:rPr>
                                <w:sz w:val="20"/>
                                <w:szCs w:val="20"/>
                              </w:rPr>
                              <w:t xml:space="preserve">Figure </w:t>
                            </w:r>
                            <w:r w:rsidRPr="00706882">
                              <w:rPr>
                                <w:sz w:val="20"/>
                                <w:szCs w:val="20"/>
                              </w:rPr>
                              <w:fldChar w:fldCharType="begin"/>
                            </w:r>
                            <w:r w:rsidRPr="00706882">
                              <w:rPr>
                                <w:sz w:val="20"/>
                                <w:szCs w:val="20"/>
                              </w:rPr>
                              <w:instrText xml:space="preserve"> SEQ Figure \* ARABIC </w:instrText>
                            </w:r>
                            <w:r w:rsidRPr="00706882">
                              <w:rPr>
                                <w:sz w:val="20"/>
                                <w:szCs w:val="20"/>
                              </w:rPr>
                              <w:fldChar w:fldCharType="separate"/>
                            </w:r>
                            <w:r w:rsidRPr="00706882">
                              <w:rPr>
                                <w:noProof/>
                                <w:sz w:val="20"/>
                                <w:szCs w:val="20"/>
                              </w:rPr>
                              <w:t>1</w:t>
                            </w:r>
                            <w:r w:rsidRPr="00706882">
                              <w:rPr>
                                <w:sz w:val="20"/>
                                <w:szCs w:val="20"/>
                              </w:rPr>
                              <w:fldChar w:fldCharType="end"/>
                            </w:r>
                            <w:r w:rsidRPr="00706882">
                              <w:rPr>
                                <w:sz w:val="20"/>
                                <w:szCs w:val="20"/>
                              </w:rPr>
                              <w:t xml:space="preserve">. Driscoll, Laura Cait. </w:t>
                            </w:r>
                            <w:proofErr w:type="spellStart"/>
                            <w:r w:rsidRPr="00706882">
                              <w:rPr>
                                <w:sz w:val="20"/>
                                <w:szCs w:val="20"/>
                              </w:rPr>
                              <w:t>Piacu</w:t>
                            </w:r>
                            <w:proofErr w:type="spellEnd"/>
                            <w:r w:rsidRPr="00706882">
                              <w:rPr>
                                <w:sz w:val="20"/>
                                <w:szCs w:val="20"/>
                              </w:rPr>
                              <w:t xml:space="preserve"> ar y Maen. 2021. Authors Personal Collection</w:t>
                            </w:r>
                            <w:bookmarkEnd w:id="1"/>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2A9814" id="_x0000_t202" coordsize="21600,21600" o:spt="202" path="m,l,21600r21600,l21600,xe">
                <v:stroke joinstyle="miter"/>
                <v:path gradientshapeok="t" o:connecttype="rect"/>
              </v:shapetype>
              <v:shape id="Text Box 14" o:spid="_x0000_s1026" type="#_x0000_t202" style="position:absolute;margin-left:56.15pt;margin-top:329.75pt;width:339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" stroked="f">
                <v:textbox style="mso-fit-shape-to-text:t" inset="0,0,0,0">
                  <w:txbxContent>
                    <w:p w14:paraId="6429D986" w14:textId="2B3B1F88" w:rsidR="009F4194" w:rsidRPr="00706882" w:rsidRDefault="009F4194" w:rsidP="009F4194">
                      <w:pPr>
                        <w:pStyle w:val="Caption"/>
                        <w:rPr>
                          <w:noProof/>
                          <w:sz w:val="20"/>
                          <w:szCs w:val="20"/>
                        </w:rPr>
                      </w:pPr>
                      <w:bookmarkStart w:id="2" w:name="_Toc125481805"/>
                      <w:bookmarkStart w:id="3" w:name="_Toc125481918"/>
                      <w:r w:rsidRPr="00706882">
                        <w:rPr>
                          <w:sz w:val="20"/>
                          <w:szCs w:val="20"/>
                        </w:rPr>
                        <w:t xml:space="preserve">Figure </w:t>
                      </w:r>
                      <w:r w:rsidRPr="00706882">
                        <w:rPr>
                          <w:sz w:val="20"/>
                          <w:szCs w:val="20"/>
                        </w:rPr>
                        <w:fldChar w:fldCharType="begin"/>
                      </w:r>
                      <w:r w:rsidRPr="00706882">
                        <w:rPr>
                          <w:sz w:val="20"/>
                          <w:szCs w:val="20"/>
                        </w:rPr>
                        <w:instrText xml:space="preserve"> SEQ Figure \* ARABIC </w:instrText>
                      </w:r>
                      <w:r w:rsidRPr="00706882">
                        <w:rPr>
                          <w:sz w:val="20"/>
                          <w:szCs w:val="20"/>
                        </w:rPr>
                        <w:fldChar w:fldCharType="separate"/>
                      </w:r>
                      <w:r w:rsidRPr="00706882">
                        <w:rPr>
                          <w:noProof/>
                          <w:sz w:val="20"/>
                          <w:szCs w:val="20"/>
                        </w:rPr>
                        <w:t>1</w:t>
                      </w:r>
                      <w:r w:rsidRPr="00706882">
                        <w:rPr>
                          <w:sz w:val="20"/>
                          <w:szCs w:val="20"/>
                        </w:rPr>
                        <w:fldChar w:fldCharType="end"/>
                      </w:r>
                      <w:r w:rsidRPr="00706882">
                        <w:rPr>
                          <w:sz w:val="20"/>
                          <w:szCs w:val="20"/>
                        </w:rPr>
                        <w:t xml:space="preserve">. Driscoll, Laura Cait. </w:t>
                      </w:r>
                      <w:proofErr w:type="spellStart"/>
                      <w:r w:rsidRPr="00706882">
                        <w:rPr>
                          <w:sz w:val="20"/>
                          <w:szCs w:val="20"/>
                        </w:rPr>
                        <w:t>Piacu</w:t>
                      </w:r>
                      <w:proofErr w:type="spellEnd"/>
                      <w:r w:rsidRPr="00706882">
                        <w:rPr>
                          <w:sz w:val="20"/>
                          <w:szCs w:val="20"/>
                        </w:rPr>
                        <w:t xml:space="preserve"> ar y Maen. 2021. Authors Personal Collection</w:t>
                      </w:r>
                      <w:bookmarkEnd w:id="3"/>
                      <w:bookmarkEnd w:id="2"/>
                    </w:p>
                  </w:txbxContent>
                </v:textbox>
                <w10:wrap type="through"/>
              </v:shape>
            </w:pict>
          </mc:Fallback>
        </mc:AlternateContent>
      </w:r>
      <w:r w:rsidR="008E3C73">
        <w:rPr>
          <w:noProof/>
        </w:rPr>
        <w:drawing>
          <wp:anchor distT="0" distB="0" distL="114300" distR="114300" simplePos="0" relativeHeight="251659264" behindDoc="0" locked="0" layoutInCell="1" allowOverlap="1" wp14:anchorId="0431F441" wp14:editId="56FD92E8">
            <wp:simplePos x="0" y="0"/>
            <wp:positionH relativeFrom="margin">
              <wp:align>center</wp:align>
            </wp:positionH>
            <wp:positionV relativeFrom="paragraph">
              <wp:posOffset>215900</wp:posOffset>
            </wp:positionV>
            <wp:extent cx="4305300" cy="3914775"/>
            <wp:effectExtent l="133350" t="114300" r="133350" b="161925"/>
            <wp:wrapThrough wrapText="bothSides">
              <wp:wrapPolygon edited="0">
                <wp:start x="-573" y="-631"/>
                <wp:lineTo x="-669" y="21547"/>
                <wp:lineTo x="-382" y="22388"/>
                <wp:lineTo x="21887" y="22388"/>
                <wp:lineTo x="21982" y="22178"/>
                <wp:lineTo x="22173" y="21547"/>
                <wp:lineTo x="22078" y="-631"/>
                <wp:lineTo x="-573" y="-631"/>
              </wp:wrapPolygon>
            </wp:wrapThrough>
            <wp:docPr id="9" name="Picture 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70" t="21987" r="1095" b="11508"/>
                    <a:stretch/>
                  </pic:blipFill>
                  <pic:spPr bwMode="auto">
                    <a:xfrm>
                      <a:off x="0" y="0"/>
                      <a:ext cx="4305300" cy="3914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361CE9" w14:textId="77777777" w:rsidR="00C17ABA" w:rsidRDefault="00C17ABA"/>
    <w:p w14:paraId="35C2B3E2" w14:textId="3BA2DBFF" w:rsidR="00B14598" w:rsidRDefault="00B14598"/>
    <w:p w14:paraId="6BB4F115" w14:textId="5E0BE767" w:rsidR="00B14598" w:rsidRDefault="00B14598"/>
    <w:p w14:paraId="4B1C8B07" w14:textId="2893544C" w:rsidR="00B14598" w:rsidRDefault="00B14598"/>
    <w:p w14:paraId="1E426969" w14:textId="162047EE" w:rsidR="00B14598" w:rsidRDefault="00B14598"/>
    <w:p w14:paraId="5103623F" w14:textId="77777777" w:rsidR="00B14598" w:rsidRDefault="00B14598"/>
    <w:p w14:paraId="7CC92803" w14:textId="77777777" w:rsidR="00B14598" w:rsidRDefault="00B14598"/>
    <w:p w14:paraId="40DBD122" w14:textId="77777777" w:rsidR="00B14598" w:rsidRDefault="00B14598"/>
    <w:p w14:paraId="3FCDC7F2" w14:textId="77777777" w:rsidR="00B14598" w:rsidRDefault="00B14598"/>
    <w:p w14:paraId="1365B719" w14:textId="3DE75335" w:rsidR="00B14598" w:rsidRDefault="00B14598"/>
    <w:p w14:paraId="3C613FBC" w14:textId="77777777" w:rsidR="00B14598" w:rsidRDefault="00B14598"/>
    <w:p w14:paraId="44225C3E" w14:textId="77777777" w:rsidR="00B14598" w:rsidRDefault="00B14598"/>
    <w:p w14:paraId="3A926669" w14:textId="54712310" w:rsidR="00B14598" w:rsidRDefault="00B14598"/>
    <w:p w14:paraId="135AF66E" w14:textId="23AC96BB" w:rsidR="007265A6" w:rsidRDefault="007265A6"/>
    <w:p w14:paraId="2F1F4353" w14:textId="5D669441" w:rsidR="007265A6" w:rsidRDefault="007265A6"/>
    <w:p w14:paraId="435257EE" w14:textId="77777777" w:rsidR="007265A6" w:rsidRDefault="007265A6"/>
    <w:p w14:paraId="5B71F491" w14:textId="7AF47CB5" w:rsidR="00B14598" w:rsidRPr="00706882" w:rsidRDefault="00FD528F" w:rsidP="00FD528F">
      <w:pPr>
        <w:jc w:val="center"/>
        <w:rPr>
          <w:sz w:val="24"/>
          <w:szCs w:val="24"/>
        </w:rPr>
      </w:pPr>
      <w:r w:rsidRPr="00706882">
        <w:rPr>
          <w:sz w:val="24"/>
          <w:szCs w:val="24"/>
        </w:rPr>
        <w:t xml:space="preserve">Laura Cait Driscoll </w:t>
      </w:r>
      <w:r w:rsidR="001F7389" w:rsidRPr="00706882">
        <w:rPr>
          <w:sz w:val="24"/>
          <w:szCs w:val="24"/>
        </w:rPr>
        <w:t>| 1500941</w:t>
      </w:r>
    </w:p>
    <w:p w14:paraId="106137E0" w14:textId="54CDA0BE" w:rsidR="001F7389" w:rsidRPr="00706882" w:rsidRDefault="001F7389" w:rsidP="00FD528F">
      <w:pPr>
        <w:jc w:val="center"/>
        <w:rPr>
          <w:sz w:val="24"/>
          <w:szCs w:val="24"/>
        </w:rPr>
      </w:pPr>
      <w:r w:rsidRPr="00706882">
        <w:rPr>
          <w:sz w:val="24"/>
          <w:szCs w:val="24"/>
        </w:rPr>
        <w:t>Submitted in partial fulfilment for the award of the degree of Master</w:t>
      </w:r>
      <w:r w:rsidR="00297BC0" w:rsidRPr="00706882">
        <w:rPr>
          <w:sz w:val="24"/>
          <w:szCs w:val="24"/>
        </w:rPr>
        <w:t xml:space="preserve">s of Arts in Heritage </w:t>
      </w:r>
      <w:r w:rsidR="001664FD" w:rsidRPr="00706882">
        <w:rPr>
          <w:sz w:val="24"/>
          <w:szCs w:val="24"/>
        </w:rPr>
        <w:t>Practice</w:t>
      </w:r>
    </w:p>
    <w:p w14:paraId="6F9C769B" w14:textId="448A4F13" w:rsidR="001664FD" w:rsidRPr="00706882" w:rsidRDefault="001664FD" w:rsidP="00FD528F">
      <w:pPr>
        <w:jc w:val="center"/>
        <w:rPr>
          <w:sz w:val="24"/>
          <w:szCs w:val="24"/>
        </w:rPr>
      </w:pPr>
      <w:r w:rsidRPr="00706882">
        <w:rPr>
          <w:sz w:val="24"/>
          <w:szCs w:val="24"/>
        </w:rPr>
        <w:t xml:space="preserve">University of Wales Trinity Saint David </w:t>
      </w:r>
    </w:p>
    <w:p w14:paraId="0908570F" w14:textId="34B9EC7E" w:rsidR="001664FD" w:rsidRPr="00706882" w:rsidRDefault="001664FD" w:rsidP="00FD528F">
      <w:pPr>
        <w:jc w:val="center"/>
        <w:rPr>
          <w:sz w:val="24"/>
          <w:szCs w:val="24"/>
        </w:rPr>
      </w:pPr>
      <w:r w:rsidRPr="00706882">
        <w:rPr>
          <w:sz w:val="24"/>
          <w:szCs w:val="24"/>
        </w:rPr>
        <w:t>2023</w:t>
      </w:r>
    </w:p>
    <w:p w14:paraId="152A9043" w14:textId="37890A3D" w:rsidR="00630550" w:rsidRDefault="00630550"/>
    <w:p w14:paraId="1F5A8960" w14:textId="77777777" w:rsidR="00630550" w:rsidRDefault="00630550">
      <w:r>
        <w:br w:type="page"/>
      </w:r>
    </w:p>
    <w:p w14:paraId="11A9BB74" w14:textId="7E2F0848" w:rsidR="00630550" w:rsidRDefault="007A6F88">
      <w:r>
        <w:rPr>
          <w:rFonts w:ascii="Arial" w:hAnsi="Arial" w:cs="Arial"/>
          <w:noProof/>
        </w:rPr>
        <w:lastRenderedPageBreak/>
        <w:drawing>
          <wp:inline distT="0" distB="0" distL="0" distR="0" wp14:anchorId="6D5DAD09" wp14:editId="3DC42E47">
            <wp:extent cx="1857375" cy="762000"/>
            <wp:effectExtent l="0" t="0" r="0" b="0"/>
            <wp:docPr id="18" name="Picture 1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643D6CBA" w14:textId="3F91B8CA" w:rsidR="00494875" w:rsidRPr="00951BBF" w:rsidRDefault="00494875" w:rsidP="00494875">
      <w:pPr>
        <w:spacing w:after="120"/>
        <w:ind w:left="720"/>
        <w:rPr>
          <w:rFonts w:ascii="Arial" w:hAnsi="Arial" w:cs="Arial"/>
        </w:rPr>
      </w:pPr>
    </w:p>
    <w:p w14:paraId="238110C3"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296CBF9D"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4BFFBB68"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1. This work has not previously </w:t>
      </w:r>
      <w:proofErr w:type="gramStart"/>
      <w:r w:rsidRPr="00951BBF">
        <w:rPr>
          <w:rFonts w:ascii="Arial" w:hAnsi="Arial" w:cs="Arial"/>
        </w:rPr>
        <w:t>been accepted</w:t>
      </w:r>
      <w:proofErr w:type="gramEnd"/>
      <w:r w:rsidRPr="00951BBF">
        <w:rPr>
          <w:rFonts w:ascii="Arial" w:hAnsi="Arial" w:cs="Arial"/>
        </w:rPr>
        <w:t xml:space="preserve"> in substance for any degree and is not being concurrently submitted in candidature for any degree.</w:t>
      </w:r>
    </w:p>
    <w:p w14:paraId="2CC568AA" w14:textId="190401F3"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Laura Cait Driscoll</w:t>
      </w:r>
    </w:p>
    <w:p w14:paraId="2C4CFA1B" w14:textId="3B4EC0C2"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24</w:t>
      </w:r>
      <w:r w:rsidRPr="00494875">
        <w:rPr>
          <w:rFonts w:ascii="Arial" w:hAnsi="Arial" w:cs="Arial"/>
          <w:vertAlign w:val="superscript"/>
        </w:rPr>
        <w:t>th</w:t>
      </w:r>
      <w:r>
        <w:rPr>
          <w:rFonts w:ascii="Arial" w:hAnsi="Arial" w:cs="Arial"/>
        </w:rPr>
        <w:t xml:space="preserve"> January 2023</w:t>
      </w:r>
    </w:p>
    <w:p w14:paraId="2023A811"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2F347E1" w14:textId="218CC2F6"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Ma Heritage Practice</w:t>
      </w:r>
    </w:p>
    <w:p w14:paraId="1A1942F4" w14:textId="0CCF0045"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e Laura Cait Driscoll</w:t>
      </w:r>
    </w:p>
    <w:p w14:paraId="562A57AA" w14:textId="5E96C2B9"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24</w:t>
      </w:r>
      <w:r w:rsidRPr="00494875">
        <w:rPr>
          <w:rFonts w:ascii="Arial" w:hAnsi="Arial" w:cs="Arial"/>
          <w:vertAlign w:val="superscript"/>
        </w:rPr>
        <w:t>th</w:t>
      </w:r>
      <w:r>
        <w:rPr>
          <w:rFonts w:ascii="Arial" w:hAnsi="Arial" w:cs="Arial"/>
        </w:rPr>
        <w:t xml:space="preserve"> January 2023</w:t>
      </w:r>
    </w:p>
    <w:p w14:paraId="31720A79"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F088524"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04E8B755"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w:t>
      </w:r>
      <w:proofErr w:type="gramStart"/>
      <w:r w:rsidRPr="00951BBF">
        <w:rPr>
          <w:rFonts w:ascii="Arial" w:hAnsi="Arial" w:cs="Arial"/>
        </w:rPr>
        <w:t>are acknowledged</w:t>
      </w:r>
      <w:proofErr w:type="gramEnd"/>
      <w:r w:rsidRPr="00951BBF">
        <w:rPr>
          <w:rFonts w:ascii="Arial" w:hAnsi="Arial" w:cs="Arial"/>
        </w:rPr>
        <w:t xml:space="preserve"> by footnotes giving explicit references. </w:t>
      </w:r>
    </w:p>
    <w:p w14:paraId="6ECDF817"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A bibliography </w:t>
      </w:r>
      <w:proofErr w:type="gramStart"/>
      <w:r w:rsidRPr="00951BBF">
        <w:rPr>
          <w:rFonts w:ascii="Arial" w:hAnsi="Arial" w:cs="Arial"/>
        </w:rPr>
        <w:t>is appended</w:t>
      </w:r>
      <w:proofErr w:type="gramEnd"/>
      <w:r w:rsidRPr="00951BBF">
        <w:rPr>
          <w:rFonts w:ascii="Arial" w:hAnsi="Arial" w:cs="Arial"/>
        </w:rPr>
        <w:t>.</w:t>
      </w:r>
    </w:p>
    <w:p w14:paraId="6EB37DBE" w14:textId="257B45AD"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Laura Cait Driscoll</w:t>
      </w:r>
    </w:p>
    <w:p w14:paraId="76EBD7BC" w14:textId="7BEF9376"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24</w:t>
      </w:r>
      <w:r w:rsidRPr="00494875">
        <w:rPr>
          <w:rFonts w:ascii="Arial" w:hAnsi="Arial" w:cs="Arial"/>
          <w:vertAlign w:val="superscript"/>
        </w:rPr>
        <w:t>th</w:t>
      </w:r>
      <w:r>
        <w:rPr>
          <w:rFonts w:ascii="Arial" w:hAnsi="Arial" w:cs="Arial"/>
        </w:rPr>
        <w:t xml:space="preserve"> January 2023 </w:t>
      </w:r>
    </w:p>
    <w:p w14:paraId="50C02EEC"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77D4F5AA"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3FE1641B" w14:textId="5412AF1F"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Laura Cait Driscoll</w:t>
      </w:r>
    </w:p>
    <w:p w14:paraId="44CA48A2" w14:textId="2CD540EC"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24</w:t>
      </w:r>
      <w:r w:rsidRPr="00494875">
        <w:rPr>
          <w:rFonts w:ascii="Arial" w:hAnsi="Arial" w:cs="Arial"/>
          <w:vertAlign w:val="superscript"/>
        </w:rPr>
        <w:t>th</w:t>
      </w:r>
      <w:r>
        <w:rPr>
          <w:rFonts w:ascii="Arial" w:hAnsi="Arial" w:cs="Arial"/>
        </w:rPr>
        <w:t xml:space="preserve"> January 2023</w:t>
      </w:r>
    </w:p>
    <w:p w14:paraId="1F514D1D"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0D081859"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0A9AB466" w14:textId="77777777" w:rsidR="00494875" w:rsidRPr="00951BBF" w:rsidRDefault="00494875" w:rsidP="0049487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6C076B05" w14:textId="364E7510" w:rsidR="00494875" w:rsidRDefault="00494875" w:rsidP="0049487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48F23DBF">
        <w:rPr>
          <w:rFonts w:ascii="Arial" w:hAnsi="Arial" w:cs="Arial"/>
        </w:rPr>
        <w:t>Date: ………………………………………………………………………</w:t>
      </w:r>
      <w:r w:rsidR="2682ACF7" w:rsidRPr="48F23DBF">
        <w:rPr>
          <w:rFonts w:ascii="Arial" w:hAnsi="Arial" w:cs="Arial"/>
        </w:rPr>
        <w:t>….</w:t>
      </w:r>
    </w:p>
    <w:p w14:paraId="73A180F8" w14:textId="77777777" w:rsidR="00494875" w:rsidRDefault="00494875" w:rsidP="00494875"/>
    <w:p w14:paraId="6FA522E4" w14:textId="714877AC" w:rsidR="00014058" w:rsidRPr="00A51EE1" w:rsidRDefault="00630550" w:rsidP="00706882">
      <w:pPr>
        <w:jc w:val="center"/>
        <w:rPr>
          <w:b/>
          <w:bCs/>
          <w:sz w:val="36"/>
          <w:szCs w:val="36"/>
        </w:rPr>
      </w:pPr>
      <w:r>
        <w:br w:type="page"/>
      </w:r>
      <w:r w:rsidR="00706882">
        <w:rPr>
          <w:b/>
          <w:bCs/>
          <w:sz w:val="36"/>
          <w:szCs w:val="36"/>
        </w:rPr>
        <w:lastRenderedPageBreak/>
        <w:t>Ack</w:t>
      </w:r>
      <w:r w:rsidR="00AA2899" w:rsidRPr="00A51EE1">
        <w:rPr>
          <w:b/>
          <w:bCs/>
          <w:sz w:val="36"/>
          <w:szCs w:val="36"/>
        </w:rPr>
        <w:t>nowl</w:t>
      </w:r>
      <w:r w:rsidR="00014058" w:rsidRPr="00A51EE1">
        <w:rPr>
          <w:b/>
          <w:bCs/>
          <w:sz w:val="36"/>
          <w:szCs w:val="36"/>
        </w:rPr>
        <w:t>edgements</w:t>
      </w:r>
    </w:p>
    <w:p w14:paraId="4F231441" w14:textId="77777777" w:rsidR="00EA3178" w:rsidRDefault="00EA3178" w:rsidP="00DF0CDB"/>
    <w:p w14:paraId="742F8F32" w14:textId="1608B0D7" w:rsidR="0000721F" w:rsidRDefault="000D5718" w:rsidP="00A5429A">
      <w:pPr>
        <w:spacing w:line="360" w:lineRule="auto"/>
      </w:pPr>
      <w:r>
        <w:t>Firstly, I would like</w:t>
      </w:r>
      <w:r w:rsidR="00EA3178">
        <w:t xml:space="preserve"> to express my heartfelt thanks</w:t>
      </w:r>
      <w:r w:rsidR="007D138A">
        <w:t xml:space="preserve"> to the staff at University of Wales Trinity Saint David</w:t>
      </w:r>
      <w:r w:rsidR="005029E7">
        <w:t xml:space="preserve"> who helped me to pursue my research topic</w:t>
      </w:r>
      <w:r w:rsidR="00B82C39">
        <w:t xml:space="preserve">. </w:t>
      </w:r>
      <w:r w:rsidR="00E455AF">
        <w:t>Firstly, an especial</w:t>
      </w:r>
      <w:r w:rsidR="005029E7">
        <w:t xml:space="preserve"> thanks </w:t>
      </w:r>
      <w:r w:rsidR="00B24D08">
        <w:t>go</w:t>
      </w:r>
      <w:r w:rsidR="005029E7">
        <w:t xml:space="preserve"> to Professor Louise Steel </w:t>
      </w:r>
      <w:r w:rsidR="00A37118">
        <w:t>and Professor Katharina Z</w:t>
      </w:r>
      <w:r w:rsidR="002E3B31">
        <w:t>inn</w:t>
      </w:r>
      <w:r w:rsidR="00B24D08">
        <w:t xml:space="preserve"> </w:t>
      </w:r>
      <w:r w:rsidR="00B82C39">
        <w:t xml:space="preserve">who had faith in me to change my </w:t>
      </w:r>
      <w:r w:rsidR="005D579D">
        <w:t xml:space="preserve">dissertation topic to pursue a study that I was passionate about. </w:t>
      </w:r>
      <w:r w:rsidR="0087687B">
        <w:t>Secondly, I want to thank my academic support Nuala Davies</w:t>
      </w:r>
      <w:r w:rsidR="00E94EBB">
        <w:t xml:space="preserve"> for </w:t>
      </w:r>
      <w:proofErr w:type="gramStart"/>
      <w:r w:rsidR="00E94EBB">
        <w:t xml:space="preserve">all </w:t>
      </w:r>
      <w:r w:rsidR="00454427">
        <w:t>of</w:t>
      </w:r>
      <w:proofErr w:type="gramEnd"/>
      <w:r w:rsidR="00454427">
        <w:t xml:space="preserve"> her encouragement over the past year of writing this dissertation.</w:t>
      </w:r>
    </w:p>
    <w:p w14:paraId="030E3631" w14:textId="67A5616A" w:rsidR="0000721F" w:rsidRDefault="009150C4" w:rsidP="00A5429A">
      <w:pPr>
        <w:spacing w:line="360" w:lineRule="auto"/>
      </w:pPr>
      <w:r>
        <w:t xml:space="preserve">Closer to home, I </w:t>
      </w:r>
      <w:r w:rsidR="00DA015A">
        <w:t xml:space="preserve">have had my personal family history </w:t>
      </w:r>
      <w:r w:rsidR="00E94EBB">
        <w:t xml:space="preserve">and stories </w:t>
      </w:r>
      <w:r w:rsidR="00DA015A">
        <w:t xml:space="preserve">of baking and meals passed down to me through the </w:t>
      </w:r>
      <w:r w:rsidR="00DC7DCB">
        <w:t>generations</w:t>
      </w:r>
      <w:r w:rsidR="00964620">
        <w:t xml:space="preserve">. I </w:t>
      </w:r>
      <w:r w:rsidR="00247601">
        <w:t xml:space="preserve">have been raised with the warm feelings of home and </w:t>
      </w:r>
      <w:r w:rsidR="007875DA">
        <w:t>comfort coming from the kitchen</w:t>
      </w:r>
      <w:r w:rsidR="006605AF">
        <w:t xml:space="preserve"> thanks to my </w:t>
      </w:r>
      <w:r w:rsidR="00DC7DCB">
        <w:t>mum and nans</w:t>
      </w:r>
      <w:r w:rsidR="00964620">
        <w:t xml:space="preserve"> </w:t>
      </w:r>
      <w:r w:rsidR="00713B01">
        <w:t xml:space="preserve">and this has encouraged me to want to delve deeper into </w:t>
      </w:r>
      <w:r w:rsidR="00CC7D9F">
        <w:t xml:space="preserve">Welsh food heritage and traditions and the way we keep these stories alive. </w:t>
      </w:r>
      <w:r w:rsidR="00837873">
        <w:br/>
      </w:r>
      <w:r w:rsidR="00DC7DCB">
        <w:t>Since</w:t>
      </w:r>
      <w:r w:rsidR="00DA015A">
        <w:t xml:space="preserve"> </w:t>
      </w:r>
      <w:r w:rsidR="00837873">
        <w:t>starting</w:t>
      </w:r>
      <w:r w:rsidR="00DA015A">
        <w:t xml:space="preserve"> my friendship </w:t>
      </w:r>
      <w:r w:rsidR="00837873">
        <w:t>with</w:t>
      </w:r>
      <w:r w:rsidR="00DA015A">
        <w:t xml:space="preserve"> Hazel Thomas </w:t>
      </w:r>
      <w:r w:rsidR="008159DC">
        <w:t xml:space="preserve">she </w:t>
      </w:r>
      <w:r w:rsidR="00D94AC5">
        <w:t>has encouraged me on a personal and research</w:t>
      </w:r>
      <w:r w:rsidR="00964620">
        <w:t xml:space="preserve">er </w:t>
      </w:r>
      <w:r w:rsidR="00D94AC5">
        <w:t>level,</w:t>
      </w:r>
      <w:r w:rsidR="00554838">
        <w:t xml:space="preserve"> </w:t>
      </w:r>
      <w:r w:rsidR="00CF4218">
        <w:t xml:space="preserve">helping me pursue this topic </w:t>
      </w:r>
      <w:r w:rsidR="00837873">
        <w:t>once</w:t>
      </w:r>
      <w:r w:rsidR="00CF4218">
        <w:t xml:space="preserve"> she saw my passion for it</w:t>
      </w:r>
      <w:r w:rsidR="00DA015A">
        <w:t xml:space="preserve">. </w:t>
      </w:r>
      <w:r w:rsidR="00837873">
        <w:t>Your skills, insight and passion</w:t>
      </w:r>
      <w:r w:rsidR="00CC7D9F">
        <w:t xml:space="preserve"> for baking and communities</w:t>
      </w:r>
      <w:r w:rsidR="00837873">
        <w:t xml:space="preserve"> have been truly </w:t>
      </w:r>
      <w:r w:rsidR="00AA1E72">
        <w:t>inspirational.</w:t>
      </w:r>
    </w:p>
    <w:p w14:paraId="51D5EFB6" w14:textId="67A44E2C" w:rsidR="00014058" w:rsidRDefault="00EF392E" w:rsidP="00A5429A">
      <w:pPr>
        <w:spacing w:line="360" w:lineRule="auto"/>
      </w:pPr>
      <w:r>
        <w:t xml:space="preserve">To my friends, thank you for forever being patient </w:t>
      </w:r>
      <w:r w:rsidR="00AF52E0">
        <w:t>and so supportive of me. Your friendship and kind words have helped me immensely when</w:t>
      </w:r>
      <w:r w:rsidR="00EE0D31">
        <w:t xml:space="preserve">ever I needed to </w:t>
      </w:r>
      <w:r w:rsidR="009F5E35">
        <w:t>laugh</w:t>
      </w:r>
      <w:r w:rsidR="00A5429A">
        <w:t xml:space="preserve"> or have a break</w:t>
      </w:r>
      <w:r w:rsidR="00306A11">
        <w:t xml:space="preserve">, </w:t>
      </w:r>
      <w:r w:rsidR="007B27D3">
        <w:t>or even sending feel good videos</w:t>
      </w:r>
      <w:r w:rsidR="00306A11">
        <w:t xml:space="preserve">. </w:t>
      </w:r>
      <w:r w:rsidR="002B5AEB">
        <w:t>To Alex, thank you. Thank you for being a pillar of support through my undergraduate and masters, thank you for believing in me when I did not believe in myself</w:t>
      </w:r>
      <w:r w:rsidR="00306A11">
        <w:t>.</w:t>
      </w:r>
    </w:p>
    <w:p w14:paraId="0E1B8D4E" w14:textId="77777777" w:rsidR="004504EA" w:rsidRDefault="004504EA" w:rsidP="004504EA">
      <w:pPr>
        <w:spacing w:line="360" w:lineRule="auto"/>
      </w:pPr>
      <w:r>
        <w:t xml:space="preserve">To my family, especially my parents Amanda and Andrew, thank you for your unconditional love and support. For your constant encouragement and understanding for when I go off the radar and throw myself in to work and studies. Thank you for reminding me that I am capable of doing my Masters and believing me every step of the way. You are some of the strongest people I know and that has given me the strength to do this. I want to dedicate this dissertation to you all, and also to my </w:t>
      </w:r>
      <w:proofErr w:type="spellStart"/>
      <w:r>
        <w:t>Bamps</w:t>
      </w:r>
      <w:proofErr w:type="spellEnd"/>
      <w:r>
        <w:t xml:space="preserve"> Patrick, Nan Meryl, Nan Rae and </w:t>
      </w:r>
      <w:proofErr w:type="spellStart"/>
      <w:r>
        <w:t>Bampi</w:t>
      </w:r>
      <w:proofErr w:type="spellEnd"/>
      <w:r>
        <w:t xml:space="preserve"> Terry, who always encouraged me to realise what is important in life and how to pursue that. Even though the last three of them never saw me attend university I know that every single one of them have been with me on every step of this journey.</w:t>
      </w:r>
      <w:r w:rsidRPr="003A6B98">
        <w:t xml:space="preserve"> </w:t>
      </w:r>
      <w:proofErr w:type="spellStart"/>
      <w:r>
        <w:t>εїз</w:t>
      </w:r>
      <w:proofErr w:type="spellEnd"/>
    </w:p>
    <w:p w14:paraId="76C20486" w14:textId="0C3471A8" w:rsidR="00014058" w:rsidRDefault="00014058"/>
    <w:p w14:paraId="52F8FFF0" w14:textId="357F8616" w:rsidR="00014058" w:rsidRDefault="00014058"/>
    <w:p w14:paraId="7847C30B" w14:textId="12C4F979" w:rsidR="00014058" w:rsidRDefault="00014058"/>
    <w:p w14:paraId="29A34FE7" w14:textId="793D2C8D" w:rsidR="008A258B" w:rsidRDefault="008A258B"/>
    <w:p w14:paraId="3AE3230C" w14:textId="36C446B9" w:rsidR="008A258B" w:rsidRDefault="008A258B"/>
    <w:p w14:paraId="22D9E600" w14:textId="1C5949B8" w:rsidR="008A258B" w:rsidRDefault="008A258B"/>
    <w:p w14:paraId="286DE8C5" w14:textId="1B8787A3" w:rsidR="008A258B" w:rsidRDefault="008A258B"/>
    <w:sdt>
      <w:sdtPr>
        <w:rPr>
          <w:rFonts w:asciiTheme="minorHAnsi" w:eastAsiaTheme="minorHAnsi" w:hAnsiTheme="minorHAnsi" w:cstheme="minorBidi"/>
          <w:b w:val="0"/>
          <w:sz w:val="22"/>
          <w:szCs w:val="22"/>
          <w:lang w:eastAsia="en-US"/>
        </w:rPr>
        <w:id w:val="-752350854"/>
        <w:docPartObj>
          <w:docPartGallery w:val="Table of Contents"/>
          <w:docPartUnique/>
        </w:docPartObj>
      </w:sdtPr>
      <w:sdtEndPr>
        <w:rPr>
          <w:bCs/>
        </w:rPr>
      </w:sdtEndPr>
      <w:sdtContent>
        <w:p w14:paraId="2B89A814" w14:textId="7C5DE5F5" w:rsidR="00014058" w:rsidRPr="00414786" w:rsidRDefault="00014058" w:rsidP="00414786">
          <w:pPr>
            <w:pStyle w:val="TOCHeading"/>
            <w:jc w:val="center"/>
            <w:rPr>
              <w:sz w:val="40"/>
              <w:szCs w:val="48"/>
            </w:rPr>
          </w:pPr>
          <w:r w:rsidRPr="00414786">
            <w:rPr>
              <w:sz w:val="40"/>
              <w:szCs w:val="48"/>
            </w:rPr>
            <w:t>Contents</w:t>
          </w:r>
        </w:p>
        <w:p w14:paraId="394BDF71" w14:textId="77777777" w:rsidR="00E334F6" w:rsidRPr="00414786" w:rsidRDefault="00E334F6" w:rsidP="00E334F6">
          <w:pPr>
            <w:rPr>
              <w:sz w:val="28"/>
              <w:szCs w:val="28"/>
              <w:lang w:eastAsia="en-GB"/>
            </w:rPr>
          </w:pPr>
        </w:p>
        <w:p w14:paraId="7F48B97D" w14:textId="321C3923" w:rsidR="00022722" w:rsidRPr="00022722" w:rsidRDefault="00014058">
          <w:pPr>
            <w:pStyle w:val="TOC1"/>
            <w:tabs>
              <w:tab w:val="right" w:leader="dot" w:pos="9016"/>
            </w:tabs>
            <w:rPr>
              <w:rFonts w:eastAsiaTheme="minorEastAsia"/>
              <w:noProof/>
              <w:sz w:val="24"/>
              <w:szCs w:val="24"/>
              <w:lang w:eastAsia="en-GB"/>
            </w:rPr>
          </w:pPr>
          <w:r w:rsidRPr="00022722">
            <w:rPr>
              <w:sz w:val="24"/>
              <w:szCs w:val="24"/>
            </w:rPr>
            <w:fldChar w:fldCharType="begin"/>
          </w:r>
          <w:r w:rsidRPr="00022722">
            <w:rPr>
              <w:sz w:val="24"/>
              <w:szCs w:val="24"/>
            </w:rPr>
            <w:instrText xml:space="preserve"> TOC \o "1-3" \h \z \u </w:instrText>
          </w:r>
          <w:r w:rsidRPr="00022722">
            <w:rPr>
              <w:sz w:val="24"/>
              <w:szCs w:val="24"/>
            </w:rPr>
            <w:fldChar w:fldCharType="separate"/>
          </w:r>
          <w:hyperlink w:anchor="_Toc125482487" w:history="1">
            <w:r w:rsidR="00022722" w:rsidRPr="00022722">
              <w:rPr>
                <w:rStyle w:val="Hyperlink"/>
                <w:noProof/>
                <w:sz w:val="24"/>
                <w:szCs w:val="24"/>
              </w:rPr>
              <w:t>Abstract</w:t>
            </w:r>
            <w:r w:rsidR="00022722" w:rsidRPr="00022722">
              <w:rPr>
                <w:noProof/>
                <w:webHidden/>
                <w:sz w:val="24"/>
                <w:szCs w:val="24"/>
              </w:rPr>
              <w:tab/>
            </w:r>
            <w:r w:rsidR="00022722" w:rsidRPr="00022722">
              <w:rPr>
                <w:noProof/>
                <w:webHidden/>
                <w:sz w:val="24"/>
                <w:szCs w:val="24"/>
              </w:rPr>
              <w:fldChar w:fldCharType="begin"/>
            </w:r>
            <w:r w:rsidR="00022722" w:rsidRPr="00022722">
              <w:rPr>
                <w:noProof/>
                <w:webHidden/>
                <w:sz w:val="24"/>
                <w:szCs w:val="24"/>
              </w:rPr>
              <w:instrText xml:space="preserve"> PAGEREF _Toc125482487 \h </w:instrText>
            </w:r>
            <w:r w:rsidR="00022722" w:rsidRPr="00022722">
              <w:rPr>
                <w:noProof/>
                <w:webHidden/>
                <w:sz w:val="24"/>
                <w:szCs w:val="24"/>
              </w:rPr>
            </w:r>
            <w:r w:rsidR="00022722" w:rsidRPr="00022722">
              <w:rPr>
                <w:noProof/>
                <w:webHidden/>
                <w:sz w:val="24"/>
                <w:szCs w:val="24"/>
              </w:rPr>
              <w:fldChar w:fldCharType="separate"/>
            </w:r>
            <w:r w:rsidR="003C27EE">
              <w:rPr>
                <w:noProof/>
                <w:webHidden/>
                <w:sz w:val="24"/>
                <w:szCs w:val="24"/>
              </w:rPr>
              <w:t>4</w:t>
            </w:r>
            <w:r w:rsidR="00022722" w:rsidRPr="00022722">
              <w:rPr>
                <w:noProof/>
                <w:webHidden/>
                <w:sz w:val="24"/>
                <w:szCs w:val="24"/>
              </w:rPr>
              <w:fldChar w:fldCharType="end"/>
            </w:r>
          </w:hyperlink>
        </w:p>
        <w:p w14:paraId="2400FA48" w14:textId="51BF9D95" w:rsidR="00022722" w:rsidRPr="00022722" w:rsidRDefault="00022722">
          <w:pPr>
            <w:pStyle w:val="TOC1"/>
            <w:tabs>
              <w:tab w:val="right" w:leader="dot" w:pos="9016"/>
            </w:tabs>
            <w:rPr>
              <w:rFonts w:eastAsiaTheme="minorEastAsia"/>
              <w:noProof/>
              <w:sz w:val="24"/>
              <w:szCs w:val="24"/>
              <w:lang w:eastAsia="en-GB"/>
            </w:rPr>
          </w:pPr>
          <w:hyperlink w:anchor="_Toc125482488" w:history="1">
            <w:r w:rsidRPr="00022722">
              <w:rPr>
                <w:rStyle w:val="Hyperlink"/>
                <w:noProof/>
                <w:sz w:val="24"/>
                <w:szCs w:val="24"/>
              </w:rPr>
              <w:t>Chapter 1 - Introduction</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_Toc125482488 \h </w:instrText>
            </w:r>
            <w:r w:rsidRPr="00022722">
              <w:rPr>
                <w:noProof/>
                <w:webHidden/>
                <w:sz w:val="24"/>
                <w:szCs w:val="24"/>
              </w:rPr>
            </w:r>
            <w:r w:rsidRPr="00022722">
              <w:rPr>
                <w:noProof/>
                <w:webHidden/>
                <w:sz w:val="24"/>
                <w:szCs w:val="24"/>
              </w:rPr>
              <w:fldChar w:fldCharType="separate"/>
            </w:r>
            <w:r w:rsidR="003C27EE">
              <w:rPr>
                <w:noProof/>
                <w:webHidden/>
                <w:sz w:val="24"/>
                <w:szCs w:val="24"/>
              </w:rPr>
              <w:t>5</w:t>
            </w:r>
            <w:r w:rsidRPr="00022722">
              <w:rPr>
                <w:noProof/>
                <w:webHidden/>
                <w:sz w:val="24"/>
                <w:szCs w:val="24"/>
              </w:rPr>
              <w:fldChar w:fldCharType="end"/>
            </w:r>
          </w:hyperlink>
        </w:p>
        <w:p w14:paraId="548E5806" w14:textId="78E01B50" w:rsidR="00022722" w:rsidRPr="00022722" w:rsidRDefault="00022722">
          <w:pPr>
            <w:pStyle w:val="TOC1"/>
            <w:tabs>
              <w:tab w:val="right" w:leader="dot" w:pos="9016"/>
            </w:tabs>
            <w:rPr>
              <w:rFonts w:eastAsiaTheme="minorEastAsia"/>
              <w:noProof/>
              <w:sz w:val="24"/>
              <w:szCs w:val="24"/>
              <w:lang w:eastAsia="en-GB"/>
            </w:rPr>
          </w:pPr>
          <w:r w:rsidRPr="00022722">
            <w:rPr>
              <w:rStyle w:val="Hyperlink"/>
              <w:noProof/>
              <w:sz w:val="24"/>
              <w:szCs w:val="24"/>
              <w:u w:val="none"/>
            </w:rPr>
            <w:t xml:space="preserve">             </w:t>
          </w:r>
          <w:hyperlink w:anchor="_Toc125482489" w:history="1">
            <w:r w:rsidRPr="00022722">
              <w:rPr>
                <w:rStyle w:val="Hyperlink"/>
                <w:rFonts w:cstheme="majorHAnsi"/>
                <w:noProof/>
                <w:sz w:val="24"/>
                <w:szCs w:val="24"/>
              </w:rPr>
              <w:t>1.1 Introduction</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_Toc125482489 \h </w:instrText>
            </w:r>
            <w:r w:rsidRPr="00022722">
              <w:rPr>
                <w:noProof/>
                <w:webHidden/>
                <w:sz w:val="24"/>
                <w:szCs w:val="24"/>
              </w:rPr>
            </w:r>
            <w:r w:rsidRPr="00022722">
              <w:rPr>
                <w:noProof/>
                <w:webHidden/>
                <w:sz w:val="24"/>
                <w:szCs w:val="24"/>
              </w:rPr>
              <w:fldChar w:fldCharType="separate"/>
            </w:r>
            <w:r w:rsidR="003C27EE">
              <w:rPr>
                <w:noProof/>
                <w:webHidden/>
                <w:sz w:val="24"/>
                <w:szCs w:val="24"/>
              </w:rPr>
              <w:t>5</w:t>
            </w:r>
            <w:r w:rsidRPr="00022722">
              <w:rPr>
                <w:noProof/>
                <w:webHidden/>
                <w:sz w:val="24"/>
                <w:szCs w:val="24"/>
              </w:rPr>
              <w:fldChar w:fldCharType="end"/>
            </w:r>
          </w:hyperlink>
        </w:p>
        <w:p w14:paraId="73D3BD09" w14:textId="2B354C16" w:rsidR="00022722" w:rsidRPr="00022722" w:rsidRDefault="00022722">
          <w:pPr>
            <w:pStyle w:val="TOC1"/>
            <w:tabs>
              <w:tab w:val="right" w:leader="dot" w:pos="9016"/>
            </w:tabs>
            <w:rPr>
              <w:rFonts w:eastAsiaTheme="minorEastAsia"/>
              <w:noProof/>
              <w:sz w:val="24"/>
              <w:szCs w:val="24"/>
              <w:lang w:eastAsia="en-GB"/>
            </w:rPr>
          </w:pPr>
          <w:r w:rsidRPr="00022722">
            <w:rPr>
              <w:rStyle w:val="Hyperlink"/>
              <w:noProof/>
              <w:sz w:val="24"/>
              <w:szCs w:val="24"/>
              <w:u w:val="none"/>
            </w:rPr>
            <w:t xml:space="preserve">             </w:t>
          </w:r>
          <w:hyperlink w:anchor="_Toc125482490" w:history="1">
            <w:r w:rsidRPr="00022722">
              <w:rPr>
                <w:rStyle w:val="Hyperlink"/>
                <w:rFonts w:cstheme="majorHAnsi"/>
                <w:noProof/>
                <w:sz w:val="24"/>
                <w:szCs w:val="24"/>
              </w:rPr>
              <w:t>1.2 Literature Review</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_Toc125482490 \h </w:instrText>
            </w:r>
            <w:r w:rsidRPr="00022722">
              <w:rPr>
                <w:noProof/>
                <w:webHidden/>
                <w:sz w:val="24"/>
                <w:szCs w:val="24"/>
              </w:rPr>
            </w:r>
            <w:r w:rsidRPr="00022722">
              <w:rPr>
                <w:noProof/>
                <w:webHidden/>
                <w:sz w:val="24"/>
                <w:szCs w:val="24"/>
              </w:rPr>
              <w:fldChar w:fldCharType="separate"/>
            </w:r>
            <w:r w:rsidR="003C27EE">
              <w:rPr>
                <w:noProof/>
                <w:webHidden/>
                <w:sz w:val="24"/>
                <w:szCs w:val="24"/>
              </w:rPr>
              <w:t>5</w:t>
            </w:r>
            <w:r w:rsidRPr="00022722">
              <w:rPr>
                <w:noProof/>
                <w:webHidden/>
                <w:sz w:val="24"/>
                <w:szCs w:val="24"/>
              </w:rPr>
              <w:fldChar w:fldCharType="end"/>
            </w:r>
          </w:hyperlink>
        </w:p>
        <w:p w14:paraId="1D0800D3" w14:textId="4F013F9C" w:rsidR="00022722" w:rsidRPr="00022722" w:rsidRDefault="00022722">
          <w:pPr>
            <w:pStyle w:val="TOC1"/>
            <w:tabs>
              <w:tab w:val="right" w:leader="dot" w:pos="9016"/>
            </w:tabs>
            <w:rPr>
              <w:rFonts w:eastAsiaTheme="minorEastAsia"/>
              <w:noProof/>
              <w:sz w:val="24"/>
              <w:szCs w:val="24"/>
              <w:lang w:eastAsia="en-GB"/>
            </w:rPr>
          </w:pPr>
          <w:r w:rsidRPr="00022722">
            <w:rPr>
              <w:rStyle w:val="Hyperlink"/>
              <w:noProof/>
              <w:sz w:val="24"/>
              <w:szCs w:val="24"/>
              <w:u w:val="none"/>
            </w:rPr>
            <w:t xml:space="preserve">             </w:t>
          </w:r>
          <w:hyperlink w:anchor="_Toc125482491" w:history="1">
            <w:r w:rsidRPr="00022722">
              <w:rPr>
                <w:rStyle w:val="Hyperlink"/>
                <w:rFonts w:cstheme="majorHAnsi"/>
                <w:noProof/>
                <w:sz w:val="24"/>
                <w:szCs w:val="24"/>
              </w:rPr>
              <w:t>1.3 Methodology</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_Toc125482491 \h </w:instrText>
            </w:r>
            <w:r w:rsidRPr="00022722">
              <w:rPr>
                <w:noProof/>
                <w:webHidden/>
                <w:sz w:val="24"/>
                <w:szCs w:val="24"/>
              </w:rPr>
            </w:r>
            <w:r w:rsidRPr="00022722">
              <w:rPr>
                <w:noProof/>
                <w:webHidden/>
                <w:sz w:val="24"/>
                <w:szCs w:val="24"/>
              </w:rPr>
              <w:fldChar w:fldCharType="separate"/>
            </w:r>
            <w:r w:rsidR="003C27EE">
              <w:rPr>
                <w:noProof/>
                <w:webHidden/>
                <w:sz w:val="24"/>
                <w:szCs w:val="24"/>
              </w:rPr>
              <w:t>10</w:t>
            </w:r>
            <w:r w:rsidRPr="00022722">
              <w:rPr>
                <w:noProof/>
                <w:webHidden/>
                <w:sz w:val="24"/>
                <w:szCs w:val="24"/>
              </w:rPr>
              <w:fldChar w:fldCharType="end"/>
            </w:r>
          </w:hyperlink>
        </w:p>
        <w:p w14:paraId="5714708C" w14:textId="4FE0F40A" w:rsidR="00022722" w:rsidRPr="00022722" w:rsidRDefault="00022722">
          <w:pPr>
            <w:pStyle w:val="TOC1"/>
            <w:tabs>
              <w:tab w:val="right" w:leader="dot" w:pos="9016"/>
            </w:tabs>
            <w:rPr>
              <w:rFonts w:eastAsiaTheme="minorEastAsia"/>
              <w:noProof/>
              <w:sz w:val="24"/>
              <w:szCs w:val="24"/>
              <w:lang w:eastAsia="en-GB"/>
            </w:rPr>
          </w:pPr>
          <w:hyperlink w:anchor="_Toc125482492" w:history="1">
            <w:r w:rsidRPr="00022722">
              <w:rPr>
                <w:rStyle w:val="Hyperlink"/>
                <w:noProof/>
                <w:sz w:val="24"/>
                <w:szCs w:val="24"/>
              </w:rPr>
              <w:t>Chapter 2- What is Welsh food heritage? How does it emerge?</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_Toc125482492 \h </w:instrText>
            </w:r>
            <w:r w:rsidRPr="00022722">
              <w:rPr>
                <w:noProof/>
                <w:webHidden/>
                <w:sz w:val="24"/>
                <w:szCs w:val="24"/>
              </w:rPr>
            </w:r>
            <w:r w:rsidRPr="00022722">
              <w:rPr>
                <w:noProof/>
                <w:webHidden/>
                <w:sz w:val="24"/>
                <w:szCs w:val="24"/>
              </w:rPr>
              <w:fldChar w:fldCharType="separate"/>
            </w:r>
            <w:r w:rsidR="003C27EE">
              <w:rPr>
                <w:noProof/>
                <w:webHidden/>
                <w:sz w:val="24"/>
                <w:szCs w:val="24"/>
              </w:rPr>
              <w:t>12</w:t>
            </w:r>
            <w:r w:rsidRPr="00022722">
              <w:rPr>
                <w:noProof/>
                <w:webHidden/>
                <w:sz w:val="24"/>
                <w:szCs w:val="24"/>
              </w:rPr>
              <w:fldChar w:fldCharType="end"/>
            </w:r>
          </w:hyperlink>
        </w:p>
        <w:p w14:paraId="462E9927" w14:textId="6BA77616" w:rsidR="00022722" w:rsidRPr="00022722" w:rsidRDefault="00022722">
          <w:pPr>
            <w:pStyle w:val="TOC1"/>
            <w:tabs>
              <w:tab w:val="right" w:leader="dot" w:pos="9016"/>
            </w:tabs>
            <w:rPr>
              <w:rFonts w:eastAsiaTheme="minorEastAsia"/>
              <w:noProof/>
              <w:sz w:val="24"/>
              <w:szCs w:val="24"/>
              <w:lang w:eastAsia="en-GB"/>
            </w:rPr>
          </w:pPr>
          <w:hyperlink w:anchor="_Toc125482493" w:history="1">
            <w:r w:rsidRPr="00022722">
              <w:rPr>
                <w:rStyle w:val="Hyperlink"/>
                <w:noProof/>
                <w:sz w:val="24"/>
                <w:szCs w:val="24"/>
              </w:rPr>
              <w:t>Chapter 3: What is food representation in museums? How does Wales recognise this?</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_Toc125482493 \h </w:instrText>
            </w:r>
            <w:r w:rsidRPr="00022722">
              <w:rPr>
                <w:noProof/>
                <w:webHidden/>
                <w:sz w:val="24"/>
                <w:szCs w:val="24"/>
              </w:rPr>
            </w:r>
            <w:r w:rsidRPr="00022722">
              <w:rPr>
                <w:noProof/>
                <w:webHidden/>
                <w:sz w:val="24"/>
                <w:szCs w:val="24"/>
              </w:rPr>
              <w:fldChar w:fldCharType="separate"/>
            </w:r>
            <w:r w:rsidR="003C27EE">
              <w:rPr>
                <w:noProof/>
                <w:webHidden/>
                <w:sz w:val="24"/>
                <w:szCs w:val="24"/>
              </w:rPr>
              <w:t>28</w:t>
            </w:r>
            <w:r w:rsidRPr="00022722">
              <w:rPr>
                <w:noProof/>
                <w:webHidden/>
                <w:sz w:val="24"/>
                <w:szCs w:val="24"/>
              </w:rPr>
              <w:fldChar w:fldCharType="end"/>
            </w:r>
          </w:hyperlink>
        </w:p>
        <w:p w14:paraId="04B65566" w14:textId="0DBF1377" w:rsidR="00022722" w:rsidRPr="00022722" w:rsidRDefault="00022722">
          <w:pPr>
            <w:pStyle w:val="TOC1"/>
            <w:tabs>
              <w:tab w:val="right" w:leader="dot" w:pos="9016"/>
            </w:tabs>
            <w:rPr>
              <w:rFonts w:eastAsiaTheme="minorEastAsia"/>
              <w:noProof/>
              <w:sz w:val="24"/>
              <w:szCs w:val="24"/>
              <w:lang w:eastAsia="en-GB"/>
            </w:rPr>
          </w:pPr>
          <w:hyperlink w:anchor="_Toc125482494" w:history="1">
            <w:r w:rsidRPr="00022722">
              <w:rPr>
                <w:rStyle w:val="Hyperlink"/>
                <w:noProof/>
                <w:sz w:val="24"/>
                <w:szCs w:val="24"/>
              </w:rPr>
              <w:t>Chapter 4: Conclusion</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_Toc125482494 \h </w:instrText>
            </w:r>
            <w:r w:rsidRPr="00022722">
              <w:rPr>
                <w:noProof/>
                <w:webHidden/>
                <w:sz w:val="24"/>
                <w:szCs w:val="24"/>
              </w:rPr>
            </w:r>
            <w:r w:rsidRPr="00022722">
              <w:rPr>
                <w:noProof/>
                <w:webHidden/>
                <w:sz w:val="24"/>
                <w:szCs w:val="24"/>
              </w:rPr>
              <w:fldChar w:fldCharType="separate"/>
            </w:r>
            <w:r w:rsidR="003C27EE">
              <w:rPr>
                <w:noProof/>
                <w:webHidden/>
                <w:sz w:val="24"/>
                <w:szCs w:val="24"/>
              </w:rPr>
              <w:t>55</w:t>
            </w:r>
            <w:r w:rsidRPr="00022722">
              <w:rPr>
                <w:noProof/>
                <w:webHidden/>
                <w:sz w:val="24"/>
                <w:szCs w:val="24"/>
              </w:rPr>
              <w:fldChar w:fldCharType="end"/>
            </w:r>
          </w:hyperlink>
        </w:p>
        <w:p w14:paraId="61F6D091" w14:textId="091FC60A" w:rsidR="00022722" w:rsidRPr="00022722" w:rsidRDefault="00022722">
          <w:pPr>
            <w:pStyle w:val="TOC1"/>
            <w:tabs>
              <w:tab w:val="right" w:leader="dot" w:pos="9016"/>
            </w:tabs>
            <w:rPr>
              <w:rFonts w:eastAsiaTheme="minorEastAsia"/>
              <w:noProof/>
              <w:sz w:val="24"/>
              <w:szCs w:val="24"/>
              <w:lang w:eastAsia="en-GB"/>
            </w:rPr>
          </w:pPr>
          <w:hyperlink w:anchor="_Toc125482495" w:history="1">
            <w:r w:rsidRPr="00022722">
              <w:rPr>
                <w:rStyle w:val="Hyperlink"/>
                <w:rFonts w:cstheme="majorHAnsi"/>
                <w:noProof/>
                <w:sz w:val="24"/>
                <w:szCs w:val="24"/>
              </w:rPr>
              <w:t>Bibliography</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_Toc125482495 \h </w:instrText>
            </w:r>
            <w:r w:rsidRPr="00022722">
              <w:rPr>
                <w:noProof/>
                <w:webHidden/>
                <w:sz w:val="24"/>
                <w:szCs w:val="24"/>
              </w:rPr>
            </w:r>
            <w:r w:rsidRPr="00022722">
              <w:rPr>
                <w:noProof/>
                <w:webHidden/>
                <w:sz w:val="24"/>
                <w:szCs w:val="24"/>
              </w:rPr>
              <w:fldChar w:fldCharType="separate"/>
            </w:r>
            <w:r w:rsidR="003C27EE">
              <w:rPr>
                <w:noProof/>
                <w:webHidden/>
                <w:sz w:val="24"/>
                <w:szCs w:val="24"/>
              </w:rPr>
              <w:t>58</w:t>
            </w:r>
            <w:r w:rsidRPr="00022722">
              <w:rPr>
                <w:noProof/>
                <w:webHidden/>
                <w:sz w:val="24"/>
                <w:szCs w:val="24"/>
              </w:rPr>
              <w:fldChar w:fldCharType="end"/>
            </w:r>
          </w:hyperlink>
        </w:p>
        <w:p w14:paraId="54AC3273" w14:textId="627651A8" w:rsidR="00022722" w:rsidRPr="00022722" w:rsidRDefault="00022722">
          <w:pPr>
            <w:pStyle w:val="TOC1"/>
            <w:tabs>
              <w:tab w:val="right" w:leader="dot" w:pos="9016"/>
            </w:tabs>
            <w:rPr>
              <w:rFonts w:eastAsiaTheme="minorEastAsia"/>
              <w:noProof/>
              <w:sz w:val="24"/>
              <w:szCs w:val="24"/>
              <w:lang w:eastAsia="en-GB"/>
            </w:rPr>
          </w:pPr>
          <w:hyperlink w:anchor="_Toc125482496" w:history="1">
            <w:r w:rsidRPr="00022722">
              <w:rPr>
                <w:rStyle w:val="Hyperlink"/>
                <w:noProof/>
                <w:sz w:val="24"/>
                <w:szCs w:val="24"/>
              </w:rPr>
              <w:t>Table of Figures</w:t>
            </w:r>
            <w:r w:rsidRPr="00022722">
              <w:rPr>
                <w:noProof/>
                <w:webHidden/>
                <w:sz w:val="24"/>
                <w:szCs w:val="24"/>
              </w:rPr>
              <w:tab/>
            </w:r>
            <w:r w:rsidRPr="00022722">
              <w:rPr>
                <w:noProof/>
                <w:webHidden/>
                <w:sz w:val="24"/>
                <w:szCs w:val="24"/>
              </w:rPr>
              <w:fldChar w:fldCharType="begin"/>
            </w:r>
            <w:r w:rsidRPr="00022722">
              <w:rPr>
                <w:noProof/>
                <w:webHidden/>
                <w:sz w:val="24"/>
                <w:szCs w:val="24"/>
              </w:rPr>
              <w:instrText xml:space="preserve"> PAGEREF _Toc125482496 \h </w:instrText>
            </w:r>
            <w:r w:rsidRPr="00022722">
              <w:rPr>
                <w:noProof/>
                <w:webHidden/>
                <w:sz w:val="24"/>
                <w:szCs w:val="24"/>
              </w:rPr>
            </w:r>
            <w:r w:rsidRPr="00022722">
              <w:rPr>
                <w:noProof/>
                <w:webHidden/>
                <w:sz w:val="24"/>
                <w:szCs w:val="24"/>
              </w:rPr>
              <w:fldChar w:fldCharType="separate"/>
            </w:r>
            <w:r w:rsidR="003C27EE">
              <w:rPr>
                <w:noProof/>
                <w:webHidden/>
                <w:sz w:val="24"/>
                <w:szCs w:val="24"/>
              </w:rPr>
              <w:t>65</w:t>
            </w:r>
            <w:r w:rsidRPr="00022722">
              <w:rPr>
                <w:noProof/>
                <w:webHidden/>
                <w:sz w:val="24"/>
                <w:szCs w:val="24"/>
              </w:rPr>
              <w:fldChar w:fldCharType="end"/>
            </w:r>
          </w:hyperlink>
        </w:p>
        <w:p w14:paraId="5B01C395" w14:textId="6D185591" w:rsidR="00014058" w:rsidRDefault="00014058">
          <w:r w:rsidRPr="00022722">
            <w:rPr>
              <w:b/>
              <w:bCs/>
              <w:sz w:val="24"/>
              <w:szCs w:val="24"/>
            </w:rPr>
            <w:fldChar w:fldCharType="end"/>
          </w:r>
        </w:p>
      </w:sdtContent>
    </w:sdt>
    <w:p w14:paraId="7D1C28D1" w14:textId="5EFA8D31" w:rsidR="00014058" w:rsidRDefault="00014058"/>
    <w:p w14:paraId="4D078085" w14:textId="33DA417D" w:rsidR="00014058" w:rsidRDefault="00014058"/>
    <w:p w14:paraId="570F23B6" w14:textId="7AD9EC02" w:rsidR="00014058" w:rsidRDefault="00014058"/>
    <w:p w14:paraId="15400257" w14:textId="53A66F96" w:rsidR="00014058" w:rsidRDefault="00014058"/>
    <w:p w14:paraId="3313BF3C" w14:textId="179C304C" w:rsidR="00014058" w:rsidRDefault="00014058"/>
    <w:p w14:paraId="5DF5A2BB" w14:textId="3370D8F2" w:rsidR="00014058" w:rsidRDefault="00014058"/>
    <w:p w14:paraId="0B3F7CCE" w14:textId="1DA3A9DA" w:rsidR="00014058" w:rsidRDefault="00014058"/>
    <w:p w14:paraId="2AB7E0D2" w14:textId="6B389CD9" w:rsidR="00014058" w:rsidRDefault="00014058"/>
    <w:p w14:paraId="75E61263" w14:textId="2D65F76B" w:rsidR="00014058" w:rsidRDefault="00014058"/>
    <w:p w14:paraId="3BD191F2" w14:textId="43B05052" w:rsidR="00022722" w:rsidRDefault="00022722"/>
    <w:p w14:paraId="5E06355A" w14:textId="2F399630" w:rsidR="00022722" w:rsidRDefault="00022722"/>
    <w:p w14:paraId="4F4376C5" w14:textId="6A303A68" w:rsidR="00022722" w:rsidRDefault="00022722"/>
    <w:p w14:paraId="573D95A0" w14:textId="77777777" w:rsidR="00022722" w:rsidRDefault="00022722"/>
    <w:p w14:paraId="6E024479" w14:textId="6809C97F" w:rsidR="00014058" w:rsidRDefault="00014058"/>
    <w:p w14:paraId="5A83EA92" w14:textId="11CAD04A" w:rsidR="00014058" w:rsidRDefault="00014058"/>
    <w:p w14:paraId="2CA553EB" w14:textId="3DBD0595" w:rsidR="00014058" w:rsidRDefault="00014058"/>
    <w:p w14:paraId="178BF3A8" w14:textId="77777777" w:rsidR="00022722" w:rsidRDefault="00022722"/>
    <w:p w14:paraId="7BB44086" w14:textId="77777777" w:rsidR="00022722" w:rsidRPr="00604AD1" w:rsidRDefault="00022722" w:rsidP="00022722">
      <w:pPr>
        <w:pStyle w:val="Heading1"/>
        <w:jc w:val="center"/>
        <w:rPr>
          <w:sz w:val="36"/>
          <w:szCs w:val="44"/>
        </w:rPr>
      </w:pPr>
      <w:bookmarkStart w:id="4" w:name="_Toc125482487"/>
      <w:r w:rsidRPr="00604AD1">
        <w:rPr>
          <w:sz w:val="36"/>
          <w:szCs w:val="44"/>
        </w:rPr>
        <w:lastRenderedPageBreak/>
        <w:t>Abstract</w:t>
      </w:r>
      <w:bookmarkEnd w:id="4"/>
    </w:p>
    <w:p w14:paraId="4D1C41B3" w14:textId="77777777" w:rsidR="00022722" w:rsidRDefault="00022722" w:rsidP="00022722"/>
    <w:p w14:paraId="501154F5" w14:textId="77777777" w:rsidR="00022722" w:rsidRPr="009334DE" w:rsidRDefault="00022722" w:rsidP="00022722"/>
    <w:p w14:paraId="43F5082E" w14:textId="274EEEEA" w:rsidR="00022722" w:rsidRPr="00706882" w:rsidRDefault="00022722" w:rsidP="00022722">
      <w:pPr>
        <w:spacing w:line="360" w:lineRule="auto"/>
        <w:rPr>
          <w:rFonts w:cstheme="minorHAnsi"/>
          <w:sz w:val="24"/>
          <w:szCs w:val="24"/>
        </w:rPr>
      </w:pPr>
      <w:r w:rsidRPr="00706882">
        <w:rPr>
          <w:rFonts w:cstheme="minorHAnsi"/>
          <w:sz w:val="24"/>
          <w:szCs w:val="24"/>
        </w:rPr>
        <w:t xml:space="preserve">Wales is not a country recognised famously for its food heritage, it is a country rich in culture and tradition and food falls </w:t>
      </w:r>
      <w:proofErr w:type="gramStart"/>
      <w:r w:rsidRPr="00706882">
        <w:rPr>
          <w:rFonts w:cstheme="minorHAnsi"/>
          <w:sz w:val="24"/>
          <w:szCs w:val="24"/>
        </w:rPr>
        <w:t>greatly within</w:t>
      </w:r>
      <w:proofErr w:type="gramEnd"/>
      <w:r w:rsidRPr="00706882">
        <w:rPr>
          <w:rFonts w:cstheme="minorHAnsi"/>
          <w:sz w:val="24"/>
          <w:szCs w:val="24"/>
        </w:rPr>
        <w:t xml:space="preserve"> that, but it is not often a conversation starter, especially within a museum context. </w:t>
      </w:r>
      <w:r w:rsidR="00246632" w:rsidRPr="00246632">
        <w:rPr>
          <w:rFonts w:cstheme="minorHAnsi"/>
          <w:sz w:val="24"/>
          <w:szCs w:val="24"/>
        </w:rPr>
        <w:t xml:space="preserve">Food is a key element in understanding culture and as museums play a crucial role in preserving local culture, it makes sense that they should go hand in hand. </w:t>
      </w:r>
      <w:r w:rsidRPr="00706882">
        <w:rPr>
          <w:rFonts w:cstheme="minorHAnsi"/>
          <w:sz w:val="24"/>
          <w:szCs w:val="24"/>
        </w:rPr>
        <w:t>This thesis aims to fill the gap within the Welsh food heritage and the museum studies landscape. The impact that food has made within communities, and the communities that food traditions have arisen from. This study shows the ways in which food heritage has adapted through locality, historical and colonial impact and the ways in which Welsh museums have represented that change and to what extent. It dissects the sense of national belonging explored between heritage sites and the importance of documenting culture for the purpose of conserving and safeguarding it.</w:t>
      </w:r>
    </w:p>
    <w:p w14:paraId="2A47AA00" w14:textId="77777777" w:rsidR="00022722" w:rsidRDefault="00022722" w:rsidP="00022722"/>
    <w:p w14:paraId="1A517AF3" w14:textId="77777777" w:rsidR="00022722" w:rsidRDefault="00022722" w:rsidP="00022722"/>
    <w:p w14:paraId="42E6718D" w14:textId="77777777" w:rsidR="00022722" w:rsidRDefault="00022722" w:rsidP="00022722"/>
    <w:p w14:paraId="225AD883" w14:textId="70A1FFE7" w:rsidR="00014058" w:rsidRDefault="00014058"/>
    <w:p w14:paraId="11E32686" w14:textId="5249A1D8" w:rsidR="00022722" w:rsidRDefault="00022722"/>
    <w:p w14:paraId="6DD2BA07" w14:textId="0CD81ACB" w:rsidR="00022722" w:rsidRDefault="00022722"/>
    <w:p w14:paraId="59888754" w14:textId="71EE3EF2" w:rsidR="00022722" w:rsidRDefault="00022722"/>
    <w:p w14:paraId="5BF1C086" w14:textId="4EA5EE1F" w:rsidR="00022722" w:rsidRDefault="00022722"/>
    <w:p w14:paraId="4EAD0429" w14:textId="52634DDD" w:rsidR="00022722" w:rsidRDefault="00022722"/>
    <w:p w14:paraId="46AEF818" w14:textId="54121415" w:rsidR="00022722" w:rsidRDefault="00022722"/>
    <w:p w14:paraId="54994723" w14:textId="1764A6E2" w:rsidR="00022722" w:rsidRDefault="00022722"/>
    <w:p w14:paraId="0B62E4C0" w14:textId="6854D7A1" w:rsidR="00022722" w:rsidRDefault="00022722"/>
    <w:p w14:paraId="19E12EBB" w14:textId="12867AFB" w:rsidR="00022722" w:rsidRDefault="00022722"/>
    <w:p w14:paraId="4C28B65D" w14:textId="72BDD63A" w:rsidR="00022722" w:rsidRDefault="00022722"/>
    <w:p w14:paraId="77D05BB7" w14:textId="02A206B4" w:rsidR="00022722" w:rsidRDefault="00022722"/>
    <w:p w14:paraId="1CE7C7D6" w14:textId="1466D6BC" w:rsidR="00022722" w:rsidRDefault="00022722"/>
    <w:p w14:paraId="4848B3A7" w14:textId="10187BAE" w:rsidR="00022722" w:rsidRDefault="00022722"/>
    <w:p w14:paraId="71A6317F" w14:textId="154D237C" w:rsidR="00014058" w:rsidRPr="00A03905" w:rsidRDefault="00A03905" w:rsidP="00A03905">
      <w:pPr>
        <w:pStyle w:val="Heading1"/>
        <w:jc w:val="center"/>
        <w:rPr>
          <w:sz w:val="36"/>
          <w:szCs w:val="44"/>
        </w:rPr>
      </w:pPr>
      <w:bookmarkStart w:id="5" w:name="_Toc125482488"/>
      <w:r w:rsidRPr="00A03905">
        <w:rPr>
          <w:sz w:val="36"/>
          <w:szCs w:val="44"/>
        </w:rPr>
        <w:lastRenderedPageBreak/>
        <w:t>Chapter 1 - Introduction</w:t>
      </w:r>
      <w:bookmarkEnd w:id="5"/>
    </w:p>
    <w:p w14:paraId="248306E1" w14:textId="51ABB7C9" w:rsidR="00014058" w:rsidRPr="00BE50E2" w:rsidRDefault="00014058" w:rsidP="00BE50E2">
      <w:pPr>
        <w:spacing w:line="360" w:lineRule="auto"/>
        <w:rPr>
          <w:rFonts w:asciiTheme="majorHAnsi" w:hAnsiTheme="majorHAnsi" w:cstheme="majorHAnsi"/>
          <w:sz w:val="24"/>
          <w:szCs w:val="24"/>
        </w:rPr>
      </w:pPr>
    </w:p>
    <w:p w14:paraId="7B19D2BF" w14:textId="28B6EDA3" w:rsidR="00014058" w:rsidRPr="00706882" w:rsidRDefault="00014058" w:rsidP="00BE50E2">
      <w:pPr>
        <w:spacing w:line="360" w:lineRule="auto"/>
        <w:rPr>
          <w:rFonts w:asciiTheme="majorHAnsi" w:hAnsiTheme="majorHAnsi" w:cstheme="majorHAnsi"/>
          <w:sz w:val="24"/>
          <w:szCs w:val="24"/>
        </w:rPr>
      </w:pPr>
    </w:p>
    <w:p w14:paraId="0CC7509F" w14:textId="7D60E836" w:rsidR="00014058" w:rsidRPr="00706882" w:rsidRDefault="00A03905" w:rsidP="00BE50E2">
      <w:pPr>
        <w:pStyle w:val="Heading1"/>
        <w:spacing w:line="360" w:lineRule="auto"/>
        <w:rPr>
          <w:rFonts w:cstheme="majorHAnsi"/>
          <w:szCs w:val="24"/>
        </w:rPr>
      </w:pPr>
      <w:bookmarkStart w:id="6" w:name="_Toc125482489"/>
      <w:r w:rsidRPr="00706882">
        <w:rPr>
          <w:rFonts w:cstheme="majorHAnsi"/>
          <w:szCs w:val="24"/>
        </w:rPr>
        <w:t xml:space="preserve">1.1 </w:t>
      </w:r>
      <w:r w:rsidR="00014058" w:rsidRPr="00706882">
        <w:rPr>
          <w:rFonts w:cstheme="majorHAnsi"/>
          <w:szCs w:val="24"/>
        </w:rPr>
        <w:t>Introduction</w:t>
      </w:r>
      <w:bookmarkEnd w:id="6"/>
      <w:r w:rsidR="00014058" w:rsidRPr="00706882">
        <w:rPr>
          <w:rFonts w:cstheme="majorHAnsi"/>
          <w:szCs w:val="24"/>
        </w:rPr>
        <w:t xml:space="preserve"> </w:t>
      </w:r>
    </w:p>
    <w:p w14:paraId="756DD7D3" w14:textId="77777777" w:rsidR="000D5C68" w:rsidRPr="00706882" w:rsidRDefault="000D5C68" w:rsidP="00BE50E2">
      <w:pPr>
        <w:pStyle w:val="paragraph"/>
        <w:spacing w:before="0" w:beforeAutospacing="0" w:after="0" w:afterAutospacing="0" w:line="360" w:lineRule="auto"/>
        <w:jc w:val="right"/>
        <w:textAlignment w:val="baseline"/>
        <w:rPr>
          <w:rFonts w:asciiTheme="majorHAnsi" w:hAnsiTheme="majorHAnsi" w:cstheme="majorHAnsi"/>
        </w:rPr>
      </w:pPr>
      <w:r w:rsidRPr="00706882">
        <w:rPr>
          <w:rStyle w:val="normaltextrun"/>
          <w:rFonts w:asciiTheme="majorHAnsi" w:hAnsiTheme="majorHAnsi" w:cstheme="majorHAnsi"/>
        </w:rPr>
        <w:t>“Home is where the hearth is,</w:t>
      </w:r>
      <w:r w:rsidRPr="00706882">
        <w:rPr>
          <w:rStyle w:val="eop"/>
          <w:rFonts w:asciiTheme="majorHAnsi" w:eastAsiaTheme="minorEastAsia" w:hAnsiTheme="majorHAnsi" w:cstheme="majorHAnsi"/>
        </w:rPr>
        <w:t> </w:t>
      </w:r>
    </w:p>
    <w:p w14:paraId="11FDA0E8" w14:textId="77777777" w:rsidR="000D5C68" w:rsidRPr="00706882" w:rsidRDefault="000D5C68" w:rsidP="00BE50E2">
      <w:pPr>
        <w:pStyle w:val="paragraph"/>
        <w:spacing w:before="0" w:beforeAutospacing="0" w:after="0" w:afterAutospacing="0" w:line="360" w:lineRule="auto"/>
        <w:jc w:val="right"/>
        <w:textAlignment w:val="baseline"/>
        <w:rPr>
          <w:rFonts w:asciiTheme="majorHAnsi" w:hAnsiTheme="majorHAnsi" w:cstheme="majorHAnsi"/>
        </w:rPr>
      </w:pPr>
      <w:r w:rsidRPr="00706882">
        <w:rPr>
          <w:rStyle w:val="normaltextrun"/>
          <w:rFonts w:asciiTheme="majorHAnsi" w:hAnsiTheme="majorHAnsi" w:cstheme="majorHAnsi"/>
        </w:rPr>
        <w:t xml:space="preserve">But we have always </w:t>
      </w:r>
      <w:proofErr w:type="gramStart"/>
      <w:r w:rsidRPr="00706882">
        <w:rPr>
          <w:rStyle w:val="normaltextrun"/>
          <w:rFonts w:asciiTheme="majorHAnsi" w:hAnsiTheme="majorHAnsi" w:cstheme="majorHAnsi"/>
        </w:rPr>
        <w:t>been tied</w:t>
      </w:r>
      <w:proofErr w:type="gramEnd"/>
      <w:r w:rsidRPr="00706882">
        <w:rPr>
          <w:rStyle w:val="normaltextrun"/>
          <w:rFonts w:asciiTheme="majorHAnsi" w:hAnsiTheme="majorHAnsi" w:cstheme="majorHAnsi"/>
        </w:rPr>
        <w:t xml:space="preserve"> to our land”</w:t>
      </w:r>
      <w:r w:rsidRPr="00706882">
        <w:rPr>
          <w:rStyle w:val="FootnoteReference"/>
          <w:rFonts w:asciiTheme="majorHAnsi" w:eastAsiaTheme="majorEastAsia" w:hAnsiTheme="majorHAnsi" w:cstheme="majorHAnsi"/>
        </w:rPr>
        <w:footnoteReference w:id="2"/>
      </w:r>
    </w:p>
    <w:p w14:paraId="68BC0F99" w14:textId="7392F210" w:rsidR="00014058" w:rsidRPr="00706882" w:rsidRDefault="00014058" w:rsidP="00BE50E2">
      <w:pPr>
        <w:spacing w:line="360" w:lineRule="auto"/>
        <w:jc w:val="right"/>
        <w:rPr>
          <w:rFonts w:asciiTheme="majorHAnsi" w:hAnsiTheme="majorHAnsi" w:cstheme="majorHAnsi"/>
          <w:sz w:val="24"/>
          <w:szCs w:val="24"/>
        </w:rPr>
      </w:pPr>
    </w:p>
    <w:p w14:paraId="675D4B24" w14:textId="2B4E97FD" w:rsidR="00014058" w:rsidRPr="00706882" w:rsidRDefault="000D5C68"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Drawing </w:t>
      </w:r>
      <w:r w:rsidR="008742CE" w:rsidRPr="00706882">
        <w:rPr>
          <w:rFonts w:asciiTheme="majorHAnsi" w:hAnsiTheme="majorHAnsi" w:cstheme="majorHAnsi"/>
          <w:sz w:val="24"/>
          <w:szCs w:val="24"/>
        </w:rPr>
        <w:t>up</w:t>
      </w:r>
      <w:r w:rsidRPr="00706882">
        <w:rPr>
          <w:rFonts w:asciiTheme="majorHAnsi" w:hAnsiTheme="majorHAnsi" w:cstheme="majorHAnsi"/>
          <w:sz w:val="24"/>
          <w:szCs w:val="24"/>
        </w:rPr>
        <w:t xml:space="preserve">on multiple sources ranging from </w:t>
      </w:r>
      <w:r w:rsidR="00B558F2" w:rsidRPr="00706882">
        <w:rPr>
          <w:rFonts w:asciiTheme="majorHAnsi" w:hAnsiTheme="majorHAnsi" w:cstheme="majorHAnsi"/>
          <w:sz w:val="24"/>
          <w:szCs w:val="24"/>
        </w:rPr>
        <w:t>journalism</w:t>
      </w:r>
      <w:r w:rsidRPr="00706882">
        <w:rPr>
          <w:rFonts w:asciiTheme="majorHAnsi" w:hAnsiTheme="majorHAnsi" w:cstheme="majorHAnsi"/>
          <w:sz w:val="24"/>
          <w:szCs w:val="24"/>
        </w:rPr>
        <w:t>,</w:t>
      </w:r>
      <w:r w:rsidR="008A6482">
        <w:rPr>
          <w:rFonts w:asciiTheme="majorHAnsi" w:hAnsiTheme="majorHAnsi" w:cstheme="majorHAnsi"/>
          <w:sz w:val="24"/>
          <w:szCs w:val="24"/>
        </w:rPr>
        <w:t xml:space="preserve"> </w:t>
      </w:r>
      <w:r w:rsidRPr="00706882">
        <w:rPr>
          <w:rFonts w:asciiTheme="majorHAnsi" w:hAnsiTheme="majorHAnsi" w:cstheme="majorHAnsi"/>
          <w:sz w:val="24"/>
          <w:szCs w:val="24"/>
        </w:rPr>
        <w:t>food histor</w:t>
      </w:r>
      <w:r w:rsidR="00B558F2" w:rsidRPr="00706882">
        <w:rPr>
          <w:rFonts w:asciiTheme="majorHAnsi" w:hAnsiTheme="majorHAnsi" w:cstheme="majorHAnsi"/>
          <w:sz w:val="24"/>
          <w:szCs w:val="24"/>
        </w:rPr>
        <w:t>ies</w:t>
      </w:r>
      <w:r w:rsidRPr="00706882">
        <w:rPr>
          <w:rFonts w:asciiTheme="majorHAnsi" w:hAnsiTheme="majorHAnsi" w:cstheme="majorHAnsi"/>
          <w:sz w:val="24"/>
          <w:szCs w:val="24"/>
        </w:rPr>
        <w:t xml:space="preserve">, folklore, cookbooks and museum exhibits, this paper will outline current thinking on food as an element of Welsh cultural </w:t>
      </w:r>
      <w:r w:rsidR="0061377A" w:rsidRPr="00706882">
        <w:rPr>
          <w:rFonts w:asciiTheme="majorHAnsi" w:hAnsiTheme="majorHAnsi" w:cstheme="majorHAnsi"/>
          <w:sz w:val="24"/>
          <w:szCs w:val="24"/>
        </w:rPr>
        <w:t>heritage and</w:t>
      </w:r>
      <w:r w:rsidRPr="00706882">
        <w:rPr>
          <w:rFonts w:asciiTheme="majorHAnsi" w:hAnsiTheme="majorHAnsi" w:cstheme="majorHAnsi"/>
          <w:sz w:val="24"/>
          <w:szCs w:val="24"/>
        </w:rPr>
        <w:t xml:space="preserve"> provide a critical review of the literature on Welsh food history to date. The paper intends to encourage </w:t>
      </w:r>
      <w:r w:rsidR="0061377A" w:rsidRPr="00706882">
        <w:rPr>
          <w:rFonts w:asciiTheme="majorHAnsi" w:hAnsiTheme="majorHAnsi" w:cstheme="majorHAnsi"/>
          <w:sz w:val="24"/>
          <w:szCs w:val="24"/>
        </w:rPr>
        <w:t>society to</w:t>
      </w:r>
      <w:r w:rsidRPr="00706882">
        <w:rPr>
          <w:rFonts w:asciiTheme="majorHAnsi" w:hAnsiTheme="majorHAnsi" w:cstheme="majorHAnsi"/>
          <w:sz w:val="24"/>
          <w:szCs w:val="24"/>
        </w:rPr>
        <w:t xml:space="preserve"> recogni</w:t>
      </w:r>
      <w:r w:rsidR="00907D18">
        <w:rPr>
          <w:rFonts w:asciiTheme="majorHAnsi" w:hAnsiTheme="majorHAnsi" w:cstheme="majorHAnsi"/>
          <w:sz w:val="24"/>
          <w:szCs w:val="24"/>
        </w:rPr>
        <w:t>s</w:t>
      </w:r>
      <w:r w:rsidRPr="00706882">
        <w:rPr>
          <w:rFonts w:asciiTheme="majorHAnsi" w:hAnsiTheme="majorHAnsi" w:cstheme="majorHAnsi"/>
          <w:sz w:val="24"/>
          <w:szCs w:val="24"/>
        </w:rPr>
        <w:t xml:space="preserve">e and celebrate food as part of </w:t>
      </w:r>
      <w:r w:rsidR="00DE5111" w:rsidRPr="00706882">
        <w:rPr>
          <w:rFonts w:asciiTheme="majorHAnsi" w:hAnsiTheme="majorHAnsi" w:cstheme="majorHAnsi"/>
          <w:sz w:val="24"/>
          <w:szCs w:val="24"/>
        </w:rPr>
        <w:t>Wales’s</w:t>
      </w:r>
      <w:r w:rsidRPr="00706882">
        <w:rPr>
          <w:rFonts w:asciiTheme="majorHAnsi" w:hAnsiTheme="majorHAnsi" w:cstheme="majorHAnsi"/>
          <w:sz w:val="24"/>
          <w:szCs w:val="24"/>
        </w:rPr>
        <w:t xml:space="preserve"> intangible cultural heritage as well as highlight the importance </w:t>
      </w:r>
      <w:r w:rsidR="00DE5111" w:rsidRPr="00706882">
        <w:rPr>
          <w:rFonts w:asciiTheme="majorHAnsi" w:hAnsiTheme="majorHAnsi" w:cstheme="majorHAnsi"/>
          <w:sz w:val="24"/>
          <w:szCs w:val="24"/>
        </w:rPr>
        <w:t>of</w:t>
      </w:r>
      <w:r w:rsidRPr="00706882">
        <w:rPr>
          <w:rFonts w:asciiTheme="majorHAnsi" w:hAnsiTheme="majorHAnsi" w:cstheme="majorHAnsi"/>
          <w:sz w:val="24"/>
          <w:szCs w:val="24"/>
        </w:rPr>
        <w:t xml:space="preserve"> the way we remember </w:t>
      </w:r>
      <w:r w:rsidR="00DE5111" w:rsidRPr="00706882">
        <w:rPr>
          <w:rFonts w:asciiTheme="majorHAnsi" w:hAnsiTheme="majorHAnsi" w:cstheme="majorHAnsi"/>
          <w:sz w:val="24"/>
          <w:szCs w:val="24"/>
        </w:rPr>
        <w:t xml:space="preserve">the </w:t>
      </w:r>
      <w:r w:rsidR="0068517F" w:rsidRPr="00706882">
        <w:rPr>
          <w:rFonts w:asciiTheme="majorHAnsi" w:hAnsiTheme="majorHAnsi" w:cstheme="majorHAnsi"/>
          <w:sz w:val="24"/>
          <w:szCs w:val="24"/>
        </w:rPr>
        <w:t>food in practice</w:t>
      </w:r>
      <w:r w:rsidRPr="00706882">
        <w:rPr>
          <w:rFonts w:asciiTheme="majorHAnsi" w:hAnsiTheme="majorHAnsi" w:cstheme="majorHAnsi"/>
          <w:sz w:val="24"/>
          <w:szCs w:val="24"/>
        </w:rPr>
        <w:t>. It will discuss the United Nations Educational, Scientific and Cultural Organization’s (UNESCO) inclusion of food on their representation list of the intangible cultural heritage of humanity in 2010. It will discuss the growing scholarship on Welsh food history, outlining how new techniques, archives, and sources are providing a clearer picture of this under-researched emerging discipline</w:t>
      </w:r>
      <w:r w:rsidR="003F6D39" w:rsidRPr="00706882">
        <w:rPr>
          <w:rFonts w:asciiTheme="majorHAnsi" w:hAnsiTheme="majorHAnsi" w:cstheme="majorHAnsi"/>
          <w:sz w:val="24"/>
          <w:szCs w:val="24"/>
        </w:rPr>
        <w:t xml:space="preserve">. Museums </w:t>
      </w:r>
      <w:proofErr w:type="gramStart"/>
      <w:r w:rsidR="003F6D39" w:rsidRPr="00706882">
        <w:rPr>
          <w:rFonts w:asciiTheme="majorHAnsi" w:hAnsiTheme="majorHAnsi" w:cstheme="majorHAnsi"/>
          <w:sz w:val="24"/>
          <w:szCs w:val="24"/>
        </w:rPr>
        <w:t>are recognised</w:t>
      </w:r>
      <w:proofErr w:type="gramEnd"/>
      <w:r w:rsidR="003F6D39" w:rsidRPr="00706882">
        <w:rPr>
          <w:rFonts w:asciiTheme="majorHAnsi" w:hAnsiTheme="majorHAnsi" w:cstheme="majorHAnsi"/>
          <w:sz w:val="24"/>
          <w:szCs w:val="24"/>
        </w:rPr>
        <w:t xml:space="preserve"> as being </w:t>
      </w:r>
      <w:r w:rsidR="00865F09" w:rsidRPr="00706882">
        <w:rPr>
          <w:rFonts w:asciiTheme="majorHAnsi" w:hAnsiTheme="majorHAnsi" w:cstheme="majorHAnsi"/>
          <w:sz w:val="24"/>
          <w:szCs w:val="24"/>
        </w:rPr>
        <w:t>a vital component</w:t>
      </w:r>
      <w:r w:rsidR="003F6D39" w:rsidRPr="00706882">
        <w:rPr>
          <w:rFonts w:asciiTheme="majorHAnsi" w:hAnsiTheme="majorHAnsi" w:cstheme="majorHAnsi"/>
          <w:sz w:val="24"/>
          <w:szCs w:val="24"/>
        </w:rPr>
        <w:t xml:space="preserve"> of </w:t>
      </w:r>
      <w:r w:rsidR="002A4632" w:rsidRPr="00706882">
        <w:rPr>
          <w:rFonts w:asciiTheme="majorHAnsi" w:hAnsiTheme="majorHAnsi" w:cstheme="majorHAnsi"/>
          <w:sz w:val="24"/>
          <w:szCs w:val="24"/>
        </w:rPr>
        <w:t>cultural representation</w:t>
      </w:r>
      <w:r w:rsidR="00865F09" w:rsidRPr="00706882">
        <w:rPr>
          <w:rFonts w:asciiTheme="majorHAnsi" w:hAnsiTheme="majorHAnsi" w:cstheme="majorHAnsi"/>
          <w:sz w:val="24"/>
          <w:szCs w:val="24"/>
        </w:rPr>
        <w:t xml:space="preserve"> and preservation, </w:t>
      </w:r>
      <w:r w:rsidR="002A4632" w:rsidRPr="00706882">
        <w:rPr>
          <w:rFonts w:asciiTheme="majorHAnsi" w:hAnsiTheme="majorHAnsi" w:cstheme="majorHAnsi"/>
          <w:sz w:val="24"/>
          <w:szCs w:val="24"/>
        </w:rPr>
        <w:t>as well as being tourist attractions</w:t>
      </w:r>
      <w:r w:rsidR="00865F09" w:rsidRPr="00706882">
        <w:rPr>
          <w:rFonts w:asciiTheme="majorHAnsi" w:hAnsiTheme="majorHAnsi" w:cstheme="majorHAnsi"/>
          <w:sz w:val="24"/>
          <w:szCs w:val="24"/>
        </w:rPr>
        <w:t>. T</w:t>
      </w:r>
      <w:r w:rsidR="002A4632" w:rsidRPr="00706882">
        <w:rPr>
          <w:rFonts w:asciiTheme="majorHAnsi" w:hAnsiTheme="majorHAnsi" w:cstheme="majorHAnsi"/>
          <w:sz w:val="24"/>
          <w:szCs w:val="24"/>
        </w:rPr>
        <w:t xml:space="preserve">his research will look at the ways in which museums in Wales have </w:t>
      </w:r>
      <w:r w:rsidR="00435F32" w:rsidRPr="00706882">
        <w:rPr>
          <w:rFonts w:asciiTheme="majorHAnsi" w:hAnsiTheme="majorHAnsi" w:cstheme="majorHAnsi"/>
          <w:sz w:val="24"/>
          <w:szCs w:val="24"/>
        </w:rPr>
        <w:t>used a variety of displays to represent food whether that be on a micro or macro level, and how these displays engage with their visitors</w:t>
      </w:r>
      <w:r w:rsidR="00D44B06" w:rsidRPr="00706882">
        <w:rPr>
          <w:rFonts w:asciiTheme="majorHAnsi" w:hAnsiTheme="majorHAnsi" w:cstheme="majorHAnsi"/>
          <w:sz w:val="24"/>
          <w:szCs w:val="24"/>
        </w:rPr>
        <w:t xml:space="preserve"> and what could be done to further expand the visitor experience going forward using examples of good practices from </w:t>
      </w:r>
      <w:r w:rsidR="009B7286" w:rsidRPr="00706882">
        <w:rPr>
          <w:rFonts w:asciiTheme="majorHAnsi" w:hAnsiTheme="majorHAnsi" w:cstheme="majorHAnsi"/>
          <w:sz w:val="24"/>
          <w:szCs w:val="24"/>
        </w:rPr>
        <w:t xml:space="preserve">Sydney Living Museum. </w:t>
      </w:r>
    </w:p>
    <w:p w14:paraId="294C30DD" w14:textId="30CBAA65" w:rsidR="00014058" w:rsidRPr="00706882" w:rsidRDefault="00416953" w:rsidP="00BE50E2">
      <w:pPr>
        <w:pStyle w:val="Heading1"/>
        <w:spacing w:line="360" w:lineRule="auto"/>
        <w:rPr>
          <w:rFonts w:cstheme="majorHAnsi"/>
          <w:szCs w:val="24"/>
        </w:rPr>
      </w:pPr>
      <w:bookmarkStart w:id="7" w:name="_Toc125482490"/>
      <w:r w:rsidRPr="00706882">
        <w:rPr>
          <w:rFonts w:cstheme="majorHAnsi"/>
          <w:szCs w:val="24"/>
        </w:rPr>
        <w:t xml:space="preserve">1.2 </w:t>
      </w:r>
      <w:r w:rsidR="00014058" w:rsidRPr="00706882">
        <w:rPr>
          <w:rFonts w:cstheme="majorHAnsi"/>
          <w:szCs w:val="24"/>
        </w:rPr>
        <w:t>Literature Review</w:t>
      </w:r>
      <w:bookmarkEnd w:id="7"/>
      <w:r w:rsidR="00014058" w:rsidRPr="00706882">
        <w:rPr>
          <w:rFonts w:cstheme="majorHAnsi"/>
          <w:szCs w:val="24"/>
        </w:rPr>
        <w:t xml:space="preserve"> </w:t>
      </w:r>
    </w:p>
    <w:p w14:paraId="53A67E64" w14:textId="77777777" w:rsidR="000F3DF0" w:rsidRPr="00706882" w:rsidRDefault="000F3DF0" w:rsidP="00BE50E2">
      <w:pPr>
        <w:spacing w:line="360" w:lineRule="auto"/>
        <w:rPr>
          <w:rFonts w:asciiTheme="majorHAnsi" w:hAnsiTheme="majorHAnsi" w:cstheme="majorHAnsi"/>
          <w:sz w:val="24"/>
          <w:szCs w:val="24"/>
        </w:rPr>
      </w:pPr>
    </w:p>
    <w:p w14:paraId="3EB28A3B" w14:textId="3CE260C0" w:rsidR="00B0772B" w:rsidRPr="00706882" w:rsidRDefault="005D7055"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In the world of heritage, people are used to considering buildings, historical </w:t>
      </w:r>
      <w:r w:rsidR="0011698E" w:rsidRPr="00706882">
        <w:rPr>
          <w:rFonts w:asciiTheme="majorHAnsi" w:hAnsiTheme="majorHAnsi" w:cstheme="majorHAnsi"/>
          <w:sz w:val="24"/>
          <w:szCs w:val="24"/>
        </w:rPr>
        <w:t>sites</w:t>
      </w:r>
      <w:r w:rsidRPr="00706882">
        <w:rPr>
          <w:rFonts w:asciiTheme="majorHAnsi" w:hAnsiTheme="majorHAnsi" w:cstheme="majorHAnsi"/>
          <w:sz w:val="24"/>
          <w:szCs w:val="24"/>
        </w:rPr>
        <w:t xml:space="preserve"> and artefacts</w:t>
      </w:r>
      <w:r w:rsidR="00BC6FC5" w:rsidRPr="00706882">
        <w:rPr>
          <w:rFonts w:asciiTheme="majorHAnsi" w:hAnsiTheme="majorHAnsi" w:cstheme="majorHAnsi"/>
          <w:sz w:val="24"/>
          <w:szCs w:val="24"/>
        </w:rPr>
        <w:t xml:space="preserve"> as examples of cultural heritage. There is a wealth of other types of heritage to be </w:t>
      </w:r>
      <w:r w:rsidR="00BC6FC5" w:rsidRPr="00706882">
        <w:rPr>
          <w:rFonts w:asciiTheme="majorHAnsi" w:hAnsiTheme="majorHAnsi" w:cstheme="majorHAnsi"/>
          <w:sz w:val="24"/>
          <w:szCs w:val="24"/>
        </w:rPr>
        <w:lastRenderedPageBreak/>
        <w:t xml:space="preserve">considered, </w:t>
      </w:r>
      <w:r w:rsidR="0011698E" w:rsidRPr="00706882">
        <w:rPr>
          <w:rFonts w:asciiTheme="majorHAnsi" w:hAnsiTheme="majorHAnsi" w:cstheme="majorHAnsi"/>
          <w:sz w:val="24"/>
          <w:szCs w:val="24"/>
        </w:rPr>
        <w:t>however,</w:t>
      </w:r>
      <w:r w:rsidR="002E5107" w:rsidRPr="00706882">
        <w:rPr>
          <w:rFonts w:asciiTheme="majorHAnsi" w:hAnsiTheme="majorHAnsi" w:cstheme="majorHAnsi"/>
          <w:sz w:val="24"/>
          <w:szCs w:val="24"/>
        </w:rPr>
        <w:t xml:space="preserve"> which are intangible. These include </w:t>
      </w:r>
      <w:r w:rsidR="00232275" w:rsidRPr="00706882">
        <w:rPr>
          <w:rFonts w:asciiTheme="majorHAnsi" w:hAnsiTheme="majorHAnsi" w:cstheme="majorHAnsi"/>
          <w:sz w:val="24"/>
          <w:szCs w:val="24"/>
        </w:rPr>
        <w:t xml:space="preserve">dance </w:t>
      </w:r>
      <w:r w:rsidR="00D64312" w:rsidRPr="00706882">
        <w:rPr>
          <w:rFonts w:asciiTheme="majorHAnsi" w:hAnsiTheme="majorHAnsi" w:cstheme="majorHAnsi"/>
          <w:sz w:val="24"/>
          <w:szCs w:val="24"/>
        </w:rPr>
        <w:t>traditions, social</w:t>
      </w:r>
      <w:r w:rsidR="00181E02" w:rsidRPr="00706882">
        <w:rPr>
          <w:rFonts w:asciiTheme="majorHAnsi" w:hAnsiTheme="majorHAnsi" w:cstheme="majorHAnsi"/>
          <w:sz w:val="24"/>
          <w:szCs w:val="24"/>
        </w:rPr>
        <w:t xml:space="preserve"> practices, rituals, festive events, </w:t>
      </w:r>
      <w:r w:rsidR="00D55FDC" w:rsidRPr="00706882">
        <w:rPr>
          <w:rFonts w:asciiTheme="majorHAnsi" w:hAnsiTheme="majorHAnsi" w:cstheme="majorHAnsi"/>
          <w:sz w:val="24"/>
          <w:szCs w:val="24"/>
        </w:rPr>
        <w:t>as well as food traditions and food practices</w:t>
      </w:r>
      <w:proofErr w:type="gramStart"/>
      <w:r w:rsidR="00D55FDC" w:rsidRPr="00706882">
        <w:rPr>
          <w:rFonts w:asciiTheme="majorHAnsi" w:hAnsiTheme="majorHAnsi" w:cstheme="majorHAnsi"/>
          <w:sz w:val="24"/>
          <w:szCs w:val="24"/>
        </w:rPr>
        <w:t xml:space="preserve">. </w:t>
      </w:r>
      <w:r w:rsidR="00EC0B86" w:rsidRPr="00706882">
        <w:rPr>
          <w:rFonts w:asciiTheme="majorHAnsi" w:hAnsiTheme="majorHAnsi" w:cstheme="majorHAnsi"/>
          <w:sz w:val="24"/>
          <w:szCs w:val="24"/>
        </w:rPr>
        <w:t xml:space="preserve"> </w:t>
      </w:r>
      <w:proofErr w:type="gramEnd"/>
    </w:p>
    <w:p w14:paraId="2A42E36A" w14:textId="45F53DE9" w:rsidR="004F0EC5" w:rsidRPr="00706882" w:rsidRDefault="009C339C"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The </w:t>
      </w:r>
      <w:r w:rsidR="006D0397" w:rsidRPr="00706882">
        <w:rPr>
          <w:rFonts w:asciiTheme="majorHAnsi" w:hAnsiTheme="majorHAnsi" w:cstheme="majorHAnsi"/>
          <w:sz w:val="24"/>
          <w:szCs w:val="24"/>
        </w:rPr>
        <w:t>United Nations Educational, Scientific and Cultural Organization (UNESCO) identifie</w:t>
      </w:r>
      <w:r w:rsidR="002E37DE" w:rsidRPr="00706882">
        <w:rPr>
          <w:rFonts w:asciiTheme="majorHAnsi" w:hAnsiTheme="majorHAnsi" w:cstheme="majorHAnsi"/>
          <w:sz w:val="24"/>
          <w:szCs w:val="24"/>
        </w:rPr>
        <w:t>s</w:t>
      </w:r>
      <w:r w:rsidR="006D0397" w:rsidRPr="00706882">
        <w:rPr>
          <w:rFonts w:asciiTheme="majorHAnsi" w:hAnsiTheme="majorHAnsi" w:cstheme="majorHAnsi"/>
          <w:sz w:val="24"/>
          <w:szCs w:val="24"/>
        </w:rPr>
        <w:t xml:space="preserve"> food as </w:t>
      </w:r>
      <w:r w:rsidR="00FE462B" w:rsidRPr="00706882">
        <w:rPr>
          <w:rFonts w:asciiTheme="majorHAnsi" w:hAnsiTheme="majorHAnsi" w:cstheme="majorHAnsi"/>
          <w:sz w:val="24"/>
          <w:szCs w:val="24"/>
        </w:rPr>
        <w:t xml:space="preserve">an </w:t>
      </w:r>
      <w:r w:rsidR="006D0397" w:rsidRPr="00706882">
        <w:rPr>
          <w:rFonts w:asciiTheme="majorHAnsi" w:hAnsiTheme="majorHAnsi" w:cstheme="majorHAnsi"/>
          <w:sz w:val="24"/>
          <w:szCs w:val="24"/>
        </w:rPr>
        <w:t>intangible heritage of humanity.</w:t>
      </w:r>
      <w:r w:rsidR="000C0E90" w:rsidRPr="00706882">
        <w:rPr>
          <w:rFonts w:asciiTheme="majorHAnsi" w:hAnsiTheme="majorHAnsi" w:cstheme="majorHAnsi"/>
          <w:b/>
          <w:bCs/>
          <w:color w:val="FF0000"/>
          <w:sz w:val="24"/>
          <w:szCs w:val="24"/>
        </w:rPr>
        <w:t xml:space="preserve"> </w:t>
      </w:r>
      <w:r w:rsidR="000C0E90" w:rsidRPr="00706882">
        <w:rPr>
          <w:rFonts w:asciiTheme="majorHAnsi" w:hAnsiTheme="majorHAnsi" w:cstheme="majorHAnsi"/>
          <w:sz w:val="24"/>
          <w:szCs w:val="24"/>
        </w:rPr>
        <w:t>UNESCO</w:t>
      </w:r>
      <w:r w:rsidR="0033632C" w:rsidRPr="00706882">
        <w:rPr>
          <w:rFonts w:asciiTheme="majorHAnsi" w:hAnsiTheme="majorHAnsi" w:cstheme="majorHAnsi"/>
          <w:sz w:val="24"/>
          <w:szCs w:val="24"/>
        </w:rPr>
        <w:t xml:space="preserve"> identifies that the importance of intangible cultural heritage is “not the cultural manifestation itself but rather the wealth of knowledge and skills that is transmitted through it from one generation to the next.”</w:t>
      </w:r>
      <w:r w:rsidR="0033632C" w:rsidRPr="00706882">
        <w:rPr>
          <w:rStyle w:val="FootnoteReference"/>
          <w:rFonts w:asciiTheme="majorHAnsi" w:hAnsiTheme="majorHAnsi" w:cstheme="majorHAnsi"/>
          <w:sz w:val="24"/>
          <w:szCs w:val="24"/>
        </w:rPr>
        <w:footnoteReference w:id="3"/>
      </w:r>
      <w:r w:rsidR="00D221A4" w:rsidRPr="00706882">
        <w:rPr>
          <w:rFonts w:asciiTheme="majorHAnsi" w:hAnsiTheme="majorHAnsi" w:cstheme="majorHAnsi"/>
          <w:sz w:val="24"/>
          <w:szCs w:val="24"/>
        </w:rPr>
        <w:t xml:space="preserve"> Intangible Heritage is identified </w:t>
      </w:r>
      <w:r w:rsidR="00FE462B" w:rsidRPr="00706882">
        <w:rPr>
          <w:rFonts w:asciiTheme="majorHAnsi" w:hAnsiTheme="majorHAnsi" w:cstheme="majorHAnsi"/>
          <w:sz w:val="24"/>
          <w:szCs w:val="24"/>
        </w:rPr>
        <w:t>as</w:t>
      </w:r>
      <w:r w:rsidR="00D221A4" w:rsidRPr="00706882">
        <w:rPr>
          <w:rFonts w:asciiTheme="majorHAnsi" w:hAnsiTheme="majorHAnsi" w:cstheme="majorHAnsi"/>
          <w:sz w:val="24"/>
          <w:szCs w:val="24"/>
        </w:rPr>
        <w:t xml:space="preserve"> having </w:t>
      </w:r>
      <w:r w:rsidR="000C0E90" w:rsidRPr="00706882">
        <w:rPr>
          <w:rFonts w:asciiTheme="majorHAnsi" w:hAnsiTheme="majorHAnsi" w:cstheme="majorHAnsi"/>
          <w:sz w:val="24"/>
          <w:szCs w:val="24"/>
        </w:rPr>
        <w:t xml:space="preserve">four </w:t>
      </w:r>
      <w:r w:rsidR="00D221A4" w:rsidRPr="00706882">
        <w:rPr>
          <w:rFonts w:asciiTheme="majorHAnsi" w:hAnsiTheme="majorHAnsi" w:cstheme="majorHAnsi"/>
          <w:sz w:val="24"/>
          <w:szCs w:val="24"/>
        </w:rPr>
        <w:t>attributes</w:t>
      </w:r>
      <w:r w:rsidR="00EB5C7B" w:rsidRPr="00706882">
        <w:rPr>
          <w:rFonts w:asciiTheme="majorHAnsi" w:hAnsiTheme="majorHAnsi" w:cstheme="majorHAnsi"/>
          <w:sz w:val="24"/>
          <w:szCs w:val="24"/>
        </w:rPr>
        <w:t>.</w:t>
      </w:r>
      <w:r w:rsidR="00354635" w:rsidRPr="00706882">
        <w:rPr>
          <w:rFonts w:asciiTheme="majorHAnsi" w:hAnsiTheme="majorHAnsi" w:cstheme="majorHAnsi"/>
          <w:sz w:val="24"/>
          <w:szCs w:val="24"/>
        </w:rPr>
        <w:t xml:space="preserve"> </w:t>
      </w:r>
      <w:r w:rsidR="00EB5C7B" w:rsidRPr="00706882">
        <w:rPr>
          <w:rFonts w:asciiTheme="majorHAnsi" w:hAnsiTheme="majorHAnsi" w:cstheme="majorHAnsi"/>
          <w:sz w:val="24"/>
          <w:szCs w:val="24"/>
        </w:rPr>
        <w:t>Firstly, it must be t</w:t>
      </w:r>
      <w:r w:rsidR="00D221A4" w:rsidRPr="00706882">
        <w:rPr>
          <w:rFonts w:asciiTheme="majorHAnsi" w:hAnsiTheme="majorHAnsi" w:cstheme="majorHAnsi"/>
          <w:sz w:val="24"/>
          <w:szCs w:val="24"/>
        </w:rPr>
        <w:t>raditional, contemporary and living at the same time</w:t>
      </w:r>
      <w:r w:rsidR="001270B8" w:rsidRPr="00706882">
        <w:rPr>
          <w:rFonts w:asciiTheme="majorHAnsi" w:hAnsiTheme="majorHAnsi" w:cstheme="majorHAnsi"/>
          <w:sz w:val="24"/>
          <w:szCs w:val="24"/>
        </w:rPr>
        <w:t xml:space="preserve">. </w:t>
      </w:r>
      <w:r w:rsidR="006F4AAD" w:rsidRPr="00706882">
        <w:rPr>
          <w:rFonts w:asciiTheme="majorHAnsi" w:hAnsiTheme="majorHAnsi" w:cstheme="majorHAnsi"/>
          <w:sz w:val="24"/>
          <w:szCs w:val="24"/>
        </w:rPr>
        <w:t>Welsh food</w:t>
      </w:r>
      <w:r w:rsidR="00D57B74" w:rsidRPr="00706882">
        <w:rPr>
          <w:rFonts w:asciiTheme="majorHAnsi" w:hAnsiTheme="majorHAnsi" w:cstheme="majorHAnsi"/>
          <w:sz w:val="24"/>
          <w:szCs w:val="24"/>
        </w:rPr>
        <w:t xml:space="preserve"> </w:t>
      </w:r>
      <w:r w:rsidR="00354635" w:rsidRPr="00706882">
        <w:rPr>
          <w:rFonts w:asciiTheme="majorHAnsi" w:hAnsiTheme="majorHAnsi" w:cstheme="majorHAnsi"/>
          <w:sz w:val="24"/>
          <w:szCs w:val="24"/>
        </w:rPr>
        <w:t>traditions and recipes</w:t>
      </w:r>
      <w:r w:rsidR="006F4AAD" w:rsidRPr="00706882">
        <w:rPr>
          <w:rFonts w:asciiTheme="majorHAnsi" w:hAnsiTheme="majorHAnsi" w:cstheme="majorHAnsi"/>
          <w:sz w:val="24"/>
          <w:szCs w:val="24"/>
        </w:rPr>
        <w:t xml:space="preserve"> are seen to have links to past practices </w:t>
      </w:r>
      <w:r w:rsidR="00D57B74" w:rsidRPr="00706882">
        <w:rPr>
          <w:rFonts w:asciiTheme="majorHAnsi" w:hAnsiTheme="majorHAnsi" w:cstheme="majorHAnsi"/>
          <w:sz w:val="24"/>
          <w:szCs w:val="24"/>
        </w:rPr>
        <w:t xml:space="preserve">as well as being part of the Welsh identity today. </w:t>
      </w:r>
      <w:r w:rsidR="00354635" w:rsidRPr="00706882">
        <w:rPr>
          <w:rFonts w:asciiTheme="majorHAnsi" w:hAnsiTheme="majorHAnsi" w:cstheme="majorHAnsi"/>
          <w:sz w:val="24"/>
          <w:szCs w:val="24"/>
        </w:rPr>
        <w:t>Secondly, intangible heritage must be inclusive</w:t>
      </w:r>
      <w:r w:rsidR="00B43EBC" w:rsidRPr="00706882">
        <w:rPr>
          <w:rFonts w:asciiTheme="majorHAnsi" w:hAnsiTheme="majorHAnsi" w:cstheme="majorHAnsi"/>
          <w:sz w:val="24"/>
          <w:szCs w:val="24"/>
        </w:rPr>
        <w:t xml:space="preserve">. Captured in their definition of inclusive intangible heritage, is the notion that </w:t>
      </w:r>
      <w:r w:rsidR="00DD0F90" w:rsidRPr="00706882">
        <w:rPr>
          <w:rFonts w:asciiTheme="majorHAnsi" w:hAnsiTheme="majorHAnsi" w:cstheme="majorHAnsi"/>
          <w:sz w:val="24"/>
          <w:szCs w:val="24"/>
        </w:rPr>
        <w:t>expressions of cultural heritage are shared</w:t>
      </w:r>
      <w:r w:rsidR="00715FDB" w:rsidRPr="00706882">
        <w:rPr>
          <w:rFonts w:asciiTheme="majorHAnsi" w:hAnsiTheme="majorHAnsi" w:cstheme="majorHAnsi"/>
          <w:sz w:val="24"/>
          <w:szCs w:val="24"/>
        </w:rPr>
        <w:t xml:space="preserve"> between people, “</w:t>
      </w:r>
      <w:r w:rsidR="001C1ABB" w:rsidRPr="00706882">
        <w:rPr>
          <w:rFonts w:asciiTheme="majorHAnsi" w:hAnsiTheme="majorHAnsi" w:cstheme="majorHAnsi"/>
          <w:sz w:val="24"/>
          <w:szCs w:val="24"/>
        </w:rPr>
        <w:t xml:space="preserve">Whether they are from the neighbouring village, from a city on the opposite side of the </w:t>
      </w:r>
      <w:r w:rsidR="004F0EC5" w:rsidRPr="00706882">
        <w:rPr>
          <w:rFonts w:asciiTheme="majorHAnsi" w:hAnsiTheme="majorHAnsi" w:cstheme="majorHAnsi"/>
          <w:sz w:val="24"/>
          <w:szCs w:val="24"/>
        </w:rPr>
        <w:t>world or</w:t>
      </w:r>
      <w:r w:rsidR="001C1ABB" w:rsidRPr="00706882">
        <w:rPr>
          <w:rFonts w:asciiTheme="majorHAnsi" w:hAnsiTheme="majorHAnsi" w:cstheme="majorHAnsi"/>
          <w:sz w:val="24"/>
          <w:szCs w:val="24"/>
        </w:rPr>
        <w:t xml:space="preserve"> have been adapted by peoples who have migrated and settled in a different region</w:t>
      </w:r>
      <w:r w:rsidR="00B51273" w:rsidRPr="00706882">
        <w:rPr>
          <w:rFonts w:asciiTheme="majorHAnsi" w:hAnsiTheme="majorHAnsi" w:cstheme="majorHAnsi"/>
          <w:sz w:val="24"/>
          <w:szCs w:val="24"/>
        </w:rPr>
        <w:t>.</w:t>
      </w:r>
      <w:r w:rsidR="00715FDB" w:rsidRPr="00706882">
        <w:rPr>
          <w:rFonts w:asciiTheme="majorHAnsi" w:hAnsiTheme="majorHAnsi" w:cstheme="majorHAnsi"/>
          <w:sz w:val="24"/>
          <w:szCs w:val="24"/>
        </w:rPr>
        <w:t>”</w:t>
      </w:r>
      <w:r w:rsidR="00715FDB" w:rsidRPr="00706882">
        <w:rPr>
          <w:rStyle w:val="FootnoteReference"/>
          <w:rFonts w:asciiTheme="majorHAnsi" w:hAnsiTheme="majorHAnsi" w:cstheme="majorHAnsi"/>
          <w:sz w:val="24"/>
          <w:szCs w:val="24"/>
        </w:rPr>
        <w:footnoteReference w:id="4"/>
      </w:r>
      <w:r w:rsidR="0037536C" w:rsidRPr="00706882">
        <w:rPr>
          <w:rFonts w:asciiTheme="majorHAnsi" w:hAnsiTheme="majorHAnsi" w:cstheme="majorHAnsi"/>
          <w:color w:val="ED7D31" w:themeColor="accent2"/>
          <w:sz w:val="24"/>
          <w:szCs w:val="24"/>
        </w:rPr>
        <w:t xml:space="preserve"> </w:t>
      </w:r>
      <w:r w:rsidR="00B51273" w:rsidRPr="00706882">
        <w:rPr>
          <w:rFonts w:asciiTheme="majorHAnsi" w:hAnsiTheme="majorHAnsi" w:cstheme="majorHAnsi"/>
          <w:sz w:val="24"/>
          <w:szCs w:val="24"/>
        </w:rPr>
        <w:t>These expressions are connected to identity and feelings of being part of a community as well as society.</w:t>
      </w:r>
      <w:r w:rsidR="00B51273" w:rsidRPr="00706882">
        <w:rPr>
          <w:rStyle w:val="FootnoteReference"/>
          <w:rFonts w:asciiTheme="majorHAnsi" w:hAnsiTheme="majorHAnsi" w:cstheme="majorHAnsi"/>
          <w:sz w:val="24"/>
          <w:szCs w:val="24"/>
        </w:rPr>
        <w:footnoteReference w:id="5"/>
      </w:r>
      <w:r w:rsidR="0091789B" w:rsidRPr="00706882">
        <w:rPr>
          <w:rFonts w:asciiTheme="majorHAnsi" w:hAnsiTheme="majorHAnsi" w:cstheme="majorHAnsi"/>
          <w:sz w:val="24"/>
          <w:szCs w:val="24"/>
        </w:rPr>
        <w:t xml:space="preserve"> </w:t>
      </w:r>
      <w:r w:rsidR="0091789B" w:rsidRPr="00706882">
        <w:rPr>
          <w:rFonts w:asciiTheme="majorHAnsi" w:hAnsiTheme="majorHAnsi" w:cstheme="majorHAnsi"/>
          <w:sz w:val="24"/>
          <w:szCs w:val="24"/>
        </w:rPr>
        <w:br/>
      </w:r>
      <w:r w:rsidR="00834061" w:rsidRPr="00706882">
        <w:rPr>
          <w:rFonts w:asciiTheme="majorHAnsi" w:hAnsiTheme="majorHAnsi" w:cstheme="majorHAnsi"/>
          <w:sz w:val="24"/>
          <w:szCs w:val="24"/>
        </w:rPr>
        <w:t xml:space="preserve">Thirdly, </w:t>
      </w:r>
      <w:r w:rsidR="00C01BED" w:rsidRPr="00706882">
        <w:rPr>
          <w:rFonts w:asciiTheme="majorHAnsi" w:hAnsiTheme="majorHAnsi" w:cstheme="majorHAnsi"/>
          <w:sz w:val="24"/>
          <w:szCs w:val="24"/>
        </w:rPr>
        <w:t>intangible heritage needs to be r</w:t>
      </w:r>
      <w:r w:rsidR="00D221A4" w:rsidRPr="00706882">
        <w:rPr>
          <w:rFonts w:asciiTheme="majorHAnsi" w:hAnsiTheme="majorHAnsi" w:cstheme="majorHAnsi"/>
          <w:sz w:val="24"/>
          <w:szCs w:val="24"/>
        </w:rPr>
        <w:t xml:space="preserve">epresentative </w:t>
      </w:r>
      <w:r w:rsidR="00C01BED" w:rsidRPr="00706882">
        <w:rPr>
          <w:rFonts w:asciiTheme="majorHAnsi" w:hAnsiTheme="majorHAnsi" w:cstheme="majorHAnsi"/>
          <w:sz w:val="24"/>
          <w:szCs w:val="24"/>
        </w:rPr>
        <w:t xml:space="preserve">of the </w:t>
      </w:r>
      <w:r w:rsidR="001B4062" w:rsidRPr="00706882">
        <w:rPr>
          <w:rFonts w:asciiTheme="majorHAnsi" w:hAnsiTheme="majorHAnsi" w:cstheme="majorHAnsi"/>
          <w:sz w:val="24"/>
          <w:szCs w:val="24"/>
        </w:rPr>
        <w:t>community</w:t>
      </w:r>
      <w:r w:rsidR="00C01BED" w:rsidRPr="00706882">
        <w:rPr>
          <w:rFonts w:asciiTheme="majorHAnsi" w:hAnsiTheme="majorHAnsi" w:cstheme="majorHAnsi"/>
          <w:sz w:val="24"/>
          <w:szCs w:val="24"/>
        </w:rPr>
        <w:t xml:space="preserve"> from which it comes</w:t>
      </w:r>
      <w:r w:rsidR="001B4062" w:rsidRPr="00706882">
        <w:rPr>
          <w:rFonts w:asciiTheme="majorHAnsi" w:hAnsiTheme="majorHAnsi" w:cstheme="majorHAnsi"/>
          <w:sz w:val="24"/>
          <w:szCs w:val="24"/>
        </w:rPr>
        <w:t xml:space="preserve">. </w:t>
      </w:r>
      <w:r w:rsidR="00C11A54" w:rsidRPr="00706882">
        <w:rPr>
          <w:rFonts w:asciiTheme="majorHAnsi" w:hAnsiTheme="majorHAnsi" w:cstheme="majorHAnsi"/>
          <w:sz w:val="24"/>
          <w:szCs w:val="24"/>
        </w:rPr>
        <w:t>It emerges through “knowledge of traditions, skills and customs”</w:t>
      </w:r>
      <w:r w:rsidR="00C11A54" w:rsidRPr="00706882">
        <w:rPr>
          <w:rStyle w:val="FootnoteReference"/>
          <w:rFonts w:asciiTheme="majorHAnsi" w:hAnsiTheme="majorHAnsi" w:cstheme="majorHAnsi"/>
          <w:sz w:val="24"/>
          <w:szCs w:val="24"/>
        </w:rPr>
        <w:footnoteReference w:id="6"/>
      </w:r>
      <w:r w:rsidR="00ED547D" w:rsidRPr="00706882">
        <w:rPr>
          <w:rFonts w:asciiTheme="majorHAnsi" w:hAnsiTheme="majorHAnsi" w:cstheme="majorHAnsi"/>
          <w:sz w:val="24"/>
          <w:szCs w:val="24"/>
        </w:rPr>
        <w:t xml:space="preserve"> which </w:t>
      </w:r>
      <w:proofErr w:type="gramStart"/>
      <w:r w:rsidR="00ED547D" w:rsidRPr="00706882">
        <w:rPr>
          <w:rFonts w:asciiTheme="majorHAnsi" w:hAnsiTheme="majorHAnsi" w:cstheme="majorHAnsi"/>
          <w:sz w:val="24"/>
          <w:szCs w:val="24"/>
        </w:rPr>
        <w:t>are passed</w:t>
      </w:r>
      <w:proofErr w:type="gramEnd"/>
      <w:r w:rsidR="00ED547D" w:rsidRPr="00706882">
        <w:rPr>
          <w:rFonts w:asciiTheme="majorHAnsi" w:hAnsiTheme="majorHAnsi" w:cstheme="majorHAnsi"/>
          <w:sz w:val="24"/>
          <w:szCs w:val="24"/>
        </w:rPr>
        <w:t xml:space="preserve"> through the community between generations.</w:t>
      </w:r>
      <w:r w:rsidR="0091789B" w:rsidRPr="00706882">
        <w:rPr>
          <w:rFonts w:asciiTheme="majorHAnsi" w:hAnsiTheme="majorHAnsi" w:cstheme="majorHAnsi"/>
          <w:sz w:val="24"/>
          <w:szCs w:val="24"/>
        </w:rPr>
        <w:t xml:space="preserve"> </w:t>
      </w:r>
      <w:r w:rsidR="004F0EC5" w:rsidRPr="00706882">
        <w:rPr>
          <w:rFonts w:asciiTheme="majorHAnsi" w:hAnsiTheme="majorHAnsi" w:cstheme="majorHAnsi"/>
          <w:sz w:val="24"/>
          <w:szCs w:val="24"/>
        </w:rPr>
        <w:t>Finally,</w:t>
      </w:r>
      <w:r w:rsidR="009A0437" w:rsidRPr="00706882">
        <w:rPr>
          <w:rFonts w:asciiTheme="majorHAnsi" w:hAnsiTheme="majorHAnsi" w:cstheme="majorHAnsi"/>
          <w:sz w:val="24"/>
          <w:szCs w:val="24"/>
        </w:rPr>
        <w:t xml:space="preserve"> intangible cultural heritage is </w:t>
      </w:r>
      <w:r w:rsidR="00DE5111" w:rsidRPr="00706882">
        <w:rPr>
          <w:rFonts w:asciiTheme="majorHAnsi" w:hAnsiTheme="majorHAnsi" w:cstheme="majorHAnsi"/>
          <w:sz w:val="24"/>
          <w:szCs w:val="24"/>
        </w:rPr>
        <w:t>community-based</w:t>
      </w:r>
      <w:r w:rsidR="00F97B14" w:rsidRPr="00706882">
        <w:rPr>
          <w:rFonts w:asciiTheme="majorHAnsi" w:hAnsiTheme="majorHAnsi" w:cstheme="majorHAnsi"/>
          <w:sz w:val="24"/>
          <w:szCs w:val="24"/>
        </w:rPr>
        <w:t xml:space="preserve">, that is it must </w:t>
      </w:r>
      <w:proofErr w:type="gramStart"/>
      <w:r w:rsidR="00F97B14" w:rsidRPr="00706882">
        <w:rPr>
          <w:rFonts w:asciiTheme="majorHAnsi" w:hAnsiTheme="majorHAnsi" w:cstheme="majorHAnsi"/>
          <w:sz w:val="24"/>
          <w:szCs w:val="24"/>
        </w:rPr>
        <w:t xml:space="preserve">be </w:t>
      </w:r>
      <w:r w:rsidR="009A0437" w:rsidRPr="00706882">
        <w:rPr>
          <w:rFonts w:asciiTheme="majorHAnsi" w:hAnsiTheme="majorHAnsi" w:cstheme="majorHAnsi"/>
          <w:sz w:val="24"/>
          <w:szCs w:val="24"/>
        </w:rPr>
        <w:t>identified</w:t>
      </w:r>
      <w:proofErr w:type="gramEnd"/>
      <w:r w:rsidR="009A0437" w:rsidRPr="00706882">
        <w:rPr>
          <w:rFonts w:asciiTheme="majorHAnsi" w:hAnsiTheme="majorHAnsi" w:cstheme="majorHAnsi"/>
          <w:sz w:val="24"/>
          <w:szCs w:val="24"/>
        </w:rPr>
        <w:t xml:space="preserve"> through the value </w:t>
      </w:r>
      <w:r w:rsidR="007D2C9D" w:rsidRPr="00706882">
        <w:rPr>
          <w:rFonts w:asciiTheme="majorHAnsi" w:hAnsiTheme="majorHAnsi" w:cstheme="majorHAnsi"/>
          <w:sz w:val="24"/>
          <w:szCs w:val="24"/>
        </w:rPr>
        <w:t>given to it by the</w:t>
      </w:r>
      <w:r w:rsidR="00F97B14" w:rsidRPr="00706882">
        <w:rPr>
          <w:rFonts w:asciiTheme="majorHAnsi" w:hAnsiTheme="majorHAnsi" w:cstheme="majorHAnsi"/>
          <w:sz w:val="24"/>
          <w:szCs w:val="24"/>
        </w:rPr>
        <w:t xml:space="preserve"> community itself. </w:t>
      </w:r>
      <w:r w:rsidR="007D2C9D" w:rsidRPr="00706882">
        <w:rPr>
          <w:rFonts w:asciiTheme="majorHAnsi" w:hAnsiTheme="majorHAnsi" w:cstheme="majorHAnsi"/>
          <w:sz w:val="24"/>
          <w:szCs w:val="24"/>
        </w:rPr>
        <w:t xml:space="preserve">Outsiders are unable to determine what is held to be </w:t>
      </w:r>
      <w:r w:rsidR="00DE5111" w:rsidRPr="00706882">
        <w:rPr>
          <w:rFonts w:asciiTheme="majorHAnsi" w:hAnsiTheme="majorHAnsi" w:cstheme="majorHAnsi"/>
          <w:sz w:val="24"/>
          <w:szCs w:val="24"/>
        </w:rPr>
        <w:t xml:space="preserve">a </w:t>
      </w:r>
      <w:r w:rsidR="007D2C9D" w:rsidRPr="00706882">
        <w:rPr>
          <w:rFonts w:asciiTheme="majorHAnsi" w:hAnsiTheme="majorHAnsi" w:cstheme="majorHAnsi"/>
          <w:sz w:val="24"/>
          <w:szCs w:val="24"/>
        </w:rPr>
        <w:t xml:space="preserve">cultural heritage for a group or community. </w:t>
      </w:r>
    </w:p>
    <w:p w14:paraId="21747E36" w14:textId="340EBC56" w:rsidR="004F0EC5" w:rsidRPr="00706882" w:rsidRDefault="004378C9"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Wales food heritage has not had a high profile, which may be linked to the colonial experience which devalued </w:t>
      </w:r>
      <w:r w:rsidR="009E3951" w:rsidRPr="00706882">
        <w:rPr>
          <w:rFonts w:asciiTheme="majorHAnsi" w:hAnsiTheme="majorHAnsi" w:cstheme="majorHAnsi"/>
          <w:sz w:val="24"/>
          <w:szCs w:val="24"/>
        </w:rPr>
        <w:t>Welsh</w:t>
      </w:r>
      <w:r w:rsidRPr="00706882">
        <w:rPr>
          <w:rFonts w:asciiTheme="majorHAnsi" w:hAnsiTheme="majorHAnsi" w:cstheme="majorHAnsi"/>
          <w:sz w:val="24"/>
          <w:szCs w:val="24"/>
        </w:rPr>
        <w:t xml:space="preserve"> culture and traditions. However, </w:t>
      </w:r>
      <w:r w:rsidR="009E3951" w:rsidRPr="00706882">
        <w:rPr>
          <w:rFonts w:asciiTheme="majorHAnsi" w:hAnsiTheme="majorHAnsi" w:cstheme="majorHAnsi"/>
          <w:sz w:val="24"/>
          <w:szCs w:val="24"/>
        </w:rPr>
        <w:t xml:space="preserve">Welsh food heritage deserves to have a chance to be celebrated and shared as it does hold value and experiences in relation to Welsh identity. </w:t>
      </w:r>
    </w:p>
    <w:p w14:paraId="10B7CAD9" w14:textId="54F52BBE" w:rsidR="006D0397" w:rsidRPr="00706882" w:rsidRDefault="000C0E90"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lastRenderedPageBreak/>
        <w:t xml:space="preserve">Something that this </w:t>
      </w:r>
      <w:r w:rsidR="00013A3C" w:rsidRPr="00706882">
        <w:rPr>
          <w:rFonts w:asciiTheme="majorHAnsi" w:hAnsiTheme="majorHAnsi" w:cstheme="majorHAnsi"/>
          <w:sz w:val="24"/>
          <w:szCs w:val="24"/>
        </w:rPr>
        <w:t>thesis</w:t>
      </w:r>
      <w:r w:rsidRPr="00706882">
        <w:rPr>
          <w:rFonts w:asciiTheme="majorHAnsi" w:hAnsiTheme="majorHAnsi" w:cstheme="majorHAnsi"/>
          <w:sz w:val="24"/>
          <w:szCs w:val="24"/>
        </w:rPr>
        <w:t xml:space="preserve"> focuses on is the way that intangible heritage links in with Welsh Food Histories and the integration within museums. Food being inclusive, </w:t>
      </w:r>
      <w:r w:rsidR="00A02CE8" w:rsidRPr="00706882">
        <w:rPr>
          <w:rFonts w:asciiTheme="majorHAnsi" w:hAnsiTheme="majorHAnsi" w:cstheme="majorHAnsi"/>
          <w:sz w:val="24"/>
          <w:szCs w:val="24"/>
        </w:rPr>
        <w:t>representative,</w:t>
      </w:r>
      <w:r w:rsidRPr="00706882">
        <w:rPr>
          <w:rFonts w:asciiTheme="majorHAnsi" w:hAnsiTheme="majorHAnsi" w:cstheme="majorHAnsi"/>
          <w:sz w:val="24"/>
          <w:szCs w:val="24"/>
        </w:rPr>
        <w:t xml:space="preserve"> and well as community based are important aspects of this and will highlight the links made. </w:t>
      </w:r>
    </w:p>
    <w:p w14:paraId="2CCC606B" w14:textId="77777777" w:rsidR="0091789B" w:rsidRPr="00706882" w:rsidRDefault="0091789B" w:rsidP="00BE50E2">
      <w:pPr>
        <w:spacing w:line="360" w:lineRule="auto"/>
        <w:rPr>
          <w:rFonts w:asciiTheme="majorHAnsi" w:hAnsiTheme="majorHAnsi" w:cstheme="majorHAnsi"/>
          <w:sz w:val="24"/>
          <w:szCs w:val="24"/>
        </w:rPr>
      </w:pPr>
    </w:p>
    <w:p w14:paraId="5E0B9F0E" w14:textId="410F250A" w:rsidR="000F617B" w:rsidRPr="00706882" w:rsidRDefault="006D0397"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Di Fiore </w:t>
      </w:r>
      <w:r w:rsidR="00A80224" w:rsidRPr="00706882">
        <w:rPr>
          <w:rFonts w:asciiTheme="majorHAnsi" w:hAnsiTheme="majorHAnsi" w:cstheme="majorHAnsi"/>
          <w:sz w:val="24"/>
          <w:szCs w:val="24"/>
        </w:rPr>
        <w:t xml:space="preserve">has made a study of heritage and food history and asserts that there is a value of food as an expression as heritage within culture in Europe. </w:t>
      </w:r>
      <w:r w:rsidR="00FF5A7B" w:rsidRPr="00706882">
        <w:rPr>
          <w:rFonts w:asciiTheme="majorHAnsi" w:hAnsiTheme="majorHAnsi" w:cstheme="majorHAnsi"/>
          <w:sz w:val="24"/>
          <w:szCs w:val="24"/>
        </w:rPr>
        <w:t xml:space="preserve">Di </w:t>
      </w:r>
      <w:r w:rsidR="004737C5" w:rsidRPr="00706882">
        <w:rPr>
          <w:rFonts w:asciiTheme="majorHAnsi" w:hAnsiTheme="majorHAnsi" w:cstheme="majorHAnsi"/>
          <w:sz w:val="24"/>
          <w:szCs w:val="24"/>
        </w:rPr>
        <w:t>Fiore</w:t>
      </w:r>
      <w:r w:rsidR="00FF5A7B" w:rsidRPr="00706882">
        <w:rPr>
          <w:rFonts w:asciiTheme="majorHAnsi" w:hAnsiTheme="majorHAnsi" w:cstheme="majorHAnsi"/>
          <w:sz w:val="24"/>
          <w:szCs w:val="24"/>
        </w:rPr>
        <w:t xml:space="preserve"> examines the process by which food and food practices become heritage.</w:t>
      </w:r>
      <w:r w:rsidR="00316EE6" w:rsidRPr="00706882">
        <w:rPr>
          <w:rFonts w:asciiTheme="majorHAnsi" w:hAnsiTheme="majorHAnsi" w:cstheme="majorHAnsi"/>
          <w:sz w:val="24"/>
          <w:szCs w:val="24"/>
        </w:rPr>
        <w:t xml:space="preserve"> </w:t>
      </w:r>
      <w:r w:rsidR="002E4DB4" w:rsidRPr="00706882">
        <w:rPr>
          <w:rFonts w:asciiTheme="majorHAnsi" w:hAnsiTheme="majorHAnsi" w:cstheme="majorHAnsi"/>
          <w:sz w:val="24"/>
          <w:szCs w:val="24"/>
        </w:rPr>
        <w:t>She highlights the ways that ‘historicizing the processes that produce cultural paradigms enables them to be deconstructed.’</w:t>
      </w:r>
      <w:r w:rsidR="00C01CD9" w:rsidRPr="00706882">
        <w:rPr>
          <w:rStyle w:val="FootnoteReference"/>
          <w:rFonts w:asciiTheme="majorHAnsi" w:hAnsiTheme="majorHAnsi" w:cstheme="majorHAnsi"/>
          <w:sz w:val="24"/>
          <w:szCs w:val="24"/>
        </w:rPr>
        <w:footnoteReference w:id="7"/>
      </w:r>
      <w:r w:rsidR="00D55E3F" w:rsidRPr="00706882">
        <w:rPr>
          <w:rFonts w:asciiTheme="majorHAnsi" w:hAnsiTheme="majorHAnsi" w:cstheme="majorHAnsi"/>
          <w:sz w:val="24"/>
          <w:szCs w:val="24"/>
        </w:rPr>
        <w:t xml:space="preserve"> This can be shown in the ways in which when food becomes a part of a historical event – it becomes important heritage due to association. </w:t>
      </w:r>
      <w:r w:rsidR="003C1D7E" w:rsidRPr="00706882">
        <w:rPr>
          <w:rFonts w:asciiTheme="majorHAnsi" w:hAnsiTheme="majorHAnsi" w:cstheme="majorHAnsi"/>
          <w:sz w:val="24"/>
          <w:szCs w:val="24"/>
        </w:rPr>
        <w:t xml:space="preserve">Di Fiori highlights an example of this with </w:t>
      </w:r>
      <w:r w:rsidR="00BD486F" w:rsidRPr="00706882">
        <w:rPr>
          <w:rFonts w:asciiTheme="majorHAnsi" w:hAnsiTheme="majorHAnsi" w:cstheme="majorHAnsi"/>
          <w:sz w:val="24"/>
          <w:szCs w:val="24"/>
        </w:rPr>
        <w:t xml:space="preserve">the Neapolitan pizzaiuolo. </w:t>
      </w:r>
      <w:r w:rsidR="000B6B05" w:rsidRPr="00706882">
        <w:rPr>
          <w:rFonts w:asciiTheme="majorHAnsi" w:hAnsiTheme="majorHAnsi" w:cstheme="majorHAnsi"/>
          <w:sz w:val="24"/>
          <w:szCs w:val="24"/>
        </w:rPr>
        <w:t>“The authenticity of the Neapolitan heritage allegedly dates from 1889, when the Neapolitan pizzeria Brandi produced a pizza in homage to Queen Margherita: the colours of tomato, mozzarella cheese and basil supposedly alluded to the Italian flag.”</w:t>
      </w:r>
      <w:r w:rsidR="000B6B05" w:rsidRPr="00706882">
        <w:rPr>
          <w:rStyle w:val="FootnoteReference"/>
          <w:rFonts w:asciiTheme="majorHAnsi" w:hAnsiTheme="majorHAnsi" w:cstheme="majorHAnsi"/>
          <w:sz w:val="24"/>
          <w:szCs w:val="24"/>
        </w:rPr>
        <w:footnoteReference w:id="8"/>
      </w:r>
      <w:r w:rsidR="007F77EC" w:rsidRPr="00706882">
        <w:rPr>
          <w:rFonts w:asciiTheme="majorHAnsi" w:hAnsiTheme="majorHAnsi" w:cstheme="majorHAnsi"/>
          <w:sz w:val="24"/>
          <w:szCs w:val="24"/>
        </w:rPr>
        <w:t xml:space="preserve"> </w:t>
      </w:r>
      <w:r w:rsidR="008F3D04" w:rsidRPr="00706882">
        <w:rPr>
          <w:rFonts w:asciiTheme="majorHAnsi" w:hAnsiTheme="majorHAnsi" w:cstheme="majorHAnsi"/>
          <w:sz w:val="24"/>
          <w:szCs w:val="24"/>
        </w:rPr>
        <w:t>Although this has been quer</w:t>
      </w:r>
      <w:r w:rsidR="005F3385" w:rsidRPr="00706882">
        <w:rPr>
          <w:rFonts w:asciiTheme="majorHAnsi" w:hAnsiTheme="majorHAnsi" w:cstheme="majorHAnsi"/>
          <w:sz w:val="24"/>
          <w:szCs w:val="24"/>
        </w:rPr>
        <w:t>ied on a historical basis, this localised heritage</w:t>
      </w:r>
      <w:r w:rsidR="00671F8C" w:rsidRPr="00706882">
        <w:rPr>
          <w:rFonts w:asciiTheme="majorHAnsi" w:hAnsiTheme="majorHAnsi" w:cstheme="majorHAnsi"/>
          <w:sz w:val="24"/>
          <w:szCs w:val="24"/>
        </w:rPr>
        <w:t xml:space="preserve"> has now been absorbed into intangible Italian heritage. </w:t>
      </w:r>
      <w:r w:rsidR="000F617B" w:rsidRPr="00706882">
        <w:rPr>
          <w:rFonts w:asciiTheme="majorHAnsi" w:hAnsiTheme="majorHAnsi" w:cstheme="majorHAnsi"/>
          <w:sz w:val="24"/>
          <w:szCs w:val="24"/>
        </w:rPr>
        <w:t xml:space="preserve"> </w:t>
      </w:r>
      <w:r w:rsidR="005B53B0" w:rsidRPr="00706882">
        <w:rPr>
          <w:rFonts w:asciiTheme="majorHAnsi" w:hAnsiTheme="majorHAnsi" w:cstheme="majorHAnsi"/>
          <w:sz w:val="24"/>
          <w:szCs w:val="24"/>
        </w:rPr>
        <w:br/>
      </w:r>
      <w:r w:rsidR="000F617B" w:rsidRPr="00706882">
        <w:rPr>
          <w:rFonts w:asciiTheme="majorHAnsi" w:hAnsiTheme="majorHAnsi" w:cstheme="majorHAnsi"/>
          <w:sz w:val="24"/>
          <w:szCs w:val="24"/>
        </w:rPr>
        <w:t xml:space="preserve">Di </w:t>
      </w:r>
      <w:r w:rsidR="001E3196" w:rsidRPr="00706882">
        <w:rPr>
          <w:rFonts w:asciiTheme="majorHAnsi" w:hAnsiTheme="majorHAnsi" w:cstheme="majorHAnsi"/>
          <w:sz w:val="24"/>
          <w:szCs w:val="24"/>
        </w:rPr>
        <w:t>Fiore</w:t>
      </w:r>
      <w:r w:rsidR="000F617B" w:rsidRPr="00706882">
        <w:rPr>
          <w:rFonts w:asciiTheme="majorHAnsi" w:hAnsiTheme="majorHAnsi" w:cstheme="majorHAnsi"/>
          <w:sz w:val="24"/>
          <w:szCs w:val="24"/>
        </w:rPr>
        <w:t xml:space="preserve"> demonstrates that the </w:t>
      </w:r>
      <w:proofErr w:type="gramStart"/>
      <w:r w:rsidR="000F617B" w:rsidRPr="00706882">
        <w:rPr>
          <w:rFonts w:asciiTheme="majorHAnsi" w:hAnsiTheme="majorHAnsi" w:cstheme="majorHAnsi"/>
          <w:sz w:val="24"/>
          <w:szCs w:val="24"/>
        </w:rPr>
        <w:t>seemingly ordinary</w:t>
      </w:r>
      <w:proofErr w:type="gramEnd"/>
      <w:r w:rsidR="001E3196" w:rsidRPr="00706882">
        <w:rPr>
          <w:rFonts w:asciiTheme="majorHAnsi" w:hAnsiTheme="majorHAnsi" w:cstheme="majorHAnsi"/>
          <w:sz w:val="24"/>
          <w:szCs w:val="24"/>
        </w:rPr>
        <w:t xml:space="preserve">, </w:t>
      </w:r>
      <w:r w:rsidR="007D5EB7" w:rsidRPr="00706882">
        <w:rPr>
          <w:rFonts w:asciiTheme="majorHAnsi" w:hAnsiTheme="majorHAnsi" w:cstheme="majorHAnsi"/>
          <w:sz w:val="24"/>
          <w:szCs w:val="24"/>
        </w:rPr>
        <w:t>everyday</w:t>
      </w:r>
      <w:r w:rsidR="000F617B" w:rsidRPr="00706882">
        <w:rPr>
          <w:rFonts w:asciiTheme="majorHAnsi" w:hAnsiTheme="majorHAnsi" w:cstheme="majorHAnsi"/>
          <w:sz w:val="24"/>
          <w:szCs w:val="24"/>
        </w:rPr>
        <w:t xml:space="preserve"> aspects of our lives, our food, is able to be heritage and that it belongs to our identity and </w:t>
      </w:r>
      <w:r w:rsidR="008C7402" w:rsidRPr="00706882">
        <w:rPr>
          <w:rFonts w:asciiTheme="majorHAnsi" w:hAnsiTheme="majorHAnsi" w:cstheme="majorHAnsi"/>
          <w:sz w:val="24"/>
          <w:szCs w:val="24"/>
        </w:rPr>
        <w:t xml:space="preserve">connects to </w:t>
      </w:r>
      <w:r w:rsidR="000F617B" w:rsidRPr="00706882">
        <w:rPr>
          <w:rFonts w:asciiTheme="majorHAnsi" w:hAnsiTheme="majorHAnsi" w:cstheme="majorHAnsi"/>
          <w:sz w:val="24"/>
          <w:szCs w:val="24"/>
        </w:rPr>
        <w:t xml:space="preserve">our sense of belonging. </w:t>
      </w:r>
      <w:r w:rsidR="001E3196" w:rsidRPr="00706882">
        <w:rPr>
          <w:rFonts w:asciiTheme="majorHAnsi" w:hAnsiTheme="majorHAnsi" w:cstheme="majorHAnsi"/>
          <w:sz w:val="24"/>
          <w:szCs w:val="24"/>
        </w:rPr>
        <w:t>She provides</w:t>
      </w:r>
      <w:r w:rsidR="000F617B" w:rsidRPr="00706882">
        <w:rPr>
          <w:rFonts w:asciiTheme="majorHAnsi" w:hAnsiTheme="majorHAnsi" w:cstheme="majorHAnsi"/>
          <w:sz w:val="24"/>
          <w:szCs w:val="24"/>
        </w:rPr>
        <w:t xml:space="preserve"> an academic validation of the importance of food as heritage which gives a rationale for museums to develop ways to incorporate food into their displays </w:t>
      </w:r>
      <w:r w:rsidR="005B53B0" w:rsidRPr="00706882">
        <w:rPr>
          <w:rFonts w:asciiTheme="majorHAnsi" w:hAnsiTheme="majorHAnsi" w:cstheme="majorHAnsi"/>
          <w:sz w:val="24"/>
          <w:szCs w:val="24"/>
        </w:rPr>
        <w:br/>
        <w:t xml:space="preserve">Di Fiore is important to this </w:t>
      </w:r>
      <w:r w:rsidR="00013A3C" w:rsidRPr="00706882">
        <w:rPr>
          <w:rFonts w:asciiTheme="majorHAnsi" w:hAnsiTheme="majorHAnsi" w:cstheme="majorHAnsi"/>
          <w:sz w:val="24"/>
          <w:szCs w:val="24"/>
        </w:rPr>
        <w:t>thesis</w:t>
      </w:r>
      <w:r w:rsidR="005B53B0" w:rsidRPr="00706882">
        <w:rPr>
          <w:rFonts w:asciiTheme="majorHAnsi" w:hAnsiTheme="majorHAnsi" w:cstheme="majorHAnsi"/>
          <w:sz w:val="24"/>
          <w:szCs w:val="24"/>
        </w:rPr>
        <w:t xml:space="preserve"> because</w:t>
      </w:r>
      <w:r w:rsidR="00D46C7B" w:rsidRPr="00706882">
        <w:rPr>
          <w:rFonts w:asciiTheme="majorHAnsi" w:hAnsiTheme="majorHAnsi" w:cstheme="majorHAnsi"/>
          <w:sz w:val="24"/>
          <w:szCs w:val="24"/>
        </w:rPr>
        <w:t xml:space="preserve"> she discusses the ways in which food is an integral part of heritage </w:t>
      </w:r>
      <w:r w:rsidR="00A42333" w:rsidRPr="00706882">
        <w:rPr>
          <w:rFonts w:asciiTheme="majorHAnsi" w:hAnsiTheme="majorHAnsi" w:cstheme="majorHAnsi"/>
          <w:sz w:val="24"/>
          <w:szCs w:val="24"/>
        </w:rPr>
        <w:t xml:space="preserve">alongside it being intangible heritage within </w:t>
      </w:r>
      <w:r w:rsidR="00DB6355" w:rsidRPr="00706882">
        <w:rPr>
          <w:rFonts w:asciiTheme="majorHAnsi" w:hAnsiTheme="majorHAnsi" w:cstheme="majorHAnsi"/>
          <w:sz w:val="24"/>
          <w:szCs w:val="24"/>
        </w:rPr>
        <w:t>Europe</w:t>
      </w:r>
      <w:r w:rsidR="00A42333" w:rsidRPr="00706882">
        <w:rPr>
          <w:rFonts w:asciiTheme="majorHAnsi" w:hAnsiTheme="majorHAnsi" w:cstheme="majorHAnsi"/>
          <w:sz w:val="24"/>
          <w:szCs w:val="24"/>
        </w:rPr>
        <w:t>.</w:t>
      </w:r>
    </w:p>
    <w:p w14:paraId="50FC4A9B" w14:textId="70B66327" w:rsidR="002D3062" w:rsidRPr="00706882" w:rsidRDefault="006D0397"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br/>
        <w:t xml:space="preserve">This </w:t>
      </w:r>
      <w:r w:rsidR="00013A3C" w:rsidRPr="00706882">
        <w:rPr>
          <w:rFonts w:asciiTheme="majorHAnsi" w:hAnsiTheme="majorHAnsi" w:cstheme="majorHAnsi"/>
          <w:sz w:val="24"/>
          <w:szCs w:val="24"/>
        </w:rPr>
        <w:t>thesis</w:t>
      </w:r>
      <w:r w:rsidRPr="00706882">
        <w:rPr>
          <w:rFonts w:asciiTheme="majorHAnsi" w:hAnsiTheme="majorHAnsi" w:cstheme="majorHAnsi"/>
          <w:sz w:val="24"/>
          <w:szCs w:val="24"/>
        </w:rPr>
        <w:t xml:space="preserve"> has as its central theme the notion that food is heritage. </w:t>
      </w:r>
      <w:r w:rsidR="00E32FF3" w:rsidRPr="00706882">
        <w:rPr>
          <w:rFonts w:asciiTheme="majorHAnsi" w:hAnsiTheme="majorHAnsi" w:cstheme="majorHAnsi"/>
          <w:sz w:val="24"/>
          <w:szCs w:val="24"/>
        </w:rPr>
        <w:t>Lle</w:t>
      </w:r>
      <w:r w:rsidR="00F440A1" w:rsidRPr="00706882">
        <w:rPr>
          <w:rFonts w:asciiTheme="majorHAnsi" w:hAnsiTheme="majorHAnsi" w:cstheme="majorHAnsi"/>
          <w:sz w:val="24"/>
          <w:szCs w:val="24"/>
        </w:rPr>
        <w:t>re</w:t>
      </w:r>
      <w:r w:rsidR="00E32FF3" w:rsidRPr="00706882">
        <w:rPr>
          <w:rFonts w:asciiTheme="majorHAnsi" w:hAnsiTheme="majorHAnsi" w:cstheme="majorHAnsi"/>
          <w:sz w:val="24"/>
          <w:szCs w:val="24"/>
        </w:rPr>
        <w:t>na</w:t>
      </w:r>
      <w:r w:rsidR="00DA1E6F" w:rsidRPr="00706882">
        <w:rPr>
          <w:rFonts w:asciiTheme="majorHAnsi" w:hAnsiTheme="majorHAnsi" w:cstheme="majorHAnsi"/>
          <w:sz w:val="24"/>
          <w:szCs w:val="24"/>
        </w:rPr>
        <w:t xml:space="preserve"> in </w:t>
      </w:r>
      <w:r w:rsidR="00DA1E6F" w:rsidRPr="00706882">
        <w:rPr>
          <w:rFonts w:asciiTheme="majorHAnsi" w:hAnsiTheme="majorHAnsi" w:cstheme="majorHAnsi"/>
          <w:i/>
          <w:iCs/>
          <w:sz w:val="24"/>
          <w:szCs w:val="24"/>
        </w:rPr>
        <w:t>Food Conjures Memory: Making Memory in the Museum</w:t>
      </w:r>
      <w:r w:rsidR="00DA1E6F" w:rsidRPr="00706882">
        <w:rPr>
          <w:rFonts w:asciiTheme="majorHAnsi" w:hAnsiTheme="majorHAnsi" w:cstheme="majorHAnsi"/>
          <w:sz w:val="24"/>
          <w:szCs w:val="24"/>
        </w:rPr>
        <w:t xml:space="preserve"> highlights how food is one of the </w:t>
      </w:r>
      <w:r w:rsidR="00950B17" w:rsidRPr="00706882">
        <w:rPr>
          <w:rFonts w:asciiTheme="majorHAnsi" w:hAnsiTheme="majorHAnsi" w:cstheme="majorHAnsi"/>
          <w:sz w:val="24"/>
          <w:szCs w:val="24"/>
        </w:rPr>
        <w:t>principal</w:t>
      </w:r>
      <w:r w:rsidR="00DA1E6F" w:rsidRPr="00706882">
        <w:rPr>
          <w:rFonts w:asciiTheme="majorHAnsi" w:hAnsiTheme="majorHAnsi" w:cstheme="majorHAnsi"/>
          <w:sz w:val="24"/>
          <w:szCs w:val="24"/>
        </w:rPr>
        <w:t xml:space="preserve"> components in understanding culture. </w:t>
      </w:r>
      <w:r w:rsidR="00A24A28" w:rsidRPr="00706882">
        <w:rPr>
          <w:rFonts w:asciiTheme="majorHAnsi" w:hAnsiTheme="majorHAnsi" w:cstheme="majorHAnsi"/>
          <w:sz w:val="24"/>
          <w:szCs w:val="24"/>
        </w:rPr>
        <w:t>She believes that by excluding food from the public spaces and within the domain of the museum</w:t>
      </w:r>
      <w:r w:rsidR="00A07258" w:rsidRPr="00706882">
        <w:rPr>
          <w:rFonts w:asciiTheme="majorHAnsi" w:hAnsiTheme="majorHAnsi" w:cstheme="majorHAnsi"/>
          <w:sz w:val="24"/>
          <w:szCs w:val="24"/>
        </w:rPr>
        <w:t xml:space="preserve"> </w:t>
      </w:r>
      <w:r w:rsidR="00D168C7" w:rsidRPr="00706882">
        <w:rPr>
          <w:rFonts w:asciiTheme="majorHAnsi" w:hAnsiTheme="majorHAnsi" w:cstheme="majorHAnsi"/>
          <w:sz w:val="24"/>
          <w:szCs w:val="24"/>
        </w:rPr>
        <w:t xml:space="preserve">whilst </w:t>
      </w:r>
      <w:r w:rsidR="00B36152" w:rsidRPr="00706882">
        <w:rPr>
          <w:rFonts w:asciiTheme="majorHAnsi" w:hAnsiTheme="majorHAnsi" w:cstheme="majorHAnsi"/>
          <w:sz w:val="24"/>
          <w:szCs w:val="24"/>
        </w:rPr>
        <w:t>representing the other aspects of a societ</w:t>
      </w:r>
      <w:r w:rsidR="004964E1" w:rsidRPr="00706882">
        <w:rPr>
          <w:rFonts w:asciiTheme="majorHAnsi" w:hAnsiTheme="majorHAnsi" w:cstheme="majorHAnsi"/>
          <w:sz w:val="24"/>
          <w:szCs w:val="24"/>
        </w:rPr>
        <w:t xml:space="preserve">y’s </w:t>
      </w:r>
      <w:r w:rsidR="00B36152" w:rsidRPr="00706882">
        <w:rPr>
          <w:rFonts w:asciiTheme="majorHAnsi" w:hAnsiTheme="majorHAnsi" w:cstheme="majorHAnsi"/>
          <w:sz w:val="24"/>
          <w:szCs w:val="24"/>
        </w:rPr>
        <w:t xml:space="preserve">culture </w:t>
      </w:r>
      <w:r w:rsidR="00A07258" w:rsidRPr="00706882">
        <w:rPr>
          <w:rFonts w:asciiTheme="majorHAnsi" w:hAnsiTheme="majorHAnsi" w:cstheme="majorHAnsi"/>
          <w:sz w:val="24"/>
          <w:szCs w:val="24"/>
        </w:rPr>
        <w:t>means that you</w:t>
      </w:r>
      <w:r w:rsidR="00F35ECE" w:rsidRPr="00706882">
        <w:rPr>
          <w:rFonts w:asciiTheme="majorHAnsi" w:hAnsiTheme="majorHAnsi" w:cstheme="majorHAnsi"/>
          <w:sz w:val="24"/>
          <w:szCs w:val="24"/>
        </w:rPr>
        <w:t xml:space="preserve"> are denying the ‘significance of food as a defining element in </w:t>
      </w:r>
      <w:r w:rsidR="00F35ECE" w:rsidRPr="00706882">
        <w:rPr>
          <w:rFonts w:asciiTheme="majorHAnsi" w:hAnsiTheme="majorHAnsi" w:cstheme="majorHAnsi"/>
          <w:sz w:val="24"/>
          <w:szCs w:val="24"/>
        </w:rPr>
        <w:lastRenderedPageBreak/>
        <w:t>the culture and history of exhibitions.’</w:t>
      </w:r>
      <w:r w:rsidR="00652CD5" w:rsidRPr="00706882">
        <w:rPr>
          <w:rStyle w:val="FootnoteReference"/>
          <w:rFonts w:asciiTheme="majorHAnsi" w:hAnsiTheme="majorHAnsi" w:cstheme="majorHAnsi"/>
          <w:sz w:val="24"/>
          <w:szCs w:val="24"/>
        </w:rPr>
        <w:footnoteReference w:id="9"/>
      </w:r>
      <w:r w:rsidR="00D168C7" w:rsidRPr="00706882">
        <w:rPr>
          <w:rFonts w:asciiTheme="majorHAnsi" w:hAnsiTheme="majorHAnsi" w:cstheme="majorHAnsi"/>
          <w:sz w:val="24"/>
          <w:szCs w:val="24"/>
        </w:rPr>
        <w:t xml:space="preserve"> </w:t>
      </w:r>
      <w:r w:rsidR="00EA6EBB" w:rsidRPr="00706882">
        <w:rPr>
          <w:rFonts w:asciiTheme="majorHAnsi" w:hAnsiTheme="majorHAnsi" w:cstheme="majorHAnsi"/>
          <w:sz w:val="24"/>
          <w:szCs w:val="24"/>
        </w:rPr>
        <w:t xml:space="preserve"> Llerena </w:t>
      </w:r>
      <w:r w:rsidR="000E366D" w:rsidRPr="00706882">
        <w:rPr>
          <w:rFonts w:asciiTheme="majorHAnsi" w:hAnsiTheme="majorHAnsi" w:cstheme="majorHAnsi"/>
          <w:sz w:val="24"/>
          <w:szCs w:val="24"/>
        </w:rPr>
        <w:t xml:space="preserve">states that ‘in museums, food displays and aromas conjure memories of the human experience: for example </w:t>
      </w:r>
      <w:r w:rsidR="00035ECC" w:rsidRPr="00706882">
        <w:rPr>
          <w:rFonts w:asciiTheme="majorHAnsi" w:hAnsiTheme="majorHAnsi" w:cstheme="majorHAnsi"/>
          <w:sz w:val="24"/>
          <w:szCs w:val="24"/>
        </w:rPr>
        <w:t>time, family, celebrations, migration or war</w:t>
      </w:r>
      <w:r w:rsidR="004B7A22" w:rsidRPr="00706882">
        <w:rPr>
          <w:rFonts w:asciiTheme="majorHAnsi" w:hAnsiTheme="majorHAnsi" w:cstheme="majorHAnsi"/>
          <w:sz w:val="24"/>
          <w:szCs w:val="24"/>
        </w:rPr>
        <w:t>,</w:t>
      </w:r>
      <w:r w:rsidR="004D1945" w:rsidRPr="00706882">
        <w:rPr>
          <w:rFonts w:asciiTheme="majorHAnsi" w:hAnsiTheme="majorHAnsi" w:cstheme="majorHAnsi"/>
          <w:sz w:val="24"/>
          <w:szCs w:val="24"/>
        </w:rPr>
        <w:t xml:space="preserve"> </w:t>
      </w:r>
      <w:r w:rsidR="00035ECC" w:rsidRPr="00706882">
        <w:rPr>
          <w:rFonts w:asciiTheme="majorHAnsi" w:hAnsiTheme="majorHAnsi" w:cstheme="majorHAnsi"/>
          <w:sz w:val="24"/>
          <w:szCs w:val="24"/>
        </w:rPr>
        <w:t>Food can evoke memory, create a sense of place and help define the human story.’</w:t>
      </w:r>
      <w:r w:rsidR="001252FB" w:rsidRPr="00706882">
        <w:rPr>
          <w:rStyle w:val="FootnoteReference"/>
          <w:rFonts w:asciiTheme="majorHAnsi" w:hAnsiTheme="majorHAnsi" w:cstheme="majorHAnsi"/>
          <w:sz w:val="24"/>
          <w:szCs w:val="24"/>
        </w:rPr>
        <w:footnoteReference w:id="10"/>
      </w:r>
      <w:r w:rsidR="00894357" w:rsidRPr="00706882">
        <w:rPr>
          <w:rFonts w:asciiTheme="majorHAnsi" w:hAnsiTheme="majorHAnsi" w:cstheme="majorHAnsi"/>
          <w:sz w:val="24"/>
          <w:szCs w:val="24"/>
        </w:rPr>
        <w:t xml:space="preserve"> </w:t>
      </w:r>
      <w:r w:rsidR="004D1945" w:rsidRPr="00706882">
        <w:rPr>
          <w:rFonts w:asciiTheme="majorHAnsi" w:hAnsiTheme="majorHAnsi" w:cstheme="majorHAnsi"/>
          <w:sz w:val="24"/>
          <w:szCs w:val="24"/>
        </w:rPr>
        <w:t xml:space="preserve"> This highlights how these are a range of experiences where food plays a part of social memory, whether it</w:t>
      </w:r>
      <w:r w:rsidR="007D184B" w:rsidRPr="00706882">
        <w:rPr>
          <w:rFonts w:asciiTheme="majorHAnsi" w:hAnsiTheme="majorHAnsi" w:cstheme="majorHAnsi"/>
          <w:sz w:val="24"/>
          <w:szCs w:val="24"/>
        </w:rPr>
        <w:t xml:space="preserve"> is</w:t>
      </w:r>
      <w:r w:rsidR="004D1945" w:rsidRPr="00706882">
        <w:rPr>
          <w:rFonts w:asciiTheme="majorHAnsi" w:hAnsiTheme="majorHAnsi" w:cstheme="majorHAnsi"/>
          <w:sz w:val="24"/>
          <w:szCs w:val="24"/>
        </w:rPr>
        <w:t xml:space="preserve"> central to a</w:t>
      </w:r>
      <w:r w:rsidR="007D184B" w:rsidRPr="00706882">
        <w:rPr>
          <w:rFonts w:asciiTheme="majorHAnsi" w:hAnsiTheme="majorHAnsi" w:cstheme="majorHAnsi"/>
          <w:sz w:val="24"/>
          <w:szCs w:val="24"/>
        </w:rPr>
        <w:t xml:space="preserve"> celebration</w:t>
      </w:r>
      <w:r w:rsidR="004D1945" w:rsidRPr="00706882">
        <w:rPr>
          <w:rFonts w:asciiTheme="majorHAnsi" w:hAnsiTheme="majorHAnsi" w:cstheme="majorHAnsi"/>
          <w:sz w:val="24"/>
          <w:szCs w:val="24"/>
        </w:rPr>
        <w:t xml:space="preserve"> event or </w:t>
      </w:r>
      <w:r w:rsidR="007D184B" w:rsidRPr="00706882">
        <w:rPr>
          <w:rFonts w:asciiTheme="majorHAnsi" w:hAnsiTheme="majorHAnsi" w:cstheme="majorHAnsi"/>
          <w:sz w:val="24"/>
          <w:szCs w:val="24"/>
        </w:rPr>
        <w:t>noticeable by its scarcity</w:t>
      </w:r>
      <w:r w:rsidR="004D1945" w:rsidRPr="00706882">
        <w:rPr>
          <w:rFonts w:asciiTheme="majorHAnsi" w:hAnsiTheme="majorHAnsi" w:cstheme="majorHAnsi"/>
          <w:sz w:val="24"/>
          <w:szCs w:val="24"/>
        </w:rPr>
        <w:t xml:space="preserve">. </w:t>
      </w:r>
      <w:r w:rsidR="00515491" w:rsidRPr="00706882">
        <w:rPr>
          <w:rFonts w:asciiTheme="majorHAnsi" w:hAnsiTheme="majorHAnsi" w:cstheme="majorHAnsi"/>
          <w:sz w:val="24"/>
          <w:szCs w:val="24"/>
        </w:rPr>
        <w:br/>
        <w:t>Llerena when talking about food within history museums</w:t>
      </w:r>
      <w:r w:rsidR="00975EFC" w:rsidRPr="00706882">
        <w:rPr>
          <w:rFonts w:asciiTheme="majorHAnsi" w:hAnsiTheme="majorHAnsi" w:cstheme="majorHAnsi"/>
          <w:sz w:val="24"/>
          <w:szCs w:val="24"/>
        </w:rPr>
        <w:t xml:space="preserve"> uses North American museums as an example, stating that they often use food to compliment other themed exhibits, but the food </w:t>
      </w:r>
      <w:r w:rsidR="00BB6086" w:rsidRPr="00706882">
        <w:rPr>
          <w:rFonts w:asciiTheme="majorHAnsi" w:hAnsiTheme="majorHAnsi" w:cstheme="majorHAnsi"/>
          <w:sz w:val="24"/>
          <w:szCs w:val="24"/>
        </w:rPr>
        <w:t>is ‘usually a plastic display…</w:t>
      </w:r>
      <w:r w:rsidR="00F77108" w:rsidRPr="00706882">
        <w:rPr>
          <w:rFonts w:asciiTheme="majorHAnsi" w:hAnsiTheme="majorHAnsi" w:cstheme="majorHAnsi"/>
          <w:sz w:val="24"/>
          <w:szCs w:val="24"/>
        </w:rPr>
        <w:t xml:space="preserve"> dried cornstalks; exotic spices in glass displays cases</w:t>
      </w:r>
      <w:r w:rsidR="00BB6086" w:rsidRPr="00706882">
        <w:rPr>
          <w:rFonts w:asciiTheme="majorHAnsi" w:hAnsiTheme="majorHAnsi" w:cstheme="majorHAnsi"/>
          <w:sz w:val="24"/>
          <w:szCs w:val="24"/>
        </w:rPr>
        <w:t xml:space="preserve"> or spoils of war in military museums.’</w:t>
      </w:r>
      <w:r w:rsidR="00BB6086" w:rsidRPr="00706882">
        <w:rPr>
          <w:rStyle w:val="FootnoteReference"/>
          <w:rFonts w:asciiTheme="majorHAnsi" w:hAnsiTheme="majorHAnsi" w:cstheme="majorHAnsi"/>
          <w:sz w:val="24"/>
          <w:szCs w:val="24"/>
        </w:rPr>
        <w:footnoteReference w:id="11"/>
      </w:r>
      <w:r w:rsidR="0027056B" w:rsidRPr="00706882">
        <w:rPr>
          <w:rFonts w:asciiTheme="majorHAnsi" w:hAnsiTheme="majorHAnsi" w:cstheme="majorHAnsi"/>
          <w:sz w:val="24"/>
          <w:szCs w:val="24"/>
        </w:rPr>
        <w:t xml:space="preserve"> </w:t>
      </w:r>
      <w:r w:rsidR="005C7570" w:rsidRPr="00706882">
        <w:rPr>
          <w:rFonts w:asciiTheme="majorHAnsi" w:hAnsiTheme="majorHAnsi" w:cstheme="majorHAnsi"/>
          <w:sz w:val="24"/>
          <w:szCs w:val="24"/>
        </w:rPr>
        <w:t xml:space="preserve"> </w:t>
      </w:r>
      <w:r w:rsidR="00CB70BD" w:rsidRPr="00706882">
        <w:rPr>
          <w:rFonts w:asciiTheme="majorHAnsi" w:hAnsiTheme="majorHAnsi" w:cstheme="majorHAnsi"/>
          <w:sz w:val="24"/>
          <w:szCs w:val="24"/>
        </w:rPr>
        <w:t xml:space="preserve">This type of display is extremely common within museums, </w:t>
      </w:r>
      <w:r w:rsidR="00B651D6" w:rsidRPr="00706882">
        <w:rPr>
          <w:rFonts w:asciiTheme="majorHAnsi" w:hAnsiTheme="majorHAnsi" w:cstheme="majorHAnsi"/>
          <w:sz w:val="24"/>
          <w:szCs w:val="24"/>
        </w:rPr>
        <w:t xml:space="preserve">and unfortunately gives a very limit experience of what food culture might be. </w:t>
      </w:r>
      <w:r w:rsidR="00A46100" w:rsidRPr="00706882">
        <w:rPr>
          <w:rFonts w:asciiTheme="majorHAnsi" w:hAnsiTheme="majorHAnsi" w:cstheme="majorHAnsi"/>
          <w:sz w:val="24"/>
          <w:szCs w:val="24"/>
        </w:rPr>
        <w:t>Llerenas research raises questions about the</w:t>
      </w:r>
      <w:r w:rsidR="002F47E1" w:rsidRPr="00706882">
        <w:rPr>
          <w:rFonts w:asciiTheme="majorHAnsi" w:hAnsiTheme="majorHAnsi" w:cstheme="majorHAnsi"/>
          <w:sz w:val="24"/>
          <w:szCs w:val="24"/>
        </w:rPr>
        <w:t xml:space="preserve"> way in which </w:t>
      </w:r>
      <w:r w:rsidR="00935D70" w:rsidRPr="00706882">
        <w:rPr>
          <w:rFonts w:asciiTheme="majorHAnsi" w:hAnsiTheme="majorHAnsi" w:cstheme="majorHAnsi"/>
          <w:sz w:val="24"/>
          <w:szCs w:val="24"/>
        </w:rPr>
        <w:t xml:space="preserve">food </w:t>
      </w:r>
      <w:proofErr w:type="gramStart"/>
      <w:r w:rsidR="00935D70" w:rsidRPr="00706882">
        <w:rPr>
          <w:rFonts w:asciiTheme="majorHAnsi" w:hAnsiTheme="majorHAnsi" w:cstheme="majorHAnsi"/>
          <w:sz w:val="24"/>
          <w:szCs w:val="24"/>
        </w:rPr>
        <w:t>is represented</w:t>
      </w:r>
      <w:proofErr w:type="gramEnd"/>
      <w:r w:rsidR="00935D70" w:rsidRPr="00706882">
        <w:rPr>
          <w:rFonts w:asciiTheme="majorHAnsi" w:hAnsiTheme="majorHAnsi" w:cstheme="majorHAnsi"/>
          <w:sz w:val="24"/>
          <w:szCs w:val="24"/>
        </w:rPr>
        <w:t xml:space="preserve"> in museums,</w:t>
      </w:r>
      <w:r w:rsidR="00E27A7D" w:rsidRPr="00706882">
        <w:rPr>
          <w:rFonts w:asciiTheme="majorHAnsi" w:hAnsiTheme="majorHAnsi" w:cstheme="majorHAnsi"/>
          <w:sz w:val="24"/>
          <w:szCs w:val="24"/>
        </w:rPr>
        <w:t xml:space="preserve"> and these are examined within this research for museums in Wales. Plastic food displays do help to give some information however an opportunity is missed to draw upon the sensory elements </w:t>
      </w:r>
      <w:r w:rsidR="00222896" w:rsidRPr="00706882">
        <w:rPr>
          <w:rFonts w:asciiTheme="majorHAnsi" w:hAnsiTheme="majorHAnsi" w:cstheme="majorHAnsi"/>
          <w:sz w:val="24"/>
          <w:szCs w:val="24"/>
        </w:rPr>
        <w:t>of the way food plays a role within our heritage and memory</w:t>
      </w:r>
      <w:proofErr w:type="gramStart"/>
      <w:r w:rsidR="00222896" w:rsidRPr="00706882">
        <w:rPr>
          <w:rFonts w:asciiTheme="majorHAnsi" w:hAnsiTheme="majorHAnsi" w:cstheme="majorHAnsi"/>
          <w:sz w:val="24"/>
          <w:szCs w:val="24"/>
        </w:rPr>
        <w:t xml:space="preserve">. </w:t>
      </w:r>
      <w:r w:rsidR="00935D70" w:rsidRPr="00706882">
        <w:rPr>
          <w:rFonts w:asciiTheme="majorHAnsi" w:hAnsiTheme="majorHAnsi" w:cstheme="majorHAnsi"/>
          <w:sz w:val="24"/>
          <w:szCs w:val="24"/>
        </w:rPr>
        <w:t xml:space="preserve"> </w:t>
      </w:r>
      <w:proofErr w:type="gramEnd"/>
      <w:r w:rsidR="00241B16" w:rsidRPr="00706882">
        <w:rPr>
          <w:rFonts w:asciiTheme="majorHAnsi" w:hAnsiTheme="majorHAnsi" w:cstheme="majorHAnsi"/>
          <w:sz w:val="24"/>
          <w:szCs w:val="24"/>
        </w:rPr>
        <w:t xml:space="preserve">Is it possible for Welsh museums to develop more interactive displays which allow visitors to use their senses </w:t>
      </w:r>
      <w:r w:rsidR="00AA14C0" w:rsidRPr="00706882">
        <w:rPr>
          <w:rFonts w:asciiTheme="majorHAnsi" w:hAnsiTheme="majorHAnsi" w:cstheme="majorHAnsi"/>
          <w:sz w:val="24"/>
          <w:szCs w:val="24"/>
        </w:rPr>
        <w:t xml:space="preserve">in </w:t>
      </w:r>
      <w:proofErr w:type="gramStart"/>
      <w:r w:rsidR="00AA14C0" w:rsidRPr="00706882">
        <w:rPr>
          <w:rFonts w:asciiTheme="majorHAnsi" w:hAnsiTheme="majorHAnsi" w:cstheme="majorHAnsi"/>
          <w:sz w:val="24"/>
          <w:szCs w:val="24"/>
        </w:rPr>
        <w:t>hands on</w:t>
      </w:r>
      <w:proofErr w:type="gramEnd"/>
      <w:r w:rsidR="00AA14C0" w:rsidRPr="00706882">
        <w:rPr>
          <w:rFonts w:asciiTheme="majorHAnsi" w:hAnsiTheme="majorHAnsi" w:cstheme="majorHAnsi"/>
          <w:sz w:val="24"/>
          <w:szCs w:val="24"/>
        </w:rPr>
        <w:t xml:space="preserve"> food making activities, cooking, tasting and smelling. </w:t>
      </w:r>
      <w:r w:rsidR="002D3062" w:rsidRPr="00706882">
        <w:rPr>
          <w:rFonts w:asciiTheme="majorHAnsi" w:hAnsiTheme="majorHAnsi" w:cstheme="majorHAnsi"/>
          <w:sz w:val="24"/>
          <w:szCs w:val="24"/>
        </w:rPr>
        <w:t xml:space="preserve">Food is rarely something that plays the leading role within </w:t>
      </w:r>
      <w:r w:rsidR="00950B17" w:rsidRPr="00706882">
        <w:rPr>
          <w:rFonts w:asciiTheme="majorHAnsi" w:hAnsiTheme="majorHAnsi" w:cstheme="majorHAnsi"/>
          <w:sz w:val="24"/>
          <w:szCs w:val="24"/>
        </w:rPr>
        <w:t>museums, nor</w:t>
      </w:r>
      <w:r w:rsidR="002D3062" w:rsidRPr="00706882">
        <w:rPr>
          <w:rFonts w:asciiTheme="majorHAnsi" w:hAnsiTheme="majorHAnsi" w:cstheme="majorHAnsi"/>
          <w:sz w:val="24"/>
          <w:szCs w:val="24"/>
        </w:rPr>
        <w:t xml:space="preserve"> </w:t>
      </w:r>
      <w:r w:rsidR="00F96B67" w:rsidRPr="00706882">
        <w:rPr>
          <w:rFonts w:asciiTheme="majorHAnsi" w:hAnsiTheme="majorHAnsi" w:cstheme="majorHAnsi"/>
          <w:sz w:val="24"/>
          <w:szCs w:val="24"/>
        </w:rPr>
        <w:t>is it</w:t>
      </w:r>
      <w:r w:rsidR="002D3062" w:rsidRPr="00706882">
        <w:rPr>
          <w:rFonts w:asciiTheme="majorHAnsi" w:hAnsiTheme="majorHAnsi" w:cstheme="majorHAnsi"/>
          <w:sz w:val="24"/>
          <w:szCs w:val="24"/>
        </w:rPr>
        <w:t xml:space="preserve"> shown to be crucial to understanding who we are as people, as a society, where we have been and where we are going. </w:t>
      </w:r>
      <w:r w:rsidR="00A02DD1" w:rsidRPr="00706882">
        <w:rPr>
          <w:rFonts w:asciiTheme="majorHAnsi" w:hAnsiTheme="majorHAnsi" w:cstheme="majorHAnsi"/>
          <w:sz w:val="24"/>
          <w:szCs w:val="24"/>
        </w:rPr>
        <w:t>Llerenas research demonstrates that there is a missed opportunity in developing this aspect of museum displays</w:t>
      </w:r>
      <w:proofErr w:type="gramStart"/>
      <w:r w:rsidR="00667C2A" w:rsidRPr="00706882">
        <w:rPr>
          <w:rFonts w:asciiTheme="majorHAnsi" w:hAnsiTheme="majorHAnsi" w:cstheme="majorHAnsi"/>
          <w:sz w:val="24"/>
          <w:szCs w:val="24"/>
        </w:rPr>
        <w:t xml:space="preserve">. </w:t>
      </w:r>
      <w:r w:rsidR="000F3DF0" w:rsidRPr="00706882">
        <w:rPr>
          <w:rFonts w:asciiTheme="majorHAnsi" w:hAnsiTheme="majorHAnsi" w:cstheme="majorHAnsi"/>
          <w:sz w:val="24"/>
          <w:szCs w:val="24"/>
        </w:rPr>
        <w:t xml:space="preserve"> </w:t>
      </w:r>
      <w:proofErr w:type="gramEnd"/>
      <w:r w:rsidR="0022199A" w:rsidRPr="00706882">
        <w:rPr>
          <w:rFonts w:asciiTheme="majorHAnsi" w:hAnsiTheme="majorHAnsi" w:cstheme="majorHAnsi"/>
          <w:sz w:val="24"/>
          <w:szCs w:val="24"/>
        </w:rPr>
        <w:t>Llerena compares museums to heritage sites, believing that</w:t>
      </w:r>
      <w:r w:rsidR="001A4938" w:rsidRPr="00706882">
        <w:rPr>
          <w:rFonts w:asciiTheme="majorHAnsi" w:hAnsiTheme="majorHAnsi" w:cstheme="majorHAnsi"/>
          <w:sz w:val="24"/>
          <w:szCs w:val="24"/>
        </w:rPr>
        <w:t xml:space="preserve"> the later</w:t>
      </w:r>
      <w:r w:rsidR="0022199A" w:rsidRPr="00706882">
        <w:rPr>
          <w:rFonts w:asciiTheme="majorHAnsi" w:hAnsiTheme="majorHAnsi" w:cstheme="majorHAnsi"/>
          <w:sz w:val="24"/>
          <w:szCs w:val="24"/>
        </w:rPr>
        <w:t xml:space="preserve"> tend to be more inclusive of food</w:t>
      </w:r>
      <w:r w:rsidR="001A4938" w:rsidRPr="00706882">
        <w:rPr>
          <w:rFonts w:asciiTheme="majorHAnsi" w:hAnsiTheme="majorHAnsi" w:cstheme="majorHAnsi"/>
          <w:sz w:val="24"/>
          <w:szCs w:val="24"/>
        </w:rPr>
        <w:t xml:space="preserve">. </w:t>
      </w:r>
      <w:proofErr w:type="gramStart"/>
      <w:r w:rsidR="001A4938" w:rsidRPr="00706882">
        <w:rPr>
          <w:rFonts w:asciiTheme="majorHAnsi" w:hAnsiTheme="majorHAnsi" w:cstheme="majorHAnsi"/>
          <w:sz w:val="24"/>
          <w:szCs w:val="24"/>
        </w:rPr>
        <w:t>M</w:t>
      </w:r>
      <w:r w:rsidR="00DC0104" w:rsidRPr="00706882">
        <w:rPr>
          <w:rFonts w:asciiTheme="majorHAnsi" w:hAnsiTheme="majorHAnsi" w:cstheme="majorHAnsi"/>
          <w:sz w:val="24"/>
          <w:szCs w:val="24"/>
        </w:rPr>
        <w:t>any</w:t>
      </w:r>
      <w:proofErr w:type="gramEnd"/>
      <w:r w:rsidR="00DC0104" w:rsidRPr="00706882">
        <w:rPr>
          <w:rFonts w:asciiTheme="majorHAnsi" w:hAnsiTheme="majorHAnsi" w:cstheme="majorHAnsi"/>
          <w:sz w:val="24"/>
          <w:szCs w:val="24"/>
        </w:rPr>
        <w:t xml:space="preserve"> have ‘working historical kitchens to feed the public, which provide a holistic experience.’</w:t>
      </w:r>
      <w:r w:rsidR="00DC0104" w:rsidRPr="00706882">
        <w:rPr>
          <w:rStyle w:val="FootnoteReference"/>
          <w:rFonts w:asciiTheme="majorHAnsi" w:hAnsiTheme="majorHAnsi" w:cstheme="majorHAnsi"/>
          <w:sz w:val="24"/>
          <w:szCs w:val="24"/>
        </w:rPr>
        <w:footnoteReference w:id="12"/>
      </w:r>
      <w:r w:rsidR="0086056E" w:rsidRPr="00706882">
        <w:rPr>
          <w:rFonts w:asciiTheme="majorHAnsi" w:hAnsiTheme="majorHAnsi" w:cstheme="majorHAnsi"/>
          <w:sz w:val="24"/>
          <w:szCs w:val="24"/>
        </w:rPr>
        <w:t xml:space="preserve"> </w:t>
      </w:r>
      <w:r w:rsidR="00556D08" w:rsidRPr="00706882">
        <w:rPr>
          <w:rFonts w:asciiTheme="majorHAnsi" w:hAnsiTheme="majorHAnsi" w:cstheme="majorHAnsi"/>
          <w:sz w:val="24"/>
          <w:szCs w:val="24"/>
        </w:rPr>
        <w:br/>
        <w:t xml:space="preserve">However, she does provide another view of this, which is that many heritage sites often glorify the historic cuisine of the elite class without addressing the exploitation of </w:t>
      </w:r>
      <w:r w:rsidR="009B7873" w:rsidRPr="00706882">
        <w:rPr>
          <w:rFonts w:asciiTheme="majorHAnsi" w:hAnsiTheme="majorHAnsi" w:cstheme="majorHAnsi"/>
          <w:sz w:val="24"/>
          <w:szCs w:val="24"/>
        </w:rPr>
        <w:t xml:space="preserve">the </w:t>
      </w:r>
      <w:r w:rsidR="00C21213" w:rsidRPr="00706882">
        <w:rPr>
          <w:rFonts w:asciiTheme="majorHAnsi" w:hAnsiTheme="majorHAnsi" w:cstheme="majorHAnsi"/>
          <w:sz w:val="24"/>
          <w:szCs w:val="24"/>
        </w:rPr>
        <w:t xml:space="preserve">working class or </w:t>
      </w:r>
      <w:r w:rsidR="00694609" w:rsidRPr="00706882">
        <w:rPr>
          <w:rFonts w:asciiTheme="majorHAnsi" w:hAnsiTheme="majorHAnsi" w:cstheme="majorHAnsi"/>
          <w:sz w:val="24"/>
          <w:szCs w:val="24"/>
        </w:rPr>
        <w:t>Indigenous</w:t>
      </w:r>
      <w:r w:rsidR="00556D08" w:rsidRPr="00706882">
        <w:rPr>
          <w:rFonts w:asciiTheme="majorHAnsi" w:hAnsiTheme="majorHAnsi" w:cstheme="majorHAnsi"/>
          <w:sz w:val="24"/>
          <w:szCs w:val="24"/>
        </w:rPr>
        <w:t xml:space="preserve"> people</w:t>
      </w:r>
      <w:r w:rsidR="00DD39DA" w:rsidRPr="00706882">
        <w:rPr>
          <w:rFonts w:asciiTheme="majorHAnsi" w:hAnsiTheme="majorHAnsi" w:cstheme="majorHAnsi"/>
          <w:sz w:val="24"/>
          <w:szCs w:val="24"/>
        </w:rPr>
        <w:t xml:space="preserve">. There </w:t>
      </w:r>
      <w:r w:rsidR="00FC468E" w:rsidRPr="00706882">
        <w:rPr>
          <w:rFonts w:asciiTheme="majorHAnsi" w:hAnsiTheme="majorHAnsi" w:cstheme="majorHAnsi"/>
          <w:sz w:val="24"/>
          <w:szCs w:val="24"/>
        </w:rPr>
        <w:t xml:space="preserve">is a parallel </w:t>
      </w:r>
      <w:r w:rsidR="00DD39DA" w:rsidRPr="00706882">
        <w:rPr>
          <w:rFonts w:asciiTheme="majorHAnsi" w:hAnsiTheme="majorHAnsi" w:cstheme="majorHAnsi"/>
          <w:sz w:val="24"/>
          <w:szCs w:val="24"/>
        </w:rPr>
        <w:t>with heritage presentations within the United Ki</w:t>
      </w:r>
      <w:r w:rsidR="00FC468E" w:rsidRPr="00706882">
        <w:rPr>
          <w:rFonts w:asciiTheme="majorHAnsi" w:hAnsiTheme="majorHAnsi" w:cstheme="majorHAnsi"/>
          <w:sz w:val="24"/>
          <w:szCs w:val="24"/>
        </w:rPr>
        <w:t>ngdom, where often the elite classes</w:t>
      </w:r>
      <w:r w:rsidR="009C7B98" w:rsidRPr="00706882">
        <w:rPr>
          <w:rFonts w:asciiTheme="majorHAnsi" w:hAnsiTheme="majorHAnsi" w:cstheme="majorHAnsi"/>
          <w:sz w:val="24"/>
          <w:szCs w:val="24"/>
        </w:rPr>
        <w:t xml:space="preserve"> within Wales</w:t>
      </w:r>
      <w:r w:rsidR="00FC468E" w:rsidRPr="00706882">
        <w:rPr>
          <w:rFonts w:asciiTheme="majorHAnsi" w:hAnsiTheme="majorHAnsi" w:cstheme="majorHAnsi"/>
          <w:sz w:val="24"/>
          <w:szCs w:val="24"/>
        </w:rPr>
        <w:t xml:space="preserve"> were Englis</w:t>
      </w:r>
      <w:r w:rsidR="009C7B98" w:rsidRPr="00706882">
        <w:rPr>
          <w:rFonts w:asciiTheme="majorHAnsi" w:hAnsiTheme="majorHAnsi" w:cstheme="majorHAnsi"/>
          <w:sz w:val="24"/>
          <w:szCs w:val="24"/>
        </w:rPr>
        <w:t xml:space="preserve">h. </w:t>
      </w:r>
      <w:r w:rsidR="007C6D88" w:rsidRPr="00706882">
        <w:rPr>
          <w:rFonts w:asciiTheme="majorHAnsi" w:hAnsiTheme="majorHAnsi" w:cstheme="majorHAnsi"/>
          <w:sz w:val="24"/>
          <w:szCs w:val="24"/>
        </w:rPr>
        <w:t>The local</w:t>
      </w:r>
      <w:r w:rsidR="00FC468E" w:rsidRPr="00706882">
        <w:rPr>
          <w:rFonts w:asciiTheme="majorHAnsi" w:hAnsiTheme="majorHAnsi" w:cstheme="majorHAnsi"/>
          <w:sz w:val="24"/>
          <w:szCs w:val="24"/>
        </w:rPr>
        <w:t xml:space="preserve"> Welsh tended to lose their traditions </w:t>
      </w:r>
      <w:r w:rsidR="007C6D88" w:rsidRPr="00706882">
        <w:rPr>
          <w:rFonts w:asciiTheme="majorHAnsi" w:hAnsiTheme="majorHAnsi" w:cstheme="majorHAnsi"/>
          <w:sz w:val="24"/>
          <w:szCs w:val="24"/>
        </w:rPr>
        <w:t>which</w:t>
      </w:r>
      <w:r w:rsidR="00FC468E" w:rsidRPr="00706882">
        <w:rPr>
          <w:rFonts w:asciiTheme="majorHAnsi" w:hAnsiTheme="majorHAnsi" w:cstheme="majorHAnsi"/>
          <w:sz w:val="24"/>
          <w:szCs w:val="24"/>
        </w:rPr>
        <w:t xml:space="preserve"> </w:t>
      </w:r>
      <w:proofErr w:type="gramStart"/>
      <w:r w:rsidR="00FC468E" w:rsidRPr="00706882">
        <w:rPr>
          <w:rFonts w:asciiTheme="majorHAnsi" w:hAnsiTheme="majorHAnsi" w:cstheme="majorHAnsi"/>
          <w:sz w:val="24"/>
          <w:szCs w:val="24"/>
        </w:rPr>
        <w:t>were often not seen</w:t>
      </w:r>
      <w:proofErr w:type="gramEnd"/>
      <w:r w:rsidR="00FC468E" w:rsidRPr="00706882">
        <w:rPr>
          <w:rFonts w:asciiTheme="majorHAnsi" w:hAnsiTheme="majorHAnsi" w:cstheme="majorHAnsi"/>
          <w:sz w:val="24"/>
          <w:szCs w:val="24"/>
        </w:rPr>
        <w:t xml:space="preserve"> within the cuisine of </w:t>
      </w:r>
      <w:r w:rsidR="00486259" w:rsidRPr="00706882">
        <w:rPr>
          <w:rFonts w:asciiTheme="majorHAnsi" w:hAnsiTheme="majorHAnsi" w:cstheme="majorHAnsi"/>
          <w:sz w:val="24"/>
          <w:szCs w:val="24"/>
        </w:rPr>
        <w:t xml:space="preserve">heritage sites such as those </w:t>
      </w:r>
      <w:r w:rsidR="007C6D88" w:rsidRPr="00706882">
        <w:rPr>
          <w:rFonts w:asciiTheme="majorHAnsi" w:hAnsiTheme="majorHAnsi" w:cstheme="majorHAnsi"/>
          <w:sz w:val="24"/>
          <w:szCs w:val="24"/>
        </w:rPr>
        <w:t>of</w:t>
      </w:r>
      <w:r w:rsidR="00486259" w:rsidRPr="00706882">
        <w:rPr>
          <w:rFonts w:asciiTheme="majorHAnsi" w:hAnsiTheme="majorHAnsi" w:cstheme="majorHAnsi"/>
          <w:sz w:val="24"/>
          <w:szCs w:val="24"/>
        </w:rPr>
        <w:t xml:space="preserve"> National Trust manor houses. </w:t>
      </w:r>
      <w:r w:rsidR="0016294E" w:rsidRPr="00706882">
        <w:rPr>
          <w:rFonts w:asciiTheme="majorHAnsi" w:hAnsiTheme="majorHAnsi" w:cstheme="majorHAnsi"/>
          <w:sz w:val="24"/>
          <w:szCs w:val="24"/>
        </w:rPr>
        <w:t>Llerena sums this up perfectly</w:t>
      </w:r>
      <w:r w:rsidR="008373C1" w:rsidRPr="00706882">
        <w:rPr>
          <w:rFonts w:asciiTheme="majorHAnsi" w:hAnsiTheme="majorHAnsi" w:cstheme="majorHAnsi"/>
          <w:sz w:val="24"/>
          <w:szCs w:val="24"/>
        </w:rPr>
        <w:t xml:space="preserve">, </w:t>
      </w:r>
      <w:r w:rsidR="004745C1" w:rsidRPr="00706882">
        <w:rPr>
          <w:rFonts w:asciiTheme="majorHAnsi" w:hAnsiTheme="majorHAnsi" w:cstheme="majorHAnsi"/>
          <w:sz w:val="24"/>
          <w:szCs w:val="24"/>
        </w:rPr>
        <w:t xml:space="preserve">‘By blatantly omitting </w:t>
      </w:r>
      <w:r w:rsidR="004745C1" w:rsidRPr="00706882">
        <w:rPr>
          <w:rFonts w:asciiTheme="majorHAnsi" w:hAnsiTheme="majorHAnsi" w:cstheme="majorHAnsi"/>
          <w:sz w:val="24"/>
          <w:szCs w:val="24"/>
        </w:rPr>
        <w:lastRenderedPageBreak/>
        <w:t>or silencing any mention of the historical contributions of others, historians and museologists perpetuate the same imperialist ideology that have affected the world for centuries.’</w:t>
      </w:r>
      <w:r w:rsidR="004745C1" w:rsidRPr="00706882">
        <w:rPr>
          <w:rStyle w:val="FootnoteReference"/>
          <w:rFonts w:asciiTheme="majorHAnsi" w:hAnsiTheme="majorHAnsi" w:cstheme="majorHAnsi"/>
          <w:sz w:val="24"/>
          <w:szCs w:val="24"/>
        </w:rPr>
        <w:footnoteReference w:id="13"/>
      </w:r>
      <w:r w:rsidR="008373C1" w:rsidRPr="00706882">
        <w:rPr>
          <w:rFonts w:asciiTheme="majorHAnsi" w:hAnsiTheme="majorHAnsi" w:cstheme="majorHAnsi"/>
          <w:sz w:val="24"/>
          <w:szCs w:val="24"/>
        </w:rPr>
        <w:t xml:space="preserve"> </w:t>
      </w:r>
      <w:r w:rsidR="009964CE" w:rsidRPr="00706882">
        <w:rPr>
          <w:rFonts w:asciiTheme="majorHAnsi" w:hAnsiTheme="majorHAnsi" w:cstheme="majorHAnsi"/>
          <w:sz w:val="24"/>
          <w:szCs w:val="24"/>
        </w:rPr>
        <w:t xml:space="preserve">Welsh heritage presentations may also be guilty of this, this </w:t>
      </w:r>
      <w:proofErr w:type="gramStart"/>
      <w:r w:rsidR="009964CE" w:rsidRPr="00706882">
        <w:rPr>
          <w:rFonts w:asciiTheme="majorHAnsi" w:hAnsiTheme="majorHAnsi" w:cstheme="majorHAnsi"/>
          <w:sz w:val="24"/>
          <w:szCs w:val="24"/>
        </w:rPr>
        <w:t>is examined</w:t>
      </w:r>
      <w:proofErr w:type="gramEnd"/>
      <w:r w:rsidR="009964CE" w:rsidRPr="00706882">
        <w:rPr>
          <w:rFonts w:asciiTheme="majorHAnsi" w:hAnsiTheme="majorHAnsi" w:cstheme="majorHAnsi"/>
          <w:sz w:val="24"/>
          <w:szCs w:val="24"/>
        </w:rPr>
        <w:t xml:space="preserve"> within this paper. </w:t>
      </w:r>
    </w:p>
    <w:p w14:paraId="1D70C94C" w14:textId="510B9D03" w:rsidR="000F3DF0" w:rsidRPr="00706882" w:rsidRDefault="00D551C8"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Máirtín </w:t>
      </w:r>
      <w:r w:rsidR="00F922A0" w:rsidRPr="00706882">
        <w:rPr>
          <w:rFonts w:asciiTheme="majorHAnsi" w:hAnsiTheme="majorHAnsi" w:cstheme="majorHAnsi"/>
          <w:sz w:val="24"/>
          <w:szCs w:val="24"/>
        </w:rPr>
        <w:t>Mac Con Iomaire has made a study focused on recognising food as part of Ireland’s intangible cultural heritage</w:t>
      </w:r>
      <w:r w:rsidR="002C5216" w:rsidRPr="00706882">
        <w:rPr>
          <w:rFonts w:asciiTheme="majorHAnsi" w:hAnsiTheme="majorHAnsi" w:cstheme="majorHAnsi"/>
          <w:sz w:val="24"/>
          <w:szCs w:val="24"/>
        </w:rPr>
        <w:t xml:space="preserve">. </w:t>
      </w:r>
      <w:r w:rsidR="00B510F8" w:rsidRPr="00706882">
        <w:rPr>
          <w:rFonts w:asciiTheme="majorHAnsi" w:hAnsiTheme="majorHAnsi" w:cstheme="majorHAnsi"/>
          <w:sz w:val="24"/>
          <w:szCs w:val="24"/>
        </w:rPr>
        <w:t xml:space="preserve">Iomaire highlights how he uses </w:t>
      </w:r>
      <w:r w:rsidR="00824B1F" w:rsidRPr="00706882">
        <w:rPr>
          <w:rFonts w:asciiTheme="majorHAnsi" w:hAnsiTheme="majorHAnsi" w:cstheme="majorHAnsi"/>
          <w:sz w:val="24"/>
          <w:szCs w:val="24"/>
        </w:rPr>
        <w:t>Brolcháin’s</w:t>
      </w:r>
      <w:r w:rsidR="00667220" w:rsidRPr="00706882">
        <w:rPr>
          <w:rFonts w:asciiTheme="majorHAnsi" w:hAnsiTheme="majorHAnsi" w:cstheme="majorHAnsi"/>
          <w:sz w:val="24"/>
          <w:szCs w:val="24"/>
        </w:rPr>
        <w:t xml:space="preserve"> argument that Ireland’s lingering </w:t>
      </w:r>
      <w:r w:rsidR="004F24DA" w:rsidRPr="00706882">
        <w:rPr>
          <w:rFonts w:asciiTheme="majorHAnsi" w:hAnsiTheme="majorHAnsi" w:cstheme="majorHAnsi"/>
          <w:sz w:val="24"/>
          <w:szCs w:val="24"/>
        </w:rPr>
        <w:t>postcolonial</w:t>
      </w:r>
      <w:r w:rsidR="00667220" w:rsidRPr="00706882">
        <w:rPr>
          <w:rFonts w:asciiTheme="majorHAnsi" w:hAnsiTheme="majorHAnsi" w:cstheme="majorHAnsi"/>
          <w:sz w:val="24"/>
          <w:szCs w:val="24"/>
        </w:rPr>
        <w:t xml:space="preserve"> shame </w:t>
      </w:r>
      <w:r w:rsidR="00F7027C" w:rsidRPr="00706882">
        <w:rPr>
          <w:rFonts w:asciiTheme="majorHAnsi" w:hAnsiTheme="majorHAnsi" w:cstheme="majorHAnsi"/>
          <w:sz w:val="24"/>
          <w:szCs w:val="24"/>
        </w:rPr>
        <w:t>shows that there needs to be a ‘serious reengagement with Irish Heritage’</w:t>
      </w:r>
      <w:r w:rsidR="00F7027C" w:rsidRPr="00706882">
        <w:rPr>
          <w:rStyle w:val="FootnoteReference"/>
          <w:rFonts w:asciiTheme="majorHAnsi" w:hAnsiTheme="majorHAnsi" w:cstheme="majorHAnsi"/>
          <w:sz w:val="24"/>
          <w:szCs w:val="24"/>
        </w:rPr>
        <w:footnoteReference w:id="14"/>
      </w:r>
      <w:r w:rsidR="00E567DD" w:rsidRPr="00706882">
        <w:rPr>
          <w:rFonts w:asciiTheme="majorHAnsi" w:hAnsiTheme="majorHAnsi" w:cstheme="majorHAnsi"/>
          <w:sz w:val="24"/>
          <w:szCs w:val="24"/>
        </w:rPr>
        <w:t xml:space="preserve"> The ways Iomaire highlights the tangible vs intangible heritage within Ireland </w:t>
      </w:r>
      <w:r w:rsidR="00957EC5" w:rsidRPr="00706882">
        <w:rPr>
          <w:rFonts w:asciiTheme="majorHAnsi" w:hAnsiTheme="majorHAnsi" w:cstheme="majorHAnsi"/>
          <w:sz w:val="24"/>
          <w:szCs w:val="24"/>
        </w:rPr>
        <w:t xml:space="preserve">sets a good basis for this thesis to discuss the Welsh equivalent. </w:t>
      </w:r>
      <w:r w:rsidR="00E57601" w:rsidRPr="00706882">
        <w:rPr>
          <w:rFonts w:asciiTheme="majorHAnsi" w:hAnsiTheme="majorHAnsi" w:cstheme="majorHAnsi"/>
          <w:sz w:val="24"/>
          <w:szCs w:val="24"/>
        </w:rPr>
        <w:t>Wales shares a similar colonial experience to Ireland under the English</w:t>
      </w:r>
      <w:r w:rsidR="00344723" w:rsidRPr="00706882">
        <w:rPr>
          <w:rFonts w:asciiTheme="majorHAnsi" w:hAnsiTheme="majorHAnsi" w:cstheme="majorHAnsi"/>
          <w:sz w:val="24"/>
          <w:szCs w:val="24"/>
        </w:rPr>
        <w:t xml:space="preserve">. </w:t>
      </w:r>
      <w:r w:rsidR="00207590" w:rsidRPr="00706882">
        <w:rPr>
          <w:rFonts w:asciiTheme="majorHAnsi" w:hAnsiTheme="majorHAnsi" w:cstheme="majorHAnsi"/>
          <w:sz w:val="24"/>
          <w:szCs w:val="24"/>
        </w:rPr>
        <w:t xml:space="preserve">Wales is no stranger to the feeling of lingering postcolonial shame, </w:t>
      </w:r>
      <w:r w:rsidR="009C1A16" w:rsidRPr="00706882">
        <w:rPr>
          <w:rFonts w:asciiTheme="majorHAnsi" w:hAnsiTheme="majorHAnsi" w:cstheme="majorHAnsi"/>
          <w:sz w:val="24"/>
          <w:szCs w:val="24"/>
        </w:rPr>
        <w:t xml:space="preserve">and in </w:t>
      </w:r>
      <w:proofErr w:type="gramStart"/>
      <w:r w:rsidR="009C1A16" w:rsidRPr="00706882">
        <w:rPr>
          <w:rFonts w:asciiTheme="majorHAnsi" w:hAnsiTheme="majorHAnsi" w:cstheme="majorHAnsi"/>
          <w:sz w:val="24"/>
          <w:szCs w:val="24"/>
        </w:rPr>
        <w:t>many</w:t>
      </w:r>
      <w:proofErr w:type="gramEnd"/>
      <w:r w:rsidR="009C1A16" w:rsidRPr="00706882">
        <w:rPr>
          <w:rFonts w:asciiTheme="majorHAnsi" w:hAnsiTheme="majorHAnsi" w:cstheme="majorHAnsi"/>
          <w:sz w:val="24"/>
          <w:szCs w:val="24"/>
        </w:rPr>
        <w:t xml:space="preserve"> ways </w:t>
      </w:r>
      <w:r w:rsidR="00DE5111" w:rsidRPr="00706882">
        <w:rPr>
          <w:rFonts w:asciiTheme="majorHAnsi" w:hAnsiTheme="majorHAnsi" w:cstheme="majorHAnsi"/>
          <w:sz w:val="24"/>
          <w:szCs w:val="24"/>
        </w:rPr>
        <w:t>has</w:t>
      </w:r>
      <w:r w:rsidR="009C1A16" w:rsidRPr="00706882">
        <w:rPr>
          <w:rFonts w:asciiTheme="majorHAnsi" w:hAnsiTheme="majorHAnsi" w:cstheme="majorHAnsi"/>
          <w:sz w:val="24"/>
          <w:szCs w:val="24"/>
        </w:rPr>
        <w:t xml:space="preserve"> struggled to promote </w:t>
      </w:r>
      <w:r w:rsidR="0080274D" w:rsidRPr="00706882">
        <w:rPr>
          <w:rFonts w:asciiTheme="majorHAnsi" w:hAnsiTheme="majorHAnsi" w:cstheme="majorHAnsi"/>
          <w:sz w:val="24"/>
          <w:szCs w:val="24"/>
        </w:rPr>
        <w:t>its own cultural heritage and identity confidently</w:t>
      </w:r>
      <w:r w:rsidR="00422E14" w:rsidRPr="00706882">
        <w:rPr>
          <w:rFonts w:asciiTheme="majorHAnsi" w:hAnsiTheme="majorHAnsi" w:cstheme="majorHAnsi"/>
          <w:sz w:val="24"/>
          <w:szCs w:val="24"/>
        </w:rPr>
        <w:t xml:space="preserve">. This is </w:t>
      </w:r>
      <w:r w:rsidR="00C52C20" w:rsidRPr="00706882">
        <w:rPr>
          <w:rFonts w:asciiTheme="majorHAnsi" w:hAnsiTheme="majorHAnsi" w:cstheme="majorHAnsi"/>
          <w:sz w:val="24"/>
          <w:szCs w:val="24"/>
        </w:rPr>
        <w:t xml:space="preserve">particularly </w:t>
      </w:r>
      <w:r w:rsidR="00DE5111" w:rsidRPr="00706882">
        <w:rPr>
          <w:rFonts w:asciiTheme="majorHAnsi" w:hAnsiTheme="majorHAnsi" w:cstheme="majorHAnsi"/>
          <w:sz w:val="24"/>
          <w:szCs w:val="24"/>
        </w:rPr>
        <w:t>noticeable</w:t>
      </w:r>
      <w:r w:rsidR="00422E14" w:rsidRPr="00706882">
        <w:rPr>
          <w:rFonts w:asciiTheme="majorHAnsi" w:hAnsiTheme="majorHAnsi" w:cstheme="majorHAnsi"/>
          <w:sz w:val="24"/>
          <w:szCs w:val="24"/>
        </w:rPr>
        <w:t xml:space="preserve"> </w:t>
      </w:r>
      <w:r w:rsidR="00C52C20" w:rsidRPr="00706882">
        <w:rPr>
          <w:rFonts w:asciiTheme="majorHAnsi" w:hAnsiTheme="majorHAnsi" w:cstheme="majorHAnsi"/>
          <w:sz w:val="24"/>
          <w:szCs w:val="24"/>
        </w:rPr>
        <w:t>in the case of Welsh food traditions</w:t>
      </w:r>
      <w:r w:rsidR="00422E14" w:rsidRPr="00706882">
        <w:rPr>
          <w:rFonts w:asciiTheme="majorHAnsi" w:hAnsiTheme="majorHAnsi" w:cstheme="majorHAnsi"/>
          <w:sz w:val="24"/>
          <w:szCs w:val="24"/>
        </w:rPr>
        <w:t xml:space="preserve"> which are associated with rural life and in </w:t>
      </w:r>
      <w:proofErr w:type="gramStart"/>
      <w:r w:rsidR="00422E14" w:rsidRPr="00706882">
        <w:rPr>
          <w:rFonts w:asciiTheme="majorHAnsi" w:hAnsiTheme="majorHAnsi" w:cstheme="majorHAnsi"/>
          <w:sz w:val="24"/>
          <w:szCs w:val="24"/>
        </w:rPr>
        <w:t>many</w:t>
      </w:r>
      <w:proofErr w:type="gramEnd"/>
      <w:r w:rsidR="00422E14" w:rsidRPr="00706882">
        <w:rPr>
          <w:rFonts w:asciiTheme="majorHAnsi" w:hAnsiTheme="majorHAnsi" w:cstheme="majorHAnsi"/>
          <w:sz w:val="24"/>
          <w:szCs w:val="24"/>
        </w:rPr>
        <w:t xml:space="preserve"> cases poverty. </w:t>
      </w:r>
    </w:p>
    <w:p w14:paraId="29337E72" w14:textId="21346A62" w:rsidR="00DA1E6F" w:rsidRPr="00706882" w:rsidRDefault="00DA1E6F"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Graves</w:t>
      </w:r>
      <w:r w:rsidR="000F3DF0" w:rsidRPr="00706882">
        <w:rPr>
          <w:rFonts w:asciiTheme="majorHAnsi" w:hAnsiTheme="majorHAnsi" w:cstheme="majorHAnsi"/>
          <w:sz w:val="24"/>
          <w:szCs w:val="24"/>
        </w:rPr>
        <w:t xml:space="preserve"> work is based on t</w:t>
      </w:r>
      <w:r w:rsidR="00505DF5" w:rsidRPr="00706882">
        <w:rPr>
          <w:rFonts w:asciiTheme="majorHAnsi" w:hAnsiTheme="majorHAnsi" w:cstheme="majorHAnsi"/>
          <w:sz w:val="24"/>
          <w:szCs w:val="24"/>
        </w:rPr>
        <w:t>he food stories surrounding Wales, where the food comes from within its landscape and what it was used for traditionally up to the present day</w:t>
      </w:r>
      <w:r w:rsidR="00A81B36" w:rsidRPr="00706882">
        <w:rPr>
          <w:rFonts w:asciiTheme="majorHAnsi" w:hAnsiTheme="majorHAnsi" w:cstheme="majorHAnsi"/>
          <w:sz w:val="24"/>
          <w:szCs w:val="24"/>
        </w:rPr>
        <w:t xml:space="preserve">. </w:t>
      </w:r>
      <w:r w:rsidR="00FC20F5" w:rsidRPr="00706882">
        <w:rPr>
          <w:rFonts w:asciiTheme="majorHAnsi" w:hAnsiTheme="majorHAnsi" w:cstheme="majorHAnsi"/>
          <w:sz w:val="24"/>
          <w:szCs w:val="24"/>
        </w:rPr>
        <w:t xml:space="preserve">He visits a range of locations, meeting the real people who produces the Welsh food we know today, from working water mills, to organic farms. </w:t>
      </w:r>
      <w:r w:rsidR="00694971" w:rsidRPr="00706882">
        <w:rPr>
          <w:rFonts w:asciiTheme="majorHAnsi" w:hAnsiTheme="majorHAnsi" w:cstheme="majorHAnsi"/>
          <w:sz w:val="24"/>
          <w:szCs w:val="24"/>
        </w:rPr>
        <w:t>Graves highlights the ways in which ‘most of the best dishes are time-worn’ most of the best food knows where it came from, what story it fits into and even what story it is a reaction against.’</w:t>
      </w:r>
      <w:r w:rsidR="005A171B" w:rsidRPr="00706882">
        <w:rPr>
          <w:rStyle w:val="FootnoteReference"/>
          <w:rFonts w:asciiTheme="majorHAnsi" w:hAnsiTheme="majorHAnsi" w:cstheme="majorHAnsi"/>
          <w:sz w:val="24"/>
          <w:szCs w:val="24"/>
        </w:rPr>
        <w:footnoteReference w:id="15"/>
      </w:r>
      <w:r w:rsidR="005129C1" w:rsidRPr="00706882">
        <w:rPr>
          <w:rFonts w:asciiTheme="majorHAnsi" w:hAnsiTheme="majorHAnsi" w:cstheme="majorHAnsi"/>
          <w:sz w:val="24"/>
          <w:szCs w:val="24"/>
        </w:rPr>
        <w:t xml:space="preserve"> The book follows a range of case studies and histories of Wales and takes the reader through a journey of nine different sections based on nine different food products. Graves sets a good foundation to be able to aid the research of this </w:t>
      </w:r>
      <w:r w:rsidR="00013A3C" w:rsidRPr="00706882">
        <w:rPr>
          <w:rFonts w:asciiTheme="majorHAnsi" w:hAnsiTheme="majorHAnsi" w:cstheme="majorHAnsi"/>
          <w:sz w:val="24"/>
          <w:szCs w:val="24"/>
        </w:rPr>
        <w:t>thesis</w:t>
      </w:r>
      <w:r w:rsidR="008C059E" w:rsidRPr="00706882">
        <w:rPr>
          <w:rFonts w:asciiTheme="majorHAnsi" w:hAnsiTheme="majorHAnsi" w:cstheme="majorHAnsi"/>
          <w:sz w:val="24"/>
          <w:szCs w:val="24"/>
        </w:rPr>
        <w:t xml:space="preserve"> through the stories told and vision created. However, </w:t>
      </w:r>
      <w:r w:rsidR="004F1A05" w:rsidRPr="00706882">
        <w:rPr>
          <w:rFonts w:asciiTheme="majorHAnsi" w:hAnsiTheme="majorHAnsi" w:cstheme="majorHAnsi"/>
          <w:sz w:val="24"/>
          <w:szCs w:val="24"/>
        </w:rPr>
        <w:t xml:space="preserve">this </w:t>
      </w:r>
      <w:r w:rsidR="00013A3C" w:rsidRPr="00706882">
        <w:rPr>
          <w:rFonts w:asciiTheme="majorHAnsi" w:hAnsiTheme="majorHAnsi" w:cstheme="majorHAnsi"/>
          <w:sz w:val="24"/>
          <w:szCs w:val="24"/>
        </w:rPr>
        <w:t>thesis</w:t>
      </w:r>
      <w:r w:rsidR="004F1A05" w:rsidRPr="00706882">
        <w:rPr>
          <w:rFonts w:asciiTheme="majorHAnsi" w:hAnsiTheme="majorHAnsi" w:cstheme="majorHAnsi"/>
          <w:sz w:val="24"/>
          <w:szCs w:val="24"/>
        </w:rPr>
        <w:t xml:space="preserve"> will be looking at stories and histories beyond Graves research, including looking at the reality of the differences between the miners within the South Wales Coast and the South Wales Valleys. </w:t>
      </w:r>
    </w:p>
    <w:p w14:paraId="277CD311" w14:textId="703A410D" w:rsidR="004547CD" w:rsidRPr="00706882" w:rsidRDefault="004547CD" w:rsidP="00BE50E2">
      <w:pPr>
        <w:pStyle w:val="Heading1"/>
        <w:spacing w:line="360" w:lineRule="auto"/>
        <w:rPr>
          <w:rFonts w:cstheme="majorHAnsi"/>
          <w:szCs w:val="24"/>
        </w:rPr>
      </w:pPr>
    </w:p>
    <w:p w14:paraId="05DE7BFF" w14:textId="4347AB3F" w:rsidR="009B7286" w:rsidRPr="00706882" w:rsidRDefault="009B7286" w:rsidP="009B7286">
      <w:pPr>
        <w:rPr>
          <w:sz w:val="24"/>
          <w:szCs w:val="24"/>
        </w:rPr>
      </w:pPr>
    </w:p>
    <w:p w14:paraId="2F815FE9" w14:textId="77777777" w:rsidR="009B7286" w:rsidRPr="00706882" w:rsidRDefault="009B7286" w:rsidP="009B7286">
      <w:pPr>
        <w:rPr>
          <w:sz w:val="24"/>
          <w:szCs w:val="24"/>
        </w:rPr>
      </w:pPr>
    </w:p>
    <w:p w14:paraId="3072C060" w14:textId="64760614" w:rsidR="00014058" w:rsidRPr="00706882" w:rsidRDefault="00416953" w:rsidP="00BE50E2">
      <w:pPr>
        <w:pStyle w:val="Heading1"/>
        <w:spacing w:line="360" w:lineRule="auto"/>
        <w:rPr>
          <w:rFonts w:cstheme="majorHAnsi"/>
          <w:szCs w:val="24"/>
        </w:rPr>
      </w:pPr>
      <w:bookmarkStart w:id="8" w:name="_Toc125482491"/>
      <w:r w:rsidRPr="00706882">
        <w:rPr>
          <w:rFonts w:cstheme="majorHAnsi"/>
          <w:szCs w:val="24"/>
        </w:rPr>
        <w:lastRenderedPageBreak/>
        <w:t xml:space="preserve">1.3 </w:t>
      </w:r>
      <w:r w:rsidR="00014058" w:rsidRPr="00706882">
        <w:rPr>
          <w:rFonts w:cstheme="majorHAnsi"/>
          <w:szCs w:val="24"/>
        </w:rPr>
        <w:t>Methodology</w:t>
      </w:r>
      <w:bookmarkEnd w:id="8"/>
      <w:r w:rsidR="00014058" w:rsidRPr="00706882">
        <w:rPr>
          <w:rFonts w:cstheme="majorHAnsi"/>
          <w:szCs w:val="24"/>
        </w:rPr>
        <w:t xml:space="preserve"> </w:t>
      </w:r>
    </w:p>
    <w:p w14:paraId="48F63AE3" w14:textId="009EB86E" w:rsidR="00014058" w:rsidRPr="00706882" w:rsidRDefault="00014058" w:rsidP="00BE50E2">
      <w:pPr>
        <w:spacing w:line="360" w:lineRule="auto"/>
        <w:rPr>
          <w:rFonts w:asciiTheme="majorHAnsi" w:hAnsiTheme="majorHAnsi" w:cstheme="majorHAnsi"/>
          <w:sz w:val="24"/>
          <w:szCs w:val="24"/>
        </w:rPr>
      </w:pPr>
    </w:p>
    <w:p w14:paraId="6415F8E6" w14:textId="47385BC2" w:rsidR="00DB38AA" w:rsidRPr="00706882" w:rsidRDefault="00DB38AA"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This research is an exploration into food as heritage, </w:t>
      </w:r>
      <w:r w:rsidR="004A2921" w:rsidRPr="00706882">
        <w:rPr>
          <w:rFonts w:asciiTheme="majorHAnsi" w:hAnsiTheme="majorHAnsi" w:cstheme="majorHAnsi"/>
          <w:sz w:val="24"/>
          <w:szCs w:val="24"/>
        </w:rPr>
        <w:t>in</w:t>
      </w:r>
      <w:r w:rsidRPr="00706882">
        <w:rPr>
          <w:rFonts w:asciiTheme="majorHAnsi" w:hAnsiTheme="majorHAnsi" w:cstheme="majorHAnsi"/>
          <w:sz w:val="24"/>
          <w:szCs w:val="24"/>
        </w:rPr>
        <w:t xml:space="preserve"> relation to Welsh food heritage. There</w:t>
      </w:r>
      <w:r w:rsidR="00DF1C32" w:rsidRPr="00706882">
        <w:rPr>
          <w:rFonts w:asciiTheme="majorHAnsi" w:hAnsiTheme="majorHAnsi" w:cstheme="majorHAnsi"/>
          <w:sz w:val="24"/>
          <w:szCs w:val="24"/>
        </w:rPr>
        <w:t xml:space="preserve"> is an investigation into how such heritage is represented within the museum setting using best practices in comparison to the case studies from Wales. As discussed within the literature review, </w:t>
      </w:r>
      <w:r w:rsidR="003A4EE1" w:rsidRPr="00706882">
        <w:rPr>
          <w:rFonts w:asciiTheme="majorHAnsi" w:hAnsiTheme="majorHAnsi" w:cstheme="majorHAnsi"/>
          <w:sz w:val="24"/>
          <w:szCs w:val="24"/>
        </w:rPr>
        <w:t xml:space="preserve">there is </w:t>
      </w:r>
      <w:r w:rsidR="000E5367" w:rsidRPr="00706882">
        <w:rPr>
          <w:rFonts w:asciiTheme="majorHAnsi" w:hAnsiTheme="majorHAnsi" w:cstheme="majorHAnsi"/>
          <w:sz w:val="24"/>
          <w:szCs w:val="24"/>
        </w:rPr>
        <w:t xml:space="preserve">a growing body </w:t>
      </w:r>
      <w:r w:rsidR="00C81787" w:rsidRPr="00706882">
        <w:rPr>
          <w:rFonts w:asciiTheme="majorHAnsi" w:hAnsiTheme="majorHAnsi" w:cstheme="majorHAnsi"/>
          <w:sz w:val="24"/>
          <w:szCs w:val="24"/>
        </w:rPr>
        <w:t xml:space="preserve">of research </w:t>
      </w:r>
      <w:r w:rsidR="009309D6" w:rsidRPr="00706882">
        <w:rPr>
          <w:rFonts w:asciiTheme="majorHAnsi" w:hAnsiTheme="majorHAnsi" w:cstheme="majorHAnsi"/>
          <w:sz w:val="24"/>
          <w:szCs w:val="24"/>
        </w:rPr>
        <w:t xml:space="preserve">into the area of food as heritage and </w:t>
      </w:r>
      <w:r w:rsidR="0087098D" w:rsidRPr="00706882">
        <w:rPr>
          <w:rFonts w:asciiTheme="majorHAnsi" w:hAnsiTheme="majorHAnsi" w:cstheme="majorHAnsi"/>
          <w:sz w:val="24"/>
          <w:szCs w:val="24"/>
        </w:rPr>
        <w:t>into</w:t>
      </w:r>
      <w:r w:rsidR="009309D6" w:rsidRPr="00706882">
        <w:rPr>
          <w:rFonts w:asciiTheme="majorHAnsi" w:hAnsiTheme="majorHAnsi" w:cstheme="majorHAnsi"/>
          <w:sz w:val="24"/>
          <w:szCs w:val="24"/>
        </w:rPr>
        <w:t xml:space="preserve"> the museum practices around heritage and food heritage. This forms a body of research for my </w:t>
      </w:r>
      <w:r w:rsidR="00013A3C" w:rsidRPr="00706882">
        <w:rPr>
          <w:rFonts w:asciiTheme="majorHAnsi" w:hAnsiTheme="majorHAnsi" w:cstheme="majorHAnsi"/>
          <w:sz w:val="24"/>
          <w:szCs w:val="24"/>
        </w:rPr>
        <w:t>thesis</w:t>
      </w:r>
      <w:r w:rsidR="009309D6" w:rsidRPr="00706882">
        <w:rPr>
          <w:rFonts w:asciiTheme="majorHAnsi" w:hAnsiTheme="majorHAnsi" w:cstheme="majorHAnsi"/>
          <w:sz w:val="24"/>
          <w:szCs w:val="24"/>
        </w:rPr>
        <w:t xml:space="preserve">. </w:t>
      </w:r>
    </w:p>
    <w:p w14:paraId="0F74B978" w14:textId="2649067A" w:rsidR="00E61F08" w:rsidRPr="00706882" w:rsidRDefault="00020BD6" w:rsidP="00BE50E2">
      <w:pPr>
        <w:spacing w:line="360" w:lineRule="auto"/>
        <w:rPr>
          <w:rFonts w:asciiTheme="majorHAnsi" w:hAnsiTheme="majorHAnsi" w:cstheme="majorHAnsi"/>
          <w:color w:val="ED7D31" w:themeColor="accent2"/>
          <w:sz w:val="24"/>
          <w:szCs w:val="24"/>
        </w:rPr>
      </w:pPr>
      <w:r w:rsidRPr="00706882">
        <w:rPr>
          <w:rFonts w:asciiTheme="majorHAnsi" w:hAnsiTheme="majorHAnsi" w:cstheme="majorHAnsi"/>
          <w:sz w:val="24"/>
          <w:szCs w:val="24"/>
        </w:rPr>
        <w:t xml:space="preserve">It is important to understand what museums and heritage sites are doing to promote food heritage in </w:t>
      </w:r>
      <w:r w:rsidR="005E0433" w:rsidRPr="00706882">
        <w:rPr>
          <w:rFonts w:asciiTheme="majorHAnsi" w:hAnsiTheme="majorHAnsi" w:cstheme="majorHAnsi"/>
          <w:sz w:val="24"/>
          <w:szCs w:val="24"/>
        </w:rPr>
        <w:t xml:space="preserve">their </w:t>
      </w:r>
      <w:r w:rsidRPr="00706882">
        <w:rPr>
          <w:rFonts w:asciiTheme="majorHAnsi" w:hAnsiTheme="majorHAnsi" w:cstheme="majorHAnsi"/>
          <w:sz w:val="24"/>
          <w:szCs w:val="24"/>
        </w:rPr>
        <w:t>different contexts</w:t>
      </w:r>
      <w:r w:rsidR="005E0433" w:rsidRPr="00706882">
        <w:rPr>
          <w:rFonts w:asciiTheme="majorHAnsi" w:hAnsiTheme="majorHAnsi" w:cstheme="majorHAnsi"/>
          <w:sz w:val="24"/>
          <w:szCs w:val="24"/>
        </w:rPr>
        <w:t>. T</w:t>
      </w:r>
      <w:r w:rsidRPr="00706882">
        <w:rPr>
          <w:rFonts w:asciiTheme="majorHAnsi" w:hAnsiTheme="majorHAnsi" w:cstheme="majorHAnsi"/>
          <w:sz w:val="24"/>
          <w:szCs w:val="24"/>
        </w:rPr>
        <w:t xml:space="preserve">o understand this, </w:t>
      </w:r>
      <w:r w:rsidR="00CF3286" w:rsidRPr="00706882">
        <w:rPr>
          <w:rFonts w:asciiTheme="majorHAnsi" w:hAnsiTheme="majorHAnsi" w:cstheme="majorHAnsi"/>
          <w:sz w:val="24"/>
          <w:szCs w:val="24"/>
        </w:rPr>
        <w:t>examples</w:t>
      </w:r>
      <w:r w:rsidRPr="00706882">
        <w:rPr>
          <w:rFonts w:asciiTheme="majorHAnsi" w:hAnsiTheme="majorHAnsi" w:cstheme="majorHAnsi"/>
          <w:sz w:val="24"/>
          <w:szCs w:val="24"/>
        </w:rPr>
        <w:t xml:space="preserve"> of </w:t>
      </w:r>
      <w:r w:rsidR="00CF3286" w:rsidRPr="00706882">
        <w:rPr>
          <w:rFonts w:asciiTheme="majorHAnsi" w:hAnsiTheme="majorHAnsi" w:cstheme="majorHAnsi"/>
          <w:sz w:val="24"/>
          <w:szCs w:val="24"/>
        </w:rPr>
        <w:t>good</w:t>
      </w:r>
      <w:r w:rsidR="00FE0A77" w:rsidRPr="00706882">
        <w:rPr>
          <w:rFonts w:asciiTheme="majorHAnsi" w:hAnsiTheme="majorHAnsi" w:cstheme="majorHAnsi"/>
          <w:sz w:val="24"/>
          <w:szCs w:val="24"/>
        </w:rPr>
        <w:t xml:space="preserve"> and less good</w:t>
      </w:r>
      <w:r w:rsidRPr="00706882">
        <w:rPr>
          <w:rFonts w:asciiTheme="majorHAnsi" w:hAnsiTheme="majorHAnsi" w:cstheme="majorHAnsi"/>
          <w:sz w:val="24"/>
          <w:szCs w:val="24"/>
        </w:rPr>
        <w:t xml:space="preserve"> practice have been chosen to </w:t>
      </w:r>
      <w:r w:rsidR="00FE0A77" w:rsidRPr="00706882">
        <w:rPr>
          <w:rFonts w:asciiTheme="majorHAnsi" w:hAnsiTheme="majorHAnsi" w:cstheme="majorHAnsi"/>
          <w:sz w:val="24"/>
          <w:szCs w:val="24"/>
        </w:rPr>
        <w:t>offer a comparison</w:t>
      </w:r>
      <w:r w:rsidRPr="00706882">
        <w:rPr>
          <w:rFonts w:asciiTheme="majorHAnsi" w:hAnsiTheme="majorHAnsi" w:cstheme="majorHAnsi"/>
          <w:sz w:val="24"/>
          <w:szCs w:val="24"/>
        </w:rPr>
        <w:t xml:space="preserve">. </w:t>
      </w:r>
      <w:r w:rsidR="009A331A" w:rsidRPr="00706882">
        <w:rPr>
          <w:rFonts w:asciiTheme="majorHAnsi" w:hAnsiTheme="majorHAnsi" w:cstheme="majorHAnsi"/>
          <w:sz w:val="24"/>
          <w:szCs w:val="24"/>
        </w:rPr>
        <w:t xml:space="preserve">Sometimes food </w:t>
      </w:r>
      <w:proofErr w:type="gramStart"/>
      <w:r w:rsidR="009A331A" w:rsidRPr="00706882">
        <w:rPr>
          <w:rFonts w:asciiTheme="majorHAnsi" w:hAnsiTheme="majorHAnsi" w:cstheme="majorHAnsi"/>
          <w:sz w:val="24"/>
          <w:szCs w:val="24"/>
        </w:rPr>
        <w:t>is given</w:t>
      </w:r>
      <w:proofErr w:type="gramEnd"/>
      <w:r w:rsidR="009A331A" w:rsidRPr="00706882">
        <w:rPr>
          <w:rFonts w:asciiTheme="majorHAnsi" w:hAnsiTheme="majorHAnsi" w:cstheme="majorHAnsi"/>
          <w:sz w:val="24"/>
          <w:szCs w:val="24"/>
        </w:rPr>
        <w:t xml:space="preserve"> priority </w:t>
      </w:r>
      <w:r w:rsidR="00A4588C" w:rsidRPr="00706882">
        <w:rPr>
          <w:rFonts w:asciiTheme="majorHAnsi" w:hAnsiTheme="majorHAnsi" w:cstheme="majorHAnsi"/>
          <w:sz w:val="24"/>
          <w:szCs w:val="24"/>
        </w:rPr>
        <w:t>as part of</w:t>
      </w:r>
      <w:r w:rsidR="009A331A" w:rsidRPr="00706882">
        <w:rPr>
          <w:rFonts w:asciiTheme="majorHAnsi" w:hAnsiTheme="majorHAnsi" w:cstheme="majorHAnsi"/>
          <w:sz w:val="24"/>
          <w:szCs w:val="24"/>
        </w:rPr>
        <w:t xml:space="preserve"> heritage and sometimes it can be completely ignored. </w:t>
      </w:r>
      <w:r w:rsidR="002C6672" w:rsidRPr="00706882">
        <w:rPr>
          <w:rFonts w:asciiTheme="majorHAnsi" w:hAnsiTheme="majorHAnsi" w:cstheme="majorHAnsi"/>
          <w:sz w:val="24"/>
          <w:szCs w:val="24"/>
        </w:rPr>
        <w:t xml:space="preserve">There is </w:t>
      </w:r>
      <w:proofErr w:type="gramStart"/>
      <w:r w:rsidR="002C6672" w:rsidRPr="00706882">
        <w:rPr>
          <w:rFonts w:asciiTheme="majorHAnsi" w:hAnsiTheme="majorHAnsi" w:cstheme="majorHAnsi"/>
          <w:sz w:val="24"/>
          <w:szCs w:val="24"/>
        </w:rPr>
        <w:t>a huge variety</w:t>
      </w:r>
      <w:proofErr w:type="gramEnd"/>
      <w:r w:rsidR="002C6672" w:rsidRPr="00706882">
        <w:rPr>
          <w:rFonts w:asciiTheme="majorHAnsi" w:hAnsiTheme="majorHAnsi" w:cstheme="majorHAnsi"/>
          <w:sz w:val="24"/>
          <w:szCs w:val="24"/>
        </w:rPr>
        <w:t xml:space="preserve"> </w:t>
      </w:r>
      <w:r w:rsidR="00A4588C" w:rsidRPr="00706882">
        <w:rPr>
          <w:rFonts w:asciiTheme="majorHAnsi" w:hAnsiTheme="majorHAnsi" w:cstheme="majorHAnsi"/>
          <w:sz w:val="24"/>
          <w:szCs w:val="24"/>
        </w:rPr>
        <w:t>of</w:t>
      </w:r>
      <w:r w:rsidR="0065340B" w:rsidRPr="00706882">
        <w:rPr>
          <w:rFonts w:asciiTheme="majorHAnsi" w:hAnsiTheme="majorHAnsi" w:cstheme="majorHAnsi"/>
          <w:sz w:val="24"/>
          <w:szCs w:val="24"/>
        </w:rPr>
        <w:t xml:space="preserve"> ways in which </w:t>
      </w:r>
      <w:r w:rsidR="002C6672" w:rsidRPr="00706882">
        <w:rPr>
          <w:rFonts w:asciiTheme="majorHAnsi" w:hAnsiTheme="majorHAnsi" w:cstheme="majorHAnsi"/>
          <w:sz w:val="24"/>
          <w:szCs w:val="24"/>
        </w:rPr>
        <w:t>museums use food as part of their representations</w:t>
      </w:r>
      <w:r w:rsidR="00BF0D5F" w:rsidRPr="00706882">
        <w:rPr>
          <w:rFonts w:asciiTheme="majorHAnsi" w:hAnsiTheme="majorHAnsi" w:cstheme="majorHAnsi"/>
          <w:sz w:val="24"/>
          <w:szCs w:val="24"/>
        </w:rPr>
        <w:t xml:space="preserve">. </w:t>
      </w:r>
      <w:r w:rsidR="004D3F28" w:rsidRPr="00706882">
        <w:rPr>
          <w:rFonts w:asciiTheme="majorHAnsi" w:hAnsiTheme="majorHAnsi" w:cstheme="majorHAnsi"/>
          <w:sz w:val="24"/>
          <w:szCs w:val="24"/>
        </w:rPr>
        <w:t xml:space="preserve">There are </w:t>
      </w:r>
      <w:r w:rsidR="002C6672" w:rsidRPr="00706882">
        <w:rPr>
          <w:rFonts w:asciiTheme="majorHAnsi" w:hAnsiTheme="majorHAnsi" w:cstheme="majorHAnsi"/>
          <w:sz w:val="24"/>
          <w:szCs w:val="24"/>
        </w:rPr>
        <w:t>full scale sensory experiences</w:t>
      </w:r>
      <w:r w:rsidR="004D3F28" w:rsidRPr="00706882">
        <w:rPr>
          <w:rFonts w:asciiTheme="majorHAnsi" w:hAnsiTheme="majorHAnsi" w:cstheme="majorHAnsi"/>
          <w:sz w:val="24"/>
          <w:szCs w:val="24"/>
        </w:rPr>
        <w:t xml:space="preserve"> such as,</w:t>
      </w:r>
      <w:r w:rsidR="002C6672" w:rsidRPr="00706882">
        <w:rPr>
          <w:rFonts w:asciiTheme="majorHAnsi" w:hAnsiTheme="majorHAnsi" w:cstheme="majorHAnsi"/>
          <w:sz w:val="24"/>
          <w:szCs w:val="24"/>
        </w:rPr>
        <w:t xml:space="preserve"> gri</w:t>
      </w:r>
      <w:r w:rsidR="00C47A7C" w:rsidRPr="00706882">
        <w:rPr>
          <w:rFonts w:asciiTheme="majorHAnsi" w:hAnsiTheme="majorHAnsi" w:cstheme="majorHAnsi"/>
          <w:sz w:val="24"/>
          <w:szCs w:val="24"/>
        </w:rPr>
        <w:t xml:space="preserve">nding wheat to then make into flour that then goes into bread that can </w:t>
      </w:r>
      <w:proofErr w:type="gramStart"/>
      <w:r w:rsidR="00C47A7C" w:rsidRPr="00706882">
        <w:rPr>
          <w:rFonts w:asciiTheme="majorHAnsi" w:hAnsiTheme="majorHAnsi" w:cstheme="majorHAnsi"/>
          <w:sz w:val="24"/>
          <w:szCs w:val="24"/>
        </w:rPr>
        <w:t>be cooked</w:t>
      </w:r>
      <w:proofErr w:type="gramEnd"/>
      <w:r w:rsidR="00C47A7C" w:rsidRPr="00706882">
        <w:rPr>
          <w:rFonts w:asciiTheme="majorHAnsi" w:hAnsiTheme="majorHAnsi" w:cstheme="majorHAnsi"/>
          <w:sz w:val="24"/>
          <w:szCs w:val="24"/>
        </w:rPr>
        <w:t xml:space="preserve"> </w:t>
      </w:r>
      <w:r w:rsidR="004D3F28" w:rsidRPr="00706882">
        <w:rPr>
          <w:rFonts w:asciiTheme="majorHAnsi" w:hAnsiTheme="majorHAnsi" w:cstheme="majorHAnsi"/>
          <w:sz w:val="24"/>
          <w:szCs w:val="24"/>
        </w:rPr>
        <w:t>and tasted</w:t>
      </w:r>
      <w:r w:rsidR="00867A2C" w:rsidRPr="00706882">
        <w:rPr>
          <w:rFonts w:asciiTheme="majorHAnsi" w:hAnsiTheme="majorHAnsi" w:cstheme="majorHAnsi"/>
          <w:sz w:val="24"/>
          <w:szCs w:val="24"/>
        </w:rPr>
        <w:t xml:space="preserve">, </w:t>
      </w:r>
      <w:r w:rsidR="00C47A7C" w:rsidRPr="00706882">
        <w:rPr>
          <w:rFonts w:asciiTheme="majorHAnsi" w:hAnsiTheme="majorHAnsi" w:cstheme="majorHAnsi"/>
          <w:sz w:val="24"/>
          <w:szCs w:val="24"/>
        </w:rPr>
        <w:t xml:space="preserve">to simple scale </w:t>
      </w:r>
      <w:r w:rsidR="00867A2C" w:rsidRPr="00706882">
        <w:rPr>
          <w:rFonts w:asciiTheme="majorHAnsi" w:hAnsiTheme="majorHAnsi" w:cstheme="majorHAnsi"/>
          <w:sz w:val="24"/>
          <w:szCs w:val="24"/>
        </w:rPr>
        <w:t xml:space="preserve">models of </w:t>
      </w:r>
      <w:r w:rsidR="00C47A7C" w:rsidRPr="00706882">
        <w:rPr>
          <w:rFonts w:asciiTheme="majorHAnsi" w:hAnsiTheme="majorHAnsi" w:cstheme="majorHAnsi"/>
          <w:sz w:val="24"/>
          <w:szCs w:val="24"/>
        </w:rPr>
        <w:t xml:space="preserve">plastic </w:t>
      </w:r>
      <w:r w:rsidR="00867A2C" w:rsidRPr="00706882">
        <w:rPr>
          <w:rFonts w:asciiTheme="majorHAnsi" w:hAnsiTheme="majorHAnsi" w:cstheme="majorHAnsi"/>
          <w:sz w:val="24"/>
          <w:szCs w:val="24"/>
        </w:rPr>
        <w:t xml:space="preserve">food in </w:t>
      </w:r>
      <w:r w:rsidR="00C47A7C" w:rsidRPr="00706882">
        <w:rPr>
          <w:rFonts w:asciiTheme="majorHAnsi" w:hAnsiTheme="majorHAnsi" w:cstheme="majorHAnsi"/>
          <w:sz w:val="24"/>
          <w:szCs w:val="24"/>
        </w:rPr>
        <w:t xml:space="preserve">displays. </w:t>
      </w:r>
      <w:r w:rsidR="00603D5E" w:rsidRPr="00706882">
        <w:rPr>
          <w:rFonts w:asciiTheme="majorHAnsi" w:hAnsiTheme="majorHAnsi" w:cstheme="majorHAnsi"/>
          <w:sz w:val="24"/>
          <w:szCs w:val="24"/>
        </w:rPr>
        <w:t xml:space="preserve">A range of Welsh </w:t>
      </w:r>
      <w:r w:rsidR="00E52CAD" w:rsidRPr="00706882">
        <w:rPr>
          <w:rFonts w:asciiTheme="majorHAnsi" w:hAnsiTheme="majorHAnsi" w:cstheme="majorHAnsi"/>
          <w:sz w:val="24"/>
          <w:szCs w:val="24"/>
        </w:rPr>
        <w:t xml:space="preserve">museum </w:t>
      </w:r>
      <w:r w:rsidR="00603D5E" w:rsidRPr="00706882">
        <w:rPr>
          <w:rFonts w:asciiTheme="majorHAnsi" w:hAnsiTheme="majorHAnsi" w:cstheme="majorHAnsi"/>
          <w:sz w:val="24"/>
          <w:szCs w:val="24"/>
        </w:rPr>
        <w:t xml:space="preserve">case studies </w:t>
      </w:r>
      <w:proofErr w:type="gramStart"/>
      <w:r w:rsidR="00603D5E" w:rsidRPr="00706882">
        <w:rPr>
          <w:rFonts w:asciiTheme="majorHAnsi" w:hAnsiTheme="majorHAnsi" w:cstheme="majorHAnsi"/>
          <w:sz w:val="24"/>
          <w:szCs w:val="24"/>
        </w:rPr>
        <w:t>were chosen</w:t>
      </w:r>
      <w:proofErr w:type="gramEnd"/>
      <w:r w:rsidR="00603D5E" w:rsidRPr="00706882">
        <w:rPr>
          <w:rFonts w:asciiTheme="majorHAnsi" w:hAnsiTheme="majorHAnsi" w:cstheme="majorHAnsi"/>
          <w:sz w:val="24"/>
          <w:szCs w:val="24"/>
        </w:rPr>
        <w:t xml:space="preserve"> to identify and show the variety </w:t>
      </w:r>
      <w:r w:rsidR="006F76F3" w:rsidRPr="00706882">
        <w:rPr>
          <w:rFonts w:asciiTheme="majorHAnsi" w:hAnsiTheme="majorHAnsi" w:cstheme="majorHAnsi"/>
          <w:sz w:val="24"/>
          <w:szCs w:val="24"/>
        </w:rPr>
        <w:t>of food representation within historical sites</w:t>
      </w:r>
      <w:r w:rsidR="00CD5002" w:rsidRPr="00706882">
        <w:rPr>
          <w:rFonts w:asciiTheme="majorHAnsi" w:hAnsiTheme="majorHAnsi" w:cstheme="majorHAnsi"/>
          <w:sz w:val="24"/>
          <w:szCs w:val="24"/>
        </w:rPr>
        <w:t xml:space="preserve">. These were also used </w:t>
      </w:r>
      <w:r w:rsidR="006F76F3" w:rsidRPr="00706882">
        <w:rPr>
          <w:rFonts w:asciiTheme="majorHAnsi" w:hAnsiTheme="majorHAnsi" w:cstheme="majorHAnsi"/>
          <w:sz w:val="24"/>
          <w:szCs w:val="24"/>
        </w:rPr>
        <w:t>to highlight the challenges</w:t>
      </w:r>
      <w:r w:rsidR="00CD5002" w:rsidRPr="00706882">
        <w:rPr>
          <w:rFonts w:asciiTheme="majorHAnsi" w:hAnsiTheme="majorHAnsi" w:cstheme="majorHAnsi"/>
          <w:sz w:val="24"/>
          <w:szCs w:val="24"/>
        </w:rPr>
        <w:t xml:space="preserve"> faced by curators in presenting food heritage. T</w:t>
      </w:r>
      <w:r w:rsidR="006F76F3" w:rsidRPr="00706882">
        <w:rPr>
          <w:rFonts w:asciiTheme="majorHAnsi" w:hAnsiTheme="majorHAnsi" w:cstheme="majorHAnsi"/>
          <w:sz w:val="24"/>
          <w:szCs w:val="24"/>
        </w:rPr>
        <w:t xml:space="preserve">hese are compared with some examples of </w:t>
      </w:r>
      <w:r w:rsidR="00CD5002" w:rsidRPr="00706882">
        <w:rPr>
          <w:rFonts w:asciiTheme="majorHAnsi" w:hAnsiTheme="majorHAnsi" w:cstheme="majorHAnsi"/>
          <w:sz w:val="24"/>
          <w:szCs w:val="24"/>
        </w:rPr>
        <w:t>good</w:t>
      </w:r>
      <w:r w:rsidR="006F76F3" w:rsidRPr="00706882">
        <w:rPr>
          <w:rFonts w:asciiTheme="majorHAnsi" w:hAnsiTheme="majorHAnsi" w:cstheme="majorHAnsi"/>
          <w:sz w:val="24"/>
          <w:szCs w:val="24"/>
        </w:rPr>
        <w:t xml:space="preserve"> practice found in other museums around the world</w:t>
      </w:r>
      <w:r w:rsidR="00221D82" w:rsidRPr="00706882">
        <w:rPr>
          <w:rFonts w:asciiTheme="majorHAnsi" w:hAnsiTheme="majorHAnsi" w:cstheme="majorHAnsi"/>
          <w:sz w:val="24"/>
          <w:szCs w:val="24"/>
        </w:rPr>
        <w:t xml:space="preserve">. </w:t>
      </w:r>
    </w:p>
    <w:p w14:paraId="072A3773" w14:textId="26A9BB27" w:rsidR="00B04106" w:rsidRPr="00706882" w:rsidRDefault="00DD74D6"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Food heritage representation </w:t>
      </w:r>
      <w:r w:rsidR="00465227" w:rsidRPr="00706882">
        <w:rPr>
          <w:rFonts w:asciiTheme="majorHAnsi" w:hAnsiTheme="majorHAnsi" w:cstheme="majorHAnsi"/>
          <w:sz w:val="24"/>
          <w:szCs w:val="24"/>
        </w:rPr>
        <w:t>is a</w:t>
      </w:r>
      <w:r w:rsidRPr="00706882">
        <w:rPr>
          <w:rFonts w:asciiTheme="majorHAnsi" w:hAnsiTheme="majorHAnsi" w:cstheme="majorHAnsi"/>
          <w:sz w:val="24"/>
          <w:szCs w:val="24"/>
        </w:rPr>
        <w:t xml:space="preserve"> fairly new phenomenon within museums and therefore </w:t>
      </w:r>
      <w:r w:rsidR="00F25ED2" w:rsidRPr="00706882">
        <w:rPr>
          <w:rFonts w:asciiTheme="majorHAnsi" w:hAnsiTheme="majorHAnsi" w:cstheme="majorHAnsi"/>
          <w:sz w:val="24"/>
          <w:szCs w:val="24"/>
        </w:rPr>
        <w:t xml:space="preserve">I wanted to look at a selection of museums </w:t>
      </w:r>
      <w:r w:rsidR="00B04106" w:rsidRPr="00706882">
        <w:rPr>
          <w:rFonts w:asciiTheme="majorHAnsi" w:hAnsiTheme="majorHAnsi" w:cstheme="majorHAnsi"/>
          <w:sz w:val="24"/>
          <w:szCs w:val="24"/>
        </w:rPr>
        <w:t xml:space="preserve">across the spectrum and with varying degrees of success within displaying food heritage. Key to the analysis is </w:t>
      </w:r>
      <w:r w:rsidR="003C460E" w:rsidRPr="00706882">
        <w:rPr>
          <w:rFonts w:asciiTheme="majorHAnsi" w:hAnsiTheme="majorHAnsi" w:cstheme="majorHAnsi"/>
          <w:sz w:val="24"/>
          <w:szCs w:val="24"/>
        </w:rPr>
        <w:t xml:space="preserve">a focus on visitor experience and engagement. </w:t>
      </w:r>
    </w:p>
    <w:p w14:paraId="587D8E20" w14:textId="2882824A" w:rsidR="00E85E87" w:rsidRPr="00706882" w:rsidRDefault="00E85E87"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The overarching theoretical </w:t>
      </w:r>
      <w:r w:rsidR="00AF11AE" w:rsidRPr="00706882">
        <w:rPr>
          <w:rFonts w:asciiTheme="majorHAnsi" w:hAnsiTheme="majorHAnsi" w:cstheme="majorHAnsi"/>
          <w:sz w:val="24"/>
          <w:szCs w:val="24"/>
        </w:rPr>
        <w:t>perspective is that of intangible and tangible heritage. This embraces a multitude of food heritage</w:t>
      </w:r>
      <w:r w:rsidR="001F5598" w:rsidRPr="00706882">
        <w:rPr>
          <w:rFonts w:asciiTheme="majorHAnsi" w:hAnsiTheme="majorHAnsi" w:cstheme="majorHAnsi"/>
          <w:sz w:val="24"/>
          <w:szCs w:val="24"/>
        </w:rPr>
        <w:t xml:space="preserve"> aspects</w:t>
      </w:r>
      <w:r w:rsidR="00AF11AE" w:rsidRPr="00706882">
        <w:rPr>
          <w:rFonts w:asciiTheme="majorHAnsi" w:hAnsiTheme="majorHAnsi" w:cstheme="majorHAnsi"/>
          <w:sz w:val="24"/>
          <w:szCs w:val="24"/>
        </w:rPr>
        <w:t xml:space="preserve"> from the tangible</w:t>
      </w:r>
      <w:r w:rsidR="001F5598" w:rsidRPr="00706882">
        <w:rPr>
          <w:rFonts w:asciiTheme="majorHAnsi" w:hAnsiTheme="majorHAnsi" w:cstheme="majorHAnsi"/>
          <w:sz w:val="24"/>
          <w:szCs w:val="24"/>
        </w:rPr>
        <w:t xml:space="preserve"> heritage which include the pots</w:t>
      </w:r>
      <w:r w:rsidR="00AF11AE" w:rsidRPr="00706882">
        <w:rPr>
          <w:rFonts w:asciiTheme="majorHAnsi" w:hAnsiTheme="majorHAnsi" w:cstheme="majorHAnsi"/>
          <w:sz w:val="24"/>
          <w:szCs w:val="24"/>
        </w:rPr>
        <w:t xml:space="preserve"> and pans</w:t>
      </w:r>
      <w:r w:rsidR="001F5598" w:rsidRPr="00706882">
        <w:rPr>
          <w:rFonts w:asciiTheme="majorHAnsi" w:hAnsiTheme="majorHAnsi" w:cstheme="majorHAnsi"/>
          <w:sz w:val="24"/>
          <w:szCs w:val="24"/>
        </w:rPr>
        <w:t xml:space="preserve"> displayed and used</w:t>
      </w:r>
      <w:r w:rsidR="00FC2899" w:rsidRPr="00706882">
        <w:rPr>
          <w:rFonts w:asciiTheme="majorHAnsi" w:hAnsiTheme="majorHAnsi" w:cstheme="majorHAnsi"/>
          <w:sz w:val="24"/>
          <w:szCs w:val="24"/>
        </w:rPr>
        <w:t xml:space="preserve"> alongside the food</w:t>
      </w:r>
      <w:r w:rsidR="006A6A80" w:rsidRPr="00706882">
        <w:rPr>
          <w:rFonts w:asciiTheme="majorHAnsi" w:hAnsiTheme="majorHAnsi" w:cstheme="majorHAnsi"/>
          <w:sz w:val="24"/>
          <w:szCs w:val="24"/>
        </w:rPr>
        <w:t>,</w:t>
      </w:r>
      <w:r w:rsidR="00AF11AE" w:rsidRPr="00706882">
        <w:rPr>
          <w:rFonts w:asciiTheme="majorHAnsi" w:hAnsiTheme="majorHAnsi" w:cstheme="majorHAnsi"/>
          <w:sz w:val="24"/>
          <w:szCs w:val="24"/>
        </w:rPr>
        <w:t xml:space="preserve"> to intangible of cultural recipes </w:t>
      </w:r>
      <w:r w:rsidR="00491D96" w:rsidRPr="00706882">
        <w:rPr>
          <w:rFonts w:asciiTheme="majorHAnsi" w:hAnsiTheme="majorHAnsi" w:cstheme="majorHAnsi"/>
          <w:sz w:val="24"/>
          <w:szCs w:val="24"/>
        </w:rPr>
        <w:t xml:space="preserve">and almanacs relating to food growing and processing alongside </w:t>
      </w:r>
      <w:r w:rsidR="00AF11AE" w:rsidRPr="00706882">
        <w:rPr>
          <w:rFonts w:asciiTheme="majorHAnsi" w:hAnsiTheme="majorHAnsi" w:cstheme="majorHAnsi"/>
          <w:sz w:val="24"/>
          <w:szCs w:val="24"/>
        </w:rPr>
        <w:t xml:space="preserve">food traditions that </w:t>
      </w:r>
      <w:proofErr w:type="gramStart"/>
      <w:r w:rsidR="00AF11AE" w:rsidRPr="00706882">
        <w:rPr>
          <w:rFonts w:asciiTheme="majorHAnsi" w:hAnsiTheme="majorHAnsi" w:cstheme="majorHAnsi"/>
          <w:sz w:val="24"/>
          <w:szCs w:val="24"/>
        </w:rPr>
        <w:t>are brought</w:t>
      </w:r>
      <w:proofErr w:type="gramEnd"/>
      <w:r w:rsidR="00AF11AE" w:rsidRPr="00706882">
        <w:rPr>
          <w:rFonts w:asciiTheme="majorHAnsi" w:hAnsiTheme="majorHAnsi" w:cstheme="majorHAnsi"/>
          <w:sz w:val="24"/>
          <w:szCs w:val="24"/>
        </w:rPr>
        <w:t xml:space="preserve"> forward through memory and experiences. </w:t>
      </w:r>
    </w:p>
    <w:p w14:paraId="0400D3DD" w14:textId="71BABA2B" w:rsidR="00262A22" w:rsidRPr="00706882" w:rsidRDefault="00311857"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A key theoretical approach to the study </w:t>
      </w:r>
      <w:r w:rsidR="00FA2BAE" w:rsidRPr="00706882">
        <w:rPr>
          <w:rFonts w:asciiTheme="majorHAnsi" w:hAnsiTheme="majorHAnsi" w:cstheme="majorHAnsi"/>
          <w:sz w:val="24"/>
          <w:szCs w:val="24"/>
        </w:rPr>
        <w:t>I</w:t>
      </w:r>
      <w:r w:rsidRPr="00706882">
        <w:rPr>
          <w:rFonts w:asciiTheme="majorHAnsi" w:hAnsiTheme="majorHAnsi" w:cstheme="majorHAnsi"/>
          <w:sz w:val="24"/>
          <w:szCs w:val="24"/>
        </w:rPr>
        <w:t>s that of</w:t>
      </w:r>
      <w:r w:rsidR="00401D07" w:rsidRPr="00706882">
        <w:rPr>
          <w:rFonts w:asciiTheme="majorHAnsi" w:hAnsiTheme="majorHAnsi" w:cstheme="majorHAnsi"/>
          <w:sz w:val="24"/>
          <w:szCs w:val="24"/>
        </w:rPr>
        <w:t xml:space="preserve"> visitor engagement </w:t>
      </w:r>
      <w:r w:rsidR="005A2753" w:rsidRPr="00706882">
        <w:rPr>
          <w:rFonts w:asciiTheme="majorHAnsi" w:hAnsiTheme="majorHAnsi" w:cstheme="majorHAnsi"/>
          <w:sz w:val="24"/>
          <w:szCs w:val="24"/>
        </w:rPr>
        <w:t>as explored by Taheri, Jafari and O’Gorman</w:t>
      </w:r>
      <w:r w:rsidR="00822A46" w:rsidRPr="00706882">
        <w:rPr>
          <w:rFonts w:asciiTheme="majorHAnsi" w:hAnsiTheme="majorHAnsi" w:cstheme="majorHAnsi"/>
          <w:sz w:val="24"/>
          <w:szCs w:val="24"/>
        </w:rPr>
        <w:t xml:space="preserve">, their work </w:t>
      </w:r>
      <w:r w:rsidR="0020342B" w:rsidRPr="00706882">
        <w:rPr>
          <w:rFonts w:asciiTheme="majorHAnsi" w:hAnsiTheme="majorHAnsi" w:cstheme="majorHAnsi"/>
          <w:sz w:val="24"/>
          <w:szCs w:val="24"/>
        </w:rPr>
        <w:t xml:space="preserve">gives an understanding into the different levels of </w:t>
      </w:r>
      <w:r w:rsidR="00680F76" w:rsidRPr="00706882">
        <w:rPr>
          <w:rFonts w:asciiTheme="majorHAnsi" w:hAnsiTheme="majorHAnsi" w:cstheme="majorHAnsi"/>
          <w:sz w:val="24"/>
          <w:szCs w:val="24"/>
        </w:rPr>
        <w:t>visitors’</w:t>
      </w:r>
      <w:r w:rsidR="0020342B" w:rsidRPr="00706882">
        <w:rPr>
          <w:rFonts w:asciiTheme="majorHAnsi" w:hAnsiTheme="majorHAnsi" w:cstheme="majorHAnsi"/>
          <w:sz w:val="24"/>
          <w:szCs w:val="24"/>
        </w:rPr>
        <w:t xml:space="preserve"> </w:t>
      </w:r>
      <w:r w:rsidR="0020342B" w:rsidRPr="00706882">
        <w:rPr>
          <w:rFonts w:asciiTheme="majorHAnsi" w:hAnsiTheme="majorHAnsi" w:cstheme="majorHAnsi"/>
          <w:sz w:val="24"/>
          <w:szCs w:val="24"/>
        </w:rPr>
        <w:lastRenderedPageBreak/>
        <w:t>engagement within tourist attractions such as museums, and is a vital aspect in</w:t>
      </w:r>
      <w:r w:rsidR="006608FD" w:rsidRPr="00706882">
        <w:rPr>
          <w:rFonts w:asciiTheme="majorHAnsi" w:hAnsiTheme="majorHAnsi" w:cstheme="majorHAnsi"/>
          <w:sz w:val="24"/>
          <w:szCs w:val="24"/>
        </w:rPr>
        <w:t xml:space="preserve"> the success of heritage management and marketing.</w:t>
      </w:r>
      <w:r w:rsidR="006608FD" w:rsidRPr="00706882">
        <w:rPr>
          <w:rStyle w:val="FootnoteReference"/>
          <w:rFonts w:asciiTheme="majorHAnsi" w:hAnsiTheme="majorHAnsi" w:cstheme="majorHAnsi"/>
          <w:sz w:val="24"/>
          <w:szCs w:val="24"/>
        </w:rPr>
        <w:footnoteReference w:id="16"/>
      </w:r>
      <w:r w:rsidR="00934B78" w:rsidRPr="00706882">
        <w:rPr>
          <w:rFonts w:asciiTheme="majorHAnsi" w:hAnsiTheme="majorHAnsi" w:cstheme="majorHAnsi"/>
          <w:sz w:val="24"/>
          <w:szCs w:val="24"/>
        </w:rPr>
        <w:t>They establish the links between what drives engagement and the level of engagement that happens</w:t>
      </w:r>
      <w:r w:rsidR="00012A5E" w:rsidRPr="00706882">
        <w:rPr>
          <w:rFonts w:asciiTheme="majorHAnsi" w:hAnsiTheme="majorHAnsi" w:cstheme="majorHAnsi"/>
          <w:sz w:val="24"/>
          <w:szCs w:val="24"/>
        </w:rPr>
        <w:t>, this research will</w:t>
      </w:r>
      <w:r w:rsidR="00290B8E" w:rsidRPr="00706882">
        <w:rPr>
          <w:rFonts w:asciiTheme="majorHAnsi" w:hAnsiTheme="majorHAnsi" w:cstheme="majorHAnsi"/>
          <w:sz w:val="24"/>
          <w:szCs w:val="24"/>
        </w:rPr>
        <w:t xml:space="preserve"> link to discovering what aspects of presentations and displays that engage with the visitors during their visit to museums.</w:t>
      </w:r>
      <w:r w:rsidR="00103821" w:rsidRPr="00706882">
        <w:rPr>
          <w:rFonts w:asciiTheme="majorHAnsi" w:hAnsiTheme="majorHAnsi" w:cstheme="majorHAnsi"/>
          <w:color w:val="ED7D31" w:themeColor="accent2"/>
          <w:sz w:val="24"/>
          <w:szCs w:val="24"/>
        </w:rPr>
        <w:br/>
      </w:r>
      <w:r w:rsidR="00103821" w:rsidRPr="00706882">
        <w:rPr>
          <w:rFonts w:asciiTheme="majorHAnsi" w:hAnsiTheme="majorHAnsi" w:cstheme="majorHAnsi"/>
          <w:sz w:val="24"/>
          <w:szCs w:val="24"/>
        </w:rPr>
        <w:t>Related to th</w:t>
      </w:r>
      <w:r w:rsidR="008E4760" w:rsidRPr="00706882">
        <w:rPr>
          <w:rFonts w:asciiTheme="majorHAnsi" w:hAnsiTheme="majorHAnsi" w:cstheme="majorHAnsi"/>
          <w:sz w:val="24"/>
          <w:szCs w:val="24"/>
        </w:rPr>
        <w:t xml:space="preserve">e idea of engagement </w:t>
      </w:r>
      <w:r w:rsidR="00D318A2" w:rsidRPr="00706882">
        <w:rPr>
          <w:rFonts w:asciiTheme="majorHAnsi" w:hAnsiTheme="majorHAnsi" w:cstheme="majorHAnsi"/>
          <w:sz w:val="24"/>
          <w:szCs w:val="24"/>
        </w:rPr>
        <w:t>are the experiential aspects</w:t>
      </w:r>
      <w:r w:rsidR="008E4760" w:rsidRPr="00706882">
        <w:rPr>
          <w:rFonts w:asciiTheme="majorHAnsi" w:hAnsiTheme="majorHAnsi" w:cstheme="majorHAnsi"/>
          <w:sz w:val="24"/>
          <w:szCs w:val="24"/>
        </w:rPr>
        <w:t xml:space="preserve"> </w:t>
      </w:r>
      <w:r w:rsidR="00D318A2" w:rsidRPr="00706882">
        <w:rPr>
          <w:rFonts w:asciiTheme="majorHAnsi" w:hAnsiTheme="majorHAnsi" w:cstheme="majorHAnsi"/>
          <w:sz w:val="24"/>
          <w:szCs w:val="24"/>
        </w:rPr>
        <w:t>incorporated within heritage representation</w:t>
      </w:r>
      <w:r w:rsidR="00AD2923" w:rsidRPr="00706882">
        <w:rPr>
          <w:rFonts w:asciiTheme="majorHAnsi" w:hAnsiTheme="majorHAnsi" w:cstheme="majorHAnsi"/>
          <w:sz w:val="24"/>
          <w:szCs w:val="24"/>
        </w:rPr>
        <w:t>. These can be evaluated through the phenomenological approach</w:t>
      </w:r>
      <w:r w:rsidR="00EF3C88" w:rsidRPr="00706882">
        <w:rPr>
          <w:rFonts w:asciiTheme="majorHAnsi" w:hAnsiTheme="majorHAnsi" w:cstheme="majorHAnsi"/>
          <w:sz w:val="24"/>
          <w:szCs w:val="24"/>
        </w:rPr>
        <w:t xml:space="preserve"> which </w:t>
      </w:r>
      <w:r w:rsidR="004A76CC" w:rsidRPr="00706882">
        <w:rPr>
          <w:rFonts w:asciiTheme="majorHAnsi" w:hAnsiTheme="majorHAnsi" w:cstheme="majorHAnsi"/>
          <w:sz w:val="24"/>
          <w:szCs w:val="24"/>
        </w:rPr>
        <w:t>takes into account the sensory aspects of a museum experience.</w:t>
      </w:r>
      <w:r w:rsidR="008B6AFD" w:rsidRPr="00706882">
        <w:rPr>
          <w:rFonts w:asciiTheme="majorHAnsi" w:hAnsiTheme="majorHAnsi" w:cstheme="majorHAnsi"/>
          <w:sz w:val="24"/>
          <w:szCs w:val="24"/>
        </w:rPr>
        <w:t xml:space="preserve"> These could </w:t>
      </w:r>
      <w:r w:rsidR="00E77871" w:rsidRPr="00706882">
        <w:rPr>
          <w:rFonts w:asciiTheme="majorHAnsi" w:hAnsiTheme="majorHAnsi" w:cstheme="majorHAnsi"/>
          <w:sz w:val="24"/>
          <w:szCs w:val="24"/>
        </w:rPr>
        <w:t xml:space="preserve">include what aspects this </w:t>
      </w:r>
      <w:r w:rsidR="00013A3C" w:rsidRPr="00706882">
        <w:rPr>
          <w:rFonts w:asciiTheme="majorHAnsi" w:hAnsiTheme="majorHAnsi" w:cstheme="majorHAnsi"/>
          <w:sz w:val="24"/>
          <w:szCs w:val="24"/>
        </w:rPr>
        <w:t>thesis</w:t>
      </w:r>
      <w:r w:rsidR="00E77871" w:rsidRPr="00706882">
        <w:rPr>
          <w:rFonts w:asciiTheme="majorHAnsi" w:hAnsiTheme="majorHAnsi" w:cstheme="majorHAnsi"/>
          <w:sz w:val="24"/>
          <w:szCs w:val="24"/>
        </w:rPr>
        <w:t xml:space="preserve"> will be looking for, from visual displays that stimulate memories, the making of food and the sensory experiences that can trigger emotions, creative experiences and activities that are able to develop empathetic responses </w:t>
      </w:r>
      <w:r w:rsidR="009C788A" w:rsidRPr="00706882">
        <w:rPr>
          <w:rFonts w:asciiTheme="majorHAnsi" w:hAnsiTheme="majorHAnsi" w:cstheme="majorHAnsi"/>
          <w:sz w:val="24"/>
          <w:szCs w:val="24"/>
        </w:rPr>
        <w:t xml:space="preserve"> from the visitors. </w:t>
      </w:r>
    </w:p>
    <w:p w14:paraId="6B22CEEC" w14:textId="31693104" w:rsidR="009C788A" w:rsidRPr="00706882" w:rsidRDefault="009C788A" w:rsidP="00BE50E2">
      <w:pPr>
        <w:spacing w:line="360" w:lineRule="auto"/>
        <w:rPr>
          <w:rFonts w:asciiTheme="majorHAnsi" w:hAnsiTheme="majorHAnsi" w:cstheme="majorHAnsi"/>
          <w:sz w:val="24"/>
          <w:szCs w:val="24"/>
        </w:rPr>
      </w:pPr>
    </w:p>
    <w:p w14:paraId="2B8A34E8" w14:textId="7228F327" w:rsidR="009C788A" w:rsidRPr="00706882" w:rsidRDefault="009C788A" w:rsidP="00BE50E2">
      <w:pPr>
        <w:spacing w:line="360" w:lineRule="auto"/>
        <w:rPr>
          <w:rFonts w:asciiTheme="majorHAnsi" w:hAnsiTheme="majorHAnsi" w:cstheme="majorHAnsi"/>
          <w:sz w:val="24"/>
          <w:szCs w:val="24"/>
        </w:rPr>
      </w:pPr>
      <w:r w:rsidRPr="00706882">
        <w:rPr>
          <w:rFonts w:asciiTheme="majorHAnsi" w:hAnsiTheme="majorHAnsi" w:cstheme="majorHAnsi"/>
          <w:sz w:val="24"/>
          <w:szCs w:val="24"/>
        </w:rPr>
        <w:t xml:space="preserve">Sydney Living Museum </w:t>
      </w:r>
      <w:r w:rsidR="00366C95" w:rsidRPr="00706882">
        <w:rPr>
          <w:rFonts w:asciiTheme="majorHAnsi" w:hAnsiTheme="majorHAnsi" w:cstheme="majorHAnsi"/>
          <w:sz w:val="24"/>
          <w:szCs w:val="24"/>
        </w:rPr>
        <w:t xml:space="preserve">is an example of good practice of phenomenological experiences and displays, especially surrounding food </w:t>
      </w:r>
      <w:r w:rsidR="00453C8A" w:rsidRPr="00706882">
        <w:rPr>
          <w:rFonts w:asciiTheme="majorHAnsi" w:hAnsiTheme="majorHAnsi" w:cstheme="majorHAnsi"/>
          <w:sz w:val="24"/>
          <w:szCs w:val="24"/>
        </w:rPr>
        <w:t xml:space="preserve">in museum and heritage sites. As a global </w:t>
      </w:r>
      <w:r w:rsidR="005F6C30" w:rsidRPr="00706882">
        <w:rPr>
          <w:rFonts w:asciiTheme="majorHAnsi" w:hAnsiTheme="majorHAnsi" w:cstheme="majorHAnsi"/>
          <w:sz w:val="24"/>
          <w:szCs w:val="24"/>
        </w:rPr>
        <w:t xml:space="preserve">example </w:t>
      </w:r>
      <w:r w:rsidR="00BD6749" w:rsidRPr="00706882">
        <w:rPr>
          <w:rFonts w:asciiTheme="majorHAnsi" w:hAnsiTheme="majorHAnsi" w:cstheme="majorHAnsi"/>
          <w:sz w:val="24"/>
          <w:szCs w:val="24"/>
        </w:rPr>
        <w:t xml:space="preserve">this </w:t>
      </w:r>
      <w:proofErr w:type="gramStart"/>
      <w:r w:rsidR="00BD6749" w:rsidRPr="00706882">
        <w:rPr>
          <w:rFonts w:asciiTheme="majorHAnsi" w:hAnsiTheme="majorHAnsi" w:cstheme="majorHAnsi"/>
          <w:sz w:val="24"/>
          <w:szCs w:val="24"/>
        </w:rPr>
        <w:t>is able to</w:t>
      </w:r>
      <w:proofErr w:type="gramEnd"/>
      <w:r w:rsidR="00BD6749" w:rsidRPr="00706882">
        <w:rPr>
          <w:rFonts w:asciiTheme="majorHAnsi" w:hAnsiTheme="majorHAnsi" w:cstheme="majorHAnsi"/>
          <w:sz w:val="24"/>
          <w:szCs w:val="24"/>
        </w:rPr>
        <w:t xml:space="preserve"> translate</w:t>
      </w:r>
      <w:r w:rsidR="00AD280E" w:rsidRPr="00706882">
        <w:rPr>
          <w:rFonts w:asciiTheme="majorHAnsi" w:hAnsiTheme="majorHAnsi" w:cstheme="majorHAnsi"/>
          <w:sz w:val="24"/>
          <w:szCs w:val="24"/>
        </w:rPr>
        <w:t xml:space="preserve"> throughout a range of museums, depending on funding and capacity. For Wales, this means looking at the ways in which </w:t>
      </w:r>
      <w:r w:rsidR="00A03099" w:rsidRPr="00706882">
        <w:rPr>
          <w:rFonts w:asciiTheme="majorHAnsi" w:hAnsiTheme="majorHAnsi" w:cstheme="majorHAnsi"/>
          <w:sz w:val="24"/>
          <w:szCs w:val="24"/>
        </w:rPr>
        <w:t xml:space="preserve">Welsh food heritage is able to be identified, and how it is currently represented well, or not so well, and the ways in which it can be improved or expanded. </w:t>
      </w:r>
    </w:p>
    <w:p w14:paraId="7502655B" w14:textId="77777777" w:rsidR="00262A22" w:rsidRPr="00BE50E2" w:rsidRDefault="00262A22" w:rsidP="00BE50E2">
      <w:pPr>
        <w:spacing w:line="360" w:lineRule="auto"/>
        <w:rPr>
          <w:rFonts w:asciiTheme="majorHAnsi" w:hAnsiTheme="majorHAnsi" w:cstheme="majorHAnsi"/>
          <w:sz w:val="24"/>
          <w:szCs w:val="24"/>
        </w:rPr>
      </w:pPr>
    </w:p>
    <w:p w14:paraId="46C8C290" w14:textId="56D68871" w:rsidR="00014058" w:rsidRDefault="00014058" w:rsidP="00BE50E2">
      <w:pPr>
        <w:spacing w:line="360" w:lineRule="auto"/>
        <w:rPr>
          <w:rFonts w:asciiTheme="majorHAnsi" w:hAnsiTheme="majorHAnsi" w:cstheme="majorHAnsi"/>
          <w:sz w:val="24"/>
          <w:szCs w:val="24"/>
        </w:rPr>
      </w:pPr>
    </w:p>
    <w:p w14:paraId="7F3D4CFC" w14:textId="6DBF5C00" w:rsidR="0080617E" w:rsidRDefault="0080617E" w:rsidP="00BE50E2">
      <w:pPr>
        <w:spacing w:line="360" w:lineRule="auto"/>
        <w:rPr>
          <w:rFonts w:asciiTheme="majorHAnsi" w:hAnsiTheme="majorHAnsi" w:cstheme="majorHAnsi"/>
          <w:sz w:val="24"/>
          <w:szCs w:val="24"/>
        </w:rPr>
      </w:pPr>
    </w:p>
    <w:p w14:paraId="613960F6" w14:textId="37406418" w:rsidR="0080617E" w:rsidRDefault="0080617E" w:rsidP="00BE50E2">
      <w:pPr>
        <w:spacing w:line="360" w:lineRule="auto"/>
        <w:rPr>
          <w:rFonts w:asciiTheme="majorHAnsi" w:hAnsiTheme="majorHAnsi" w:cstheme="majorHAnsi"/>
          <w:sz w:val="24"/>
          <w:szCs w:val="24"/>
        </w:rPr>
      </w:pPr>
    </w:p>
    <w:p w14:paraId="3C4CB001" w14:textId="79EF875B" w:rsidR="0080617E" w:rsidRDefault="0080617E" w:rsidP="00BE50E2">
      <w:pPr>
        <w:spacing w:line="360" w:lineRule="auto"/>
        <w:rPr>
          <w:rFonts w:asciiTheme="majorHAnsi" w:hAnsiTheme="majorHAnsi" w:cstheme="majorHAnsi"/>
          <w:sz w:val="24"/>
          <w:szCs w:val="24"/>
        </w:rPr>
      </w:pPr>
    </w:p>
    <w:p w14:paraId="7528B860" w14:textId="4723F9EF" w:rsidR="0080617E" w:rsidRDefault="0080617E" w:rsidP="00BE50E2">
      <w:pPr>
        <w:spacing w:line="360" w:lineRule="auto"/>
        <w:rPr>
          <w:rFonts w:asciiTheme="majorHAnsi" w:hAnsiTheme="majorHAnsi" w:cstheme="majorHAnsi"/>
          <w:sz w:val="24"/>
          <w:szCs w:val="24"/>
        </w:rPr>
      </w:pPr>
    </w:p>
    <w:p w14:paraId="4A382582" w14:textId="346119BD" w:rsidR="0080617E" w:rsidRDefault="0080617E" w:rsidP="00BE50E2">
      <w:pPr>
        <w:spacing w:line="360" w:lineRule="auto"/>
        <w:rPr>
          <w:rFonts w:asciiTheme="majorHAnsi" w:hAnsiTheme="majorHAnsi" w:cstheme="majorHAnsi"/>
          <w:sz w:val="24"/>
          <w:szCs w:val="24"/>
        </w:rPr>
      </w:pPr>
    </w:p>
    <w:p w14:paraId="0C252D46" w14:textId="3016EC5B" w:rsidR="0080617E" w:rsidRDefault="0080617E" w:rsidP="00BE50E2">
      <w:pPr>
        <w:spacing w:line="360" w:lineRule="auto"/>
        <w:rPr>
          <w:rFonts w:asciiTheme="majorHAnsi" w:hAnsiTheme="majorHAnsi" w:cstheme="majorHAnsi"/>
          <w:sz w:val="24"/>
          <w:szCs w:val="24"/>
        </w:rPr>
      </w:pPr>
    </w:p>
    <w:p w14:paraId="58071866" w14:textId="6B70236E" w:rsidR="0080617E" w:rsidRPr="00FA2BAE" w:rsidRDefault="00FA2BAE" w:rsidP="00FA2BAE">
      <w:pPr>
        <w:pStyle w:val="Heading1"/>
        <w:jc w:val="center"/>
        <w:rPr>
          <w:sz w:val="36"/>
          <w:szCs w:val="44"/>
        </w:rPr>
      </w:pPr>
      <w:bookmarkStart w:id="9" w:name="_Toc125482492"/>
      <w:r w:rsidRPr="00FA2BAE">
        <w:rPr>
          <w:sz w:val="36"/>
          <w:szCs w:val="44"/>
        </w:rPr>
        <w:lastRenderedPageBreak/>
        <w:t xml:space="preserve">Chapter 2- </w:t>
      </w:r>
      <w:r w:rsidRPr="00FA2BAE">
        <w:rPr>
          <w:sz w:val="36"/>
          <w:szCs w:val="44"/>
        </w:rPr>
        <w:t>What is Welsh food heritage? How does it emerge?</w:t>
      </w:r>
      <w:bookmarkEnd w:id="9"/>
    </w:p>
    <w:p w14:paraId="79B8708F" w14:textId="113EA783" w:rsidR="0080617E" w:rsidRDefault="0080617E" w:rsidP="00BE50E2">
      <w:pPr>
        <w:spacing w:line="360" w:lineRule="auto"/>
        <w:rPr>
          <w:rFonts w:asciiTheme="majorHAnsi" w:hAnsiTheme="majorHAnsi" w:cstheme="majorHAnsi"/>
          <w:sz w:val="24"/>
          <w:szCs w:val="24"/>
        </w:rPr>
      </w:pPr>
    </w:p>
    <w:p w14:paraId="41B16220" w14:textId="77777777" w:rsidR="005914BF" w:rsidRPr="00BE50E2" w:rsidRDefault="005914BF" w:rsidP="00F4712F">
      <w:pPr>
        <w:pStyle w:val="paragraph"/>
        <w:spacing w:before="0" w:beforeAutospacing="0" w:after="0" w:afterAutospacing="0" w:line="360" w:lineRule="auto"/>
        <w:ind w:left="5103"/>
        <w:jc w:val="center"/>
        <w:textAlignment w:val="baseline"/>
        <w:rPr>
          <w:rStyle w:val="normaltextrun"/>
          <w:rFonts w:asciiTheme="majorHAnsi" w:hAnsiTheme="majorHAnsi" w:cstheme="majorHAnsi"/>
        </w:rPr>
      </w:pPr>
      <w:r w:rsidRPr="2661F2B6">
        <w:rPr>
          <w:rStyle w:val="normaltextrun"/>
          <w:rFonts w:asciiTheme="majorHAnsi" w:hAnsiTheme="majorHAnsi" w:cstheme="majorBidi"/>
        </w:rPr>
        <w:t xml:space="preserve">“Food for us comes from our relatives, whether they have </w:t>
      </w:r>
      <w:proofErr w:type="gramStart"/>
      <w:r w:rsidRPr="2661F2B6">
        <w:rPr>
          <w:rStyle w:val="normaltextrun"/>
          <w:rFonts w:asciiTheme="majorHAnsi" w:hAnsiTheme="majorHAnsi" w:cstheme="majorBidi"/>
        </w:rPr>
        <w:t>wings or fins</w:t>
      </w:r>
      <w:proofErr w:type="gramEnd"/>
      <w:r w:rsidRPr="2661F2B6">
        <w:rPr>
          <w:rStyle w:val="normaltextrun"/>
          <w:rFonts w:asciiTheme="majorHAnsi" w:hAnsiTheme="majorHAnsi" w:cstheme="majorBidi"/>
        </w:rPr>
        <w:t xml:space="preserve"> or roots. That is how we consider food. Food has a culture. It has a history. It has a story. It has relationships.”</w:t>
      </w:r>
      <w:r w:rsidRPr="2661F2B6">
        <w:rPr>
          <w:rStyle w:val="FootnoteReference"/>
          <w:rFonts w:asciiTheme="majorHAnsi" w:hAnsiTheme="majorHAnsi" w:cstheme="majorBidi"/>
        </w:rPr>
        <w:footnoteReference w:id="17"/>
      </w:r>
    </w:p>
    <w:p w14:paraId="3543F9CF" w14:textId="4E2098BF" w:rsidR="005914BF" w:rsidRPr="00BE50E2" w:rsidRDefault="005914BF" w:rsidP="00BE50E2">
      <w:pPr>
        <w:pStyle w:val="paragraph"/>
        <w:spacing w:before="0" w:beforeAutospacing="0" w:after="0" w:afterAutospacing="0" w:line="360" w:lineRule="auto"/>
        <w:textAlignment w:val="baseline"/>
        <w:rPr>
          <w:rFonts w:asciiTheme="majorHAnsi" w:hAnsiTheme="majorHAnsi" w:cstheme="majorHAnsi"/>
        </w:rPr>
      </w:pPr>
    </w:p>
    <w:p w14:paraId="5390C1C9" w14:textId="14EE1C9F" w:rsidR="00FC713B" w:rsidRDefault="00EE5729" w:rsidP="00BE50E2">
      <w:pPr>
        <w:pStyle w:val="paragraph"/>
        <w:spacing w:before="0" w:beforeAutospacing="0" w:after="0" w:afterAutospacing="0" w:line="360" w:lineRule="auto"/>
        <w:textAlignment w:val="baseline"/>
        <w:rPr>
          <w:rFonts w:asciiTheme="majorHAnsi" w:hAnsiTheme="majorHAnsi" w:cstheme="majorHAnsi"/>
        </w:rPr>
      </w:pPr>
      <w:r>
        <w:rPr>
          <w:rFonts w:asciiTheme="majorHAnsi" w:hAnsiTheme="majorHAnsi" w:cstheme="majorHAnsi"/>
        </w:rPr>
        <w:t>T</w:t>
      </w:r>
      <w:r w:rsidR="008320A2">
        <w:rPr>
          <w:rFonts w:asciiTheme="majorHAnsi" w:hAnsiTheme="majorHAnsi" w:cstheme="majorHAnsi"/>
        </w:rPr>
        <w:t xml:space="preserve">his chapter is crucial to the research topic presented as </w:t>
      </w:r>
      <w:r w:rsidR="00C463F3">
        <w:rPr>
          <w:rFonts w:asciiTheme="majorHAnsi" w:hAnsiTheme="majorHAnsi" w:cstheme="majorHAnsi"/>
        </w:rPr>
        <w:t xml:space="preserve">it will </w:t>
      </w:r>
      <w:r w:rsidR="00BE2F69">
        <w:rPr>
          <w:rFonts w:asciiTheme="majorHAnsi" w:hAnsiTheme="majorHAnsi" w:cstheme="majorHAnsi"/>
        </w:rPr>
        <w:t>introduce</w:t>
      </w:r>
      <w:r w:rsidR="00C463F3">
        <w:rPr>
          <w:rFonts w:asciiTheme="majorHAnsi" w:hAnsiTheme="majorHAnsi" w:cstheme="majorHAnsi"/>
        </w:rPr>
        <w:t xml:space="preserve"> what food </w:t>
      </w:r>
      <w:r w:rsidR="00765FB1">
        <w:rPr>
          <w:rFonts w:asciiTheme="majorHAnsi" w:hAnsiTheme="majorHAnsi" w:cstheme="majorHAnsi"/>
        </w:rPr>
        <w:t>heritage</w:t>
      </w:r>
      <w:r w:rsidR="009E00E0">
        <w:rPr>
          <w:rFonts w:asciiTheme="majorHAnsi" w:hAnsiTheme="majorHAnsi" w:cstheme="majorHAnsi"/>
        </w:rPr>
        <w:t xml:space="preserve"> is</w:t>
      </w:r>
      <w:r w:rsidR="00765FB1">
        <w:rPr>
          <w:rFonts w:asciiTheme="majorHAnsi" w:hAnsiTheme="majorHAnsi" w:cstheme="majorHAnsi"/>
        </w:rPr>
        <w:t>,</w:t>
      </w:r>
      <w:r w:rsidR="00C463F3">
        <w:rPr>
          <w:rFonts w:asciiTheme="majorHAnsi" w:hAnsiTheme="majorHAnsi" w:cstheme="majorHAnsi"/>
        </w:rPr>
        <w:t xml:space="preserve"> and </w:t>
      </w:r>
      <w:r w:rsidR="0063373B">
        <w:rPr>
          <w:rFonts w:asciiTheme="majorHAnsi" w:hAnsiTheme="majorHAnsi" w:cstheme="majorHAnsi"/>
        </w:rPr>
        <w:t>the importance of food heritage and traditions</w:t>
      </w:r>
      <w:r w:rsidR="009E00E0">
        <w:rPr>
          <w:rFonts w:asciiTheme="majorHAnsi" w:hAnsiTheme="majorHAnsi" w:cstheme="majorHAnsi"/>
        </w:rPr>
        <w:t xml:space="preserve"> that</w:t>
      </w:r>
      <w:r w:rsidR="0063373B">
        <w:rPr>
          <w:rFonts w:asciiTheme="majorHAnsi" w:hAnsiTheme="majorHAnsi" w:cstheme="majorHAnsi"/>
        </w:rPr>
        <w:t xml:space="preserve"> appear within Wales. I</w:t>
      </w:r>
      <w:r w:rsidR="007A6D4F">
        <w:rPr>
          <w:rFonts w:asciiTheme="majorHAnsi" w:hAnsiTheme="majorHAnsi" w:cstheme="majorHAnsi"/>
        </w:rPr>
        <w:t xml:space="preserve">t will begin by examining the </w:t>
      </w:r>
      <w:r w:rsidR="00765FB1">
        <w:rPr>
          <w:rFonts w:asciiTheme="majorHAnsi" w:hAnsiTheme="majorHAnsi" w:cstheme="majorHAnsi"/>
        </w:rPr>
        <w:t xml:space="preserve">importance of </w:t>
      </w:r>
      <w:r w:rsidR="009F23EC">
        <w:rPr>
          <w:rFonts w:asciiTheme="majorHAnsi" w:hAnsiTheme="majorHAnsi" w:cstheme="majorHAnsi"/>
        </w:rPr>
        <w:t xml:space="preserve">food culturally, then move on to see how this translates to Welsh food. </w:t>
      </w:r>
      <w:r w:rsidR="009E00E0">
        <w:rPr>
          <w:rFonts w:asciiTheme="majorHAnsi" w:hAnsiTheme="majorHAnsi" w:cstheme="majorHAnsi"/>
        </w:rPr>
        <w:t xml:space="preserve">It will look at the ways in which </w:t>
      </w:r>
      <w:r w:rsidR="00EA6036">
        <w:rPr>
          <w:rFonts w:asciiTheme="majorHAnsi" w:hAnsiTheme="majorHAnsi" w:cstheme="majorHAnsi"/>
        </w:rPr>
        <w:t xml:space="preserve">the changes of </w:t>
      </w:r>
      <w:r w:rsidR="00BC22B7">
        <w:rPr>
          <w:rFonts w:asciiTheme="majorHAnsi" w:hAnsiTheme="majorHAnsi" w:cstheme="majorHAnsi"/>
        </w:rPr>
        <w:t>foodscapes across Wales</w:t>
      </w:r>
      <w:r w:rsidR="00966B7E">
        <w:rPr>
          <w:rFonts w:asciiTheme="majorHAnsi" w:hAnsiTheme="majorHAnsi" w:cstheme="majorHAnsi"/>
        </w:rPr>
        <w:t xml:space="preserve">, the ways they have been impacted by hybridity and the ways in which Wales is reclaiming </w:t>
      </w:r>
      <w:r w:rsidR="00CE4E17">
        <w:rPr>
          <w:rFonts w:asciiTheme="majorHAnsi" w:hAnsiTheme="majorHAnsi" w:cstheme="majorHAnsi"/>
        </w:rPr>
        <w:t>its links to the land and sea</w:t>
      </w:r>
      <w:r w:rsidR="009A5392">
        <w:rPr>
          <w:rFonts w:asciiTheme="majorHAnsi" w:hAnsiTheme="majorHAnsi" w:cstheme="majorHAnsi"/>
        </w:rPr>
        <w:t xml:space="preserve"> with an increase of communities and people becoming more invested in the food traditions and recipes. </w:t>
      </w:r>
    </w:p>
    <w:p w14:paraId="5D7C231A" w14:textId="77777777" w:rsidR="0063373B" w:rsidRPr="00BE50E2" w:rsidRDefault="0063373B" w:rsidP="00BE50E2">
      <w:pPr>
        <w:pStyle w:val="paragraph"/>
        <w:spacing w:before="0" w:beforeAutospacing="0" w:after="0" w:afterAutospacing="0" w:line="360" w:lineRule="auto"/>
        <w:textAlignment w:val="baseline"/>
        <w:rPr>
          <w:rFonts w:asciiTheme="majorHAnsi" w:hAnsiTheme="majorHAnsi" w:cstheme="majorHAnsi"/>
        </w:rPr>
      </w:pPr>
    </w:p>
    <w:p w14:paraId="29131C9C" w14:textId="0F292236" w:rsidR="00FA2BAE" w:rsidRPr="008A4746" w:rsidRDefault="005914BF" w:rsidP="009B10D6">
      <w:pPr>
        <w:pStyle w:val="paragraph"/>
        <w:spacing w:before="0" w:beforeAutospacing="0" w:after="0" w:afterAutospacing="0" w:line="360" w:lineRule="auto"/>
        <w:textAlignment w:val="baseline"/>
        <w:rPr>
          <w:rFonts w:asciiTheme="majorHAnsi" w:hAnsiTheme="majorHAnsi" w:cstheme="majorHAnsi"/>
        </w:rPr>
      </w:pPr>
      <w:r w:rsidRPr="00BE50E2">
        <w:rPr>
          <w:rStyle w:val="normaltextrun"/>
          <w:rFonts w:asciiTheme="majorHAnsi" w:hAnsiTheme="majorHAnsi" w:cstheme="majorHAnsi"/>
        </w:rPr>
        <w:t>Of all the places in our life, it must be the kitchen that generates the warmest thoughts of home, in more ways than one</w:t>
      </w:r>
      <w:r w:rsidR="00E01D22">
        <w:rPr>
          <w:rStyle w:val="normaltextrun"/>
          <w:rFonts w:asciiTheme="majorHAnsi" w:hAnsiTheme="majorHAnsi" w:cstheme="majorHAnsi"/>
        </w:rPr>
        <w:t>,</w:t>
      </w:r>
      <w:r w:rsidR="0009451B">
        <w:rPr>
          <w:rStyle w:val="normaltextrun"/>
          <w:rFonts w:asciiTheme="majorHAnsi" w:hAnsiTheme="majorHAnsi" w:cstheme="majorHAnsi"/>
        </w:rPr>
        <w:t xml:space="preserve"> </w:t>
      </w:r>
      <w:r w:rsidR="00051028">
        <w:rPr>
          <w:rStyle w:val="normaltextrun"/>
          <w:rFonts w:asciiTheme="majorHAnsi" w:hAnsiTheme="majorHAnsi" w:cstheme="majorHAnsi"/>
        </w:rPr>
        <w:t>leading to food traditions being considered an important part of family history</w:t>
      </w:r>
      <w:r w:rsidR="00694609" w:rsidRPr="00BE50E2">
        <w:rPr>
          <w:rStyle w:val="normaltextrun"/>
          <w:rFonts w:asciiTheme="majorHAnsi" w:hAnsiTheme="majorHAnsi" w:cstheme="majorHAnsi"/>
        </w:rPr>
        <w:t>.</w:t>
      </w:r>
      <w:r w:rsidR="00051028">
        <w:rPr>
          <w:rStyle w:val="FootnoteReference"/>
          <w:rFonts w:asciiTheme="majorHAnsi" w:hAnsiTheme="majorHAnsi" w:cstheme="majorHAnsi"/>
        </w:rPr>
        <w:footnoteReference w:id="18"/>
      </w:r>
      <w:r w:rsidR="00694609" w:rsidRPr="00BE50E2">
        <w:rPr>
          <w:rStyle w:val="normaltextrun"/>
          <w:rFonts w:asciiTheme="majorHAnsi" w:hAnsiTheme="majorHAnsi" w:cstheme="majorHAnsi"/>
        </w:rPr>
        <w:t xml:space="preserve"> </w:t>
      </w:r>
      <w:r w:rsidRPr="00BE50E2">
        <w:rPr>
          <w:rStyle w:val="normaltextrun"/>
          <w:rFonts w:asciiTheme="majorHAnsi" w:hAnsiTheme="majorHAnsi" w:cstheme="majorHAnsi"/>
        </w:rPr>
        <w:t>Food is a key element in understanding culture</w:t>
      </w:r>
      <w:r w:rsidR="005E7CDB">
        <w:rPr>
          <w:rStyle w:val="normaltextrun"/>
          <w:rFonts w:asciiTheme="majorHAnsi" w:hAnsiTheme="majorHAnsi" w:cstheme="majorHAnsi"/>
        </w:rPr>
        <w:t xml:space="preserve">, </w:t>
      </w:r>
      <w:r w:rsidR="00C25B74">
        <w:rPr>
          <w:rStyle w:val="normaltextrun"/>
          <w:rFonts w:asciiTheme="majorHAnsi" w:hAnsiTheme="majorHAnsi" w:cstheme="majorHAnsi"/>
        </w:rPr>
        <w:t>recollections of how people think of the meals and good they have eaten fit in to their understanding of who they are.</w:t>
      </w:r>
      <w:r w:rsidR="00C25B74">
        <w:rPr>
          <w:rStyle w:val="FootnoteReference"/>
          <w:rFonts w:asciiTheme="majorHAnsi" w:hAnsiTheme="majorHAnsi" w:cstheme="majorHAnsi"/>
        </w:rPr>
        <w:footnoteReference w:id="19"/>
      </w:r>
      <w:r w:rsidR="008B67E2">
        <w:rPr>
          <w:rStyle w:val="normaltextrun"/>
          <w:rFonts w:asciiTheme="majorHAnsi" w:hAnsiTheme="majorHAnsi" w:cstheme="majorHAnsi"/>
        </w:rPr>
        <w:t xml:space="preserve"> Sutton, </w:t>
      </w:r>
      <w:r w:rsidR="00C97F82">
        <w:rPr>
          <w:rStyle w:val="normaltextrun"/>
          <w:rFonts w:asciiTheme="majorHAnsi" w:hAnsiTheme="majorHAnsi" w:cstheme="majorHAnsi"/>
        </w:rPr>
        <w:t xml:space="preserve">a food historian, </w:t>
      </w:r>
      <w:r w:rsidR="0042014A">
        <w:rPr>
          <w:rStyle w:val="normaltextrun"/>
          <w:rFonts w:asciiTheme="majorHAnsi" w:hAnsiTheme="majorHAnsi" w:cstheme="majorHAnsi"/>
        </w:rPr>
        <w:t>emphasises the significance of the juxtaposition of two cultural domains, eating and remembering.</w:t>
      </w:r>
      <w:r w:rsidR="008A4746">
        <w:rPr>
          <w:rStyle w:val="normaltextrun"/>
          <w:rFonts w:asciiTheme="majorHAnsi" w:hAnsiTheme="majorHAnsi" w:cstheme="majorHAnsi"/>
        </w:rPr>
        <w:t xml:space="preserve"> </w:t>
      </w:r>
      <w:r w:rsidRPr="00BE50E2">
        <w:rPr>
          <w:rStyle w:val="normaltextrun"/>
          <w:rFonts w:asciiTheme="majorHAnsi" w:hAnsiTheme="majorHAnsi" w:cstheme="majorHAnsi"/>
        </w:rPr>
        <w:t xml:space="preserve">Since time immemorial humanity has been centred on food. </w:t>
      </w:r>
      <w:r w:rsidR="00A85075">
        <w:rPr>
          <w:rStyle w:val="normaltextrun"/>
          <w:rFonts w:asciiTheme="majorHAnsi" w:hAnsiTheme="majorHAnsi" w:cstheme="majorHAnsi"/>
        </w:rPr>
        <w:t>People</w:t>
      </w:r>
      <w:r w:rsidRPr="00BE50E2">
        <w:rPr>
          <w:rStyle w:val="normaltextrun"/>
          <w:rFonts w:asciiTheme="majorHAnsi" w:hAnsiTheme="majorHAnsi" w:cstheme="majorHAnsi"/>
        </w:rPr>
        <w:t xml:space="preserve"> have sought food, foraged food, hunted food, and created communities around food as well as produced rituals and festivals to celebrate food.</w:t>
      </w:r>
      <w:r w:rsidRPr="00BE50E2">
        <w:rPr>
          <w:rStyle w:val="FootnoteReference"/>
          <w:rFonts w:asciiTheme="majorHAnsi" w:hAnsiTheme="majorHAnsi" w:cstheme="majorHAnsi"/>
        </w:rPr>
        <w:footnoteReference w:id="20"/>
      </w:r>
      <w:r w:rsidR="009B10D6">
        <w:rPr>
          <w:rStyle w:val="normaltextrun"/>
          <w:rFonts w:asciiTheme="majorHAnsi" w:hAnsiTheme="majorHAnsi" w:cstheme="majorHAnsi"/>
        </w:rPr>
        <w:t xml:space="preserve"> </w:t>
      </w:r>
      <w:r w:rsidRPr="00BE50E2">
        <w:rPr>
          <w:rStyle w:val="cf01"/>
          <w:rFonts w:asciiTheme="majorHAnsi" w:hAnsiTheme="majorHAnsi" w:cstheme="majorHAnsi"/>
          <w:sz w:val="24"/>
          <w:szCs w:val="24"/>
        </w:rPr>
        <w:t>Food can come to mean so much more than simply sustenance</w:t>
      </w:r>
      <w:r w:rsidR="009B10D6">
        <w:rPr>
          <w:rStyle w:val="cf01"/>
          <w:rFonts w:asciiTheme="majorHAnsi" w:hAnsiTheme="majorHAnsi" w:cstheme="majorHAnsi"/>
          <w:sz w:val="24"/>
          <w:szCs w:val="24"/>
        </w:rPr>
        <w:t xml:space="preserve">, it has </w:t>
      </w:r>
      <w:r w:rsidR="00994204">
        <w:rPr>
          <w:rStyle w:val="cf01"/>
          <w:rFonts w:asciiTheme="majorHAnsi" w:hAnsiTheme="majorHAnsi" w:cstheme="majorHAnsi"/>
          <w:sz w:val="24"/>
          <w:szCs w:val="24"/>
        </w:rPr>
        <w:t>clear</w:t>
      </w:r>
      <w:r w:rsidR="009B10D6">
        <w:rPr>
          <w:rStyle w:val="cf01"/>
          <w:rFonts w:asciiTheme="majorHAnsi" w:hAnsiTheme="majorHAnsi" w:cstheme="majorHAnsi"/>
          <w:sz w:val="24"/>
          <w:szCs w:val="24"/>
        </w:rPr>
        <w:t xml:space="preserve"> as well as </w:t>
      </w:r>
      <w:r w:rsidR="00994204">
        <w:rPr>
          <w:rStyle w:val="cf01"/>
          <w:rFonts w:asciiTheme="majorHAnsi" w:hAnsiTheme="majorHAnsi" w:cstheme="majorHAnsi"/>
          <w:sz w:val="24"/>
          <w:szCs w:val="24"/>
        </w:rPr>
        <w:t>obscure</w:t>
      </w:r>
      <w:r w:rsidR="009B10D6">
        <w:rPr>
          <w:rStyle w:val="cf01"/>
          <w:rFonts w:asciiTheme="majorHAnsi" w:hAnsiTheme="majorHAnsi" w:cstheme="majorHAnsi"/>
          <w:sz w:val="24"/>
          <w:szCs w:val="24"/>
        </w:rPr>
        <w:t xml:space="preserve"> </w:t>
      </w:r>
      <w:r w:rsidR="009B10D6">
        <w:rPr>
          <w:rStyle w:val="cf01"/>
          <w:rFonts w:asciiTheme="majorHAnsi" w:hAnsiTheme="majorHAnsi" w:cstheme="majorHAnsi"/>
          <w:sz w:val="24"/>
          <w:szCs w:val="24"/>
        </w:rPr>
        <w:lastRenderedPageBreak/>
        <w:t xml:space="preserve">cultural </w:t>
      </w:r>
      <w:r w:rsidR="00994204">
        <w:rPr>
          <w:rStyle w:val="cf01"/>
          <w:rFonts w:asciiTheme="majorHAnsi" w:hAnsiTheme="majorHAnsi" w:cstheme="majorHAnsi"/>
          <w:sz w:val="24"/>
          <w:szCs w:val="24"/>
        </w:rPr>
        <w:t>functions</w:t>
      </w:r>
      <w:r w:rsidR="009B10D6">
        <w:rPr>
          <w:rStyle w:val="cf01"/>
          <w:rFonts w:asciiTheme="majorHAnsi" w:hAnsiTheme="majorHAnsi" w:cstheme="majorHAnsi"/>
          <w:sz w:val="24"/>
          <w:szCs w:val="24"/>
        </w:rPr>
        <w:t xml:space="preserve"> which </w:t>
      </w:r>
      <w:r w:rsidR="003449B6">
        <w:rPr>
          <w:rStyle w:val="cf01"/>
          <w:rFonts w:asciiTheme="majorHAnsi" w:hAnsiTheme="majorHAnsi" w:cstheme="majorHAnsi"/>
          <w:sz w:val="24"/>
          <w:szCs w:val="24"/>
        </w:rPr>
        <w:t>‘</w:t>
      </w:r>
      <w:r w:rsidR="009B10D6">
        <w:rPr>
          <w:rStyle w:val="cf01"/>
          <w:rFonts w:asciiTheme="majorHAnsi" w:hAnsiTheme="majorHAnsi" w:cstheme="majorHAnsi"/>
          <w:sz w:val="24"/>
          <w:szCs w:val="24"/>
        </w:rPr>
        <w:t>blend the pragmatic and symbolic</w:t>
      </w:r>
      <w:r w:rsidR="003449B6">
        <w:rPr>
          <w:rStyle w:val="cf01"/>
          <w:rFonts w:asciiTheme="majorHAnsi" w:hAnsiTheme="majorHAnsi" w:cstheme="majorHAnsi"/>
          <w:sz w:val="24"/>
          <w:szCs w:val="24"/>
        </w:rPr>
        <w:t>’</w:t>
      </w:r>
      <w:r w:rsidRPr="00BE50E2">
        <w:rPr>
          <w:rStyle w:val="cf01"/>
          <w:rFonts w:asciiTheme="majorHAnsi" w:hAnsiTheme="majorHAnsi" w:cstheme="majorHAnsi"/>
          <w:sz w:val="24"/>
          <w:szCs w:val="24"/>
        </w:rPr>
        <w:t>.</w:t>
      </w:r>
      <w:r w:rsidR="00D37C62">
        <w:rPr>
          <w:rStyle w:val="FootnoteReference"/>
          <w:rFonts w:asciiTheme="majorHAnsi" w:hAnsiTheme="majorHAnsi" w:cstheme="majorHAnsi"/>
        </w:rPr>
        <w:footnoteReference w:id="21"/>
      </w:r>
      <w:r w:rsidRPr="00BE50E2">
        <w:rPr>
          <w:rStyle w:val="cf01"/>
          <w:rFonts w:asciiTheme="majorHAnsi" w:hAnsiTheme="majorHAnsi" w:cstheme="majorHAnsi"/>
          <w:sz w:val="24"/>
          <w:szCs w:val="24"/>
        </w:rPr>
        <w:t xml:space="preserve"> Over time, through historical events and experiences, it can come to carry meanings and values dear to the members of a community. This has </w:t>
      </w:r>
      <w:proofErr w:type="gramStart"/>
      <w:r w:rsidRPr="00BE50E2">
        <w:rPr>
          <w:rStyle w:val="cf01"/>
          <w:rFonts w:asciiTheme="majorHAnsi" w:hAnsiTheme="majorHAnsi" w:cstheme="majorHAnsi"/>
          <w:sz w:val="24"/>
          <w:szCs w:val="24"/>
        </w:rPr>
        <w:t>been described</w:t>
      </w:r>
      <w:proofErr w:type="gramEnd"/>
      <w:r w:rsidRPr="00BE50E2">
        <w:rPr>
          <w:rStyle w:val="cf01"/>
          <w:rFonts w:asciiTheme="majorHAnsi" w:hAnsiTheme="majorHAnsi" w:cstheme="majorHAnsi"/>
          <w:sz w:val="24"/>
          <w:szCs w:val="24"/>
        </w:rPr>
        <w:t xml:space="preserve"> by Sjöholm as heritagisation. </w:t>
      </w:r>
      <w:r w:rsidRPr="00BE50E2">
        <w:rPr>
          <w:rFonts w:asciiTheme="majorHAnsi" w:hAnsiTheme="majorHAnsi" w:cstheme="majorHAnsi"/>
          <w:color w:val="000000"/>
        </w:rPr>
        <w:t>The heritagisation of food “refers to the transformation of [food], places and practices into cultural heritage as values are attached to them, essentially describing heritage as a process”</w:t>
      </w:r>
      <w:r w:rsidRPr="00BE50E2">
        <w:rPr>
          <w:rStyle w:val="FootnoteReference"/>
          <w:rFonts w:asciiTheme="majorHAnsi" w:hAnsiTheme="majorHAnsi" w:cstheme="majorHAnsi"/>
        </w:rPr>
        <w:footnoteReference w:id="22"/>
      </w:r>
      <w:r w:rsidRPr="00BE50E2">
        <w:rPr>
          <w:rFonts w:asciiTheme="majorHAnsi" w:hAnsiTheme="majorHAnsi" w:cstheme="majorHAnsi"/>
          <w:color w:val="000000"/>
        </w:rPr>
        <w:t xml:space="preserve"> Over </w:t>
      </w:r>
      <w:r w:rsidR="001C0454">
        <w:rPr>
          <w:rFonts w:asciiTheme="majorHAnsi" w:hAnsiTheme="majorHAnsi" w:cstheme="majorHAnsi"/>
          <w:color w:val="000000"/>
        </w:rPr>
        <w:t>recent</w:t>
      </w:r>
      <w:r w:rsidRPr="00BE50E2">
        <w:rPr>
          <w:rFonts w:asciiTheme="majorHAnsi" w:hAnsiTheme="majorHAnsi" w:cstheme="majorHAnsi"/>
          <w:color w:val="000000"/>
        </w:rPr>
        <w:t xml:space="preserve"> years food and food heritage has seen an increase in awareness and attention</w:t>
      </w:r>
      <w:r w:rsidR="004E63D4">
        <w:rPr>
          <w:rFonts w:asciiTheme="majorHAnsi" w:hAnsiTheme="majorHAnsi" w:cstheme="majorHAnsi"/>
          <w:color w:val="000000"/>
        </w:rPr>
        <w:t xml:space="preserve">, especially with researchers such as DiFiore, </w:t>
      </w:r>
      <w:proofErr w:type="gramStart"/>
      <w:r w:rsidR="004E63D4">
        <w:rPr>
          <w:rFonts w:asciiTheme="majorHAnsi" w:hAnsiTheme="majorHAnsi" w:cstheme="majorHAnsi"/>
          <w:color w:val="000000"/>
        </w:rPr>
        <w:t>Sutton</w:t>
      </w:r>
      <w:proofErr w:type="gramEnd"/>
      <w:r w:rsidR="004E63D4">
        <w:rPr>
          <w:rFonts w:asciiTheme="majorHAnsi" w:hAnsiTheme="majorHAnsi" w:cstheme="majorHAnsi"/>
          <w:color w:val="000000"/>
        </w:rPr>
        <w:t xml:space="preserve"> and Graves</w:t>
      </w:r>
      <w:r w:rsidRPr="00BE50E2">
        <w:rPr>
          <w:rFonts w:asciiTheme="majorHAnsi" w:hAnsiTheme="majorHAnsi" w:cstheme="majorHAnsi"/>
          <w:color w:val="000000"/>
        </w:rPr>
        <w:t xml:space="preserve">. This awareness </w:t>
      </w:r>
      <w:proofErr w:type="gramStart"/>
      <w:r w:rsidRPr="00BE50E2">
        <w:rPr>
          <w:rFonts w:asciiTheme="majorHAnsi" w:hAnsiTheme="majorHAnsi" w:cstheme="majorHAnsi"/>
          <w:color w:val="000000"/>
        </w:rPr>
        <w:t>is linked</w:t>
      </w:r>
      <w:proofErr w:type="gramEnd"/>
      <w:r w:rsidRPr="00BE50E2">
        <w:rPr>
          <w:rFonts w:asciiTheme="majorHAnsi" w:hAnsiTheme="majorHAnsi" w:cstheme="majorHAnsi"/>
          <w:color w:val="000000"/>
        </w:rPr>
        <w:t xml:space="preserve"> to the emergence of several initiatives linked at recognising, </w:t>
      </w:r>
      <w:r w:rsidR="00694609" w:rsidRPr="00BE50E2">
        <w:rPr>
          <w:rFonts w:asciiTheme="majorHAnsi" w:hAnsiTheme="majorHAnsi" w:cstheme="majorHAnsi"/>
          <w:color w:val="000000"/>
        </w:rPr>
        <w:t>safeguarding,</w:t>
      </w:r>
      <w:r w:rsidRPr="00BE50E2">
        <w:rPr>
          <w:rFonts w:asciiTheme="majorHAnsi" w:hAnsiTheme="majorHAnsi" w:cstheme="majorHAnsi"/>
          <w:color w:val="000000"/>
        </w:rPr>
        <w:t xml:space="preserve"> and promoting tangible and intangible heritage within the foodscape. Foodscapes are defined as places where people are exposed to food messages such as house, school or streets</w:t>
      </w:r>
      <w:r w:rsidRPr="00BE50E2">
        <w:rPr>
          <w:rStyle w:val="FootnoteReference"/>
          <w:rFonts w:asciiTheme="majorHAnsi" w:hAnsiTheme="majorHAnsi" w:cstheme="majorHAnsi"/>
        </w:rPr>
        <w:footnoteReference w:id="23"/>
      </w:r>
      <w:r w:rsidRPr="00BE50E2">
        <w:rPr>
          <w:rFonts w:asciiTheme="majorHAnsi" w:hAnsiTheme="majorHAnsi" w:cstheme="majorHAnsi"/>
          <w:color w:val="000000"/>
        </w:rPr>
        <w:t xml:space="preserve"> as well as intangible environments such as media</w:t>
      </w:r>
      <w:r w:rsidRPr="00BE50E2">
        <w:rPr>
          <w:rStyle w:val="FootnoteReference"/>
          <w:rFonts w:asciiTheme="majorHAnsi" w:hAnsiTheme="majorHAnsi" w:cstheme="majorHAnsi"/>
        </w:rPr>
        <w:footnoteReference w:id="24"/>
      </w:r>
      <w:r w:rsidRPr="00BE50E2">
        <w:rPr>
          <w:rFonts w:asciiTheme="majorHAnsi" w:hAnsiTheme="majorHAnsi" w:cstheme="majorHAnsi"/>
          <w:color w:val="000000"/>
        </w:rPr>
        <w:t xml:space="preserve"> and food knowledge from traditions.</w:t>
      </w:r>
      <w:r w:rsidRPr="00BE50E2">
        <w:rPr>
          <w:rStyle w:val="FootnoteReference"/>
          <w:rFonts w:asciiTheme="majorHAnsi" w:hAnsiTheme="majorHAnsi" w:cstheme="majorHAnsi"/>
        </w:rPr>
        <w:footnoteReference w:id="25"/>
      </w:r>
      <w:r w:rsidRPr="00BE50E2">
        <w:rPr>
          <w:rFonts w:asciiTheme="majorHAnsi" w:hAnsiTheme="majorHAnsi" w:cstheme="majorHAnsi"/>
          <w:color w:val="000000"/>
        </w:rPr>
        <w:t xml:space="preserve"> UNESCO in 2010, included the Mediterranean diet, Mexican cuisine, and the gastronomic meal of the French within the ‘Intangible Cultural Heritage Of Humanity’ list. This list highlighted and recognised the need to protect food and culinary cultures, due to their importance within community and personal identity, as well as their role in fostering the economic, political and social empowerment of local communities.</w:t>
      </w:r>
      <w:r w:rsidRPr="00BE50E2">
        <w:rPr>
          <w:rStyle w:val="FootnoteReference"/>
          <w:rFonts w:asciiTheme="majorHAnsi" w:hAnsiTheme="majorHAnsi" w:cstheme="majorHAnsi"/>
        </w:rPr>
        <w:footnoteReference w:id="26"/>
      </w:r>
      <w:r w:rsidRPr="00BE50E2">
        <w:rPr>
          <w:rFonts w:asciiTheme="majorHAnsi" w:hAnsiTheme="majorHAnsi" w:cstheme="majorHAnsi"/>
          <w:color w:val="000000"/>
        </w:rPr>
        <w:t xml:space="preserve"> Geyzen identifies this as a ‘heritage turn</w:t>
      </w:r>
      <w:r w:rsidRPr="00BE50E2">
        <w:rPr>
          <w:rStyle w:val="FootnoteReference"/>
          <w:rFonts w:asciiTheme="majorHAnsi" w:hAnsiTheme="majorHAnsi" w:cstheme="majorHAnsi"/>
        </w:rPr>
        <w:footnoteReference w:id="27"/>
      </w:r>
      <w:r w:rsidRPr="00BE50E2">
        <w:rPr>
          <w:rFonts w:asciiTheme="majorHAnsi" w:hAnsiTheme="majorHAnsi" w:cstheme="majorHAnsi"/>
          <w:color w:val="000000"/>
        </w:rPr>
        <w:t xml:space="preserve">’, an increase within a strand of research that explores the link between identity crises and the attempts to reidentify communities through the development of food related heritage projects. This highlights that the term heritage does not and should not just refer to the past. </w:t>
      </w:r>
      <w:r w:rsidRPr="00BE50E2">
        <w:rPr>
          <w:rFonts w:asciiTheme="majorHAnsi" w:hAnsiTheme="majorHAnsi" w:cstheme="majorHAnsi"/>
          <w:color w:val="000000"/>
        </w:rPr>
        <w:lastRenderedPageBreak/>
        <w:t>Heritage is something which provides a link through the representation or even the reinterpretation of the past.</w:t>
      </w:r>
      <w:r w:rsidRPr="00BE50E2">
        <w:rPr>
          <w:rStyle w:val="FootnoteReference"/>
          <w:rFonts w:asciiTheme="majorHAnsi" w:hAnsiTheme="majorHAnsi" w:cstheme="majorHAnsi"/>
        </w:rPr>
        <w:footnoteReference w:id="28"/>
      </w:r>
    </w:p>
    <w:p w14:paraId="67978576" w14:textId="719CCF84" w:rsidR="005914BF" w:rsidRPr="00604AD1" w:rsidRDefault="005914BF" w:rsidP="00604AD1">
      <w:pPr>
        <w:rPr>
          <w:b/>
          <w:bCs/>
          <w:sz w:val="24"/>
          <w:szCs w:val="24"/>
        </w:rPr>
      </w:pPr>
      <w:r w:rsidRPr="00604AD1">
        <w:rPr>
          <w:b/>
          <w:bCs/>
          <w:sz w:val="24"/>
          <w:szCs w:val="24"/>
        </w:rPr>
        <w:t>Issues and contentions</w:t>
      </w:r>
    </w:p>
    <w:p w14:paraId="3AE7F4AE" w14:textId="76FF386C" w:rsidR="005914BF" w:rsidRPr="00BE50E2" w:rsidRDefault="005914BF" w:rsidP="00BE50E2">
      <w:pPr>
        <w:pStyle w:val="NormalWeb"/>
        <w:spacing w:line="360" w:lineRule="auto"/>
        <w:rPr>
          <w:rFonts w:asciiTheme="majorHAnsi" w:hAnsiTheme="majorHAnsi" w:cstheme="majorHAnsi"/>
        </w:rPr>
      </w:pPr>
      <w:r w:rsidRPr="00BE50E2">
        <w:rPr>
          <w:rFonts w:asciiTheme="majorHAnsi" w:hAnsiTheme="majorHAnsi" w:cstheme="majorHAnsi"/>
        </w:rPr>
        <w:t xml:space="preserve">An important consideration when attempting to define Welsh food heritage is to be clear about whose heritage we are trying to identify. This links to notions of Welsh identity and what it means to be Welsh. Being Welsh is not just one thing, it is important to remember the variation of Welsh experiences across the country, within communities and in </w:t>
      </w:r>
      <w:r w:rsidR="00F61EE2" w:rsidRPr="00BE50E2">
        <w:rPr>
          <w:rFonts w:asciiTheme="majorHAnsi" w:hAnsiTheme="majorHAnsi" w:cstheme="majorHAnsi"/>
        </w:rPr>
        <w:t>individual experiences</w:t>
      </w:r>
      <w:r w:rsidRPr="00BE50E2">
        <w:rPr>
          <w:rFonts w:asciiTheme="majorHAnsi" w:hAnsiTheme="majorHAnsi" w:cstheme="majorHAnsi"/>
        </w:rPr>
        <w:t>. The diverse communities within Wales need to be considered</w:t>
      </w:r>
      <w:r w:rsidR="004C1508">
        <w:rPr>
          <w:rFonts w:asciiTheme="majorHAnsi" w:hAnsiTheme="majorHAnsi" w:cstheme="majorHAnsi"/>
        </w:rPr>
        <w:t xml:space="preserve">; </w:t>
      </w:r>
      <w:r w:rsidRPr="00BE50E2">
        <w:rPr>
          <w:rFonts w:asciiTheme="majorHAnsi" w:hAnsiTheme="majorHAnsi" w:cstheme="majorHAnsi"/>
        </w:rPr>
        <w:t>for example food traditions of the South Wales mining communities may be different to those of farming communities of West Wales</w:t>
      </w:r>
      <w:r w:rsidR="00D814A0">
        <w:rPr>
          <w:rFonts w:asciiTheme="majorHAnsi" w:hAnsiTheme="majorHAnsi" w:cstheme="majorHAnsi"/>
        </w:rPr>
        <w:t xml:space="preserve">. The differences surrounding the rural foodscapes within West Wales may be different due to </w:t>
      </w:r>
      <w:r w:rsidR="00FD4D00">
        <w:rPr>
          <w:rFonts w:asciiTheme="majorHAnsi" w:hAnsiTheme="majorHAnsi" w:cstheme="majorHAnsi"/>
        </w:rPr>
        <w:t>the anglicisation of traditions and food cultures within the borders of Wales.</w:t>
      </w:r>
      <w:r w:rsidR="00874539">
        <w:rPr>
          <w:rFonts w:asciiTheme="majorHAnsi" w:hAnsiTheme="majorHAnsi" w:cstheme="majorHAnsi"/>
        </w:rPr>
        <w:t xml:space="preserve"> Nationalism and </w:t>
      </w:r>
      <w:r w:rsidR="005D2C3A">
        <w:rPr>
          <w:rFonts w:asciiTheme="majorHAnsi" w:hAnsiTheme="majorHAnsi" w:cstheme="majorHAnsi"/>
        </w:rPr>
        <w:t xml:space="preserve">national </w:t>
      </w:r>
      <w:r w:rsidR="00874539">
        <w:rPr>
          <w:rFonts w:asciiTheme="majorHAnsi" w:hAnsiTheme="majorHAnsi" w:cstheme="majorHAnsi"/>
        </w:rPr>
        <w:t>identi</w:t>
      </w:r>
      <w:r w:rsidR="00D25F94">
        <w:rPr>
          <w:rFonts w:asciiTheme="majorHAnsi" w:hAnsiTheme="majorHAnsi" w:cstheme="majorHAnsi"/>
        </w:rPr>
        <w:t xml:space="preserve">ty </w:t>
      </w:r>
      <w:proofErr w:type="gramStart"/>
      <w:r w:rsidR="00D25F94">
        <w:rPr>
          <w:rFonts w:asciiTheme="majorHAnsi" w:hAnsiTheme="majorHAnsi" w:cstheme="majorHAnsi"/>
        </w:rPr>
        <w:t xml:space="preserve">are </w:t>
      </w:r>
      <w:r w:rsidR="005D2C3A">
        <w:rPr>
          <w:rFonts w:asciiTheme="majorHAnsi" w:hAnsiTheme="majorHAnsi" w:cstheme="majorHAnsi"/>
        </w:rPr>
        <w:t>conventionally</w:t>
      </w:r>
      <w:r w:rsidR="00D25F94">
        <w:rPr>
          <w:rFonts w:asciiTheme="majorHAnsi" w:hAnsiTheme="majorHAnsi" w:cstheme="majorHAnsi"/>
        </w:rPr>
        <w:t xml:space="preserve"> seen</w:t>
      </w:r>
      <w:proofErr w:type="gramEnd"/>
      <w:r w:rsidR="00D25F94">
        <w:rPr>
          <w:rFonts w:asciiTheme="majorHAnsi" w:hAnsiTheme="majorHAnsi" w:cstheme="majorHAnsi"/>
        </w:rPr>
        <w:t xml:space="preserve"> to be </w:t>
      </w:r>
      <w:r w:rsidR="005D2C3A">
        <w:rPr>
          <w:rFonts w:asciiTheme="majorHAnsi" w:hAnsiTheme="majorHAnsi" w:cstheme="majorHAnsi"/>
        </w:rPr>
        <w:t>aligning</w:t>
      </w:r>
      <w:r w:rsidR="00D25F94">
        <w:rPr>
          <w:rFonts w:asciiTheme="majorHAnsi" w:hAnsiTheme="majorHAnsi" w:cstheme="majorHAnsi"/>
        </w:rPr>
        <w:t xml:space="preserve"> </w:t>
      </w:r>
      <w:r w:rsidR="005D2C3A">
        <w:rPr>
          <w:rFonts w:asciiTheme="majorHAnsi" w:hAnsiTheme="majorHAnsi" w:cstheme="majorHAnsi"/>
        </w:rPr>
        <w:t>concepts.</w:t>
      </w:r>
      <w:r w:rsidR="005D2C3A">
        <w:rPr>
          <w:rStyle w:val="FootnoteReference"/>
          <w:rFonts w:asciiTheme="majorHAnsi" w:hAnsiTheme="majorHAnsi" w:cstheme="majorHAnsi"/>
        </w:rPr>
        <w:footnoteReference w:id="29"/>
      </w:r>
      <w:r w:rsidR="00863840">
        <w:rPr>
          <w:rStyle w:val="FootnoteReference"/>
          <w:rFonts w:asciiTheme="majorHAnsi" w:hAnsiTheme="majorHAnsi" w:cstheme="majorHAnsi"/>
        </w:rPr>
        <w:footnoteReference w:id="30"/>
      </w:r>
      <w:r w:rsidR="00A71680">
        <w:rPr>
          <w:rFonts w:asciiTheme="majorHAnsi" w:hAnsiTheme="majorHAnsi" w:cstheme="majorHAnsi"/>
        </w:rPr>
        <w:t xml:space="preserve"> </w:t>
      </w:r>
      <w:r w:rsidR="003613AE">
        <w:rPr>
          <w:rFonts w:asciiTheme="majorHAnsi" w:hAnsiTheme="majorHAnsi" w:cstheme="majorHAnsi"/>
        </w:rPr>
        <w:t xml:space="preserve">However, in </w:t>
      </w:r>
      <w:r w:rsidR="00014637">
        <w:rPr>
          <w:rFonts w:asciiTheme="majorHAnsi" w:hAnsiTheme="majorHAnsi" w:cstheme="majorHAnsi"/>
        </w:rPr>
        <w:t xml:space="preserve">a </w:t>
      </w:r>
      <w:r w:rsidR="007C3749">
        <w:rPr>
          <w:rFonts w:asciiTheme="majorHAnsi" w:hAnsiTheme="majorHAnsi" w:cstheme="majorHAnsi"/>
        </w:rPr>
        <w:t>conversations</w:t>
      </w:r>
      <w:r w:rsidR="00014637">
        <w:rPr>
          <w:rFonts w:asciiTheme="majorHAnsi" w:hAnsiTheme="majorHAnsi" w:cstheme="majorHAnsi"/>
        </w:rPr>
        <w:t xml:space="preserve"> regarding Wales, there is seen to be a </w:t>
      </w:r>
      <w:r w:rsidR="001164AC">
        <w:rPr>
          <w:rFonts w:asciiTheme="majorHAnsi" w:hAnsiTheme="majorHAnsi" w:cstheme="majorHAnsi"/>
        </w:rPr>
        <w:t xml:space="preserve">division of the country of ‘more Welsh’ and ‘less Welsh’ </w:t>
      </w:r>
      <w:r w:rsidR="0031571B">
        <w:rPr>
          <w:rFonts w:asciiTheme="majorHAnsi" w:hAnsiTheme="majorHAnsi" w:cstheme="majorHAnsi"/>
        </w:rPr>
        <w:t>regions</w:t>
      </w:r>
      <w:r w:rsidR="00A77FBC">
        <w:rPr>
          <w:rStyle w:val="FootnoteReference"/>
          <w:rFonts w:asciiTheme="majorHAnsi" w:hAnsiTheme="majorHAnsi" w:cstheme="majorHAnsi"/>
        </w:rPr>
        <w:footnoteReference w:id="31"/>
      </w:r>
      <w:r w:rsidR="009C68A3">
        <w:rPr>
          <w:rFonts w:asciiTheme="majorHAnsi" w:hAnsiTheme="majorHAnsi" w:cstheme="majorHAnsi"/>
        </w:rPr>
        <w:t xml:space="preserve">, </w:t>
      </w:r>
      <w:r w:rsidR="00FD187B">
        <w:rPr>
          <w:rFonts w:asciiTheme="majorHAnsi" w:hAnsiTheme="majorHAnsi" w:cstheme="majorHAnsi"/>
        </w:rPr>
        <w:t>drawing on</w:t>
      </w:r>
      <w:r w:rsidR="00A77FBC">
        <w:rPr>
          <w:rFonts w:asciiTheme="majorHAnsi" w:hAnsiTheme="majorHAnsi" w:cstheme="majorHAnsi"/>
        </w:rPr>
        <w:t xml:space="preserve"> the ‘symbolic attributes of land and landscape</w:t>
      </w:r>
      <w:r w:rsidR="00CC0817">
        <w:rPr>
          <w:rFonts w:asciiTheme="majorHAnsi" w:hAnsiTheme="majorHAnsi" w:cstheme="majorHAnsi"/>
        </w:rPr>
        <w:t>’</w:t>
      </w:r>
      <w:r w:rsidR="00CC0817">
        <w:rPr>
          <w:rStyle w:val="FootnoteReference"/>
          <w:rFonts w:asciiTheme="majorHAnsi" w:hAnsiTheme="majorHAnsi" w:cstheme="majorHAnsi"/>
        </w:rPr>
        <w:footnoteReference w:id="32"/>
      </w:r>
      <w:r w:rsidR="009E675E">
        <w:rPr>
          <w:rFonts w:asciiTheme="majorHAnsi" w:hAnsiTheme="majorHAnsi" w:cstheme="majorHAnsi"/>
        </w:rPr>
        <w:t xml:space="preserve"> </w:t>
      </w:r>
      <w:r w:rsidR="00F23205">
        <w:rPr>
          <w:rFonts w:asciiTheme="majorHAnsi" w:hAnsiTheme="majorHAnsi" w:cstheme="majorHAnsi"/>
        </w:rPr>
        <w:t xml:space="preserve"> Evans highlights </w:t>
      </w:r>
      <w:r w:rsidR="007C3749">
        <w:rPr>
          <w:rFonts w:asciiTheme="majorHAnsi" w:hAnsiTheme="majorHAnsi" w:cstheme="majorHAnsi"/>
        </w:rPr>
        <w:t>that the</w:t>
      </w:r>
      <w:r w:rsidR="000C0BAC">
        <w:rPr>
          <w:rFonts w:asciiTheme="majorHAnsi" w:hAnsiTheme="majorHAnsi" w:cstheme="majorHAnsi"/>
        </w:rPr>
        <w:t xml:space="preserve"> </w:t>
      </w:r>
      <w:r w:rsidR="0035227B">
        <w:rPr>
          <w:rFonts w:asciiTheme="majorHAnsi" w:hAnsiTheme="majorHAnsi" w:cstheme="majorHAnsi"/>
        </w:rPr>
        <w:t>colonialisation</w:t>
      </w:r>
      <w:r w:rsidR="000C0BAC">
        <w:rPr>
          <w:rFonts w:asciiTheme="majorHAnsi" w:hAnsiTheme="majorHAnsi" w:cstheme="majorHAnsi"/>
        </w:rPr>
        <w:t xml:space="preserve"> of Wales by the English, and later the industrialisation that affected South Wales, is what helped to produce </w:t>
      </w:r>
      <w:r w:rsidR="000C0BAC" w:rsidRPr="000C0BAC">
        <w:rPr>
          <w:rFonts w:asciiTheme="majorHAnsi" w:hAnsiTheme="majorHAnsi" w:cstheme="majorHAnsi"/>
        </w:rPr>
        <w:t>heterogeneity</w:t>
      </w:r>
      <w:r w:rsidR="009A096B">
        <w:rPr>
          <w:rFonts w:asciiTheme="majorHAnsi" w:hAnsiTheme="majorHAnsi" w:cstheme="majorHAnsi"/>
        </w:rPr>
        <w:t xml:space="preserve"> amongst the Welsh.</w:t>
      </w:r>
      <w:r w:rsidR="00927C81">
        <w:rPr>
          <w:rStyle w:val="FootnoteReference"/>
          <w:rFonts w:asciiTheme="majorHAnsi" w:hAnsiTheme="majorHAnsi" w:cstheme="majorHAnsi"/>
        </w:rPr>
        <w:footnoteReference w:id="33"/>
      </w:r>
      <w:r w:rsidR="009A096B">
        <w:rPr>
          <w:rStyle w:val="FootnoteReference"/>
          <w:rFonts w:asciiTheme="majorHAnsi" w:hAnsiTheme="majorHAnsi" w:cstheme="majorHAnsi"/>
        </w:rPr>
        <w:footnoteReference w:id="34"/>
      </w:r>
      <w:r w:rsidR="00A1095B">
        <w:rPr>
          <w:rFonts w:asciiTheme="majorHAnsi" w:hAnsiTheme="majorHAnsi" w:cstheme="majorHAnsi"/>
        </w:rPr>
        <w:t xml:space="preserve"> </w:t>
      </w:r>
      <w:r w:rsidR="00FE2B30">
        <w:rPr>
          <w:rFonts w:asciiTheme="majorHAnsi" w:hAnsiTheme="majorHAnsi" w:cstheme="majorHAnsi"/>
        </w:rPr>
        <w:t xml:space="preserve">The industrialisation of Wales not only involved internal migration from rural areas to the industrial regions, it also brought forward migration from England as well as abroad, leading to </w:t>
      </w:r>
      <w:r w:rsidR="00047C12">
        <w:rPr>
          <w:rFonts w:asciiTheme="majorHAnsi" w:hAnsiTheme="majorHAnsi" w:cstheme="majorHAnsi"/>
        </w:rPr>
        <w:t>a hybridity of cultures.</w:t>
      </w:r>
      <w:r w:rsidR="009702DF">
        <w:rPr>
          <w:rFonts w:asciiTheme="majorHAnsi" w:hAnsiTheme="majorHAnsi" w:cstheme="majorHAnsi"/>
        </w:rPr>
        <w:t xml:space="preserve"> Thus, </w:t>
      </w:r>
      <w:r w:rsidR="008F1715">
        <w:rPr>
          <w:rFonts w:asciiTheme="majorHAnsi" w:hAnsiTheme="majorHAnsi" w:cstheme="majorHAnsi"/>
        </w:rPr>
        <w:t xml:space="preserve">industrial Wales became </w:t>
      </w:r>
      <w:r w:rsidR="009702DF">
        <w:rPr>
          <w:rFonts w:asciiTheme="majorHAnsi" w:hAnsiTheme="majorHAnsi" w:cstheme="majorHAnsi"/>
        </w:rPr>
        <w:t>Anglophone Welsh</w:t>
      </w:r>
      <w:r w:rsidR="002D6EA4">
        <w:rPr>
          <w:rStyle w:val="FootnoteReference"/>
          <w:rFonts w:asciiTheme="majorHAnsi" w:hAnsiTheme="majorHAnsi" w:cstheme="majorHAnsi"/>
        </w:rPr>
        <w:footnoteReference w:id="35"/>
      </w:r>
      <w:r w:rsidR="002D6EA4">
        <w:rPr>
          <w:rFonts w:asciiTheme="majorHAnsi" w:hAnsiTheme="majorHAnsi" w:cstheme="majorHAnsi"/>
        </w:rPr>
        <w:t xml:space="preserve">, </w:t>
      </w:r>
      <w:r w:rsidR="000C4EF4">
        <w:rPr>
          <w:rFonts w:asciiTheme="majorHAnsi" w:hAnsiTheme="majorHAnsi" w:cstheme="majorHAnsi"/>
        </w:rPr>
        <w:t>simultaneously</w:t>
      </w:r>
      <w:r w:rsidR="00092798">
        <w:rPr>
          <w:rFonts w:asciiTheme="majorHAnsi" w:hAnsiTheme="majorHAnsi" w:cstheme="majorHAnsi"/>
        </w:rPr>
        <w:t xml:space="preserve"> departed from and blended with traditional </w:t>
      </w:r>
      <w:r w:rsidR="000C4EF4">
        <w:rPr>
          <w:rFonts w:asciiTheme="majorHAnsi" w:hAnsiTheme="majorHAnsi" w:cstheme="majorHAnsi"/>
        </w:rPr>
        <w:t>Welsh</w:t>
      </w:r>
      <w:r w:rsidR="00092798">
        <w:rPr>
          <w:rFonts w:asciiTheme="majorHAnsi" w:hAnsiTheme="majorHAnsi" w:cstheme="majorHAnsi"/>
        </w:rPr>
        <w:t xml:space="preserve"> culture</w:t>
      </w:r>
      <w:r w:rsidR="000C4EF4">
        <w:rPr>
          <w:rFonts w:asciiTheme="majorHAnsi" w:hAnsiTheme="majorHAnsi" w:cstheme="majorHAnsi"/>
        </w:rPr>
        <w:t>.</w:t>
      </w:r>
      <w:r w:rsidR="000C4EF4">
        <w:rPr>
          <w:rStyle w:val="FootnoteReference"/>
          <w:rFonts w:asciiTheme="majorHAnsi" w:hAnsiTheme="majorHAnsi" w:cstheme="majorHAnsi"/>
        </w:rPr>
        <w:footnoteReference w:id="36"/>
      </w:r>
      <w:r w:rsidR="00092798">
        <w:rPr>
          <w:rFonts w:asciiTheme="majorHAnsi" w:hAnsiTheme="majorHAnsi" w:cstheme="majorHAnsi"/>
        </w:rPr>
        <w:t xml:space="preserve"> </w:t>
      </w:r>
      <w:r w:rsidR="00063704">
        <w:rPr>
          <w:rFonts w:asciiTheme="majorHAnsi" w:hAnsiTheme="majorHAnsi" w:cstheme="majorHAnsi"/>
        </w:rPr>
        <w:t xml:space="preserve"> </w:t>
      </w:r>
      <w:r w:rsidR="00C6709F">
        <w:rPr>
          <w:rFonts w:asciiTheme="majorHAnsi" w:hAnsiTheme="majorHAnsi" w:cstheme="majorHAnsi"/>
        </w:rPr>
        <w:t xml:space="preserve"> </w:t>
      </w:r>
      <w:r w:rsidR="0035227B">
        <w:rPr>
          <w:rFonts w:asciiTheme="majorHAnsi" w:hAnsiTheme="majorHAnsi" w:cstheme="majorHAnsi"/>
        </w:rPr>
        <w:t xml:space="preserve">The </w:t>
      </w:r>
      <w:r w:rsidR="005130C0">
        <w:rPr>
          <w:rFonts w:asciiTheme="majorHAnsi" w:hAnsiTheme="majorHAnsi" w:cstheme="majorHAnsi"/>
        </w:rPr>
        <w:t xml:space="preserve">colonialism within Wales </w:t>
      </w:r>
      <w:proofErr w:type="gramStart"/>
      <w:r w:rsidR="005130C0">
        <w:rPr>
          <w:rFonts w:asciiTheme="majorHAnsi" w:hAnsiTheme="majorHAnsi" w:cstheme="majorHAnsi"/>
        </w:rPr>
        <w:t>is seen</w:t>
      </w:r>
      <w:proofErr w:type="gramEnd"/>
      <w:r w:rsidR="005130C0">
        <w:rPr>
          <w:rFonts w:asciiTheme="majorHAnsi" w:hAnsiTheme="majorHAnsi" w:cstheme="majorHAnsi"/>
        </w:rPr>
        <w:t xml:space="preserve"> throughout the different areas of Wales through its infrastructure, which has contributed to</w:t>
      </w:r>
      <w:r w:rsidR="00D5163E">
        <w:rPr>
          <w:rFonts w:asciiTheme="majorHAnsi" w:hAnsiTheme="majorHAnsi" w:cstheme="majorHAnsi"/>
        </w:rPr>
        <w:t xml:space="preserve"> boundaries and differences between the areas. </w:t>
      </w:r>
      <w:r w:rsidR="0082732B">
        <w:rPr>
          <w:rFonts w:asciiTheme="majorHAnsi" w:hAnsiTheme="majorHAnsi" w:cstheme="majorHAnsi"/>
        </w:rPr>
        <w:t xml:space="preserve">North Wales have more connections with </w:t>
      </w:r>
      <w:r w:rsidR="002614CE">
        <w:rPr>
          <w:rFonts w:asciiTheme="majorHAnsi" w:hAnsiTheme="majorHAnsi" w:cstheme="majorHAnsi"/>
        </w:rPr>
        <w:t>Lancas</w:t>
      </w:r>
      <w:r w:rsidR="00633B31">
        <w:rPr>
          <w:rFonts w:asciiTheme="majorHAnsi" w:hAnsiTheme="majorHAnsi" w:cstheme="majorHAnsi"/>
        </w:rPr>
        <w:t>hire</w:t>
      </w:r>
      <w:r w:rsidR="0082732B">
        <w:rPr>
          <w:rFonts w:asciiTheme="majorHAnsi" w:hAnsiTheme="majorHAnsi" w:cstheme="majorHAnsi"/>
        </w:rPr>
        <w:t xml:space="preserve"> than Cardiff, and South Wales have </w:t>
      </w:r>
      <w:r w:rsidR="0082732B">
        <w:rPr>
          <w:rFonts w:asciiTheme="majorHAnsi" w:hAnsiTheme="majorHAnsi" w:cstheme="majorHAnsi"/>
        </w:rPr>
        <w:lastRenderedPageBreak/>
        <w:t>better connections to Bristol</w:t>
      </w:r>
      <w:r w:rsidR="00B728D1">
        <w:rPr>
          <w:rFonts w:asciiTheme="majorHAnsi" w:hAnsiTheme="majorHAnsi" w:cstheme="majorHAnsi"/>
        </w:rPr>
        <w:t xml:space="preserve"> than </w:t>
      </w:r>
      <w:proofErr w:type="spellStart"/>
      <w:r w:rsidR="00B0557C" w:rsidRPr="00B0557C">
        <w:rPr>
          <w:rFonts w:asciiTheme="majorHAnsi" w:hAnsiTheme="majorHAnsi" w:cstheme="majorHAnsi"/>
        </w:rPr>
        <w:t>Llanelwy</w:t>
      </w:r>
      <w:proofErr w:type="spellEnd"/>
      <w:r w:rsidR="002D176D">
        <w:rPr>
          <w:rFonts w:asciiTheme="majorHAnsi" w:hAnsiTheme="majorHAnsi" w:cstheme="majorHAnsi"/>
        </w:rPr>
        <w:t>.</w:t>
      </w:r>
      <w:r w:rsidR="002D176D">
        <w:rPr>
          <w:rStyle w:val="FootnoteReference"/>
          <w:rFonts w:asciiTheme="majorHAnsi" w:hAnsiTheme="majorHAnsi" w:cstheme="majorHAnsi"/>
        </w:rPr>
        <w:footnoteReference w:id="37"/>
      </w:r>
      <w:r w:rsidR="003E75EB">
        <w:rPr>
          <w:rFonts w:asciiTheme="majorHAnsi" w:hAnsiTheme="majorHAnsi" w:cstheme="majorHAnsi"/>
        </w:rPr>
        <w:t xml:space="preserve"> This highlights the tangible divisions between the areas</w:t>
      </w:r>
      <w:r w:rsidR="00C5683C">
        <w:rPr>
          <w:rFonts w:asciiTheme="majorHAnsi" w:hAnsiTheme="majorHAnsi" w:cstheme="majorHAnsi"/>
        </w:rPr>
        <w:t xml:space="preserve">, but this also exists intangibly, due to the hybridity of areas and the variety of communities that exist between them, </w:t>
      </w:r>
      <w:r w:rsidR="002008A7">
        <w:rPr>
          <w:rFonts w:asciiTheme="majorHAnsi" w:hAnsiTheme="majorHAnsi" w:cstheme="majorHAnsi"/>
        </w:rPr>
        <w:t xml:space="preserve">it highlights the diversity that Wales experiences, and this thesis will look at how that is reflected within food heritage. </w:t>
      </w:r>
      <w:r w:rsidRPr="00BE50E2">
        <w:rPr>
          <w:rFonts w:asciiTheme="majorHAnsi" w:hAnsiTheme="majorHAnsi" w:cstheme="majorHAnsi"/>
        </w:rPr>
        <w:t>To refer back to the UNESCO characterisation of food heritage, food heritage must be ‘recognised by the communities and individuals that create, maintain and transmit it’</w:t>
      </w:r>
      <w:r w:rsidRPr="00BE50E2">
        <w:rPr>
          <w:rStyle w:val="FootnoteReference"/>
          <w:rFonts w:asciiTheme="majorHAnsi" w:hAnsiTheme="majorHAnsi" w:cstheme="majorHAnsi"/>
        </w:rPr>
        <w:footnoteReference w:id="38"/>
      </w:r>
      <w:r w:rsidRPr="00BE50E2">
        <w:rPr>
          <w:rFonts w:asciiTheme="majorHAnsi" w:hAnsiTheme="majorHAnsi" w:cstheme="majorHAnsi"/>
        </w:rPr>
        <w:t xml:space="preserve"> as such, it </w:t>
      </w:r>
      <w:r w:rsidR="00AA4A0C">
        <w:rPr>
          <w:rFonts w:asciiTheme="majorHAnsi" w:hAnsiTheme="majorHAnsi" w:cstheme="majorHAnsi"/>
        </w:rPr>
        <w:t>should</w:t>
      </w:r>
      <w:r w:rsidRPr="00BE50E2">
        <w:rPr>
          <w:rFonts w:asciiTheme="majorHAnsi" w:hAnsiTheme="majorHAnsi" w:cstheme="majorHAnsi"/>
        </w:rPr>
        <w:t xml:space="preserve"> be identified firstly by those communities themselves, rather than be imposed on them by an outside authority, however well meaning. </w:t>
      </w:r>
    </w:p>
    <w:p w14:paraId="6FA297DE" w14:textId="6EC8E1D1" w:rsidR="005914BF" w:rsidRPr="00BE50E2" w:rsidRDefault="005914BF" w:rsidP="00BE50E2">
      <w:pPr>
        <w:pStyle w:val="NormalWeb"/>
        <w:spacing w:line="360" w:lineRule="auto"/>
        <w:rPr>
          <w:rFonts w:asciiTheme="majorHAnsi" w:hAnsiTheme="majorHAnsi" w:cstheme="majorHAnsi"/>
          <w:color w:val="000000"/>
        </w:rPr>
      </w:pPr>
      <w:r w:rsidRPr="00BE50E2">
        <w:rPr>
          <w:rFonts w:asciiTheme="majorHAnsi" w:hAnsiTheme="majorHAnsi" w:cstheme="majorHAnsi"/>
        </w:rPr>
        <w:t xml:space="preserve">Identifying food traditions as heritage within a community presents its own problems. The ordinary everyday experiences of preparing food, eating and sharing recipes </w:t>
      </w:r>
      <w:r w:rsidR="00396517">
        <w:rPr>
          <w:rFonts w:asciiTheme="majorHAnsi" w:hAnsiTheme="majorHAnsi" w:cstheme="majorHAnsi"/>
        </w:rPr>
        <w:t>can be</w:t>
      </w:r>
      <w:r w:rsidRPr="00BE50E2">
        <w:rPr>
          <w:rFonts w:asciiTheme="majorHAnsi" w:hAnsiTheme="majorHAnsi" w:cstheme="majorHAnsi"/>
        </w:rPr>
        <w:t xml:space="preserve"> seen as the mundane and are not recognisable as heritage or special until seen from the outside looking in</w:t>
      </w:r>
      <w:r w:rsidRPr="00BE50E2">
        <w:rPr>
          <w:rFonts w:asciiTheme="majorHAnsi" w:hAnsiTheme="majorHAnsi" w:cstheme="majorHAnsi"/>
          <w:color w:val="000000"/>
        </w:rPr>
        <w:t>.</w:t>
      </w:r>
      <w:r w:rsidR="00DF30C8">
        <w:rPr>
          <w:rFonts w:asciiTheme="majorHAnsi" w:hAnsiTheme="majorHAnsi" w:cstheme="majorHAnsi"/>
          <w:color w:val="000000"/>
        </w:rPr>
        <w:t xml:space="preserve"> However, as Timothy highlights, </w:t>
      </w:r>
      <w:r w:rsidR="003B0285">
        <w:rPr>
          <w:rFonts w:asciiTheme="majorHAnsi" w:hAnsiTheme="majorHAnsi" w:cstheme="majorHAnsi"/>
          <w:color w:val="000000"/>
        </w:rPr>
        <w:t>food traditions are</w:t>
      </w:r>
      <w:r w:rsidR="00A6153D">
        <w:rPr>
          <w:rFonts w:asciiTheme="majorHAnsi" w:hAnsiTheme="majorHAnsi" w:cstheme="majorHAnsi"/>
          <w:color w:val="000000"/>
        </w:rPr>
        <w:t xml:space="preserve"> ‘loaded with ethnic symbolisms, the passing of intergenerational knowledge</w:t>
      </w:r>
      <w:r w:rsidR="006127FA">
        <w:rPr>
          <w:rFonts w:asciiTheme="majorHAnsi" w:hAnsiTheme="majorHAnsi" w:cstheme="majorHAnsi"/>
          <w:color w:val="000000"/>
        </w:rPr>
        <w:t xml:space="preserve">… </w:t>
      </w:r>
      <w:r w:rsidR="005A3676">
        <w:rPr>
          <w:rFonts w:asciiTheme="majorHAnsi" w:hAnsiTheme="majorHAnsi" w:cstheme="majorHAnsi"/>
          <w:color w:val="000000"/>
        </w:rPr>
        <w:t xml:space="preserve">enduring tastes, socio-spiritual practices, political power struggles, connections to nature, </w:t>
      </w:r>
      <w:r w:rsidR="005831B4">
        <w:rPr>
          <w:rFonts w:asciiTheme="majorHAnsi" w:hAnsiTheme="majorHAnsi" w:cstheme="majorHAnsi"/>
          <w:color w:val="000000"/>
        </w:rPr>
        <w:t>stories</w:t>
      </w:r>
      <w:r w:rsidR="005A3676">
        <w:rPr>
          <w:rFonts w:asciiTheme="majorHAnsi" w:hAnsiTheme="majorHAnsi" w:cstheme="majorHAnsi"/>
          <w:color w:val="000000"/>
        </w:rPr>
        <w:t xml:space="preserve"> of sustenance and survival</w:t>
      </w:r>
      <w:r w:rsidR="005831B4">
        <w:rPr>
          <w:rFonts w:asciiTheme="majorHAnsi" w:hAnsiTheme="majorHAnsi" w:cstheme="majorHAnsi"/>
          <w:color w:val="000000"/>
        </w:rPr>
        <w:t>… indigenous and colonial inspiration, and poverty and wealth</w:t>
      </w:r>
      <w:r w:rsidR="001B386A">
        <w:rPr>
          <w:rFonts w:asciiTheme="majorHAnsi" w:hAnsiTheme="majorHAnsi" w:cstheme="majorHAnsi"/>
          <w:color w:val="000000"/>
        </w:rPr>
        <w:t>,</w:t>
      </w:r>
      <w:r w:rsidR="005831B4">
        <w:rPr>
          <w:rFonts w:asciiTheme="majorHAnsi" w:hAnsiTheme="majorHAnsi" w:cstheme="majorHAnsi"/>
          <w:color w:val="000000"/>
        </w:rPr>
        <w:t>’</w:t>
      </w:r>
      <w:r w:rsidR="005831B4">
        <w:rPr>
          <w:rStyle w:val="FootnoteReference"/>
          <w:rFonts w:asciiTheme="majorHAnsi" w:hAnsiTheme="majorHAnsi" w:cstheme="majorHAnsi"/>
          <w:color w:val="000000"/>
        </w:rPr>
        <w:footnoteReference w:id="39"/>
      </w:r>
      <w:r w:rsidR="001B386A">
        <w:rPr>
          <w:rFonts w:asciiTheme="majorHAnsi" w:hAnsiTheme="majorHAnsi" w:cstheme="majorHAnsi"/>
          <w:color w:val="000000"/>
        </w:rPr>
        <w:t xml:space="preserve"> showing how food is really important to cultural heritage as well as to heritage tourism. </w:t>
      </w:r>
      <w:r w:rsidRPr="00BE50E2">
        <w:rPr>
          <w:rFonts w:asciiTheme="majorHAnsi" w:hAnsiTheme="majorHAnsi" w:cstheme="majorHAnsi"/>
          <w:color w:val="000000"/>
        </w:rPr>
        <w:t xml:space="preserve">The ways in which food heritage emerges, becomes unique to a </w:t>
      </w:r>
      <w:proofErr w:type="gramStart"/>
      <w:r w:rsidRPr="00BE50E2">
        <w:rPr>
          <w:rFonts w:asciiTheme="majorHAnsi" w:hAnsiTheme="majorHAnsi" w:cstheme="majorHAnsi"/>
          <w:color w:val="000000"/>
        </w:rPr>
        <w:t>place</w:t>
      </w:r>
      <w:proofErr w:type="gramEnd"/>
      <w:r w:rsidRPr="00BE50E2">
        <w:rPr>
          <w:rFonts w:asciiTheme="majorHAnsi" w:hAnsiTheme="majorHAnsi" w:cstheme="majorHAnsi"/>
          <w:color w:val="000000"/>
        </w:rPr>
        <w:t xml:space="preserve"> and is recognised, needs to be examined. This may be to scrutinise the ways in which food is part of Welsh cultural life, including such things such as agricultural shows, celebrations and festivals as well as the rituals of everyday life. </w:t>
      </w:r>
    </w:p>
    <w:p w14:paraId="19C5FA7D" w14:textId="77777777" w:rsidR="00EC2837" w:rsidRDefault="005914BF" w:rsidP="00BE50E2">
      <w:pPr>
        <w:pStyle w:val="NormalWeb"/>
        <w:spacing w:line="360" w:lineRule="auto"/>
        <w:rPr>
          <w:rFonts w:asciiTheme="majorHAnsi" w:hAnsiTheme="majorHAnsi" w:cstheme="majorHAnsi"/>
          <w:color w:val="000000"/>
        </w:rPr>
      </w:pPr>
      <w:r w:rsidRPr="00BE50E2">
        <w:rPr>
          <w:rFonts w:asciiTheme="majorHAnsi" w:hAnsiTheme="majorHAnsi" w:cstheme="majorHAnsi"/>
          <w:color w:val="000000"/>
        </w:rPr>
        <w:t>Food heritage is often associated with the upper-class ritual and prominent historical events</w:t>
      </w:r>
      <w:r w:rsidR="000B4D66">
        <w:rPr>
          <w:rStyle w:val="FootnoteReference"/>
          <w:rFonts w:asciiTheme="majorHAnsi" w:hAnsiTheme="majorHAnsi" w:cstheme="majorHAnsi"/>
          <w:color w:val="000000"/>
        </w:rPr>
        <w:footnoteReference w:id="40"/>
      </w:r>
      <w:r w:rsidR="00231631">
        <w:rPr>
          <w:rFonts w:asciiTheme="majorHAnsi" w:hAnsiTheme="majorHAnsi" w:cstheme="majorHAnsi"/>
          <w:color w:val="000000"/>
        </w:rPr>
        <w:t>, especially when connecting to national history</w:t>
      </w:r>
      <w:r w:rsidRPr="00BE50E2">
        <w:rPr>
          <w:rFonts w:asciiTheme="majorHAnsi" w:hAnsiTheme="majorHAnsi" w:cstheme="majorHAnsi"/>
          <w:color w:val="000000"/>
        </w:rPr>
        <w:t>.</w:t>
      </w:r>
      <w:r w:rsidR="000B4D66">
        <w:rPr>
          <w:rStyle w:val="FootnoteReference"/>
          <w:rFonts w:asciiTheme="majorHAnsi" w:hAnsiTheme="majorHAnsi" w:cstheme="majorHAnsi"/>
          <w:color w:val="000000"/>
        </w:rPr>
        <w:footnoteReference w:id="41"/>
      </w:r>
      <w:r w:rsidRPr="00BE50E2">
        <w:rPr>
          <w:rFonts w:asciiTheme="majorHAnsi" w:hAnsiTheme="majorHAnsi" w:cstheme="majorHAnsi"/>
          <w:color w:val="000000"/>
        </w:rPr>
        <w:t xml:space="preserve"> If, as Di Fiore suggests, food heritagisation occurs due to food becoming a part of a historical event – it becomes important heritage due to association with a historic event. It is crucial to look at what </w:t>
      </w:r>
      <w:r w:rsidR="00AF6E77" w:rsidRPr="00BE50E2">
        <w:rPr>
          <w:rFonts w:asciiTheme="majorHAnsi" w:hAnsiTheme="majorHAnsi" w:cstheme="majorHAnsi"/>
          <w:color w:val="000000"/>
        </w:rPr>
        <w:t>notable events</w:t>
      </w:r>
      <w:r w:rsidRPr="00BE50E2">
        <w:rPr>
          <w:rFonts w:asciiTheme="majorHAnsi" w:hAnsiTheme="majorHAnsi" w:cstheme="majorHAnsi"/>
          <w:color w:val="000000"/>
        </w:rPr>
        <w:t xml:space="preserve"> have occurred within Wales to create an association with food. A difficulty emerges immediately when we think of Wales due to the quiet heritage around food</w:t>
      </w:r>
      <w:r w:rsidR="00435F4F">
        <w:rPr>
          <w:rFonts w:asciiTheme="majorHAnsi" w:hAnsiTheme="majorHAnsi" w:cstheme="majorHAnsi"/>
          <w:color w:val="000000"/>
        </w:rPr>
        <w:t>,</w:t>
      </w:r>
      <w:r w:rsidR="00F320EF">
        <w:rPr>
          <w:rFonts w:asciiTheme="majorHAnsi" w:hAnsiTheme="majorHAnsi" w:cstheme="majorHAnsi"/>
          <w:color w:val="000000"/>
        </w:rPr>
        <w:t xml:space="preserve"> as k</w:t>
      </w:r>
      <w:r w:rsidRPr="00BE50E2">
        <w:rPr>
          <w:rFonts w:asciiTheme="majorHAnsi" w:hAnsiTheme="majorHAnsi" w:cstheme="majorHAnsi"/>
          <w:color w:val="000000"/>
        </w:rPr>
        <w:t xml:space="preserve">ey events were often focused on poverty and struggle that motivated community action in the </w:t>
      </w:r>
      <w:r w:rsidRPr="00BE50E2">
        <w:rPr>
          <w:rFonts w:asciiTheme="majorHAnsi" w:hAnsiTheme="majorHAnsi" w:cstheme="majorHAnsi"/>
          <w:color w:val="000000"/>
        </w:rPr>
        <w:lastRenderedPageBreak/>
        <w:t>forms of riots and strikes, for example the Rebecca Riots, Merthyr Riots and more recently the Miners’ Strike. While specific commemorative foods and traditions may not have emerged from such protests, the struggles and poverty faced by these communities may well have contributed to the simple and practical household economics which characterise Welsh food culture. Due to this, there is an emphasis on what the land and community is able to provide by way of ingredients.</w:t>
      </w:r>
      <w:r w:rsidR="00C27ED4">
        <w:rPr>
          <w:rFonts w:asciiTheme="majorHAnsi" w:hAnsiTheme="majorHAnsi" w:cstheme="majorHAnsi"/>
          <w:color w:val="000000"/>
        </w:rPr>
        <w:t xml:space="preserve"> This is very similar to</w:t>
      </w:r>
      <w:r w:rsidR="00653FD2">
        <w:rPr>
          <w:rFonts w:asciiTheme="majorHAnsi" w:hAnsiTheme="majorHAnsi" w:cstheme="majorHAnsi"/>
          <w:color w:val="000000"/>
        </w:rPr>
        <w:t xml:space="preserve"> the Mediterranean diet</w:t>
      </w:r>
      <w:r w:rsidR="00AE7764">
        <w:rPr>
          <w:rFonts w:asciiTheme="majorHAnsi" w:hAnsiTheme="majorHAnsi" w:cstheme="majorHAnsi"/>
          <w:color w:val="000000"/>
        </w:rPr>
        <w:t xml:space="preserve">, </w:t>
      </w:r>
      <w:r w:rsidR="00521BA3">
        <w:rPr>
          <w:rFonts w:asciiTheme="majorHAnsi" w:hAnsiTheme="majorHAnsi" w:cstheme="majorHAnsi"/>
          <w:color w:val="000000"/>
        </w:rPr>
        <w:t>recognised by UNESCO for its intangible heritage</w:t>
      </w:r>
      <w:r w:rsidR="00521BA3">
        <w:rPr>
          <w:rStyle w:val="FootnoteReference"/>
          <w:rFonts w:asciiTheme="majorHAnsi" w:hAnsiTheme="majorHAnsi" w:cstheme="majorHAnsi"/>
          <w:color w:val="000000"/>
        </w:rPr>
        <w:footnoteReference w:id="42"/>
      </w:r>
      <w:r w:rsidR="00521BA3">
        <w:rPr>
          <w:rFonts w:asciiTheme="majorHAnsi" w:hAnsiTheme="majorHAnsi" w:cstheme="majorHAnsi"/>
          <w:color w:val="000000"/>
        </w:rPr>
        <w:t>, it involves</w:t>
      </w:r>
      <w:r w:rsidR="005D38C5">
        <w:rPr>
          <w:rFonts w:asciiTheme="majorHAnsi" w:hAnsiTheme="majorHAnsi" w:cstheme="majorHAnsi"/>
          <w:color w:val="000000"/>
        </w:rPr>
        <w:t xml:space="preserve"> a ‘set of skills, </w:t>
      </w:r>
      <w:r w:rsidR="005D38C5" w:rsidRPr="005D38C5">
        <w:rPr>
          <w:rFonts w:asciiTheme="majorHAnsi" w:hAnsiTheme="majorHAnsi" w:cstheme="majorHAnsi"/>
          <w:color w:val="000000"/>
        </w:rPr>
        <w:t>knowledge, rituals, symbols and traditions concerning crops, harvesting, fishing, animal husbandry, conservation, processing, cooking, and particularly the sharing and consumption of food</w:t>
      </w:r>
      <w:r w:rsidR="005D38C5">
        <w:rPr>
          <w:rFonts w:asciiTheme="majorHAnsi" w:hAnsiTheme="majorHAnsi" w:cstheme="majorHAnsi"/>
          <w:color w:val="000000"/>
        </w:rPr>
        <w:t>.’</w:t>
      </w:r>
      <w:r w:rsidR="005D38C5">
        <w:rPr>
          <w:rStyle w:val="FootnoteReference"/>
          <w:rFonts w:asciiTheme="majorHAnsi" w:hAnsiTheme="majorHAnsi" w:cstheme="majorHAnsi"/>
          <w:color w:val="000000"/>
        </w:rPr>
        <w:footnoteReference w:id="43"/>
      </w:r>
      <w:r w:rsidR="00EE1402">
        <w:rPr>
          <w:rFonts w:asciiTheme="majorHAnsi" w:hAnsiTheme="majorHAnsi" w:cstheme="majorHAnsi"/>
          <w:color w:val="000000"/>
        </w:rPr>
        <w:t xml:space="preserve"> The diet was </w:t>
      </w:r>
      <w:r w:rsidR="00F44426">
        <w:rPr>
          <w:rFonts w:asciiTheme="majorHAnsi" w:hAnsiTheme="majorHAnsi" w:cstheme="majorHAnsi"/>
          <w:color w:val="000000"/>
        </w:rPr>
        <w:t>shaped by poverty, hardship and climatic conditions</w:t>
      </w:r>
      <w:r w:rsidR="00EC2837">
        <w:rPr>
          <w:rStyle w:val="FootnoteReference"/>
          <w:rFonts w:asciiTheme="majorHAnsi" w:hAnsiTheme="majorHAnsi" w:cstheme="majorHAnsi"/>
          <w:color w:val="000000"/>
        </w:rPr>
        <w:footnoteReference w:id="44"/>
      </w:r>
      <w:r w:rsidR="00F44426">
        <w:rPr>
          <w:rFonts w:asciiTheme="majorHAnsi" w:hAnsiTheme="majorHAnsi" w:cstheme="majorHAnsi"/>
          <w:color w:val="000000"/>
        </w:rPr>
        <w:t xml:space="preserve"> rather than big events</w:t>
      </w:r>
      <w:r w:rsidR="00EC2837">
        <w:rPr>
          <w:rFonts w:asciiTheme="majorHAnsi" w:hAnsiTheme="majorHAnsi" w:cstheme="majorHAnsi"/>
          <w:color w:val="000000"/>
        </w:rPr>
        <w:t xml:space="preserve">. </w:t>
      </w:r>
    </w:p>
    <w:p w14:paraId="4BA905A0" w14:textId="09257311" w:rsidR="005914BF" w:rsidRPr="00BE50E2" w:rsidRDefault="005914BF" w:rsidP="00BE50E2">
      <w:pPr>
        <w:pStyle w:val="NormalWeb"/>
        <w:spacing w:line="360" w:lineRule="auto"/>
        <w:rPr>
          <w:rFonts w:asciiTheme="majorHAnsi" w:hAnsiTheme="majorHAnsi" w:cstheme="majorHAnsi"/>
          <w:color w:val="000000"/>
        </w:rPr>
      </w:pPr>
      <w:r w:rsidRPr="00BE50E2">
        <w:rPr>
          <w:rFonts w:asciiTheme="majorHAnsi" w:hAnsiTheme="majorHAnsi" w:cstheme="majorHAnsi"/>
          <w:color w:val="000000"/>
        </w:rPr>
        <w:t xml:space="preserve">A key feature of the modern history of Wales is one of colonialisation and such an experience is unlikely to produce celebratory traditions in the way of the kind Di Fiore discusses. However, this does not mean that the food traditions in Wales are not important to the heritage, only that their emergence and significance needs to be more carefully investigated.  </w:t>
      </w:r>
      <w:r w:rsidRPr="00BE50E2">
        <w:rPr>
          <w:rFonts w:asciiTheme="majorHAnsi" w:hAnsiTheme="majorHAnsi" w:cstheme="majorHAnsi"/>
          <w:color w:val="000000" w:themeColor="text1"/>
        </w:rPr>
        <w:t xml:space="preserve">Welsh food heritage comes about through </w:t>
      </w:r>
      <w:proofErr w:type="gramStart"/>
      <w:r w:rsidRPr="00BE50E2">
        <w:rPr>
          <w:rFonts w:asciiTheme="majorHAnsi" w:hAnsiTheme="majorHAnsi" w:cstheme="majorHAnsi"/>
          <w:color w:val="000000" w:themeColor="text1"/>
        </w:rPr>
        <w:t>a number of</w:t>
      </w:r>
      <w:proofErr w:type="gramEnd"/>
      <w:r w:rsidRPr="00BE50E2">
        <w:rPr>
          <w:rFonts w:asciiTheme="majorHAnsi" w:hAnsiTheme="majorHAnsi" w:cstheme="majorHAnsi"/>
          <w:color w:val="000000" w:themeColor="text1"/>
        </w:rPr>
        <w:t xml:space="preserve"> contributing factors, it cannot be seen without considering the colonial context</w:t>
      </w:r>
      <w:r w:rsidR="00B13CA2">
        <w:rPr>
          <w:rStyle w:val="FootnoteReference"/>
          <w:rFonts w:asciiTheme="majorHAnsi" w:hAnsiTheme="majorHAnsi" w:cstheme="majorHAnsi"/>
          <w:color w:val="000000" w:themeColor="text1"/>
        </w:rPr>
        <w:footnoteReference w:id="45"/>
      </w:r>
      <w:r w:rsidRPr="00BE50E2">
        <w:rPr>
          <w:rFonts w:asciiTheme="majorHAnsi" w:hAnsiTheme="majorHAnsi" w:cstheme="majorHAnsi"/>
          <w:color w:val="000000" w:themeColor="text1"/>
        </w:rPr>
        <w:t xml:space="preserve"> and the community traditions. It is firmly rooted in traditional rural, mining and fishing economies. At its heart, Welsh food heritage can be categorised as simple, understated, homely and community centred.</w:t>
      </w:r>
    </w:p>
    <w:p w14:paraId="2E49AD35" w14:textId="77777777" w:rsidR="005914BF" w:rsidRPr="00BE50E2" w:rsidRDefault="005914BF" w:rsidP="00BE50E2">
      <w:pPr>
        <w:pStyle w:val="pf0"/>
        <w:spacing w:line="360" w:lineRule="auto"/>
        <w:rPr>
          <w:rFonts w:asciiTheme="majorHAnsi" w:hAnsiTheme="majorHAnsi" w:cstheme="majorHAnsi"/>
          <w:color w:val="000000"/>
        </w:rPr>
      </w:pPr>
    </w:p>
    <w:p w14:paraId="5B869B2D" w14:textId="71E04E1A" w:rsidR="005914BF" w:rsidRPr="00BE50E2" w:rsidRDefault="005914BF" w:rsidP="00BE50E2">
      <w:pPr>
        <w:pStyle w:val="pf0"/>
        <w:spacing w:line="360" w:lineRule="auto"/>
        <w:rPr>
          <w:rFonts w:asciiTheme="majorHAnsi" w:hAnsiTheme="majorHAnsi" w:cstheme="majorHAnsi"/>
        </w:rPr>
      </w:pPr>
      <w:r w:rsidRPr="00BE50E2">
        <w:rPr>
          <w:rFonts w:asciiTheme="majorHAnsi" w:hAnsiTheme="majorHAnsi" w:cstheme="majorHAnsi"/>
          <w:b/>
          <w:bCs/>
          <w:color w:val="000000"/>
        </w:rPr>
        <w:t>Food traditions become heritage through historical events which embed them into the cultural narrative</w:t>
      </w:r>
      <w:r w:rsidR="00694609" w:rsidRPr="00BE50E2">
        <w:rPr>
          <w:rFonts w:asciiTheme="majorHAnsi" w:hAnsiTheme="majorHAnsi" w:cstheme="majorHAnsi"/>
          <w:b/>
          <w:bCs/>
          <w:color w:val="000000"/>
        </w:rPr>
        <w:t>.</w:t>
      </w:r>
      <w:r w:rsidR="00694609" w:rsidRPr="00BE50E2">
        <w:rPr>
          <w:rFonts w:asciiTheme="majorHAnsi" w:hAnsiTheme="majorHAnsi" w:cstheme="majorHAnsi"/>
          <w:color w:val="000000"/>
        </w:rPr>
        <w:t xml:space="preserve"> </w:t>
      </w:r>
      <w:r w:rsidRPr="00BE50E2">
        <w:rPr>
          <w:rStyle w:val="cf01"/>
          <w:rFonts w:asciiTheme="majorHAnsi" w:hAnsiTheme="majorHAnsi" w:cstheme="majorHAnsi"/>
          <w:sz w:val="24"/>
          <w:szCs w:val="24"/>
        </w:rPr>
        <w:t>Welsh food traditions emerged in part from the</w:t>
      </w:r>
      <w:r w:rsidR="00B411B5">
        <w:rPr>
          <w:rStyle w:val="cf01"/>
          <w:rFonts w:asciiTheme="majorHAnsi" w:hAnsiTheme="majorHAnsi" w:cstheme="majorHAnsi"/>
          <w:sz w:val="24"/>
          <w:szCs w:val="24"/>
        </w:rPr>
        <w:t xml:space="preserve"> p</w:t>
      </w:r>
      <w:r w:rsidR="000E10B5">
        <w:rPr>
          <w:rStyle w:val="cf01"/>
          <w:rFonts w:asciiTheme="majorHAnsi" w:hAnsiTheme="majorHAnsi" w:cstheme="majorHAnsi"/>
          <w:sz w:val="24"/>
          <w:szCs w:val="24"/>
        </w:rPr>
        <w:t>re-anglicisation of Wales</w:t>
      </w:r>
      <w:r w:rsidR="000C3643">
        <w:rPr>
          <w:rStyle w:val="cf01"/>
          <w:rFonts w:asciiTheme="majorHAnsi" w:hAnsiTheme="majorHAnsi" w:cstheme="majorHAnsi"/>
          <w:sz w:val="24"/>
          <w:szCs w:val="24"/>
        </w:rPr>
        <w:t xml:space="preserve">, the </w:t>
      </w:r>
      <w:r w:rsidR="00F77D7A">
        <w:rPr>
          <w:rStyle w:val="cf01"/>
          <w:rFonts w:asciiTheme="majorHAnsi" w:hAnsiTheme="majorHAnsi" w:cstheme="majorHAnsi"/>
          <w:sz w:val="24"/>
          <w:szCs w:val="24"/>
        </w:rPr>
        <w:t>rituals within rural Wales and the</w:t>
      </w:r>
      <w:r w:rsidR="000E10B5">
        <w:rPr>
          <w:rStyle w:val="cf01"/>
          <w:rFonts w:asciiTheme="majorHAnsi" w:hAnsiTheme="majorHAnsi" w:cstheme="majorHAnsi"/>
          <w:sz w:val="24"/>
          <w:szCs w:val="24"/>
        </w:rPr>
        <w:t xml:space="preserve"> hybridity that followed the colonialism and industrialisation of Wales</w:t>
      </w:r>
      <w:r w:rsidR="005471B3">
        <w:rPr>
          <w:rStyle w:val="cf01"/>
          <w:rFonts w:asciiTheme="majorHAnsi" w:hAnsiTheme="majorHAnsi" w:cstheme="majorHAnsi"/>
          <w:sz w:val="24"/>
          <w:szCs w:val="24"/>
        </w:rPr>
        <w:t xml:space="preserve">. </w:t>
      </w:r>
      <w:r w:rsidRPr="00BE50E2">
        <w:rPr>
          <w:rFonts w:asciiTheme="majorHAnsi" w:hAnsiTheme="majorHAnsi" w:cstheme="majorHAnsi"/>
          <w:color w:val="000000"/>
        </w:rPr>
        <w:t xml:space="preserve">Food traditions </w:t>
      </w:r>
      <w:proofErr w:type="gramStart"/>
      <w:r w:rsidRPr="00BE50E2">
        <w:rPr>
          <w:rFonts w:asciiTheme="majorHAnsi" w:hAnsiTheme="majorHAnsi" w:cstheme="majorHAnsi"/>
          <w:color w:val="000000"/>
        </w:rPr>
        <w:t>are often defined</w:t>
      </w:r>
      <w:proofErr w:type="gramEnd"/>
      <w:r w:rsidRPr="00BE50E2">
        <w:rPr>
          <w:rFonts w:asciiTheme="majorHAnsi" w:hAnsiTheme="majorHAnsi" w:cstheme="majorHAnsi"/>
          <w:color w:val="000000"/>
        </w:rPr>
        <w:t xml:space="preserve"> as becoming heritage through the historical events which embed them into our cultural narrative. In Wales, however, it is </w:t>
      </w:r>
      <w:r w:rsidRPr="00BE50E2">
        <w:rPr>
          <w:rFonts w:asciiTheme="majorHAnsi" w:hAnsiTheme="majorHAnsi" w:cstheme="majorHAnsi"/>
          <w:color w:val="000000"/>
        </w:rPr>
        <w:lastRenderedPageBreak/>
        <w:t xml:space="preserve">more difficult to trace the emergence of food traditions back to a particular national event. Rather, the traditions have emerged through enduring family practices which </w:t>
      </w:r>
      <w:proofErr w:type="gramStart"/>
      <w:r w:rsidRPr="00BE50E2">
        <w:rPr>
          <w:rFonts w:asciiTheme="majorHAnsi" w:hAnsiTheme="majorHAnsi" w:cstheme="majorHAnsi"/>
          <w:color w:val="000000"/>
        </w:rPr>
        <w:t>are shared</w:t>
      </w:r>
      <w:proofErr w:type="gramEnd"/>
      <w:r w:rsidRPr="00BE50E2">
        <w:rPr>
          <w:rFonts w:asciiTheme="majorHAnsi" w:hAnsiTheme="majorHAnsi" w:cstheme="majorHAnsi"/>
          <w:color w:val="000000"/>
        </w:rPr>
        <w:t xml:space="preserve"> throughout the community. It can be believed that the poverty and struggles faced by the people of Wales may have been what strengthened the community cohesion, for example, the miners’ strike. During the miners’ strike, the NUM put on Christmas parties for the children where every child was given a five-pound note.</w:t>
      </w:r>
      <w:r w:rsidRPr="00BE50E2">
        <w:rPr>
          <w:rStyle w:val="FootnoteReference"/>
          <w:rFonts w:asciiTheme="majorHAnsi" w:hAnsiTheme="majorHAnsi" w:cstheme="majorHAnsi"/>
        </w:rPr>
        <w:footnoteReference w:id="46"/>
      </w:r>
      <w:r w:rsidRPr="00BE50E2">
        <w:rPr>
          <w:rFonts w:asciiTheme="majorHAnsi" w:hAnsiTheme="majorHAnsi" w:cstheme="majorHAnsi"/>
          <w:color w:val="000000"/>
        </w:rPr>
        <w:t xml:space="preserve"> Alongside this, the education department worked with the national union of teachers to get free meals for the children, most of whom were from families of miners who would not have been able to afford their food otherwise. This helped to reinforce the reliance on community food, sharing produce and recipes to be able to manage with little.  For many Welsh people, </w:t>
      </w:r>
      <w:r w:rsidRPr="00BE50E2">
        <w:rPr>
          <w:rFonts w:asciiTheme="majorHAnsi" w:hAnsiTheme="majorHAnsi" w:cstheme="majorHAnsi"/>
        </w:rPr>
        <w:t>food memories and their personal traditions are like treasures, like a sensory heirloom, and that is what childhood food memories do, they help us navigate our lives, and explain what it meant, whether it was negative or it was comforting.</w:t>
      </w:r>
      <w:r w:rsidRPr="00BE50E2">
        <w:rPr>
          <w:rStyle w:val="FootnoteReference"/>
          <w:rFonts w:asciiTheme="majorHAnsi" w:hAnsiTheme="majorHAnsi" w:cstheme="majorHAnsi"/>
        </w:rPr>
        <w:footnoteReference w:id="47"/>
      </w:r>
      <w:r w:rsidRPr="00BE50E2">
        <w:rPr>
          <w:rFonts w:asciiTheme="majorHAnsi" w:hAnsiTheme="majorHAnsi" w:cstheme="majorHAnsi"/>
        </w:rPr>
        <w:t xml:space="preserve"> </w:t>
      </w:r>
    </w:p>
    <w:p w14:paraId="55FBEDC8" w14:textId="1C51190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If there is a nationally shared experience, it is that of colonialism</w:t>
      </w:r>
      <w:r w:rsidR="0050710A">
        <w:rPr>
          <w:rFonts w:asciiTheme="majorHAnsi" w:hAnsiTheme="majorHAnsi" w:cstheme="majorHAnsi"/>
          <w:sz w:val="24"/>
          <w:szCs w:val="24"/>
        </w:rPr>
        <w:t xml:space="preserve"> and hybridity that Wales has faced </w:t>
      </w:r>
      <w:r w:rsidR="00065774">
        <w:rPr>
          <w:rFonts w:asciiTheme="majorHAnsi" w:hAnsiTheme="majorHAnsi" w:cstheme="majorHAnsi"/>
          <w:sz w:val="24"/>
          <w:szCs w:val="24"/>
        </w:rPr>
        <w:t>postcolonialism.</w:t>
      </w:r>
      <w:r w:rsidR="00991EE4">
        <w:rPr>
          <w:rStyle w:val="FootnoteReference"/>
          <w:rFonts w:asciiTheme="majorHAnsi" w:hAnsiTheme="majorHAnsi" w:cstheme="majorHAnsi"/>
          <w:sz w:val="24"/>
          <w:szCs w:val="24"/>
        </w:rPr>
        <w:footnoteReference w:id="48"/>
      </w:r>
      <w:r w:rsidR="00991EE4">
        <w:rPr>
          <w:rFonts w:asciiTheme="majorHAnsi" w:hAnsiTheme="majorHAnsi" w:cstheme="majorHAnsi"/>
          <w:sz w:val="24"/>
          <w:szCs w:val="24"/>
        </w:rPr>
        <w:t xml:space="preserve"> It</w:t>
      </w:r>
      <w:r w:rsidRPr="00BE50E2">
        <w:rPr>
          <w:rFonts w:asciiTheme="majorHAnsi" w:hAnsiTheme="majorHAnsi" w:cstheme="majorHAnsi"/>
          <w:sz w:val="24"/>
          <w:szCs w:val="24"/>
        </w:rPr>
        <w:t xml:space="preserve"> is important to examine how this experience may have impacted on food traditions in Wales. This section explores a wide range of what is seen as traditional Welsh food, how the food traditions have come about, and how they have been impacted.</w:t>
      </w:r>
    </w:p>
    <w:p w14:paraId="3CDDE2BB" w14:textId="77777777" w:rsidR="005914BF" w:rsidRPr="00BE50E2" w:rsidRDefault="005914BF" w:rsidP="00BE50E2">
      <w:pPr>
        <w:spacing w:line="360" w:lineRule="auto"/>
        <w:rPr>
          <w:rFonts w:asciiTheme="majorHAnsi" w:hAnsiTheme="majorHAnsi" w:cstheme="majorHAnsi"/>
          <w:b/>
          <w:bCs/>
          <w:i/>
          <w:iCs/>
          <w:sz w:val="24"/>
          <w:szCs w:val="24"/>
        </w:rPr>
      </w:pPr>
    </w:p>
    <w:p w14:paraId="274FE7F1" w14:textId="248D37C3" w:rsidR="005914BF" w:rsidRPr="00BE50E2" w:rsidRDefault="005914BF" w:rsidP="00BE50E2">
      <w:pPr>
        <w:spacing w:line="360" w:lineRule="auto"/>
        <w:rPr>
          <w:rFonts w:asciiTheme="majorHAnsi" w:hAnsiTheme="majorHAnsi" w:cstheme="majorBidi"/>
          <w:sz w:val="24"/>
          <w:szCs w:val="24"/>
        </w:rPr>
      </w:pPr>
      <w:r w:rsidRPr="48F23DBF">
        <w:rPr>
          <w:rFonts w:asciiTheme="majorHAnsi" w:hAnsiTheme="majorHAnsi" w:cstheme="majorBidi"/>
          <w:b/>
          <w:i/>
          <w:sz w:val="24"/>
          <w:szCs w:val="24"/>
        </w:rPr>
        <w:t xml:space="preserve">Porphya umbilicalis, Bara Lawr </w:t>
      </w:r>
      <w:r w:rsidRPr="00BE50E2">
        <w:rPr>
          <w:rFonts w:asciiTheme="majorHAnsi" w:hAnsiTheme="majorHAnsi" w:cstheme="majorHAnsi"/>
          <w:b/>
          <w:bCs/>
          <w:i/>
          <w:iCs/>
          <w:sz w:val="24"/>
          <w:szCs w:val="24"/>
        </w:rPr>
        <w:br/>
      </w:r>
      <w:r w:rsidRPr="48F23DBF">
        <w:rPr>
          <w:rFonts w:asciiTheme="majorHAnsi" w:hAnsiTheme="majorHAnsi" w:cstheme="majorBidi"/>
          <w:sz w:val="24"/>
          <w:szCs w:val="24"/>
        </w:rPr>
        <w:t>The Welshman’s Caviar, Laverbread. A seaweed that is seen as the ‘crowning joy and sharpest point of division of all Welsh foods.’</w:t>
      </w:r>
      <w:r w:rsidRPr="48F23DBF">
        <w:rPr>
          <w:rStyle w:val="FootnoteReference"/>
          <w:rFonts w:asciiTheme="majorHAnsi" w:hAnsiTheme="majorHAnsi" w:cstheme="majorBidi"/>
          <w:sz w:val="24"/>
          <w:szCs w:val="24"/>
        </w:rPr>
        <w:footnoteReference w:id="49"/>
      </w:r>
      <w:r w:rsidRPr="48F23DBF">
        <w:rPr>
          <w:rFonts w:asciiTheme="majorHAnsi" w:hAnsiTheme="majorHAnsi" w:cstheme="majorBidi"/>
          <w:sz w:val="24"/>
          <w:szCs w:val="24"/>
        </w:rPr>
        <w:t xml:space="preserve"> Made from the seaweed laver, it is a food that has been around for centuries. Although it is unknown when laverbread became a staple part of the Welsh diet, it was mentioned by Giraldis Cambrensis (Gerald of Wales) in 12</w:t>
      </w:r>
      <w:r w:rsidRPr="48F23DBF">
        <w:rPr>
          <w:rFonts w:asciiTheme="majorHAnsi" w:hAnsiTheme="majorHAnsi" w:cstheme="majorBidi"/>
          <w:sz w:val="24"/>
          <w:szCs w:val="24"/>
          <w:vertAlign w:val="superscript"/>
        </w:rPr>
        <w:t>th</w:t>
      </w:r>
      <w:r w:rsidRPr="48F23DBF">
        <w:rPr>
          <w:rFonts w:asciiTheme="majorHAnsi" w:hAnsiTheme="majorHAnsi" w:cstheme="majorBidi"/>
          <w:sz w:val="24"/>
          <w:szCs w:val="24"/>
        </w:rPr>
        <w:t xml:space="preserve"> Century Pembrokeshire.</w:t>
      </w:r>
      <w:r w:rsidRPr="48F23DBF">
        <w:rPr>
          <w:rStyle w:val="FootnoteReference"/>
          <w:rFonts w:asciiTheme="majorHAnsi" w:hAnsiTheme="majorHAnsi" w:cstheme="majorBidi"/>
          <w:sz w:val="24"/>
          <w:szCs w:val="24"/>
        </w:rPr>
        <w:footnoteReference w:id="50"/>
      </w:r>
      <w:r w:rsidRPr="48F23DBF">
        <w:rPr>
          <w:rFonts w:asciiTheme="majorHAnsi" w:hAnsiTheme="majorHAnsi" w:cstheme="majorBidi"/>
          <w:sz w:val="24"/>
          <w:szCs w:val="24"/>
        </w:rPr>
        <w:t xml:space="preserve"> Laverbread is a food most popular for those in coastal Wales, becoming a </w:t>
      </w:r>
      <w:r w:rsidRPr="48F23DBF">
        <w:rPr>
          <w:rFonts w:asciiTheme="majorHAnsi" w:hAnsiTheme="majorHAnsi" w:cstheme="majorBidi"/>
          <w:sz w:val="24"/>
          <w:szCs w:val="24"/>
        </w:rPr>
        <w:lastRenderedPageBreak/>
        <w:t>staple food for those who were able to go and pick laver from the rocks and use it as part of breakfast with some bacon</w:t>
      </w:r>
      <w:r w:rsidRPr="48F23DBF">
        <w:rPr>
          <w:rStyle w:val="FootnoteReference"/>
          <w:rFonts w:asciiTheme="majorHAnsi" w:hAnsiTheme="majorHAnsi" w:cstheme="majorBidi"/>
          <w:sz w:val="24"/>
          <w:szCs w:val="24"/>
        </w:rPr>
        <w:footnoteReference w:id="51"/>
      </w:r>
      <w:r w:rsidRPr="48F23DBF">
        <w:rPr>
          <w:rFonts w:asciiTheme="majorHAnsi" w:hAnsiTheme="majorHAnsi" w:cstheme="majorBidi"/>
          <w:sz w:val="24"/>
          <w:szCs w:val="24"/>
        </w:rPr>
        <w:t xml:space="preserve"> or as part of a main meal. Laver helped to provide a wide range of nutrients to those who ate it, especially those which were hard to supplement into the working man’s diet. During the 1970s, BBC Radio 4 Food and Farming highlighted how the traditions around laverbread was starting to decline post-industrial revolution</w:t>
      </w:r>
      <w:r w:rsidRPr="48F23DBF">
        <w:rPr>
          <w:rStyle w:val="FootnoteReference"/>
          <w:rFonts w:asciiTheme="majorHAnsi" w:hAnsiTheme="majorHAnsi" w:cstheme="majorBidi"/>
          <w:sz w:val="24"/>
          <w:szCs w:val="24"/>
        </w:rPr>
        <w:footnoteReference w:id="52"/>
      </w:r>
      <w:r w:rsidRPr="48F23DBF">
        <w:rPr>
          <w:rFonts w:asciiTheme="majorHAnsi" w:hAnsiTheme="majorHAnsi" w:cstheme="majorBidi"/>
          <w:sz w:val="24"/>
          <w:szCs w:val="24"/>
        </w:rPr>
        <w:t>, with the decline of the mining communities and the rise of popularity of processed ready meals within the communities and ease of access, especially for the communities away from the sea. In 2014 Dan Salidono visits Wales, forty years after the initial broadcast to discover if laverbread was still as popular as it was leading up to the 70s. Derek Cooper in the 70s broadcast highlighted how ‘nowadays there’s not enough people to pick laverbread on a commercial scale so it has to be imported from places far away such as Scotland and Ireland, but it’s still there for the taking on the seashore, there are a few left who now and again collect enough for their own use.’</w:t>
      </w:r>
      <w:r w:rsidRPr="48F23DBF">
        <w:rPr>
          <w:rStyle w:val="FootnoteReference"/>
          <w:rFonts w:asciiTheme="majorHAnsi" w:hAnsiTheme="majorHAnsi" w:cstheme="majorBidi"/>
          <w:sz w:val="24"/>
          <w:szCs w:val="24"/>
        </w:rPr>
        <w:footnoteReference w:id="53"/>
      </w:r>
      <w:r w:rsidRPr="48F23DBF">
        <w:rPr>
          <w:rFonts w:asciiTheme="majorHAnsi" w:hAnsiTheme="majorHAnsi" w:cstheme="majorBidi"/>
          <w:sz w:val="24"/>
          <w:szCs w:val="24"/>
        </w:rPr>
        <w:t xml:space="preserve"> This is still true today in some ways, but in other ways, Wales is starting to reclaim their heritage and links to sea food. A stall holder from Swansea market in 2014 presents to us the notion that ‘Swansea… is known for their cockles and laverbread, people from America, Australia make a beeline to come here, so </w:t>
      </w:r>
      <w:r w:rsidR="0963BA95" w:rsidRPr="48F23DBF">
        <w:rPr>
          <w:rFonts w:asciiTheme="majorHAnsi" w:hAnsiTheme="majorHAnsi" w:cstheme="majorBidi"/>
          <w:sz w:val="24"/>
          <w:szCs w:val="24"/>
        </w:rPr>
        <w:t>let us</w:t>
      </w:r>
      <w:r w:rsidRPr="48F23DBF">
        <w:rPr>
          <w:rFonts w:asciiTheme="majorHAnsi" w:hAnsiTheme="majorHAnsi" w:cstheme="majorBidi"/>
          <w:sz w:val="24"/>
          <w:szCs w:val="24"/>
        </w:rPr>
        <w:t xml:space="preserve"> hope it stays but you can never say, it would be sad to lose our cockles and laverbread’</w:t>
      </w:r>
      <w:r w:rsidRPr="48F23DBF">
        <w:rPr>
          <w:rStyle w:val="FootnoteReference"/>
          <w:rFonts w:asciiTheme="majorHAnsi" w:hAnsiTheme="majorHAnsi" w:cstheme="majorBidi"/>
          <w:sz w:val="24"/>
          <w:szCs w:val="24"/>
        </w:rPr>
        <w:footnoteReference w:id="54"/>
      </w:r>
      <w:r w:rsidRPr="48F23DBF">
        <w:rPr>
          <w:rFonts w:asciiTheme="majorHAnsi" w:hAnsiTheme="majorHAnsi" w:cstheme="majorBidi"/>
          <w:sz w:val="24"/>
          <w:szCs w:val="24"/>
        </w:rPr>
        <w:t xml:space="preserve">, this shows the prominence of laverbread to the communities of Swansea, going </w:t>
      </w:r>
      <w:r w:rsidR="681B9F4B" w:rsidRPr="48F23DBF">
        <w:rPr>
          <w:rFonts w:asciiTheme="majorHAnsi" w:hAnsiTheme="majorHAnsi" w:cstheme="majorBidi"/>
          <w:sz w:val="24"/>
          <w:szCs w:val="24"/>
        </w:rPr>
        <w:t>as</w:t>
      </w:r>
      <w:r w:rsidRPr="48F23DBF">
        <w:rPr>
          <w:rFonts w:asciiTheme="majorHAnsi" w:hAnsiTheme="majorHAnsi" w:cstheme="majorBidi"/>
          <w:sz w:val="24"/>
          <w:szCs w:val="24"/>
        </w:rPr>
        <w:t xml:space="preserve"> far as it being known in other countries that Wales is known for its laverbread. In </w:t>
      </w:r>
      <w:proofErr w:type="gramStart"/>
      <w:r w:rsidRPr="48F23DBF">
        <w:rPr>
          <w:rFonts w:asciiTheme="majorHAnsi" w:hAnsiTheme="majorHAnsi" w:cstheme="majorBidi"/>
          <w:sz w:val="24"/>
          <w:szCs w:val="24"/>
        </w:rPr>
        <w:t>some</w:t>
      </w:r>
      <w:proofErr w:type="gramEnd"/>
      <w:r w:rsidRPr="48F23DBF">
        <w:rPr>
          <w:rFonts w:asciiTheme="majorHAnsi" w:hAnsiTheme="majorHAnsi" w:cstheme="majorBidi"/>
          <w:sz w:val="24"/>
          <w:szCs w:val="24"/>
        </w:rPr>
        <w:t xml:space="preserve"> areas it has become more artisan than traditional, but it is a food that is nationally recognised as a Welsh coastal staple. </w:t>
      </w:r>
    </w:p>
    <w:p w14:paraId="3F81D162" w14:textId="77777777" w:rsidR="005914BF" w:rsidRPr="00BE50E2" w:rsidRDefault="005914BF" w:rsidP="00BE50E2">
      <w:pPr>
        <w:spacing w:line="360" w:lineRule="auto"/>
        <w:rPr>
          <w:rFonts w:asciiTheme="majorHAnsi" w:hAnsiTheme="majorHAnsi" w:cstheme="majorHAnsi"/>
          <w:sz w:val="24"/>
          <w:szCs w:val="24"/>
        </w:rPr>
      </w:pPr>
    </w:p>
    <w:p w14:paraId="724A655B" w14:textId="77777777" w:rsidR="005914BF" w:rsidRPr="00BE50E2" w:rsidRDefault="005914BF" w:rsidP="00BE50E2">
      <w:pPr>
        <w:spacing w:line="360" w:lineRule="auto"/>
        <w:rPr>
          <w:rFonts w:asciiTheme="majorHAnsi" w:hAnsiTheme="majorHAnsi" w:cstheme="majorHAnsi"/>
          <w:b/>
          <w:bCs/>
          <w:i/>
          <w:iCs/>
          <w:sz w:val="24"/>
          <w:szCs w:val="24"/>
        </w:rPr>
      </w:pPr>
      <w:r w:rsidRPr="00BE50E2">
        <w:rPr>
          <w:rFonts w:asciiTheme="majorHAnsi" w:hAnsiTheme="majorHAnsi" w:cstheme="majorHAnsi"/>
          <w:b/>
          <w:bCs/>
          <w:i/>
          <w:iCs/>
          <w:sz w:val="24"/>
          <w:szCs w:val="24"/>
        </w:rPr>
        <w:t>Cocs Cregyn, Cocs Rhython</w:t>
      </w:r>
    </w:p>
    <w:p w14:paraId="2B1F3C36"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Shelled cockles, Unshelled boiled </w:t>
      </w:r>
      <w:proofErr w:type="gramStart"/>
      <w:r w:rsidRPr="00BE50E2">
        <w:rPr>
          <w:rFonts w:asciiTheme="majorHAnsi" w:hAnsiTheme="majorHAnsi" w:cstheme="majorHAnsi"/>
          <w:sz w:val="24"/>
          <w:szCs w:val="24"/>
        </w:rPr>
        <w:t>cockles</w:t>
      </w:r>
      <w:proofErr w:type="gramEnd"/>
    </w:p>
    <w:p w14:paraId="6855A9AC"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As highlighted above, the coast of Wales is known for its cockles. They </w:t>
      </w:r>
      <w:proofErr w:type="gramStart"/>
      <w:r w:rsidRPr="00BE50E2">
        <w:rPr>
          <w:rFonts w:asciiTheme="majorHAnsi" w:hAnsiTheme="majorHAnsi" w:cstheme="majorHAnsi"/>
          <w:sz w:val="24"/>
          <w:szCs w:val="24"/>
        </w:rPr>
        <w:t>are found</w:t>
      </w:r>
      <w:proofErr w:type="gramEnd"/>
      <w:r w:rsidRPr="00BE50E2">
        <w:rPr>
          <w:rFonts w:asciiTheme="majorHAnsi" w:hAnsiTheme="majorHAnsi" w:cstheme="majorHAnsi"/>
          <w:sz w:val="24"/>
          <w:szCs w:val="24"/>
        </w:rPr>
        <w:t xml:space="preserve"> all around the Welsh coast, ‘from the Dee estuary on the north-eastern border all the way round to </w:t>
      </w:r>
      <w:r w:rsidRPr="00BE50E2">
        <w:rPr>
          <w:rFonts w:asciiTheme="majorHAnsi" w:hAnsiTheme="majorHAnsi" w:cstheme="majorHAnsi"/>
          <w:sz w:val="24"/>
          <w:szCs w:val="24"/>
        </w:rPr>
        <w:lastRenderedPageBreak/>
        <w:t>Glamorgan.’</w:t>
      </w:r>
      <w:r w:rsidRPr="00BE50E2">
        <w:rPr>
          <w:rStyle w:val="FootnoteReference"/>
          <w:rFonts w:asciiTheme="majorHAnsi" w:hAnsiTheme="majorHAnsi" w:cstheme="majorHAnsi"/>
          <w:sz w:val="24"/>
          <w:szCs w:val="24"/>
        </w:rPr>
        <w:footnoteReference w:id="55"/>
      </w:r>
      <w:r w:rsidRPr="00BE50E2">
        <w:rPr>
          <w:rFonts w:asciiTheme="majorHAnsi" w:hAnsiTheme="majorHAnsi" w:cstheme="majorHAnsi"/>
          <w:sz w:val="24"/>
          <w:szCs w:val="24"/>
        </w:rPr>
        <w:t xml:space="preserve"> Due to this, cockles are a significant part of the food heritage of these coastal communities. Some communities used to use so many cockles that their ‘villages were decorated with discarded cockle shells’</w:t>
      </w:r>
      <w:r w:rsidRPr="00BE50E2">
        <w:rPr>
          <w:rStyle w:val="FootnoteReference"/>
          <w:rFonts w:asciiTheme="majorHAnsi" w:hAnsiTheme="majorHAnsi" w:cstheme="majorHAnsi"/>
          <w:sz w:val="24"/>
          <w:szCs w:val="24"/>
        </w:rPr>
        <w:footnoteReference w:id="56"/>
      </w:r>
      <w:r w:rsidRPr="00BE50E2">
        <w:rPr>
          <w:rFonts w:asciiTheme="majorHAnsi" w:hAnsiTheme="majorHAnsi" w:cstheme="majorHAnsi"/>
          <w:sz w:val="24"/>
          <w:szCs w:val="24"/>
        </w:rPr>
        <w:t xml:space="preserve"> Cockle shells are a natural by product that can be used for many purposes, these include ‘chicken grit, aggregate, sand replacement and ornamental uses.’</w:t>
      </w:r>
      <w:r w:rsidRPr="00BE50E2">
        <w:rPr>
          <w:rStyle w:val="FootnoteReference"/>
          <w:rFonts w:asciiTheme="majorHAnsi" w:hAnsiTheme="majorHAnsi" w:cstheme="majorHAnsi"/>
          <w:sz w:val="24"/>
          <w:szCs w:val="24"/>
        </w:rPr>
        <w:footnoteReference w:id="57"/>
      </w:r>
      <w:r w:rsidRPr="00BE50E2">
        <w:rPr>
          <w:rFonts w:asciiTheme="majorHAnsi" w:hAnsiTheme="majorHAnsi" w:cstheme="majorHAnsi"/>
          <w:sz w:val="24"/>
          <w:szCs w:val="24"/>
        </w:rPr>
        <w:t xml:space="preserve"> There are many ecological benefits for cockle shells that help the local area as well as using the cockles for nutrients. Cockles themselves have a range of recipes associated with them. A common dish in Wales is </w:t>
      </w:r>
      <w:r w:rsidRPr="00BE50E2">
        <w:rPr>
          <w:rFonts w:asciiTheme="majorHAnsi" w:hAnsiTheme="majorHAnsi" w:cstheme="majorHAnsi"/>
          <w:i/>
          <w:iCs/>
          <w:sz w:val="24"/>
          <w:szCs w:val="24"/>
        </w:rPr>
        <w:t xml:space="preserve">bara menyn, </w:t>
      </w:r>
      <w:r w:rsidRPr="00BE50E2">
        <w:rPr>
          <w:rFonts w:asciiTheme="majorHAnsi" w:hAnsiTheme="majorHAnsi" w:cstheme="majorHAnsi"/>
          <w:sz w:val="24"/>
          <w:szCs w:val="24"/>
        </w:rPr>
        <w:t>a thick cockle source made from boiled cockles, milk, chives and salt mixed with flour.</w:t>
      </w:r>
      <w:r w:rsidRPr="00BE50E2">
        <w:rPr>
          <w:rStyle w:val="FootnoteReference"/>
          <w:rFonts w:asciiTheme="majorHAnsi" w:hAnsiTheme="majorHAnsi" w:cstheme="majorHAnsi"/>
          <w:sz w:val="24"/>
          <w:szCs w:val="24"/>
        </w:rPr>
        <w:footnoteReference w:id="58"/>
      </w:r>
      <w:r w:rsidRPr="00BE50E2">
        <w:rPr>
          <w:rFonts w:asciiTheme="majorHAnsi" w:hAnsiTheme="majorHAnsi" w:cstheme="majorHAnsi"/>
          <w:sz w:val="24"/>
          <w:szCs w:val="24"/>
        </w:rPr>
        <w:t xml:space="preserve"> , BBC Radio 4 Food and Farming has a focus on the cockles in Gower, emphasizing how ‘a natural product of the Gower coast cockles, a great favourite of the mining valleys, cockles have been in Swansea market for generations… the ones selling on the market would have been the ones cockle picking a mile away.’</w:t>
      </w:r>
      <w:r w:rsidRPr="00BE50E2">
        <w:rPr>
          <w:rStyle w:val="FootnoteReference"/>
          <w:rFonts w:asciiTheme="majorHAnsi" w:hAnsiTheme="majorHAnsi" w:cstheme="majorHAnsi"/>
          <w:sz w:val="24"/>
          <w:szCs w:val="24"/>
        </w:rPr>
        <w:footnoteReference w:id="59"/>
      </w:r>
      <w:r w:rsidRPr="00BE50E2">
        <w:rPr>
          <w:rFonts w:asciiTheme="majorHAnsi" w:hAnsiTheme="majorHAnsi" w:cstheme="majorHAnsi"/>
          <w:sz w:val="24"/>
          <w:szCs w:val="24"/>
        </w:rPr>
        <w:t xml:space="preserve"> However, although cockles are a staple to the Welsh coast, there has been a decline of sellers ‘only three (cockle) businesses here now... there was twenty odd cockle stalls.’</w:t>
      </w:r>
      <w:r w:rsidRPr="00BE50E2">
        <w:rPr>
          <w:rStyle w:val="FootnoteReference"/>
          <w:rFonts w:asciiTheme="majorHAnsi" w:hAnsiTheme="majorHAnsi" w:cstheme="majorHAnsi"/>
          <w:sz w:val="24"/>
          <w:szCs w:val="24"/>
        </w:rPr>
        <w:footnoteReference w:id="60"/>
      </w:r>
    </w:p>
    <w:p w14:paraId="395B2552" w14:textId="62612BA6" w:rsidR="005914BF" w:rsidRPr="00BE50E2" w:rsidRDefault="005914BF"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But those families who still harvest cockles commercially sums up the connection that these cockle farmers have to their trade from the moment they started all the way to the present day, ‘You had nothing else to do, only do your job, and sometimes they used to say that there was saltwater going through our veins, not blood, we were born out of that estuary.’ This presents the notion that these traditions are something that </w:t>
      </w:r>
      <w:proofErr w:type="gramStart"/>
      <w:r w:rsidRPr="48F23DBF">
        <w:rPr>
          <w:rFonts w:asciiTheme="majorHAnsi" w:hAnsiTheme="majorHAnsi" w:cstheme="majorBidi"/>
          <w:sz w:val="24"/>
          <w:szCs w:val="24"/>
        </w:rPr>
        <w:t>are so embedded</w:t>
      </w:r>
      <w:proofErr w:type="gramEnd"/>
      <w:r w:rsidRPr="48F23DBF">
        <w:rPr>
          <w:rFonts w:asciiTheme="majorHAnsi" w:hAnsiTheme="majorHAnsi" w:cstheme="majorBidi"/>
          <w:sz w:val="24"/>
          <w:szCs w:val="24"/>
        </w:rPr>
        <w:t xml:space="preserve"> into a family, into their culture, their heritage. By having these cockle sellers still around, still farming, still selling shows that </w:t>
      </w:r>
      <w:r w:rsidR="354EB243" w:rsidRPr="48F23DBF">
        <w:rPr>
          <w:rFonts w:asciiTheme="majorHAnsi" w:hAnsiTheme="majorHAnsi" w:cstheme="majorBidi"/>
          <w:sz w:val="24"/>
          <w:szCs w:val="24"/>
        </w:rPr>
        <w:t>it is</w:t>
      </w:r>
      <w:r w:rsidRPr="48F23DBF">
        <w:rPr>
          <w:rFonts w:asciiTheme="majorHAnsi" w:hAnsiTheme="majorHAnsi" w:cstheme="majorBidi"/>
          <w:sz w:val="24"/>
          <w:szCs w:val="24"/>
        </w:rPr>
        <w:t xml:space="preserve"> </w:t>
      </w:r>
      <w:r w:rsidRPr="48F23DBF">
        <w:rPr>
          <w:rFonts w:asciiTheme="majorHAnsi" w:hAnsiTheme="majorHAnsi" w:cstheme="majorBidi"/>
          <w:sz w:val="24"/>
          <w:szCs w:val="24"/>
        </w:rPr>
        <w:t xml:space="preserve">a piece of history, </w:t>
      </w:r>
      <w:r w:rsidR="3EA6D1C7" w:rsidRPr="48F23DBF">
        <w:rPr>
          <w:rFonts w:asciiTheme="majorHAnsi" w:hAnsiTheme="majorHAnsi" w:cstheme="majorBidi"/>
          <w:sz w:val="24"/>
          <w:szCs w:val="24"/>
        </w:rPr>
        <w:t>it is</w:t>
      </w:r>
      <w:r w:rsidRPr="48F23DBF">
        <w:rPr>
          <w:rFonts w:asciiTheme="majorHAnsi" w:hAnsiTheme="majorHAnsi" w:cstheme="majorBidi"/>
          <w:sz w:val="24"/>
          <w:szCs w:val="24"/>
        </w:rPr>
        <w:t xml:space="preserve"> a piece of tradition that you can still see, sample and taste. A perfect way to endorses this, is what a cockle farmer of a family business states, that ‘food that is produced here is coloured by my ancestry, it’s part of me.’</w:t>
      </w:r>
      <w:r w:rsidRPr="48F23DBF">
        <w:rPr>
          <w:rStyle w:val="FootnoteReference"/>
          <w:rFonts w:asciiTheme="majorHAnsi" w:hAnsiTheme="majorHAnsi" w:cstheme="majorBidi"/>
          <w:sz w:val="24"/>
          <w:szCs w:val="24"/>
        </w:rPr>
        <w:footnoteReference w:id="61"/>
      </w:r>
      <w:r w:rsidRPr="48F23DBF">
        <w:rPr>
          <w:rFonts w:asciiTheme="majorHAnsi" w:hAnsiTheme="majorHAnsi" w:cstheme="majorBidi"/>
          <w:sz w:val="24"/>
          <w:szCs w:val="24"/>
        </w:rPr>
        <w:t xml:space="preserve">  Our intangible </w:t>
      </w:r>
      <w:proofErr w:type="gramStart"/>
      <w:r w:rsidRPr="48F23DBF">
        <w:rPr>
          <w:rFonts w:asciiTheme="majorHAnsi" w:hAnsiTheme="majorHAnsi" w:cstheme="majorBidi"/>
          <w:sz w:val="24"/>
          <w:szCs w:val="24"/>
        </w:rPr>
        <w:t xml:space="preserve">is so </w:t>
      </w:r>
      <w:r w:rsidR="00AF6E77" w:rsidRPr="48F23DBF">
        <w:rPr>
          <w:rFonts w:asciiTheme="majorHAnsi" w:hAnsiTheme="majorHAnsi" w:cstheme="majorBidi"/>
          <w:sz w:val="24"/>
          <w:szCs w:val="24"/>
        </w:rPr>
        <w:t>intricately linked</w:t>
      </w:r>
      <w:proofErr w:type="gramEnd"/>
      <w:r w:rsidRPr="48F23DBF">
        <w:rPr>
          <w:rFonts w:asciiTheme="majorHAnsi" w:hAnsiTheme="majorHAnsi" w:cstheme="majorBidi"/>
          <w:sz w:val="24"/>
          <w:szCs w:val="24"/>
        </w:rPr>
        <w:t xml:space="preserve"> with our tangible heritage through food. </w:t>
      </w:r>
    </w:p>
    <w:p w14:paraId="78B37B99" w14:textId="77777777" w:rsidR="005914BF" w:rsidRPr="00BE50E2" w:rsidRDefault="005914BF" w:rsidP="00BE50E2">
      <w:pPr>
        <w:spacing w:line="360" w:lineRule="auto"/>
        <w:rPr>
          <w:rFonts w:asciiTheme="majorHAnsi" w:hAnsiTheme="majorHAnsi" w:cstheme="majorHAnsi"/>
          <w:sz w:val="24"/>
          <w:szCs w:val="24"/>
        </w:rPr>
      </w:pPr>
    </w:p>
    <w:p w14:paraId="1899A15C" w14:textId="77777777" w:rsidR="005914BF" w:rsidRPr="00BE50E2" w:rsidRDefault="005914BF"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lastRenderedPageBreak/>
        <w:t>Picau y ar maen</w:t>
      </w:r>
    </w:p>
    <w:p w14:paraId="3CEF4705"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Welsh Cakes are one of the most popular foods people may think of when they think of Wales. They have been a favourite, especially during teatime, in most parts of Wales ‘since the second half of the nineteenth century.’</w:t>
      </w:r>
      <w:r w:rsidRPr="00BE50E2">
        <w:rPr>
          <w:rStyle w:val="FootnoteReference"/>
          <w:rFonts w:asciiTheme="majorHAnsi" w:hAnsiTheme="majorHAnsi" w:cstheme="majorHAnsi"/>
          <w:sz w:val="24"/>
          <w:szCs w:val="24"/>
        </w:rPr>
        <w:footnoteReference w:id="62"/>
      </w:r>
      <w:r w:rsidRPr="00BE50E2">
        <w:rPr>
          <w:rFonts w:asciiTheme="majorHAnsi" w:hAnsiTheme="majorHAnsi" w:cstheme="majorHAnsi"/>
          <w:sz w:val="24"/>
          <w:szCs w:val="24"/>
        </w:rPr>
        <w:t xml:space="preserve"> They </w:t>
      </w:r>
      <w:proofErr w:type="gramStart"/>
      <w:r w:rsidRPr="00BE50E2">
        <w:rPr>
          <w:rFonts w:asciiTheme="majorHAnsi" w:hAnsiTheme="majorHAnsi" w:cstheme="majorHAnsi"/>
          <w:sz w:val="24"/>
          <w:szCs w:val="24"/>
        </w:rPr>
        <w:t>were usually cooked</w:t>
      </w:r>
      <w:proofErr w:type="gramEnd"/>
      <w:r w:rsidRPr="00BE50E2">
        <w:rPr>
          <w:rFonts w:asciiTheme="majorHAnsi" w:hAnsiTheme="majorHAnsi" w:cstheme="majorHAnsi"/>
          <w:sz w:val="24"/>
          <w:szCs w:val="24"/>
        </w:rPr>
        <w:t xml:space="preserve"> on a bakestone and the Welsh names given to these cakes were usually based on the different regional Welsh name for the bakestone or the way they looked. These included pice bach, tishan lechwan or tishan ar y mân (bakestone cakes), but in English they became known </w:t>
      </w:r>
      <w:proofErr w:type="gramStart"/>
      <w:r w:rsidRPr="00BE50E2">
        <w:rPr>
          <w:rFonts w:asciiTheme="majorHAnsi" w:hAnsiTheme="majorHAnsi" w:cstheme="majorHAnsi"/>
          <w:sz w:val="24"/>
          <w:szCs w:val="24"/>
        </w:rPr>
        <w:t>generally as</w:t>
      </w:r>
      <w:proofErr w:type="gramEnd"/>
      <w:r w:rsidRPr="00BE50E2">
        <w:rPr>
          <w:rFonts w:asciiTheme="majorHAnsi" w:hAnsiTheme="majorHAnsi" w:cstheme="majorHAnsi"/>
          <w:sz w:val="24"/>
          <w:szCs w:val="24"/>
        </w:rPr>
        <w:t xml:space="preserve"> Welsh Cakes.</w:t>
      </w:r>
      <w:r w:rsidRPr="00BE50E2">
        <w:rPr>
          <w:rStyle w:val="FootnoteReference"/>
          <w:rFonts w:asciiTheme="majorHAnsi" w:hAnsiTheme="majorHAnsi" w:cstheme="majorHAnsi"/>
          <w:sz w:val="24"/>
          <w:szCs w:val="24"/>
        </w:rPr>
        <w:footnoteReference w:id="63"/>
      </w:r>
      <w:r w:rsidRPr="00BE50E2">
        <w:rPr>
          <w:rFonts w:asciiTheme="majorHAnsi" w:hAnsiTheme="majorHAnsi" w:cstheme="majorHAnsi"/>
          <w:sz w:val="24"/>
          <w:szCs w:val="24"/>
        </w:rPr>
        <w:t xml:space="preserve"> Highlighting the anglicisation of the Welsh language post colonialism. Beca Lyne-Pirkis, a Welsh baker describes the important connection she feels when making Welsh Cakes with her children. “There’s nothing like the smell of when you’re grating the nutmeg into the bowl, when you’re then cooking the first batch on the bakestone, it just instantly transports me back to being with nan when I was a little girl and helping her roll out the dough, cut out the Welsh cakes and then baking them in batches, and eating one warm from the bakestone with a cup of tea, it’s just comfort food.”  This highlights the ways in which personal and familial traditions are often what shapes Welsh food culture. </w:t>
      </w:r>
    </w:p>
    <w:p w14:paraId="42846FE5" w14:textId="167D5D6D" w:rsidR="005914BF" w:rsidRDefault="005914BF" w:rsidP="00BE50E2">
      <w:pPr>
        <w:spacing w:line="360" w:lineRule="auto"/>
        <w:rPr>
          <w:rFonts w:asciiTheme="majorHAnsi" w:hAnsiTheme="majorHAnsi" w:cstheme="majorHAnsi"/>
          <w:sz w:val="24"/>
          <w:szCs w:val="24"/>
        </w:rPr>
      </w:pPr>
    </w:p>
    <w:p w14:paraId="6DC57F4D" w14:textId="77777777" w:rsidR="005914BF" w:rsidRPr="00BE50E2" w:rsidRDefault="005914BF"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Cawl</w:t>
      </w:r>
    </w:p>
    <w:p w14:paraId="4CB1A861" w14:textId="779B8D6A" w:rsidR="005914BF" w:rsidRPr="00BE50E2" w:rsidRDefault="005914BF"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Stew or soup. Cawl was the word used by the physicians of Myddfai (herbalists, living and working in and around the Carmarthenshire village of Myddfai)</w:t>
      </w:r>
      <w:r w:rsidRPr="48F23DBF">
        <w:rPr>
          <w:rStyle w:val="FootnoteReference"/>
          <w:rFonts w:asciiTheme="majorHAnsi" w:hAnsiTheme="majorHAnsi" w:cstheme="majorBidi"/>
          <w:sz w:val="24"/>
          <w:szCs w:val="24"/>
        </w:rPr>
        <w:footnoteReference w:id="64"/>
      </w:r>
      <w:r w:rsidRPr="48F23DBF">
        <w:rPr>
          <w:rFonts w:asciiTheme="majorHAnsi" w:hAnsiTheme="majorHAnsi" w:cstheme="majorBidi"/>
          <w:sz w:val="24"/>
          <w:szCs w:val="24"/>
        </w:rPr>
        <w:t xml:space="preserve"> to describe a liquid that was able to </w:t>
      </w:r>
      <w:proofErr w:type="gramStart"/>
      <w:r w:rsidRPr="48F23DBF">
        <w:rPr>
          <w:rFonts w:asciiTheme="majorHAnsi" w:hAnsiTheme="majorHAnsi" w:cstheme="majorBidi"/>
          <w:sz w:val="24"/>
          <w:szCs w:val="24"/>
        </w:rPr>
        <w:t>be drunk</w:t>
      </w:r>
      <w:proofErr w:type="gramEnd"/>
      <w:r w:rsidRPr="48F23DBF">
        <w:rPr>
          <w:rFonts w:asciiTheme="majorHAnsi" w:hAnsiTheme="majorHAnsi" w:cstheme="majorBidi"/>
          <w:sz w:val="24"/>
          <w:szCs w:val="24"/>
        </w:rPr>
        <w:t>. This was often translated into English as pottage.</w:t>
      </w:r>
      <w:r w:rsidRPr="48F23DBF">
        <w:rPr>
          <w:rStyle w:val="FootnoteReference"/>
          <w:rFonts w:asciiTheme="majorHAnsi" w:hAnsiTheme="majorHAnsi" w:cstheme="majorBidi"/>
          <w:sz w:val="24"/>
          <w:szCs w:val="24"/>
        </w:rPr>
        <w:footnoteReference w:id="65"/>
      </w:r>
      <w:r w:rsidRPr="48F23DBF">
        <w:rPr>
          <w:rFonts w:asciiTheme="majorHAnsi" w:hAnsiTheme="majorHAnsi" w:cstheme="majorBidi"/>
          <w:sz w:val="24"/>
          <w:szCs w:val="24"/>
        </w:rPr>
        <w:t xml:space="preserve"> Cawl is often named in </w:t>
      </w:r>
      <w:proofErr w:type="gramStart"/>
      <w:r w:rsidRPr="48F23DBF">
        <w:rPr>
          <w:rFonts w:asciiTheme="majorHAnsi" w:hAnsiTheme="majorHAnsi" w:cstheme="majorBidi"/>
          <w:sz w:val="24"/>
          <w:szCs w:val="24"/>
        </w:rPr>
        <w:t>different ways</w:t>
      </w:r>
      <w:proofErr w:type="gramEnd"/>
      <w:r w:rsidRPr="48F23DBF">
        <w:rPr>
          <w:rFonts w:asciiTheme="majorHAnsi" w:hAnsiTheme="majorHAnsi" w:cstheme="majorBidi"/>
          <w:sz w:val="24"/>
          <w:szCs w:val="24"/>
        </w:rPr>
        <w:t xml:space="preserve"> depending on the county it was made, and the ingredients involved. Cawl often involves root vegetables and meat, </w:t>
      </w:r>
      <w:proofErr w:type="gramStart"/>
      <w:r w:rsidRPr="48F23DBF">
        <w:rPr>
          <w:rFonts w:asciiTheme="majorHAnsi" w:hAnsiTheme="majorHAnsi" w:cstheme="majorBidi"/>
          <w:sz w:val="24"/>
          <w:szCs w:val="24"/>
        </w:rPr>
        <w:t>mainly lamb</w:t>
      </w:r>
      <w:proofErr w:type="gramEnd"/>
      <w:r w:rsidRPr="48F23DBF">
        <w:rPr>
          <w:rFonts w:asciiTheme="majorHAnsi" w:hAnsiTheme="majorHAnsi" w:cstheme="majorBidi"/>
          <w:sz w:val="24"/>
          <w:szCs w:val="24"/>
        </w:rPr>
        <w:t xml:space="preserve"> or beef. Cawl was a working man’s dinner all the way from the 15</w:t>
      </w:r>
      <w:r w:rsidRPr="48F23DBF">
        <w:rPr>
          <w:rFonts w:asciiTheme="majorHAnsi" w:hAnsiTheme="majorHAnsi" w:cstheme="majorBidi"/>
          <w:sz w:val="24"/>
          <w:szCs w:val="24"/>
          <w:vertAlign w:val="superscript"/>
        </w:rPr>
        <w:t>th</w:t>
      </w:r>
      <w:r w:rsidRPr="48F23DBF">
        <w:rPr>
          <w:rFonts w:asciiTheme="majorHAnsi" w:hAnsiTheme="majorHAnsi" w:cstheme="majorBidi"/>
          <w:sz w:val="24"/>
          <w:szCs w:val="24"/>
        </w:rPr>
        <w:t xml:space="preserve"> century up until the present day. This was often a miner’s main meal of the day; </w:t>
      </w:r>
      <w:r w:rsidR="00C4228E" w:rsidRPr="48F23DBF">
        <w:rPr>
          <w:rFonts w:asciiTheme="majorHAnsi" w:hAnsiTheme="majorHAnsi" w:cstheme="majorBidi"/>
          <w:sz w:val="24"/>
          <w:szCs w:val="24"/>
        </w:rPr>
        <w:t>s</w:t>
      </w:r>
      <w:r w:rsidRPr="48F23DBF">
        <w:rPr>
          <w:rFonts w:asciiTheme="majorHAnsi" w:hAnsiTheme="majorHAnsi" w:cstheme="majorBidi"/>
          <w:sz w:val="24"/>
          <w:szCs w:val="24"/>
        </w:rPr>
        <w:t xml:space="preserve">tew was a main component of the diet. </w:t>
      </w:r>
      <w:r w:rsidR="00C4228E" w:rsidRPr="48F23DBF">
        <w:rPr>
          <w:rFonts w:asciiTheme="majorHAnsi" w:hAnsiTheme="majorHAnsi" w:cstheme="majorBidi"/>
          <w:sz w:val="24"/>
          <w:szCs w:val="24"/>
        </w:rPr>
        <w:t>Women</w:t>
      </w:r>
      <w:r w:rsidRPr="48F23DBF">
        <w:rPr>
          <w:rFonts w:asciiTheme="majorHAnsi" w:hAnsiTheme="majorHAnsi" w:cstheme="majorBidi"/>
          <w:sz w:val="24"/>
          <w:szCs w:val="24"/>
        </w:rPr>
        <w:t xml:space="preserve"> used to make stew with whatever meat you had left and would last 5 days,</w:t>
      </w:r>
      <w:r w:rsidR="00C4228E" w:rsidRPr="48F23DBF">
        <w:rPr>
          <w:rFonts w:asciiTheme="majorHAnsi" w:hAnsiTheme="majorHAnsi" w:cstheme="majorBidi"/>
          <w:sz w:val="24"/>
          <w:szCs w:val="24"/>
        </w:rPr>
        <w:t xml:space="preserve"> and it was often said that</w:t>
      </w:r>
      <w:r w:rsidRPr="48F23DBF">
        <w:rPr>
          <w:rFonts w:asciiTheme="majorHAnsi" w:hAnsiTheme="majorHAnsi" w:cstheme="majorBidi"/>
          <w:sz w:val="24"/>
          <w:szCs w:val="24"/>
        </w:rPr>
        <w:t xml:space="preserve"> the more </w:t>
      </w:r>
      <w:r w:rsidRPr="48F23DBF">
        <w:rPr>
          <w:rFonts w:asciiTheme="majorHAnsi" w:hAnsiTheme="majorHAnsi" w:cstheme="majorBidi"/>
          <w:sz w:val="24"/>
          <w:szCs w:val="24"/>
        </w:rPr>
        <w:lastRenderedPageBreak/>
        <w:t>you boil the tastier it was.</w:t>
      </w:r>
      <w:r w:rsidR="00C4228E" w:rsidRPr="48F23DBF">
        <w:rPr>
          <w:rStyle w:val="FootnoteReference"/>
          <w:rFonts w:asciiTheme="majorHAnsi" w:hAnsiTheme="majorHAnsi" w:cstheme="majorBidi"/>
          <w:sz w:val="24"/>
          <w:szCs w:val="24"/>
        </w:rPr>
        <w:footnoteReference w:id="66"/>
      </w:r>
      <w:r w:rsidRPr="48F23DBF">
        <w:rPr>
          <w:rFonts w:asciiTheme="majorHAnsi" w:hAnsiTheme="majorHAnsi" w:cstheme="majorBidi"/>
          <w:sz w:val="24"/>
          <w:szCs w:val="24"/>
        </w:rPr>
        <w:t xml:space="preserve"> During the miners’ strike, women’s groups distributed food donations but also ran soup kitchens to help support the miners and their families who needed. It was a cheap, </w:t>
      </w:r>
      <w:r w:rsidR="007B4264" w:rsidRPr="48F23DBF">
        <w:rPr>
          <w:rFonts w:asciiTheme="majorHAnsi" w:hAnsiTheme="majorHAnsi" w:cstheme="majorBidi"/>
          <w:sz w:val="24"/>
          <w:szCs w:val="24"/>
        </w:rPr>
        <w:t>accessible,</w:t>
      </w:r>
      <w:r w:rsidRPr="48F23DBF">
        <w:rPr>
          <w:rFonts w:asciiTheme="majorHAnsi" w:hAnsiTheme="majorHAnsi" w:cstheme="majorBidi"/>
          <w:sz w:val="24"/>
          <w:szCs w:val="24"/>
        </w:rPr>
        <w:t xml:space="preserve"> and easy food to make.</w:t>
      </w:r>
      <w:r w:rsidRPr="48F23DBF">
        <w:rPr>
          <w:rStyle w:val="FootnoteReference"/>
          <w:rFonts w:asciiTheme="majorHAnsi" w:hAnsiTheme="majorHAnsi" w:cstheme="majorBidi"/>
          <w:sz w:val="24"/>
          <w:szCs w:val="24"/>
        </w:rPr>
        <w:footnoteReference w:id="67"/>
      </w:r>
      <w:r w:rsidRPr="48F23DBF">
        <w:rPr>
          <w:rFonts w:asciiTheme="majorHAnsi" w:hAnsiTheme="majorHAnsi" w:cstheme="majorBidi"/>
          <w:sz w:val="24"/>
          <w:szCs w:val="24"/>
        </w:rPr>
        <w:t xml:space="preserve"> Cawl, although traditionally a peasant dish, it has a fondness throughout generations that has kept it popular to the modern the day, whether </w:t>
      </w:r>
      <w:r w:rsidR="6F7A1600" w:rsidRPr="48F23DBF">
        <w:rPr>
          <w:rFonts w:asciiTheme="majorHAnsi" w:hAnsiTheme="majorHAnsi" w:cstheme="majorBidi"/>
          <w:sz w:val="24"/>
          <w:szCs w:val="24"/>
        </w:rPr>
        <w:t>that is</w:t>
      </w:r>
      <w:r w:rsidRPr="48F23DBF">
        <w:rPr>
          <w:rFonts w:asciiTheme="majorHAnsi" w:hAnsiTheme="majorHAnsi" w:cstheme="majorBidi"/>
          <w:sz w:val="24"/>
          <w:szCs w:val="24"/>
        </w:rPr>
        <w:t xml:space="preserve"> due to the comfort of it, the diversity of which it could be made or the affordability. In 1826, Margaret Dods (Christian Isobel Johnstone)  states that ‘The French take the lead of all European people in soups and broths; the Scotch rank second, the Welsh next; and … the English, as a nation, though with many honourable exceptions, are at the very bottom of the scale.'</w:t>
      </w:r>
      <w:r w:rsidRPr="48F23DBF">
        <w:rPr>
          <w:rStyle w:val="FootnoteReference"/>
          <w:rFonts w:asciiTheme="majorHAnsi" w:hAnsiTheme="majorHAnsi" w:cstheme="majorBidi"/>
          <w:sz w:val="24"/>
          <w:szCs w:val="24"/>
        </w:rPr>
        <w:footnoteReference w:id="68"/>
      </w:r>
      <w:r w:rsidRPr="48F23DBF">
        <w:rPr>
          <w:rStyle w:val="FootnoteReference"/>
          <w:rFonts w:asciiTheme="majorHAnsi" w:hAnsiTheme="majorHAnsi" w:cstheme="majorBidi"/>
          <w:sz w:val="24"/>
          <w:szCs w:val="24"/>
        </w:rPr>
        <w:footnoteReference w:id="69"/>
      </w:r>
      <w:r w:rsidRPr="48F23DBF">
        <w:rPr>
          <w:rFonts w:asciiTheme="majorHAnsi" w:hAnsiTheme="majorHAnsi" w:cstheme="majorBidi"/>
          <w:sz w:val="24"/>
          <w:szCs w:val="24"/>
        </w:rPr>
        <w:t xml:space="preserve"> This highlights how even when compared to other European countries as far back as the 19</w:t>
      </w:r>
      <w:r w:rsidRPr="48F23DBF">
        <w:rPr>
          <w:rFonts w:asciiTheme="majorHAnsi" w:hAnsiTheme="majorHAnsi" w:cstheme="majorBidi"/>
          <w:sz w:val="24"/>
          <w:szCs w:val="24"/>
          <w:vertAlign w:val="superscript"/>
        </w:rPr>
        <w:t>th</w:t>
      </w:r>
      <w:r w:rsidRPr="48F23DBF">
        <w:rPr>
          <w:rFonts w:asciiTheme="majorHAnsi" w:hAnsiTheme="majorHAnsi" w:cstheme="majorBidi"/>
          <w:sz w:val="24"/>
          <w:szCs w:val="24"/>
        </w:rPr>
        <w:t xml:space="preserve"> century, Wales was ranked third by a Scottish journalist and author. Cawl is </w:t>
      </w:r>
      <w:r w:rsidR="00040081" w:rsidRPr="48F23DBF">
        <w:rPr>
          <w:rFonts w:asciiTheme="majorHAnsi" w:hAnsiTheme="majorHAnsi" w:cstheme="majorBidi"/>
          <w:sz w:val="24"/>
          <w:szCs w:val="24"/>
        </w:rPr>
        <w:t>a fitting example</w:t>
      </w:r>
      <w:r w:rsidRPr="48F23DBF">
        <w:rPr>
          <w:rFonts w:asciiTheme="majorHAnsi" w:hAnsiTheme="majorHAnsi" w:cstheme="majorBidi"/>
          <w:sz w:val="24"/>
          <w:szCs w:val="24"/>
        </w:rPr>
        <w:t xml:space="preserve"> of a food that has been upheld through Welsh cultural heritage and ingrained tradition, even with its anglicised name of stew. </w:t>
      </w:r>
    </w:p>
    <w:p w14:paraId="5695715F" w14:textId="3B7084E8" w:rsidR="005914BF" w:rsidRDefault="005914BF" w:rsidP="00BE50E2">
      <w:pPr>
        <w:spacing w:line="360" w:lineRule="auto"/>
        <w:rPr>
          <w:rFonts w:asciiTheme="majorHAnsi" w:hAnsiTheme="majorHAnsi" w:cstheme="majorHAnsi"/>
          <w:sz w:val="24"/>
          <w:szCs w:val="24"/>
        </w:rPr>
      </w:pPr>
    </w:p>
    <w:p w14:paraId="3E2B2513" w14:textId="77777777" w:rsidR="005914BF" w:rsidRPr="00BE50E2" w:rsidRDefault="005914BF"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Caws bobi</w:t>
      </w:r>
    </w:p>
    <w:p w14:paraId="183A2265" w14:textId="3AD608F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Rarebit is an historically Welsh favourite food, one which poses a range of questions due to its name, often in history and cookbooks referred to as ‘Welsh Rabbit’</w:t>
      </w:r>
      <w:r w:rsidRPr="00BE50E2">
        <w:rPr>
          <w:rStyle w:val="FootnoteReference"/>
          <w:rFonts w:asciiTheme="majorHAnsi" w:hAnsiTheme="majorHAnsi" w:cstheme="majorHAnsi"/>
          <w:sz w:val="24"/>
          <w:szCs w:val="24"/>
        </w:rPr>
        <w:footnoteReference w:id="70"/>
      </w:r>
      <w:r w:rsidRPr="00BE50E2">
        <w:rPr>
          <w:rFonts w:asciiTheme="majorHAnsi" w:hAnsiTheme="majorHAnsi" w:cstheme="majorHAnsi"/>
          <w:sz w:val="24"/>
          <w:szCs w:val="24"/>
        </w:rPr>
        <w:t xml:space="preserve"> before it </w:t>
      </w:r>
      <w:proofErr w:type="gramStart"/>
      <w:r w:rsidRPr="00BE50E2">
        <w:rPr>
          <w:rFonts w:asciiTheme="majorHAnsi" w:hAnsiTheme="majorHAnsi" w:cstheme="majorHAnsi"/>
          <w:sz w:val="24"/>
          <w:szCs w:val="24"/>
        </w:rPr>
        <w:t>was later changed</w:t>
      </w:r>
      <w:proofErr w:type="gramEnd"/>
      <w:r w:rsidRPr="00BE50E2">
        <w:rPr>
          <w:rFonts w:asciiTheme="majorHAnsi" w:hAnsiTheme="majorHAnsi" w:cstheme="majorHAnsi"/>
          <w:sz w:val="24"/>
          <w:szCs w:val="24"/>
        </w:rPr>
        <w:t xml:space="preserve"> to rarebit or caws bobi. The dish </w:t>
      </w:r>
      <w:proofErr w:type="gramStart"/>
      <w:r w:rsidRPr="00BE50E2">
        <w:rPr>
          <w:rFonts w:asciiTheme="majorHAnsi" w:hAnsiTheme="majorHAnsi" w:cstheme="majorHAnsi"/>
          <w:sz w:val="24"/>
          <w:szCs w:val="24"/>
        </w:rPr>
        <w:t>is typically served</w:t>
      </w:r>
      <w:proofErr w:type="gramEnd"/>
      <w:r w:rsidRPr="00BE50E2">
        <w:rPr>
          <w:rFonts w:asciiTheme="majorHAnsi" w:hAnsiTheme="majorHAnsi" w:cstheme="majorHAnsi"/>
          <w:sz w:val="24"/>
          <w:szCs w:val="24"/>
        </w:rPr>
        <w:t xml:space="preserve"> as ‘melted cheese, mixed with mustard powder, pepper, and brown ale, served on toast. Buck rarebit is Welsh rarebit topped with a poached egg.’</w:t>
      </w:r>
      <w:r w:rsidRPr="00BE50E2">
        <w:rPr>
          <w:rStyle w:val="FootnoteReference"/>
          <w:rFonts w:asciiTheme="majorHAnsi" w:hAnsiTheme="majorHAnsi" w:cstheme="majorHAnsi"/>
          <w:sz w:val="24"/>
          <w:szCs w:val="24"/>
        </w:rPr>
        <w:footnoteReference w:id="71"/>
      </w:r>
      <w:r w:rsidRPr="00BE50E2">
        <w:rPr>
          <w:rFonts w:asciiTheme="majorHAnsi" w:hAnsiTheme="majorHAnsi" w:cstheme="majorHAnsi"/>
          <w:sz w:val="24"/>
          <w:szCs w:val="24"/>
        </w:rPr>
        <w:t xml:space="preserve"> The importance of Welsh Rarebit as part of tradition and </w:t>
      </w:r>
      <w:r w:rsidRPr="00BE50E2">
        <w:rPr>
          <w:rFonts w:asciiTheme="majorHAnsi" w:hAnsiTheme="majorHAnsi" w:cstheme="majorHAnsi"/>
          <w:sz w:val="24"/>
          <w:szCs w:val="24"/>
        </w:rPr>
        <w:lastRenderedPageBreak/>
        <w:t xml:space="preserve">culture </w:t>
      </w:r>
      <w:proofErr w:type="gramStart"/>
      <w:r w:rsidRPr="00BE50E2">
        <w:rPr>
          <w:rFonts w:asciiTheme="majorHAnsi" w:hAnsiTheme="majorHAnsi" w:cstheme="majorHAnsi"/>
          <w:sz w:val="24"/>
          <w:szCs w:val="24"/>
        </w:rPr>
        <w:t>is highlighted</w:t>
      </w:r>
      <w:proofErr w:type="gramEnd"/>
      <w:r w:rsidRPr="00BE50E2">
        <w:rPr>
          <w:rFonts w:asciiTheme="majorHAnsi" w:hAnsiTheme="majorHAnsi" w:cstheme="majorHAnsi"/>
          <w:sz w:val="24"/>
          <w:szCs w:val="24"/>
        </w:rPr>
        <w:t xml:space="preserve"> in the way that there</w:t>
      </w:r>
      <w:r w:rsidR="00694609">
        <w:rPr>
          <w:rFonts w:asciiTheme="majorHAnsi" w:hAnsiTheme="majorHAnsi" w:cstheme="majorHAnsi"/>
          <w:sz w:val="24"/>
          <w:szCs w:val="24"/>
        </w:rPr>
        <w:t xml:space="preserve"> i</w:t>
      </w:r>
      <w:r w:rsidRPr="00BE50E2">
        <w:rPr>
          <w:rFonts w:asciiTheme="majorHAnsi" w:hAnsiTheme="majorHAnsi" w:cstheme="majorHAnsi"/>
          <w:sz w:val="24"/>
          <w:szCs w:val="24"/>
        </w:rPr>
        <w:t>s a Welsh Rarebit Day on September 3</w:t>
      </w:r>
      <w:r w:rsidRPr="00BE50E2">
        <w:rPr>
          <w:rFonts w:asciiTheme="majorHAnsi" w:hAnsiTheme="majorHAnsi" w:cstheme="majorHAnsi"/>
          <w:sz w:val="24"/>
          <w:szCs w:val="24"/>
          <w:vertAlign w:val="superscript"/>
        </w:rPr>
        <w:t>rd</w:t>
      </w:r>
      <w:r w:rsidRPr="00BE50E2">
        <w:rPr>
          <w:rFonts w:asciiTheme="majorHAnsi" w:hAnsiTheme="majorHAnsi" w:cstheme="majorHAnsi"/>
          <w:sz w:val="24"/>
          <w:szCs w:val="24"/>
        </w:rPr>
        <w:t>.</w:t>
      </w:r>
      <w:r w:rsidRPr="00BE50E2">
        <w:rPr>
          <w:rStyle w:val="FootnoteReference"/>
          <w:rFonts w:asciiTheme="majorHAnsi" w:hAnsiTheme="majorHAnsi" w:cstheme="majorHAnsi"/>
          <w:sz w:val="24"/>
          <w:szCs w:val="24"/>
        </w:rPr>
        <w:footnoteReference w:id="72"/>
      </w:r>
      <w:r w:rsidRPr="00BE50E2">
        <w:rPr>
          <w:rFonts w:asciiTheme="majorHAnsi" w:hAnsiTheme="majorHAnsi" w:cstheme="majorHAnsi"/>
          <w:sz w:val="24"/>
          <w:szCs w:val="24"/>
        </w:rPr>
        <w:t xml:space="preserve"> There </w:t>
      </w:r>
      <w:r w:rsidR="00694609">
        <w:rPr>
          <w:rFonts w:asciiTheme="majorHAnsi" w:hAnsiTheme="majorHAnsi" w:cstheme="majorHAnsi"/>
          <w:sz w:val="24"/>
          <w:szCs w:val="24"/>
        </w:rPr>
        <w:t>is</w:t>
      </w:r>
      <w:r w:rsidRPr="00BE50E2">
        <w:rPr>
          <w:rFonts w:asciiTheme="majorHAnsi" w:hAnsiTheme="majorHAnsi" w:cstheme="majorHAnsi"/>
          <w:sz w:val="24"/>
          <w:szCs w:val="24"/>
        </w:rPr>
        <w:t xml:space="preserve"> a range of theories as to why it was called rabbit and why it was called Welsh. Владимировна splits these theories into social status and foreignness.</w:t>
      </w:r>
      <w:r w:rsidRPr="00BE50E2">
        <w:rPr>
          <w:rStyle w:val="FootnoteReference"/>
          <w:rFonts w:asciiTheme="majorHAnsi" w:hAnsiTheme="majorHAnsi" w:cstheme="majorHAnsi"/>
          <w:sz w:val="24"/>
          <w:szCs w:val="24"/>
        </w:rPr>
        <w:footnoteReference w:id="73"/>
      </w:r>
      <w:r w:rsidRPr="00BE50E2">
        <w:rPr>
          <w:rFonts w:asciiTheme="majorHAnsi" w:hAnsiTheme="majorHAnsi" w:cstheme="majorHAnsi"/>
          <w:sz w:val="24"/>
          <w:szCs w:val="24"/>
        </w:rPr>
        <w:t xml:space="preserve"> A social status theory is that the name Welsh Rabbit has come from the potential mocking of the people of Wales, this is due to the fact that the Welsh were typically known as a notoriously poor cohort, </w:t>
      </w:r>
      <w:r w:rsidR="00694609">
        <w:rPr>
          <w:rFonts w:asciiTheme="majorHAnsi" w:hAnsiTheme="majorHAnsi" w:cstheme="majorHAnsi"/>
          <w:sz w:val="24"/>
          <w:szCs w:val="24"/>
        </w:rPr>
        <w:t xml:space="preserve">and </w:t>
      </w:r>
      <w:r w:rsidRPr="00BE50E2">
        <w:rPr>
          <w:rFonts w:asciiTheme="majorHAnsi" w:hAnsiTheme="majorHAnsi" w:cstheme="majorHAnsi"/>
          <w:sz w:val="24"/>
          <w:szCs w:val="24"/>
        </w:rPr>
        <w:t xml:space="preserve">due to this only those better off would have been able to afford meat from the butchers, and whilst rabbit was the meat of the poor people in England, it is believed that the poor </w:t>
      </w:r>
      <w:r w:rsidR="00694609">
        <w:rPr>
          <w:rFonts w:asciiTheme="majorHAnsi" w:hAnsiTheme="majorHAnsi" w:cstheme="majorHAnsi"/>
          <w:sz w:val="24"/>
          <w:szCs w:val="24"/>
        </w:rPr>
        <w:t>man’s</w:t>
      </w:r>
      <w:r w:rsidRPr="00BE50E2">
        <w:rPr>
          <w:rFonts w:asciiTheme="majorHAnsi" w:hAnsiTheme="majorHAnsi" w:cstheme="majorHAnsi"/>
          <w:sz w:val="24"/>
          <w:szCs w:val="24"/>
        </w:rPr>
        <w:t xml:space="preserve"> meat of Wales, was cheese.</w:t>
      </w:r>
      <w:r w:rsidRPr="00BE50E2">
        <w:rPr>
          <w:rStyle w:val="FootnoteReference"/>
          <w:rFonts w:asciiTheme="majorHAnsi" w:hAnsiTheme="majorHAnsi" w:cstheme="majorHAnsi"/>
          <w:sz w:val="24"/>
          <w:szCs w:val="24"/>
        </w:rPr>
        <w:footnoteReference w:id="74"/>
      </w:r>
      <w:r w:rsidRPr="00BE50E2">
        <w:rPr>
          <w:rFonts w:asciiTheme="majorHAnsi" w:hAnsiTheme="majorHAnsi" w:cstheme="majorHAnsi"/>
          <w:sz w:val="24"/>
          <w:szCs w:val="24"/>
        </w:rPr>
        <w:t xml:space="preserve"> The</w:t>
      </w:r>
      <w:r w:rsidR="00694609">
        <w:rPr>
          <w:rFonts w:asciiTheme="majorHAnsi" w:hAnsiTheme="majorHAnsi" w:cstheme="majorHAnsi"/>
          <w:sz w:val="24"/>
          <w:szCs w:val="24"/>
        </w:rPr>
        <w:t xml:space="preserve"> </w:t>
      </w:r>
      <w:r w:rsidRPr="00BE50E2">
        <w:rPr>
          <w:rFonts w:asciiTheme="majorHAnsi" w:hAnsiTheme="majorHAnsi" w:cstheme="majorHAnsi"/>
          <w:sz w:val="24"/>
          <w:szCs w:val="24"/>
        </w:rPr>
        <w:t xml:space="preserve">foreignness theory can be seen as </w:t>
      </w:r>
      <w:r w:rsidR="00694609">
        <w:rPr>
          <w:rFonts w:asciiTheme="majorHAnsi" w:hAnsiTheme="majorHAnsi" w:cstheme="majorHAnsi"/>
          <w:sz w:val="24"/>
          <w:szCs w:val="24"/>
        </w:rPr>
        <w:t>linked</w:t>
      </w:r>
      <w:r w:rsidRPr="00BE50E2">
        <w:rPr>
          <w:rFonts w:asciiTheme="majorHAnsi" w:hAnsiTheme="majorHAnsi" w:cstheme="majorHAnsi"/>
          <w:sz w:val="24"/>
          <w:szCs w:val="24"/>
        </w:rPr>
        <w:t xml:space="preserve"> to the colonial feelings within Wales</w:t>
      </w:r>
      <w:r w:rsidR="00593468">
        <w:rPr>
          <w:rFonts w:asciiTheme="majorHAnsi" w:hAnsiTheme="majorHAnsi" w:cstheme="majorHAnsi"/>
          <w:sz w:val="24"/>
          <w:szCs w:val="24"/>
        </w:rPr>
        <w:t>, t</w:t>
      </w:r>
      <w:r w:rsidRPr="00BE50E2">
        <w:rPr>
          <w:rFonts w:asciiTheme="majorHAnsi" w:hAnsiTheme="majorHAnsi" w:cstheme="majorHAnsi"/>
          <w:sz w:val="24"/>
          <w:szCs w:val="24"/>
        </w:rPr>
        <w:t>he word Welsh was seen to be used despairingly by the English to describe something that was considered inferior or foreign,</w:t>
      </w:r>
      <w:r w:rsidRPr="00BE50E2">
        <w:rPr>
          <w:rStyle w:val="FootnoteReference"/>
          <w:rFonts w:asciiTheme="majorHAnsi" w:hAnsiTheme="majorHAnsi" w:cstheme="majorHAnsi"/>
          <w:sz w:val="24"/>
          <w:szCs w:val="24"/>
        </w:rPr>
        <w:footnoteReference w:id="75"/>
      </w:r>
      <w:r w:rsidRPr="00BE50E2">
        <w:rPr>
          <w:rFonts w:asciiTheme="majorHAnsi" w:hAnsiTheme="majorHAnsi" w:cstheme="majorHAnsi"/>
          <w:sz w:val="24"/>
          <w:szCs w:val="24"/>
        </w:rPr>
        <w:t xml:space="preserve"> This is also seen in other circumstances such as a louse being referred to as a Welsh cricket, a painted floor was a Welsh carpet</w:t>
      </w:r>
      <w:r w:rsidRPr="00BE50E2">
        <w:rPr>
          <w:rStyle w:val="FootnoteReference"/>
          <w:rFonts w:asciiTheme="majorHAnsi" w:hAnsiTheme="majorHAnsi" w:cstheme="majorHAnsi"/>
          <w:sz w:val="24"/>
          <w:szCs w:val="24"/>
        </w:rPr>
        <w:footnoteReference w:id="76"/>
      </w:r>
      <w:r w:rsidRPr="00BE50E2">
        <w:rPr>
          <w:rFonts w:asciiTheme="majorHAnsi" w:hAnsiTheme="majorHAnsi" w:cstheme="majorHAnsi"/>
          <w:sz w:val="24"/>
          <w:szCs w:val="24"/>
        </w:rPr>
        <w:t xml:space="preserve">, the verb </w:t>
      </w:r>
      <w:r w:rsidR="00694609">
        <w:rPr>
          <w:rFonts w:asciiTheme="majorHAnsi" w:hAnsiTheme="majorHAnsi" w:cstheme="majorHAnsi"/>
          <w:sz w:val="24"/>
          <w:szCs w:val="24"/>
        </w:rPr>
        <w:t>W</w:t>
      </w:r>
      <w:r w:rsidRPr="00BE50E2">
        <w:rPr>
          <w:rFonts w:asciiTheme="majorHAnsi" w:hAnsiTheme="majorHAnsi" w:cstheme="majorHAnsi"/>
          <w:sz w:val="24"/>
          <w:szCs w:val="24"/>
        </w:rPr>
        <w:t>elsh/</w:t>
      </w:r>
      <w:r w:rsidR="00694609">
        <w:rPr>
          <w:rFonts w:asciiTheme="majorHAnsi" w:hAnsiTheme="majorHAnsi" w:cstheme="majorHAnsi"/>
          <w:sz w:val="24"/>
          <w:szCs w:val="24"/>
        </w:rPr>
        <w:t>W</w:t>
      </w:r>
      <w:r w:rsidRPr="00BE50E2">
        <w:rPr>
          <w:rFonts w:asciiTheme="majorHAnsi" w:hAnsiTheme="majorHAnsi" w:cstheme="majorHAnsi"/>
          <w:sz w:val="24"/>
          <w:szCs w:val="24"/>
        </w:rPr>
        <w:t>elch was used to describe a debt that was failed to be paid.</w:t>
      </w:r>
      <w:r w:rsidRPr="00BE50E2">
        <w:rPr>
          <w:rStyle w:val="FootnoteReference"/>
          <w:rFonts w:asciiTheme="majorHAnsi" w:hAnsiTheme="majorHAnsi" w:cstheme="majorHAnsi"/>
          <w:sz w:val="24"/>
          <w:szCs w:val="24"/>
        </w:rPr>
        <w:footnoteReference w:id="77"/>
      </w:r>
      <w:r w:rsidRPr="00BE50E2">
        <w:rPr>
          <w:rFonts w:asciiTheme="majorHAnsi" w:hAnsiTheme="majorHAnsi" w:cstheme="majorHAnsi"/>
          <w:sz w:val="24"/>
          <w:szCs w:val="24"/>
        </w:rPr>
        <w:t xml:space="preserve"> </w:t>
      </w:r>
    </w:p>
    <w:p w14:paraId="09464407" w14:textId="77777777" w:rsidR="005914BF" w:rsidRPr="00BE50E2" w:rsidRDefault="005914BF" w:rsidP="00BE50E2">
      <w:pPr>
        <w:spacing w:line="360" w:lineRule="auto"/>
        <w:ind w:left="426" w:right="946"/>
        <w:rPr>
          <w:rFonts w:asciiTheme="majorHAnsi" w:hAnsiTheme="majorHAnsi" w:cstheme="majorHAnsi"/>
          <w:sz w:val="24"/>
          <w:szCs w:val="24"/>
        </w:rPr>
      </w:pPr>
      <w:r w:rsidRPr="00BE50E2">
        <w:rPr>
          <w:rFonts w:asciiTheme="majorHAnsi" w:hAnsiTheme="majorHAnsi" w:cstheme="majorHAnsi"/>
          <w:sz w:val="24"/>
          <w:szCs w:val="24"/>
        </w:rPr>
        <w:t xml:space="preserve">‘The inhabitants of Wales suffered </w:t>
      </w:r>
      <w:proofErr w:type="gramStart"/>
      <w:r w:rsidRPr="00BE50E2">
        <w:rPr>
          <w:rFonts w:asciiTheme="majorHAnsi" w:hAnsiTheme="majorHAnsi" w:cstheme="majorHAnsi"/>
          <w:sz w:val="24"/>
          <w:szCs w:val="24"/>
        </w:rPr>
        <w:t>almost as</w:t>
      </w:r>
      <w:proofErr w:type="gramEnd"/>
      <w:r w:rsidRPr="00BE50E2">
        <w:rPr>
          <w:rFonts w:asciiTheme="majorHAnsi" w:hAnsiTheme="majorHAnsi" w:cstheme="majorHAnsi"/>
          <w:sz w:val="24"/>
          <w:szCs w:val="24"/>
        </w:rPr>
        <w:t xml:space="preserve"> much at the hands and from the tongues of the English as did the Scottish and the Irish. The traditional enemies used ‘Welsh’ to signify anything poor, stupid, or crooked.’</w:t>
      </w:r>
      <w:r w:rsidRPr="00BE50E2">
        <w:rPr>
          <w:rStyle w:val="FootnoteReference"/>
          <w:rFonts w:asciiTheme="majorHAnsi" w:hAnsiTheme="majorHAnsi" w:cstheme="majorHAnsi"/>
          <w:sz w:val="24"/>
          <w:szCs w:val="24"/>
        </w:rPr>
        <w:footnoteReference w:id="78"/>
      </w:r>
    </w:p>
    <w:p w14:paraId="67AC7105" w14:textId="225C4754"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Welsh Rabbit seems to be one of the last phrases that is still around as a part of the mockery from the English in the present day, however it is more known as rarebit in the areas. </w:t>
      </w:r>
      <w:r w:rsidR="004E463C">
        <w:rPr>
          <w:rFonts w:asciiTheme="majorHAnsi" w:hAnsiTheme="majorHAnsi" w:cstheme="majorHAnsi"/>
          <w:sz w:val="24"/>
          <w:szCs w:val="24"/>
        </w:rPr>
        <w:t>Post</w:t>
      </w:r>
      <w:r w:rsidR="00B76BBE">
        <w:rPr>
          <w:rFonts w:asciiTheme="majorHAnsi" w:hAnsiTheme="majorHAnsi" w:cstheme="majorHAnsi"/>
          <w:sz w:val="24"/>
          <w:szCs w:val="24"/>
        </w:rPr>
        <w:t>colonialism can be seen here as</w:t>
      </w:r>
      <w:r w:rsidR="00981CE1">
        <w:rPr>
          <w:rFonts w:asciiTheme="majorHAnsi" w:hAnsiTheme="majorHAnsi" w:cstheme="majorHAnsi"/>
          <w:sz w:val="24"/>
          <w:szCs w:val="24"/>
        </w:rPr>
        <w:t xml:space="preserve"> in the ways in which the Welsh communities have been taking back their heritage and culture</w:t>
      </w:r>
      <w:r w:rsidR="00FA3460">
        <w:rPr>
          <w:rFonts w:asciiTheme="majorHAnsi" w:hAnsiTheme="majorHAnsi" w:cstheme="majorHAnsi"/>
          <w:sz w:val="24"/>
          <w:szCs w:val="24"/>
        </w:rPr>
        <w:t>, reclaiming the names of food and other items.</w:t>
      </w:r>
    </w:p>
    <w:p w14:paraId="5D78BAA9" w14:textId="77777777" w:rsidR="005914BF" w:rsidRPr="00BE50E2" w:rsidRDefault="005914BF" w:rsidP="00BE50E2">
      <w:pPr>
        <w:spacing w:line="360" w:lineRule="auto"/>
        <w:rPr>
          <w:rFonts w:asciiTheme="majorHAnsi" w:hAnsiTheme="majorHAnsi" w:cstheme="majorHAnsi"/>
          <w:sz w:val="24"/>
          <w:szCs w:val="24"/>
        </w:rPr>
      </w:pPr>
    </w:p>
    <w:p w14:paraId="6F61DF96" w14:textId="77777777" w:rsidR="005914BF" w:rsidRPr="00BE50E2" w:rsidRDefault="005914BF"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Bara brith</w:t>
      </w:r>
    </w:p>
    <w:p w14:paraId="18CB6306" w14:textId="77777777" w:rsidR="005914BF" w:rsidRPr="00BE50E2" w:rsidRDefault="005914BF"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lastRenderedPageBreak/>
        <w:t xml:space="preserve">Speckled Bread. Welsh tea bread. Bara brith is a staple food for </w:t>
      </w:r>
      <w:proofErr w:type="gramStart"/>
      <w:r w:rsidRPr="48F23DBF">
        <w:rPr>
          <w:rFonts w:asciiTheme="majorHAnsi" w:hAnsiTheme="majorHAnsi" w:cstheme="majorBidi"/>
          <w:sz w:val="24"/>
          <w:szCs w:val="24"/>
        </w:rPr>
        <w:t>a lot of</w:t>
      </w:r>
      <w:proofErr w:type="gramEnd"/>
      <w:r w:rsidRPr="48F23DBF">
        <w:rPr>
          <w:rFonts w:asciiTheme="majorHAnsi" w:hAnsiTheme="majorHAnsi" w:cstheme="majorBidi"/>
          <w:sz w:val="24"/>
          <w:szCs w:val="24"/>
        </w:rPr>
        <w:t xml:space="preserve"> Welsh families, the origins are unknown as many families tend to pass down their own recipes throughout their generations. There is a shared experience within Wales that comes about from humility that </w:t>
      </w:r>
      <w:proofErr w:type="gramStart"/>
      <w:r w:rsidRPr="48F23DBF">
        <w:rPr>
          <w:rFonts w:asciiTheme="majorHAnsi" w:hAnsiTheme="majorHAnsi" w:cstheme="majorBidi"/>
          <w:sz w:val="24"/>
          <w:szCs w:val="24"/>
        </w:rPr>
        <w:t>is linked</w:t>
      </w:r>
      <w:proofErr w:type="gramEnd"/>
      <w:r w:rsidRPr="48F23DBF">
        <w:rPr>
          <w:rFonts w:asciiTheme="majorHAnsi" w:hAnsiTheme="majorHAnsi" w:cstheme="majorBidi"/>
          <w:sz w:val="24"/>
          <w:szCs w:val="24"/>
        </w:rPr>
        <w:t xml:space="preserve"> with picau y ar maen as well as bara brith. There is no hierarchy involved with the cooking of these cakes, often used within meetings, bake sales, open days and more as a staple of Welsh culture. During the late 1900s bara birth would have </w:t>
      </w:r>
      <w:proofErr w:type="gramStart"/>
      <w:r w:rsidRPr="48F23DBF">
        <w:rPr>
          <w:rFonts w:asciiTheme="majorHAnsi" w:hAnsiTheme="majorHAnsi" w:cstheme="majorBidi"/>
          <w:sz w:val="24"/>
          <w:szCs w:val="24"/>
        </w:rPr>
        <w:t>been made</w:t>
      </w:r>
      <w:proofErr w:type="gramEnd"/>
      <w:r w:rsidRPr="48F23DBF">
        <w:rPr>
          <w:rFonts w:asciiTheme="majorHAnsi" w:hAnsiTheme="majorHAnsi" w:cstheme="majorBidi"/>
          <w:sz w:val="24"/>
          <w:szCs w:val="24"/>
        </w:rPr>
        <w:t xml:space="preserve"> from any left-over dough from that week. It would have been all piled together in a bowl ready for it to have fruit mixed into it as well as the tea. When the Welsh steelers migrated to Patagonia in 1865, they brought with them their own recipes.</w:t>
      </w:r>
      <w:r w:rsidRPr="48F23DBF">
        <w:rPr>
          <w:rStyle w:val="FootnoteReference"/>
          <w:rFonts w:asciiTheme="majorHAnsi" w:hAnsiTheme="majorHAnsi" w:cstheme="majorBidi"/>
          <w:sz w:val="24"/>
          <w:szCs w:val="24"/>
        </w:rPr>
        <w:footnoteReference w:id="79"/>
      </w:r>
      <w:r w:rsidRPr="48F23DBF">
        <w:rPr>
          <w:rFonts w:asciiTheme="majorHAnsi" w:hAnsiTheme="majorHAnsi" w:cstheme="majorBidi"/>
          <w:sz w:val="24"/>
          <w:szCs w:val="24"/>
        </w:rPr>
        <w:t xml:space="preserve"> The Argentinians understand their Welsh </w:t>
      </w:r>
      <w:r w:rsidR="7A8D58CF" w:rsidRPr="48F23DBF">
        <w:rPr>
          <w:rFonts w:asciiTheme="majorHAnsi" w:hAnsiTheme="majorHAnsi" w:cstheme="majorBidi"/>
          <w:sz w:val="24"/>
          <w:szCs w:val="24"/>
        </w:rPr>
        <w:t>teatime</w:t>
      </w:r>
      <w:r w:rsidRPr="48F23DBF">
        <w:rPr>
          <w:rFonts w:asciiTheme="majorHAnsi" w:hAnsiTheme="majorHAnsi" w:cstheme="majorBidi"/>
          <w:sz w:val="24"/>
          <w:szCs w:val="24"/>
        </w:rPr>
        <w:t xml:space="preserve"> cake to be 'torta negra galesa' or ‘torta negra’</w:t>
      </w:r>
      <w:r w:rsidRPr="48F23DBF">
        <w:rPr>
          <w:rStyle w:val="FootnoteReference"/>
          <w:rFonts w:asciiTheme="majorHAnsi" w:hAnsiTheme="majorHAnsi" w:cstheme="majorBidi"/>
          <w:sz w:val="24"/>
          <w:szCs w:val="24"/>
        </w:rPr>
        <w:footnoteReference w:id="80"/>
      </w:r>
      <w:r w:rsidRPr="48F23DBF">
        <w:rPr>
          <w:rFonts w:asciiTheme="majorHAnsi" w:hAnsiTheme="majorHAnsi" w:cstheme="majorBidi"/>
          <w:sz w:val="24"/>
          <w:szCs w:val="24"/>
        </w:rPr>
        <w:t xml:space="preserve"> in Welsh this would </w:t>
      </w:r>
      <w:proofErr w:type="gramStart"/>
      <w:r w:rsidRPr="48F23DBF">
        <w:rPr>
          <w:rFonts w:asciiTheme="majorHAnsi" w:hAnsiTheme="majorHAnsi" w:cstheme="majorBidi"/>
          <w:sz w:val="24"/>
          <w:szCs w:val="24"/>
        </w:rPr>
        <w:t>be translated</w:t>
      </w:r>
      <w:proofErr w:type="gramEnd"/>
      <w:r w:rsidRPr="48F23DBF">
        <w:rPr>
          <w:rFonts w:asciiTheme="majorHAnsi" w:hAnsiTheme="majorHAnsi" w:cstheme="majorBidi"/>
          <w:sz w:val="24"/>
          <w:szCs w:val="24"/>
        </w:rPr>
        <w:t xml:space="preserve"> as teisen du, the English being Welsh black cake or black cake. This fruit cake is now seen more as Patagonian rather than Welsh as it is believed that the settlers created thee recipe on the basis of the original bara birth recipe but adapted it to the area that they were now living.</w:t>
      </w:r>
      <w:r w:rsidRPr="48F23DBF">
        <w:rPr>
          <w:rStyle w:val="FootnoteReference"/>
          <w:rFonts w:asciiTheme="majorHAnsi" w:hAnsiTheme="majorHAnsi" w:cstheme="majorBidi"/>
          <w:sz w:val="24"/>
          <w:szCs w:val="24"/>
        </w:rPr>
        <w:footnoteReference w:id="81"/>
      </w:r>
      <w:r w:rsidRPr="48F23DBF">
        <w:rPr>
          <w:rFonts w:asciiTheme="majorHAnsi" w:hAnsiTheme="majorHAnsi" w:cstheme="majorBidi"/>
          <w:sz w:val="24"/>
          <w:szCs w:val="24"/>
        </w:rPr>
        <w:t xml:space="preserve"> As is the case within Welsh society, bara brith (torta Negra) proved ideal within times of hardship due to the fact that the cake was able to last longer compared to other sweet desserts.</w:t>
      </w:r>
      <w:r w:rsidRPr="48F23DBF">
        <w:rPr>
          <w:rStyle w:val="FootnoteReference"/>
          <w:rFonts w:asciiTheme="majorHAnsi" w:hAnsiTheme="majorHAnsi" w:cstheme="majorBidi"/>
          <w:sz w:val="24"/>
          <w:szCs w:val="24"/>
        </w:rPr>
        <w:footnoteReference w:id="82"/>
      </w:r>
      <w:r w:rsidRPr="48F23DBF">
        <w:rPr>
          <w:rFonts w:asciiTheme="majorHAnsi" w:hAnsiTheme="majorHAnsi" w:cstheme="majorBidi"/>
          <w:sz w:val="24"/>
          <w:szCs w:val="24"/>
        </w:rPr>
        <w:t xml:space="preserve"> Bara brith is an example of Welsh food culture and heritage, born out of poverty rather than a grand event, but important to familial traditions and the communities nonetheless. </w:t>
      </w:r>
    </w:p>
    <w:p w14:paraId="1636A1C9" w14:textId="4E5BDBD6" w:rsidR="005914BF" w:rsidRPr="00BE50E2" w:rsidRDefault="005914BF" w:rsidP="00FA2BAE">
      <w:pPr>
        <w:pStyle w:val="Heading1"/>
      </w:pPr>
    </w:p>
    <w:p w14:paraId="48E95BEF" w14:textId="4F367B9C"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b/>
          <w:bCs/>
          <w:sz w:val="24"/>
          <w:szCs w:val="24"/>
        </w:rPr>
        <w:t xml:space="preserve">One way in which the colonial experience has left its mark on Welsh heritage is in the naming of foods, which are often anglicised. </w:t>
      </w:r>
      <w:r w:rsidRPr="00BE50E2">
        <w:rPr>
          <w:rFonts w:asciiTheme="majorHAnsi" w:hAnsiTheme="majorHAnsi" w:cstheme="majorHAnsi"/>
          <w:sz w:val="24"/>
          <w:szCs w:val="24"/>
        </w:rPr>
        <w:t xml:space="preserve">A key component of Welsh life and is the idea that we cannot allow Wales to lose its soul and essence of its language. A Welsh proverb highlights this </w:t>
      </w:r>
      <w:r w:rsidRPr="00BE50E2">
        <w:rPr>
          <w:rFonts w:asciiTheme="majorHAnsi" w:hAnsiTheme="majorHAnsi" w:cstheme="majorHAnsi"/>
          <w:i/>
          <w:iCs/>
          <w:sz w:val="24"/>
          <w:szCs w:val="24"/>
        </w:rPr>
        <w:t xml:space="preserve">Cenedl heb iaith, cenedl heb galon </w:t>
      </w:r>
      <w:r w:rsidRPr="00BE50E2">
        <w:rPr>
          <w:rFonts w:asciiTheme="majorHAnsi" w:hAnsiTheme="majorHAnsi" w:cstheme="majorHAnsi"/>
          <w:sz w:val="24"/>
          <w:szCs w:val="24"/>
        </w:rPr>
        <w:t xml:space="preserve">(a nation without a language, a nation without a heart). It </w:t>
      </w:r>
      <w:proofErr w:type="gramStart"/>
      <w:r w:rsidRPr="00BE50E2">
        <w:rPr>
          <w:rFonts w:asciiTheme="majorHAnsi" w:hAnsiTheme="majorHAnsi" w:cstheme="majorHAnsi"/>
          <w:sz w:val="24"/>
          <w:szCs w:val="24"/>
        </w:rPr>
        <w:t>is shown</w:t>
      </w:r>
      <w:proofErr w:type="gramEnd"/>
      <w:r w:rsidRPr="00BE50E2">
        <w:rPr>
          <w:rFonts w:asciiTheme="majorHAnsi" w:hAnsiTheme="majorHAnsi" w:cstheme="majorHAnsi"/>
          <w:sz w:val="24"/>
          <w:szCs w:val="24"/>
        </w:rPr>
        <w:t xml:space="preserve"> that throughout time food names have lost their essence of Welsh language, cawl in the South of Wales is referred more often as simply stew. Picau Ar Y Maen are more familiarly known as Welsh Cake, a noticeable exception is Bara Brith which has </w:t>
      </w:r>
      <w:r w:rsidRPr="00BE50E2">
        <w:rPr>
          <w:rFonts w:asciiTheme="majorHAnsi" w:hAnsiTheme="majorHAnsi" w:cstheme="majorHAnsi"/>
          <w:sz w:val="24"/>
          <w:szCs w:val="24"/>
        </w:rPr>
        <w:lastRenderedPageBreak/>
        <w:t>resisted being known by the anglicised name of Speckled Bread. The food themselves, however, have retained a particular home-grown Welsh quality and have resisted adaptations to hybrid versions. This fact is significant and may well be a sign that the steadfast loyalty to the traditional recipes is a subtle form of resistance to the English ways of doing things and may explain why certain Welsh foods essential elements to Welsh gatherings are such as chapel events, committee meetings, and funerals. Community events always feature a staple from the Welsh traditional foods such as bara brith and Welsh Cakes, can this be interpreted as revealing the ambivalence of the colonised, to use the term of Homi Bhabha, giving prominence to their own traditions.</w:t>
      </w:r>
      <w:r w:rsidRPr="00BE50E2">
        <w:rPr>
          <w:rStyle w:val="FootnoteReference"/>
          <w:rFonts w:asciiTheme="majorHAnsi" w:hAnsiTheme="majorHAnsi" w:cstheme="majorHAnsi"/>
          <w:sz w:val="24"/>
          <w:szCs w:val="24"/>
        </w:rPr>
        <w:footnoteReference w:id="83"/>
      </w:r>
      <w:r w:rsidRPr="00BE50E2">
        <w:rPr>
          <w:rFonts w:asciiTheme="majorHAnsi" w:hAnsiTheme="majorHAnsi" w:cstheme="majorHAnsi"/>
          <w:sz w:val="24"/>
          <w:szCs w:val="24"/>
        </w:rPr>
        <w:t xml:space="preserve"> Food and food practices have been examined by many scholars as being important markers of identity, specifically those of immigrant or colonialised identity.</w:t>
      </w:r>
      <w:r w:rsidRPr="00BE50E2">
        <w:rPr>
          <w:rStyle w:val="FootnoteReference"/>
          <w:rFonts w:asciiTheme="majorHAnsi" w:hAnsiTheme="majorHAnsi" w:cstheme="majorHAnsi"/>
          <w:sz w:val="24"/>
          <w:szCs w:val="24"/>
        </w:rPr>
        <w:footnoteReference w:id="84"/>
      </w:r>
      <w:r w:rsidRPr="00BE50E2">
        <w:rPr>
          <w:rFonts w:asciiTheme="majorHAnsi" w:hAnsiTheme="majorHAnsi" w:cstheme="majorHAnsi"/>
          <w:sz w:val="24"/>
          <w:szCs w:val="24"/>
        </w:rPr>
        <w:t xml:space="preserve"> Members of these groups feel that they are ‘in-between’ people, often unable to identify with their original homeland traditions or the colonialised practices.</w:t>
      </w:r>
      <w:r w:rsidRPr="00BE50E2">
        <w:rPr>
          <w:rStyle w:val="FootnoteReference"/>
          <w:rFonts w:asciiTheme="majorHAnsi" w:hAnsiTheme="majorHAnsi" w:cstheme="majorHAnsi"/>
          <w:sz w:val="24"/>
          <w:szCs w:val="24"/>
        </w:rPr>
        <w:footnoteReference w:id="85"/>
      </w:r>
      <w:r w:rsidRPr="00BE50E2">
        <w:rPr>
          <w:rFonts w:asciiTheme="majorHAnsi" w:hAnsiTheme="majorHAnsi" w:cstheme="majorHAnsi"/>
          <w:sz w:val="24"/>
          <w:szCs w:val="24"/>
        </w:rPr>
        <w:t xml:space="preserve">  Many colonised groups undergo an identity crisis on a personal and societal level, which can often make them feel uprooted and nomadic.</w:t>
      </w:r>
      <w:r w:rsidRPr="00BE50E2">
        <w:rPr>
          <w:rStyle w:val="FootnoteReference"/>
          <w:rFonts w:asciiTheme="majorHAnsi" w:hAnsiTheme="majorHAnsi" w:cstheme="majorHAnsi"/>
          <w:sz w:val="24"/>
          <w:szCs w:val="24"/>
        </w:rPr>
        <w:footnoteReference w:id="86"/>
      </w:r>
      <w:r w:rsidRPr="00BE50E2">
        <w:rPr>
          <w:rFonts w:asciiTheme="majorHAnsi" w:hAnsiTheme="majorHAnsi" w:cstheme="majorHAnsi"/>
          <w:sz w:val="24"/>
          <w:szCs w:val="24"/>
        </w:rPr>
        <w:t xml:space="preserve"> Insistence on Welsh food traditions in community settings reinforces a steadfast sense of identity. </w:t>
      </w:r>
    </w:p>
    <w:p w14:paraId="3B78B757"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Food heritage needs to be a continuous, living, breathing entity for it to be meaningful. According to UNESCO it needs to be ‘recognised by the communities and individuals that create, maintain and transmit it.’</w:t>
      </w:r>
      <w:r w:rsidRPr="00BE50E2">
        <w:rPr>
          <w:rStyle w:val="FootnoteReference"/>
          <w:rFonts w:asciiTheme="majorHAnsi" w:hAnsiTheme="majorHAnsi" w:cstheme="majorHAnsi"/>
          <w:sz w:val="24"/>
          <w:szCs w:val="24"/>
        </w:rPr>
        <w:footnoteReference w:id="87"/>
      </w:r>
      <w:r w:rsidRPr="00BE50E2">
        <w:rPr>
          <w:rFonts w:asciiTheme="majorHAnsi" w:hAnsiTheme="majorHAnsi" w:cstheme="majorHAnsi"/>
          <w:sz w:val="24"/>
          <w:szCs w:val="24"/>
        </w:rPr>
        <w:t xml:space="preserve"> Is Welsh food heritage in danger of becoming a relic of the past?</w:t>
      </w:r>
    </w:p>
    <w:p w14:paraId="211E6471"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Derek Cooper in 1974 highlighted the Welsh food story in the following ‘The youngsters no longer come in singing from the sands, the cockles arrive by road from England, the laverbread has to be imported from Scotland, the coracles are down to a handful, the old bakestone has taken its place in the folk museum, the inheritance is ebbing away and that’s sad.’</w:t>
      </w:r>
      <w:r w:rsidRPr="00BE50E2">
        <w:rPr>
          <w:rStyle w:val="FootnoteReference"/>
          <w:rFonts w:asciiTheme="majorHAnsi" w:hAnsiTheme="majorHAnsi" w:cstheme="majorHAnsi"/>
          <w:sz w:val="24"/>
          <w:szCs w:val="24"/>
        </w:rPr>
        <w:footnoteReference w:id="88"/>
      </w:r>
    </w:p>
    <w:p w14:paraId="260002BE"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lastRenderedPageBreak/>
        <w:t xml:space="preserve">But that is not how it ends, in the past 50 years, these foods have not disappeared, and Derek </w:t>
      </w:r>
      <w:proofErr w:type="gramStart"/>
      <w:r w:rsidRPr="00BE50E2">
        <w:rPr>
          <w:rFonts w:asciiTheme="majorHAnsi" w:hAnsiTheme="majorHAnsi" w:cstheme="majorHAnsi"/>
          <w:sz w:val="24"/>
          <w:szCs w:val="24"/>
        </w:rPr>
        <w:t>would perhaps, be</w:t>
      </w:r>
      <w:proofErr w:type="gramEnd"/>
      <w:r w:rsidRPr="00BE50E2">
        <w:rPr>
          <w:rFonts w:asciiTheme="majorHAnsi" w:hAnsiTheme="majorHAnsi" w:cstheme="majorHAnsi"/>
          <w:sz w:val="24"/>
          <w:szCs w:val="24"/>
        </w:rPr>
        <w:t xml:space="preserve"> inspired by a new generation, taking a renewed pride in Welsh food. </w:t>
      </w:r>
    </w:p>
    <w:p w14:paraId="6975F5A2"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Deiniol ap Daffydd, a local food supplier based in Llanrwst speaking more recently on BBC Radio 4 in 2014, explains ‘the landscape, the food produced in the landscape, my history and my language, that’s why I came back to Wales, because I’m not the one to deny my children the right to have that in them, that’s what national pride is, and food that’s produced here is coloured by my ancestry.’</w:t>
      </w:r>
      <w:r w:rsidRPr="00BE50E2">
        <w:rPr>
          <w:rStyle w:val="FootnoteReference"/>
          <w:rFonts w:asciiTheme="majorHAnsi" w:hAnsiTheme="majorHAnsi" w:cstheme="majorHAnsi"/>
          <w:sz w:val="24"/>
          <w:szCs w:val="24"/>
        </w:rPr>
        <w:footnoteReference w:id="89"/>
      </w:r>
      <w:r w:rsidRPr="00BE50E2">
        <w:rPr>
          <w:rFonts w:asciiTheme="majorHAnsi" w:hAnsiTheme="majorHAnsi" w:cstheme="majorHAnsi"/>
          <w:sz w:val="24"/>
          <w:szCs w:val="24"/>
        </w:rPr>
        <w:t xml:space="preserve"> This highlights that there is a process at work that is drawing people back to their Welsh roots, culture and heritage through food. There is an increase of Welsh communities wanting to the continuity of Welsh culture through their familial links, Daffydd shows us how he, like many others in Wales wants their children, their families, and themselves to be able to connect to the identity they were born in to, the identity from their ancestors as well as their culture and traditions. </w:t>
      </w:r>
    </w:p>
    <w:p w14:paraId="6D5D340C" w14:textId="77777777" w:rsidR="005914BF" w:rsidRPr="00BE50E2" w:rsidRDefault="005914BF" w:rsidP="00BE50E2">
      <w:pPr>
        <w:spacing w:line="360" w:lineRule="auto"/>
        <w:rPr>
          <w:rFonts w:asciiTheme="majorHAnsi" w:hAnsiTheme="majorHAnsi" w:cstheme="majorHAnsi"/>
          <w:sz w:val="24"/>
          <w:szCs w:val="24"/>
        </w:rPr>
      </w:pPr>
    </w:p>
    <w:p w14:paraId="2BA2954A" w14:textId="53B01B4A" w:rsidR="005914BF" w:rsidRPr="00BE50E2" w:rsidRDefault="005914BF" w:rsidP="00BE50E2">
      <w:pPr>
        <w:spacing w:line="360" w:lineRule="auto"/>
        <w:rPr>
          <w:rFonts w:asciiTheme="majorHAnsi" w:hAnsiTheme="majorHAnsi" w:cstheme="majorBidi"/>
          <w:sz w:val="24"/>
          <w:szCs w:val="24"/>
        </w:rPr>
      </w:pPr>
      <w:r w:rsidRPr="48F23DBF">
        <w:rPr>
          <w:rFonts w:asciiTheme="majorHAnsi" w:hAnsiTheme="majorHAnsi" w:cstheme="majorBidi"/>
          <w:b/>
          <w:sz w:val="24"/>
          <w:szCs w:val="24"/>
        </w:rPr>
        <w:t>Contemporary foodways and identities are a way in which to assess the long history of colonial encounters.</w:t>
      </w:r>
      <w:r w:rsidRPr="48F23DBF">
        <w:rPr>
          <w:rStyle w:val="FootnoteReference"/>
          <w:rFonts w:asciiTheme="majorHAnsi" w:hAnsiTheme="majorHAnsi" w:cstheme="majorBidi"/>
          <w:sz w:val="24"/>
          <w:szCs w:val="24"/>
        </w:rPr>
        <w:footnoteReference w:id="90"/>
      </w:r>
      <w:r w:rsidRPr="48F23DBF">
        <w:rPr>
          <w:rFonts w:asciiTheme="majorHAnsi" w:hAnsiTheme="majorHAnsi" w:cstheme="majorBidi"/>
          <w:sz w:val="24"/>
          <w:szCs w:val="24"/>
        </w:rPr>
        <w:t xml:space="preserve"> The cherished links between food practices and the personification of identity and politics have made food a central area for the working out of colonial struggles of various kinds. This then poses the question of how Welsh food practices reflect the colonial experience. Is it possible to identify the experiences of the food heritage in Wales? The story of the Welsh conquest by England and the Welsh resistance is repeated in a range of brochures, guidebooks and displays when you visit castles in Wales.</w:t>
      </w:r>
      <w:r w:rsidRPr="48F23DBF">
        <w:rPr>
          <w:rStyle w:val="FootnoteReference"/>
          <w:rFonts w:asciiTheme="majorHAnsi" w:hAnsiTheme="majorHAnsi" w:cstheme="majorBidi"/>
          <w:sz w:val="24"/>
          <w:szCs w:val="24"/>
        </w:rPr>
        <w:footnoteReference w:id="91"/>
      </w:r>
      <w:r w:rsidRPr="48F23DBF">
        <w:rPr>
          <w:rFonts w:asciiTheme="majorHAnsi" w:hAnsiTheme="majorHAnsi" w:cstheme="majorBidi"/>
          <w:sz w:val="24"/>
          <w:szCs w:val="24"/>
        </w:rPr>
        <w:t xml:space="preserve"> It is said that at medieval and Victorian banquets staged at Welsh castles, tourists would eat traditional Welsh food and be entertained with traditional music.</w:t>
      </w:r>
      <w:r w:rsidRPr="48F23DBF">
        <w:rPr>
          <w:rStyle w:val="FootnoteReference"/>
          <w:rFonts w:asciiTheme="majorHAnsi" w:hAnsiTheme="majorHAnsi" w:cstheme="majorBidi"/>
          <w:sz w:val="24"/>
          <w:szCs w:val="24"/>
        </w:rPr>
        <w:footnoteReference w:id="92"/>
      </w:r>
      <w:r w:rsidRPr="48F23DBF">
        <w:rPr>
          <w:rFonts w:asciiTheme="majorHAnsi" w:hAnsiTheme="majorHAnsi" w:cstheme="majorBidi"/>
          <w:sz w:val="24"/>
          <w:szCs w:val="24"/>
        </w:rPr>
        <w:t xml:space="preserve"> Although it is not clear what the Welsh foods were, the fact that it was at one point a key feature highlights the importance of </w:t>
      </w:r>
      <w:r w:rsidRPr="48F23DBF">
        <w:rPr>
          <w:rFonts w:asciiTheme="majorHAnsi" w:hAnsiTheme="majorHAnsi" w:cstheme="majorBidi"/>
          <w:sz w:val="24"/>
          <w:szCs w:val="24"/>
        </w:rPr>
        <w:lastRenderedPageBreak/>
        <w:t>Welsh traditions. However, as time goes on, the Act of Union was passed in 1536</w:t>
      </w:r>
      <w:r w:rsidRPr="48F23DBF">
        <w:rPr>
          <w:rStyle w:val="FootnoteReference"/>
          <w:rFonts w:asciiTheme="majorHAnsi" w:hAnsiTheme="majorHAnsi" w:cstheme="majorBidi"/>
          <w:sz w:val="24"/>
          <w:szCs w:val="24"/>
        </w:rPr>
        <w:footnoteReference w:id="93"/>
      </w:r>
      <w:r w:rsidRPr="48F23DBF">
        <w:rPr>
          <w:rFonts w:asciiTheme="majorHAnsi" w:hAnsiTheme="majorHAnsi" w:cstheme="majorBidi"/>
          <w:sz w:val="24"/>
          <w:szCs w:val="24"/>
        </w:rPr>
        <w:t xml:space="preserve"> by Henry VIII which prohibited the use of Welsh in public administration and the legal system alongside the Act of Uniformity in 1549</w:t>
      </w:r>
      <w:r w:rsidRPr="48F23DBF">
        <w:rPr>
          <w:rStyle w:val="FootnoteReference"/>
          <w:rFonts w:asciiTheme="majorHAnsi" w:hAnsiTheme="majorHAnsi" w:cstheme="majorBidi"/>
          <w:sz w:val="24"/>
          <w:szCs w:val="24"/>
        </w:rPr>
        <w:footnoteReference w:id="94"/>
      </w:r>
      <w:r w:rsidRPr="48F23DBF">
        <w:rPr>
          <w:rFonts w:asciiTheme="majorHAnsi" w:hAnsiTheme="majorHAnsi" w:cstheme="majorBidi"/>
          <w:sz w:val="24"/>
          <w:szCs w:val="24"/>
        </w:rPr>
        <w:t xml:space="preserve"> which demanded that all public worship acts be conducted in English, the Welsh language, and therefore the Welsh traditions were greatly impacted.</w:t>
      </w:r>
      <w:r w:rsidRPr="00BE50E2">
        <w:rPr>
          <w:rFonts w:asciiTheme="majorHAnsi" w:hAnsiTheme="majorHAnsi" w:cstheme="majorHAnsi"/>
          <w:sz w:val="24"/>
          <w:szCs w:val="24"/>
        </w:rPr>
        <w:br/>
      </w:r>
      <w:r w:rsidRPr="48F23DBF">
        <w:rPr>
          <w:rFonts w:asciiTheme="majorHAnsi" w:hAnsiTheme="majorHAnsi" w:cstheme="majorBidi"/>
          <w:sz w:val="24"/>
          <w:szCs w:val="24"/>
        </w:rPr>
        <w:t>This impact can be seen through the colonial experiences explained by Homi Bhaba in the location of culture, by using the three elements of hybridity, mimicry</w:t>
      </w:r>
      <w:r w:rsidR="0EC80832" w:rsidRPr="48F23DBF">
        <w:rPr>
          <w:rFonts w:asciiTheme="majorHAnsi" w:hAnsiTheme="majorHAnsi" w:cstheme="majorBidi"/>
          <w:sz w:val="24"/>
          <w:szCs w:val="24"/>
        </w:rPr>
        <w:t>,</w:t>
      </w:r>
      <w:r w:rsidRPr="48F23DBF">
        <w:rPr>
          <w:rFonts w:asciiTheme="majorHAnsi" w:hAnsiTheme="majorHAnsi" w:cstheme="majorBidi"/>
          <w:sz w:val="24"/>
          <w:szCs w:val="24"/>
        </w:rPr>
        <w:t xml:space="preserve"> and ambivalence. These </w:t>
      </w:r>
      <w:proofErr w:type="gramStart"/>
      <w:r w:rsidRPr="48F23DBF">
        <w:rPr>
          <w:rFonts w:asciiTheme="majorHAnsi" w:hAnsiTheme="majorHAnsi" w:cstheme="majorBidi"/>
          <w:sz w:val="24"/>
          <w:szCs w:val="24"/>
        </w:rPr>
        <w:t>are highlighted</w:t>
      </w:r>
      <w:proofErr w:type="gramEnd"/>
      <w:r w:rsidRPr="48F23DBF">
        <w:rPr>
          <w:rFonts w:asciiTheme="majorHAnsi" w:hAnsiTheme="majorHAnsi" w:cstheme="majorBidi"/>
          <w:sz w:val="24"/>
          <w:szCs w:val="24"/>
        </w:rPr>
        <w:t xml:space="preserve"> within Welsh culture as Hybridity can be identified through the languages used in Wales in the modern day. Welsh and English have been combined at times to create Wenglish, a term which was introduced in the 1980s by John Edwards, where he describes the language as ‘a unique blend of residual Welsh and the distinctive patterns of spoken English… and needs to be seen as the oral badge of identity for many who live in these areas and a vital element in their social heritage.’</w:t>
      </w:r>
      <w:r w:rsidRPr="48F23DBF">
        <w:rPr>
          <w:rStyle w:val="FootnoteReference"/>
          <w:rFonts w:asciiTheme="majorHAnsi" w:hAnsiTheme="majorHAnsi" w:cstheme="majorBidi"/>
          <w:sz w:val="24"/>
          <w:szCs w:val="24"/>
        </w:rPr>
        <w:footnoteReference w:id="95"/>
      </w:r>
      <w:r w:rsidRPr="48F23DBF">
        <w:rPr>
          <w:rFonts w:asciiTheme="majorHAnsi" w:hAnsiTheme="majorHAnsi" w:cstheme="majorBidi"/>
          <w:sz w:val="24"/>
          <w:szCs w:val="24"/>
        </w:rPr>
        <w:t xml:space="preserve"> Mimicry and hybridity are seen within Welsh food culture due to the anglicisation of words, picau y ar maen becoming Welsh Cakes, Rarebit being a butchery of the word rabbit and more, these can also link in closely with ambivalence as this is the resentment that hides within the hybridity and mimicry, the ways in which communities would look like they are going along and accepting of the changes made by the English, but there is secretly ambivalence there. This could be highlighted within the use of Wenglish, </w:t>
      </w:r>
      <w:proofErr w:type="gramStart"/>
      <w:r w:rsidRPr="48F23DBF">
        <w:rPr>
          <w:rFonts w:asciiTheme="majorHAnsi" w:hAnsiTheme="majorHAnsi" w:cstheme="majorBidi"/>
          <w:sz w:val="24"/>
          <w:szCs w:val="24"/>
        </w:rPr>
        <w:t>not quite Welsh</w:t>
      </w:r>
      <w:proofErr w:type="gramEnd"/>
      <w:r w:rsidRPr="48F23DBF">
        <w:rPr>
          <w:rFonts w:asciiTheme="majorHAnsi" w:hAnsiTheme="majorHAnsi" w:cstheme="majorBidi"/>
          <w:sz w:val="24"/>
          <w:szCs w:val="24"/>
        </w:rPr>
        <w:t xml:space="preserve"> and not quite English as well as the names still sometimes holding on to their Welsh culture for example, bara brith. </w:t>
      </w:r>
    </w:p>
    <w:p w14:paraId="17460523" w14:textId="77777777" w:rsidR="005914BF" w:rsidRPr="00BE50E2" w:rsidRDefault="005914BF" w:rsidP="00BE50E2">
      <w:pPr>
        <w:spacing w:line="360" w:lineRule="auto"/>
        <w:rPr>
          <w:rFonts w:asciiTheme="majorHAnsi" w:hAnsiTheme="majorHAnsi" w:cstheme="majorHAnsi"/>
          <w:sz w:val="24"/>
          <w:szCs w:val="24"/>
        </w:rPr>
      </w:pPr>
      <w:r w:rsidRPr="00BE50E2">
        <w:rPr>
          <w:rFonts w:asciiTheme="majorHAnsi" w:hAnsiTheme="majorHAnsi" w:cstheme="majorHAnsi"/>
          <w:b/>
          <w:bCs/>
          <w:color w:val="000000"/>
          <w:sz w:val="24"/>
          <w:szCs w:val="24"/>
        </w:rPr>
        <w:t xml:space="preserve">Food heritage has only been formally recognised fairly recently </w:t>
      </w:r>
      <w:r w:rsidRPr="00BE50E2">
        <w:rPr>
          <w:rFonts w:asciiTheme="majorHAnsi" w:hAnsiTheme="majorHAnsi" w:cstheme="majorHAnsi"/>
          <w:color w:val="000000"/>
          <w:sz w:val="24"/>
          <w:szCs w:val="24"/>
        </w:rPr>
        <w:t>as intangible heritage by UNESCO in 2010, taking nearly a decade from the creation of their list of intangible heritage defined as ‘the totality of tradition-based creations of a cultural community expressed by a group or individuals and recognized as reflecting the expectations of a community in so far as they reflect its cultural and social identity’ in 2001</w:t>
      </w:r>
      <w:r w:rsidRPr="00BE50E2">
        <w:rPr>
          <w:rStyle w:val="FootnoteReference"/>
          <w:rFonts w:asciiTheme="majorHAnsi" w:hAnsiTheme="majorHAnsi" w:cstheme="majorHAnsi"/>
          <w:color w:val="000000"/>
          <w:sz w:val="24"/>
          <w:szCs w:val="24"/>
        </w:rPr>
        <w:footnoteReference w:id="96"/>
      </w:r>
      <w:r w:rsidRPr="00BE50E2">
        <w:rPr>
          <w:rFonts w:asciiTheme="majorHAnsi" w:hAnsiTheme="majorHAnsi" w:cstheme="majorHAnsi"/>
          <w:color w:val="000000"/>
          <w:sz w:val="24"/>
          <w:szCs w:val="24"/>
        </w:rPr>
        <w:t xml:space="preserve"> </w:t>
      </w:r>
      <w:r w:rsidRPr="00BE50E2">
        <w:rPr>
          <w:rFonts w:asciiTheme="majorHAnsi" w:hAnsiTheme="majorHAnsi" w:cstheme="majorHAnsi"/>
          <w:sz w:val="24"/>
          <w:szCs w:val="24"/>
        </w:rPr>
        <w:t xml:space="preserve">The World Heritage List is UNESCO's program for protecting world cultural and natural heritage, primarily representing tangible, monumental monuments of past cultures and natural environments since 1972. Within </w:t>
      </w:r>
      <w:r w:rsidRPr="00BE50E2">
        <w:rPr>
          <w:rFonts w:asciiTheme="majorHAnsi" w:hAnsiTheme="majorHAnsi" w:cstheme="majorHAnsi"/>
          <w:sz w:val="24"/>
          <w:szCs w:val="24"/>
        </w:rPr>
        <w:lastRenderedPageBreak/>
        <w:t>Wales, there are four recognised UNESCO World Heritage Sites these include, The Slate Landscape of Northwest Wales, Castles and Town Walls of King Edward I, Pontcysyllte Aqueduct and Canal and the Blaenavon Industrial Landscape.</w:t>
      </w:r>
      <w:r w:rsidRPr="00BE50E2">
        <w:rPr>
          <w:rStyle w:val="FootnoteReference"/>
          <w:rFonts w:asciiTheme="majorHAnsi" w:hAnsiTheme="majorHAnsi" w:cstheme="majorHAnsi"/>
          <w:sz w:val="24"/>
          <w:szCs w:val="24"/>
        </w:rPr>
        <w:footnoteReference w:id="97"/>
      </w:r>
      <w:r w:rsidRPr="00BE50E2">
        <w:rPr>
          <w:rFonts w:asciiTheme="majorHAnsi" w:hAnsiTheme="majorHAnsi" w:cstheme="majorHAnsi"/>
          <w:sz w:val="24"/>
          <w:szCs w:val="24"/>
        </w:rPr>
        <w:t xml:space="preserve">  </w:t>
      </w:r>
    </w:p>
    <w:p w14:paraId="743FCD9A" w14:textId="554499DE" w:rsidR="005914BF" w:rsidRDefault="005914BF" w:rsidP="00BE50E2">
      <w:pPr>
        <w:spacing w:line="360" w:lineRule="auto"/>
        <w:rPr>
          <w:rStyle w:val="cf01"/>
          <w:rFonts w:asciiTheme="majorHAnsi" w:hAnsiTheme="majorHAnsi" w:cstheme="majorHAnsi"/>
          <w:sz w:val="24"/>
          <w:szCs w:val="24"/>
        </w:rPr>
      </w:pPr>
      <w:r w:rsidRPr="00BE50E2">
        <w:rPr>
          <w:rFonts w:asciiTheme="majorHAnsi" w:hAnsiTheme="majorHAnsi" w:cstheme="majorHAnsi"/>
          <w:sz w:val="24"/>
          <w:szCs w:val="24"/>
        </w:rPr>
        <w:t xml:space="preserve">Following on from this, A variety of experts’ meetings were held in the 1980s, and in 1989 UNESCO issued a </w:t>
      </w:r>
      <w:r w:rsidRPr="00BE50E2">
        <w:rPr>
          <w:rFonts w:asciiTheme="majorHAnsi" w:hAnsiTheme="majorHAnsi" w:cstheme="majorHAnsi"/>
          <w:i/>
          <w:iCs/>
          <w:sz w:val="24"/>
          <w:szCs w:val="24"/>
        </w:rPr>
        <w:t>Recommendation on the Safeguarding of Traditional Culture and Folklore</w:t>
      </w:r>
      <w:r w:rsidRPr="00BE50E2">
        <w:rPr>
          <w:rFonts w:asciiTheme="majorHAnsi" w:hAnsiTheme="majorHAnsi" w:cstheme="majorHAnsi"/>
          <w:sz w:val="24"/>
          <w:szCs w:val="24"/>
        </w:rPr>
        <w:t>.</w:t>
      </w:r>
      <w:r w:rsidRPr="00BE50E2">
        <w:rPr>
          <w:rStyle w:val="FootnoteReference"/>
          <w:rFonts w:asciiTheme="majorHAnsi" w:hAnsiTheme="majorHAnsi" w:cstheme="majorHAnsi"/>
          <w:sz w:val="24"/>
          <w:szCs w:val="24"/>
        </w:rPr>
        <w:footnoteReference w:id="98"/>
      </w:r>
      <w:r w:rsidRPr="00BE50E2">
        <w:rPr>
          <w:rFonts w:asciiTheme="majorHAnsi" w:hAnsiTheme="majorHAnsi" w:cstheme="majorHAnsi"/>
          <w:sz w:val="24"/>
          <w:szCs w:val="24"/>
        </w:rPr>
        <w:t xml:space="preserve"> These defined practices that countries could put in place to preserve their intangible cultural heritage.</w:t>
      </w:r>
      <w:r w:rsidRPr="00BE50E2">
        <w:rPr>
          <w:rStyle w:val="FootnoteReference"/>
          <w:rFonts w:asciiTheme="majorHAnsi" w:hAnsiTheme="majorHAnsi" w:cstheme="majorHAnsi"/>
          <w:sz w:val="24"/>
          <w:szCs w:val="24"/>
        </w:rPr>
        <w:footnoteReference w:id="99"/>
      </w:r>
      <w:r w:rsidRPr="00BE50E2">
        <w:rPr>
          <w:rFonts w:asciiTheme="majorHAnsi" w:hAnsiTheme="majorHAnsi" w:cstheme="majorHAnsi"/>
          <w:sz w:val="24"/>
          <w:szCs w:val="24"/>
        </w:rPr>
        <w:t xml:space="preserve"> </w:t>
      </w:r>
      <w:r w:rsidRPr="00BE50E2">
        <w:rPr>
          <w:rFonts w:asciiTheme="majorHAnsi" w:hAnsiTheme="majorHAnsi" w:cstheme="majorHAnsi"/>
          <w:color w:val="000000"/>
          <w:sz w:val="24"/>
          <w:szCs w:val="24"/>
        </w:rPr>
        <w:t xml:space="preserve">Although there is a range of recognition within food traditions enshrined by UNESCO, and Wales has recognised tangible heritage sites – including Blaenavon Industrial Landscape where Big Pit resides, </w:t>
      </w:r>
      <w:r w:rsidRPr="00BE50E2">
        <w:rPr>
          <w:rStyle w:val="cf01"/>
          <w:rFonts w:asciiTheme="majorHAnsi" w:hAnsiTheme="majorHAnsi" w:cstheme="majorHAnsi"/>
          <w:sz w:val="24"/>
          <w:szCs w:val="24"/>
        </w:rPr>
        <w:t xml:space="preserve">Welsh food heritage has yet to be formally recognised. Whether this is to do with the size of Wales or due to the fact that UNESCO has identified that intangible heritages need to be represented by the community it comes from, meaning that the communities that Welsh heritage, traditions and recipes emerge from are the people who are able to determine that heritage and put it forward. </w:t>
      </w:r>
    </w:p>
    <w:p w14:paraId="43CFC399" w14:textId="148F9848" w:rsidR="009E645B" w:rsidRDefault="009E645B" w:rsidP="00BE50E2">
      <w:pPr>
        <w:spacing w:line="360" w:lineRule="auto"/>
        <w:rPr>
          <w:rStyle w:val="cf01"/>
          <w:rFonts w:asciiTheme="majorHAnsi" w:hAnsiTheme="majorHAnsi" w:cstheme="majorHAnsi"/>
          <w:sz w:val="24"/>
          <w:szCs w:val="24"/>
        </w:rPr>
      </w:pPr>
    </w:p>
    <w:p w14:paraId="63D1B182" w14:textId="364D1CC3" w:rsidR="009E645B" w:rsidRDefault="009E645B" w:rsidP="00BE50E2">
      <w:pPr>
        <w:spacing w:line="360" w:lineRule="auto"/>
        <w:rPr>
          <w:rStyle w:val="cf01"/>
          <w:rFonts w:asciiTheme="majorHAnsi" w:hAnsiTheme="majorHAnsi" w:cstheme="majorHAnsi"/>
          <w:sz w:val="24"/>
          <w:szCs w:val="24"/>
        </w:rPr>
      </w:pPr>
    </w:p>
    <w:p w14:paraId="47554067" w14:textId="711499A9" w:rsidR="009E645B" w:rsidRDefault="009E645B" w:rsidP="00BE50E2">
      <w:pPr>
        <w:spacing w:line="360" w:lineRule="auto"/>
        <w:rPr>
          <w:rStyle w:val="cf01"/>
          <w:rFonts w:asciiTheme="majorHAnsi" w:hAnsiTheme="majorHAnsi" w:cstheme="majorHAnsi"/>
          <w:sz w:val="24"/>
          <w:szCs w:val="24"/>
        </w:rPr>
      </w:pPr>
    </w:p>
    <w:p w14:paraId="3E57D63D" w14:textId="523B60B1" w:rsidR="009E645B" w:rsidRDefault="009E645B" w:rsidP="00BE50E2">
      <w:pPr>
        <w:spacing w:line="360" w:lineRule="auto"/>
        <w:rPr>
          <w:rStyle w:val="cf01"/>
          <w:rFonts w:asciiTheme="majorHAnsi" w:hAnsiTheme="majorHAnsi" w:cstheme="majorHAnsi"/>
          <w:sz w:val="24"/>
          <w:szCs w:val="24"/>
        </w:rPr>
      </w:pPr>
    </w:p>
    <w:p w14:paraId="4AF9459C" w14:textId="05967B1C" w:rsidR="009E645B" w:rsidRDefault="009E645B" w:rsidP="00BE50E2">
      <w:pPr>
        <w:spacing w:line="360" w:lineRule="auto"/>
        <w:rPr>
          <w:rStyle w:val="cf01"/>
          <w:rFonts w:asciiTheme="majorHAnsi" w:hAnsiTheme="majorHAnsi" w:cstheme="majorHAnsi"/>
          <w:sz w:val="24"/>
          <w:szCs w:val="24"/>
        </w:rPr>
      </w:pPr>
    </w:p>
    <w:p w14:paraId="78FD9206" w14:textId="28A8BB9E" w:rsidR="009E645B" w:rsidRDefault="009E645B" w:rsidP="00BE50E2">
      <w:pPr>
        <w:spacing w:line="360" w:lineRule="auto"/>
        <w:rPr>
          <w:rStyle w:val="cf01"/>
          <w:rFonts w:asciiTheme="majorHAnsi" w:hAnsiTheme="majorHAnsi" w:cstheme="majorHAnsi"/>
          <w:sz w:val="24"/>
          <w:szCs w:val="24"/>
        </w:rPr>
      </w:pPr>
    </w:p>
    <w:p w14:paraId="6C326C32" w14:textId="75DE379E" w:rsidR="009E645B" w:rsidRDefault="009E645B" w:rsidP="00BE50E2">
      <w:pPr>
        <w:spacing w:line="360" w:lineRule="auto"/>
        <w:rPr>
          <w:rStyle w:val="cf01"/>
          <w:rFonts w:asciiTheme="majorHAnsi" w:hAnsiTheme="majorHAnsi" w:cstheme="majorHAnsi"/>
          <w:sz w:val="24"/>
          <w:szCs w:val="24"/>
        </w:rPr>
      </w:pPr>
    </w:p>
    <w:p w14:paraId="6908A60D" w14:textId="6C54A7F2" w:rsidR="009E645B" w:rsidRDefault="009E645B" w:rsidP="00BE50E2">
      <w:pPr>
        <w:spacing w:line="360" w:lineRule="auto"/>
        <w:rPr>
          <w:rStyle w:val="cf01"/>
          <w:rFonts w:asciiTheme="majorHAnsi" w:hAnsiTheme="majorHAnsi" w:cstheme="majorHAnsi"/>
          <w:sz w:val="24"/>
          <w:szCs w:val="24"/>
        </w:rPr>
      </w:pPr>
    </w:p>
    <w:p w14:paraId="06BBE874" w14:textId="71D14F3A" w:rsidR="0082676B" w:rsidRDefault="0082676B" w:rsidP="00BE50E2">
      <w:pPr>
        <w:spacing w:line="360" w:lineRule="auto"/>
        <w:rPr>
          <w:rStyle w:val="cf01"/>
          <w:rFonts w:asciiTheme="majorHAnsi" w:hAnsiTheme="majorHAnsi" w:cstheme="majorHAnsi"/>
          <w:sz w:val="24"/>
          <w:szCs w:val="24"/>
        </w:rPr>
      </w:pPr>
    </w:p>
    <w:p w14:paraId="05D960E8" w14:textId="7F674911" w:rsidR="0082676B" w:rsidRDefault="0082676B" w:rsidP="00BE50E2">
      <w:pPr>
        <w:spacing w:line="360" w:lineRule="auto"/>
        <w:rPr>
          <w:rStyle w:val="cf01"/>
          <w:rFonts w:asciiTheme="majorHAnsi" w:hAnsiTheme="majorHAnsi" w:cstheme="majorHAnsi"/>
          <w:sz w:val="24"/>
          <w:szCs w:val="24"/>
        </w:rPr>
      </w:pPr>
    </w:p>
    <w:p w14:paraId="386B187F" w14:textId="7F979BC5" w:rsidR="0082676B" w:rsidRDefault="0082676B" w:rsidP="00BE50E2">
      <w:pPr>
        <w:spacing w:line="360" w:lineRule="auto"/>
        <w:rPr>
          <w:rStyle w:val="cf01"/>
          <w:rFonts w:asciiTheme="majorHAnsi" w:hAnsiTheme="majorHAnsi" w:cstheme="majorHAnsi"/>
          <w:sz w:val="24"/>
          <w:szCs w:val="24"/>
        </w:rPr>
      </w:pPr>
    </w:p>
    <w:p w14:paraId="763FDA63" w14:textId="77777777" w:rsidR="0082676B" w:rsidRDefault="0082676B" w:rsidP="00BE50E2">
      <w:pPr>
        <w:spacing w:line="360" w:lineRule="auto"/>
        <w:rPr>
          <w:rStyle w:val="cf01"/>
          <w:rFonts w:asciiTheme="majorHAnsi" w:hAnsiTheme="majorHAnsi" w:cstheme="majorHAnsi"/>
          <w:sz w:val="24"/>
          <w:szCs w:val="24"/>
        </w:rPr>
      </w:pPr>
    </w:p>
    <w:p w14:paraId="4E6BA015" w14:textId="31F10174" w:rsidR="009E645B" w:rsidRDefault="009E645B" w:rsidP="00BE50E2">
      <w:pPr>
        <w:spacing w:line="360" w:lineRule="auto"/>
        <w:rPr>
          <w:rStyle w:val="cf01"/>
          <w:rFonts w:asciiTheme="majorHAnsi" w:hAnsiTheme="majorHAnsi" w:cstheme="majorHAnsi"/>
          <w:sz w:val="24"/>
          <w:szCs w:val="24"/>
        </w:rPr>
      </w:pPr>
    </w:p>
    <w:p w14:paraId="05D19610" w14:textId="77777777" w:rsidR="000F3400" w:rsidRDefault="000F3400" w:rsidP="00BE50E2">
      <w:pPr>
        <w:spacing w:line="360" w:lineRule="auto"/>
        <w:rPr>
          <w:rStyle w:val="cf01"/>
          <w:rFonts w:asciiTheme="majorHAnsi" w:hAnsiTheme="majorHAnsi" w:cstheme="majorHAnsi"/>
          <w:sz w:val="24"/>
          <w:szCs w:val="24"/>
        </w:rPr>
      </w:pPr>
    </w:p>
    <w:p w14:paraId="1D01E513" w14:textId="308F0BD4" w:rsidR="009E645B" w:rsidRDefault="009E645B" w:rsidP="00BE50E2">
      <w:pPr>
        <w:spacing w:line="360" w:lineRule="auto"/>
        <w:rPr>
          <w:rStyle w:val="cf01"/>
          <w:rFonts w:asciiTheme="majorHAnsi" w:hAnsiTheme="majorHAnsi" w:cstheme="majorHAnsi"/>
          <w:sz w:val="24"/>
          <w:szCs w:val="24"/>
        </w:rPr>
      </w:pPr>
    </w:p>
    <w:p w14:paraId="7E8B5B61" w14:textId="7A130DA5" w:rsidR="00BE50E2" w:rsidRPr="00F4712F" w:rsidRDefault="00F4712F" w:rsidP="00F4712F">
      <w:pPr>
        <w:pStyle w:val="Heading1"/>
        <w:jc w:val="center"/>
        <w:rPr>
          <w:sz w:val="36"/>
          <w:szCs w:val="44"/>
        </w:rPr>
      </w:pPr>
      <w:bookmarkStart w:id="11" w:name="_Toc125482493"/>
      <w:r w:rsidRPr="00F4712F">
        <w:rPr>
          <w:sz w:val="36"/>
          <w:szCs w:val="44"/>
        </w:rPr>
        <w:t xml:space="preserve">Chapter 3: </w:t>
      </w:r>
      <w:r w:rsidR="00BE50E2" w:rsidRPr="00F4712F">
        <w:rPr>
          <w:sz w:val="36"/>
          <w:szCs w:val="44"/>
        </w:rPr>
        <w:t>What is food representation in museums? How does Wales recognise this?</w:t>
      </w:r>
      <w:bookmarkEnd w:id="11"/>
    </w:p>
    <w:p w14:paraId="433D955E" w14:textId="77777777" w:rsidR="00BE50E2" w:rsidRPr="00BE50E2" w:rsidRDefault="00BE50E2" w:rsidP="00BE50E2">
      <w:pPr>
        <w:spacing w:line="360" w:lineRule="auto"/>
        <w:rPr>
          <w:rFonts w:asciiTheme="majorHAnsi" w:hAnsiTheme="majorHAnsi" w:cstheme="majorHAnsi"/>
          <w:b/>
          <w:bCs/>
          <w:sz w:val="24"/>
          <w:szCs w:val="24"/>
        </w:rPr>
      </w:pPr>
    </w:p>
    <w:p w14:paraId="2C981E2D" w14:textId="77777777" w:rsidR="00BE50E2" w:rsidRPr="00BE50E2" w:rsidRDefault="00BE50E2" w:rsidP="00BE50E2">
      <w:pPr>
        <w:spacing w:line="360" w:lineRule="auto"/>
        <w:ind w:left="4962"/>
        <w:jc w:val="right"/>
        <w:rPr>
          <w:rFonts w:asciiTheme="majorHAnsi" w:hAnsiTheme="majorHAnsi" w:cstheme="majorHAnsi"/>
          <w:sz w:val="24"/>
          <w:szCs w:val="24"/>
        </w:rPr>
      </w:pPr>
      <w:r w:rsidRPr="00BE50E2">
        <w:rPr>
          <w:rFonts w:asciiTheme="majorHAnsi" w:hAnsiTheme="majorHAnsi" w:cstheme="majorHAnsi"/>
          <w:sz w:val="24"/>
          <w:szCs w:val="24"/>
        </w:rPr>
        <w:t>‘Food history is as important as a baroque church. Governments should recognize the cultural heritage and protect traditional foods. A cheese is as worthy of preserving as a sixteenth-century building.’</w:t>
      </w:r>
      <w:r w:rsidRPr="00BE50E2">
        <w:rPr>
          <w:rStyle w:val="FootnoteReference"/>
          <w:rFonts w:asciiTheme="majorHAnsi" w:hAnsiTheme="majorHAnsi" w:cstheme="majorHAnsi"/>
          <w:sz w:val="24"/>
          <w:szCs w:val="24"/>
        </w:rPr>
        <w:footnoteReference w:id="100"/>
      </w:r>
    </w:p>
    <w:p w14:paraId="689160B6" w14:textId="77777777" w:rsidR="00192A0B" w:rsidRDefault="00192A0B" w:rsidP="009A5392">
      <w:pPr>
        <w:pStyle w:val="paragraph"/>
        <w:spacing w:before="0" w:beforeAutospacing="0" w:after="0" w:afterAutospacing="0" w:line="360" w:lineRule="auto"/>
        <w:textAlignment w:val="baseline"/>
        <w:rPr>
          <w:rFonts w:asciiTheme="majorHAnsi" w:hAnsiTheme="majorHAnsi" w:cstheme="majorHAnsi"/>
        </w:rPr>
      </w:pPr>
    </w:p>
    <w:p w14:paraId="2675462E" w14:textId="4F58D609" w:rsidR="009A5392" w:rsidRDefault="00192A0B" w:rsidP="009A5392">
      <w:pPr>
        <w:pStyle w:val="paragraph"/>
        <w:spacing w:before="0" w:beforeAutospacing="0" w:after="0" w:afterAutospacing="0" w:line="360" w:lineRule="auto"/>
        <w:textAlignment w:val="baseline"/>
        <w:rPr>
          <w:rFonts w:asciiTheme="majorHAnsi" w:hAnsiTheme="majorHAnsi" w:cstheme="majorBidi"/>
        </w:rPr>
      </w:pPr>
      <w:r w:rsidRPr="48F23DBF">
        <w:rPr>
          <w:rFonts w:asciiTheme="majorHAnsi" w:hAnsiTheme="majorHAnsi" w:cstheme="majorBidi"/>
        </w:rPr>
        <w:t>In the last chapter, Welsh food, its heritage</w:t>
      </w:r>
      <w:r w:rsidR="4FA6F757" w:rsidRPr="48F23DBF">
        <w:rPr>
          <w:rFonts w:asciiTheme="majorHAnsi" w:hAnsiTheme="majorHAnsi" w:cstheme="majorBidi"/>
        </w:rPr>
        <w:t>,</w:t>
      </w:r>
      <w:r w:rsidRPr="48F23DBF">
        <w:rPr>
          <w:rFonts w:asciiTheme="majorHAnsi" w:hAnsiTheme="majorHAnsi" w:cstheme="majorBidi"/>
        </w:rPr>
        <w:t xml:space="preserve"> and traditions </w:t>
      </w:r>
      <w:proofErr w:type="gramStart"/>
      <w:r w:rsidR="00896847" w:rsidRPr="48F23DBF">
        <w:rPr>
          <w:rFonts w:asciiTheme="majorHAnsi" w:hAnsiTheme="majorHAnsi" w:cstheme="majorBidi"/>
        </w:rPr>
        <w:t>were</w:t>
      </w:r>
      <w:r w:rsidRPr="48F23DBF">
        <w:rPr>
          <w:rFonts w:asciiTheme="majorHAnsi" w:hAnsiTheme="majorHAnsi" w:cstheme="majorBidi"/>
        </w:rPr>
        <w:t xml:space="preserve"> highlighted</w:t>
      </w:r>
      <w:proofErr w:type="gramEnd"/>
      <w:r w:rsidRPr="48F23DBF">
        <w:rPr>
          <w:rFonts w:asciiTheme="majorHAnsi" w:hAnsiTheme="majorHAnsi" w:cstheme="majorBidi"/>
        </w:rPr>
        <w:t xml:space="preserve">. </w:t>
      </w:r>
      <w:r w:rsidR="00896847" w:rsidRPr="48F23DBF">
        <w:rPr>
          <w:rFonts w:asciiTheme="majorHAnsi" w:hAnsiTheme="majorHAnsi" w:cstheme="majorBidi"/>
        </w:rPr>
        <w:t xml:space="preserve">Having shown the importance </w:t>
      </w:r>
      <w:r w:rsidR="000A176C" w:rsidRPr="48F23DBF">
        <w:rPr>
          <w:rFonts w:asciiTheme="majorHAnsi" w:hAnsiTheme="majorHAnsi" w:cstheme="majorBidi"/>
        </w:rPr>
        <w:t>of these topics</w:t>
      </w:r>
      <w:r w:rsidR="00E65328" w:rsidRPr="48F23DBF">
        <w:rPr>
          <w:rFonts w:asciiTheme="majorHAnsi" w:hAnsiTheme="majorHAnsi" w:cstheme="majorBidi"/>
        </w:rPr>
        <w:t xml:space="preserve">, this chapter will present the ways in which museums within Wales represent the Welsh food culture. It will begin by examining the approaches that museums can take to engage with </w:t>
      </w:r>
      <w:r w:rsidR="00D63D88" w:rsidRPr="48F23DBF">
        <w:rPr>
          <w:rFonts w:asciiTheme="majorHAnsi" w:hAnsiTheme="majorHAnsi" w:cstheme="majorBidi"/>
        </w:rPr>
        <w:t xml:space="preserve">visitors when looking food, it will then move on to showing how Sydney Living Museum is an example of good practice, using it </w:t>
      </w:r>
      <w:r w:rsidR="002F1401" w:rsidRPr="48F23DBF">
        <w:rPr>
          <w:rFonts w:asciiTheme="majorHAnsi" w:hAnsiTheme="majorHAnsi" w:cstheme="majorBidi"/>
        </w:rPr>
        <w:t xml:space="preserve">as a basis when looking at the Welsh museums for what they have done that is good, and what they could add for a fuller experience within the topic. </w:t>
      </w:r>
    </w:p>
    <w:p w14:paraId="0BF07947" w14:textId="77777777" w:rsidR="00BE50E2" w:rsidRPr="00BE50E2" w:rsidRDefault="00BE50E2" w:rsidP="00BE50E2">
      <w:pPr>
        <w:spacing w:line="360" w:lineRule="auto"/>
        <w:rPr>
          <w:rFonts w:asciiTheme="majorHAnsi" w:hAnsiTheme="majorHAnsi" w:cstheme="majorHAnsi"/>
          <w:sz w:val="24"/>
          <w:szCs w:val="24"/>
        </w:rPr>
      </w:pPr>
    </w:p>
    <w:p w14:paraId="224C24AD" w14:textId="5E93C547" w:rsidR="00BD312C"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Our food reflects our circumstances, economically, geographically, and socially.</w:t>
      </w:r>
      <w:r w:rsidR="00BF13E8" w:rsidRPr="48F23DBF">
        <w:rPr>
          <w:rStyle w:val="FootnoteReference"/>
          <w:rFonts w:asciiTheme="majorHAnsi" w:hAnsiTheme="majorHAnsi" w:cstheme="majorBidi"/>
          <w:sz w:val="24"/>
          <w:szCs w:val="24"/>
        </w:rPr>
        <w:footnoteReference w:id="101"/>
      </w:r>
      <w:r w:rsidRPr="48F23DBF">
        <w:rPr>
          <w:rFonts w:asciiTheme="majorHAnsi" w:hAnsiTheme="majorHAnsi" w:cstheme="majorBidi"/>
          <w:sz w:val="24"/>
          <w:szCs w:val="24"/>
        </w:rPr>
        <w:t xml:space="preserve"> During times of hardship, food </w:t>
      </w:r>
      <w:proofErr w:type="gramStart"/>
      <w:r w:rsidRPr="48F23DBF">
        <w:rPr>
          <w:rFonts w:asciiTheme="majorHAnsi" w:hAnsiTheme="majorHAnsi" w:cstheme="majorBidi"/>
          <w:sz w:val="24"/>
          <w:szCs w:val="24"/>
        </w:rPr>
        <w:t>is limited</w:t>
      </w:r>
      <w:proofErr w:type="gramEnd"/>
      <w:r w:rsidRPr="48F23DBF">
        <w:rPr>
          <w:rFonts w:asciiTheme="majorHAnsi" w:hAnsiTheme="majorHAnsi" w:cstheme="majorBidi"/>
          <w:sz w:val="24"/>
          <w:szCs w:val="24"/>
        </w:rPr>
        <w:t xml:space="preserve"> and often locally sourced or homegrown. As a lens into the past, food provides a means of investigating and understanding our history. The awareness </w:t>
      </w:r>
      <w:r w:rsidRPr="48F23DBF">
        <w:rPr>
          <w:rFonts w:asciiTheme="majorHAnsi" w:hAnsiTheme="majorHAnsi" w:cstheme="majorBidi"/>
          <w:sz w:val="24"/>
          <w:szCs w:val="24"/>
        </w:rPr>
        <w:lastRenderedPageBreak/>
        <w:t xml:space="preserve">surrounding food offers us an invitation to compare our own food traditions and habits with those of the past generations, to appreciate the differences as well as to discover direct connections through similarities, with people of the past in Wales. The Welsh black oats are a good example of this. Oats such as Hen Gardie, Ceirch Llwyd, and Ceirch du Bach are native oats, grown on Welsh soils for hundreds of years. The seeds </w:t>
      </w:r>
      <w:proofErr w:type="gramStart"/>
      <w:r w:rsidRPr="48F23DBF">
        <w:rPr>
          <w:rFonts w:asciiTheme="majorHAnsi" w:hAnsiTheme="majorHAnsi" w:cstheme="majorBidi"/>
          <w:sz w:val="24"/>
          <w:szCs w:val="24"/>
        </w:rPr>
        <w:t>were saved</w:t>
      </w:r>
      <w:proofErr w:type="gramEnd"/>
      <w:r w:rsidRPr="48F23DBF">
        <w:rPr>
          <w:rFonts w:asciiTheme="majorHAnsi" w:hAnsiTheme="majorHAnsi" w:cstheme="majorBidi"/>
          <w:sz w:val="24"/>
          <w:szCs w:val="24"/>
        </w:rPr>
        <w:t xml:space="preserve"> by the communities who had grown them and are considered collectively owned by the commons</w:t>
      </w:r>
      <w:r w:rsidRPr="48F23DBF">
        <w:rPr>
          <w:rStyle w:val="FootnoteReference"/>
          <w:rFonts w:asciiTheme="majorHAnsi" w:hAnsiTheme="majorHAnsi" w:cstheme="majorBidi"/>
          <w:sz w:val="24"/>
          <w:szCs w:val="24"/>
        </w:rPr>
        <w:footnoteReference w:id="102"/>
      </w:r>
      <w:r w:rsidRPr="48F23DBF">
        <w:rPr>
          <w:rFonts w:asciiTheme="majorHAnsi" w:hAnsiTheme="majorHAnsi" w:cstheme="majorBidi"/>
          <w:sz w:val="24"/>
          <w:szCs w:val="24"/>
        </w:rPr>
        <w:t xml:space="preserve"> which without this happening, would have been lost. Welsh food and the changes they have faced highlight the connection of food with identity, the seeds have </w:t>
      </w:r>
      <w:proofErr w:type="gramStart"/>
      <w:r w:rsidRPr="48F23DBF">
        <w:rPr>
          <w:rFonts w:asciiTheme="majorHAnsi" w:hAnsiTheme="majorHAnsi" w:cstheme="majorBidi"/>
          <w:sz w:val="24"/>
          <w:szCs w:val="24"/>
        </w:rPr>
        <w:t>been highlighted</w:t>
      </w:r>
      <w:proofErr w:type="gramEnd"/>
      <w:r w:rsidRPr="48F23DBF">
        <w:rPr>
          <w:rFonts w:asciiTheme="majorHAnsi" w:hAnsiTheme="majorHAnsi" w:cstheme="majorBidi"/>
          <w:sz w:val="24"/>
          <w:szCs w:val="24"/>
        </w:rPr>
        <w:t xml:space="preserve"> as something that is so integral to the culture of the communities, they then made sure to protect it, even with changes in the landscape and growing in the areas. The seeds themselves represent heritage values and identities on macro and micro scales as the seeds are now a heritage variety and it is impossible to plant the seeds without remembering the bigger picture and the history surrounding them. These histories and stories are fundamental to Welsh museum representations. Ultimately curators are faced with a variety of choices for how they present food history. The moment the visitor meets an artefact or display and what </w:t>
      </w:r>
      <w:proofErr w:type="gramStart"/>
      <w:r w:rsidRPr="48F23DBF">
        <w:rPr>
          <w:rFonts w:asciiTheme="majorHAnsi" w:hAnsiTheme="majorHAnsi" w:cstheme="majorBidi"/>
          <w:sz w:val="24"/>
          <w:szCs w:val="24"/>
        </w:rPr>
        <w:t>is evoked</w:t>
      </w:r>
      <w:proofErr w:type="gramEnd"/>
      <w:r w:rsidRPr="48F23DBF">
        <w:rPr>
          <w:rFonts w:asciiTheme="majorHAnsi" w:hAnsiTheme="majorHAnsi" w:cstheme="majorBidi"/>
          <w:sz w:val="24"/>
          <w:szCs w:val="24"/>
        </w:rPr>
        <w:t xml:space="preserve"> from that moment, how much is that moment manipulated or controlled by the curator? </w:t>
      </w:r>
      <w:r w:rsidR="00BD312C" w:rsidRPr="48F23DBF">
        <w:rPr>
          <w:rFonts w:asciiTheme="majorHAnsi" w:hAnsiTheme="majorHAnsi" w:cstheme="majorBidi"/>
          <w:sz w:val="24"/>
          <w:szCs w:val="24"/>
        </w:rPr>
        <w:t xml:space="preserve">There should be a focus on visitor engagement as a priority, whilst balancing the authenticity of the display, working to ensure that </w:t>
      </w:r>
      <w:r w:rsidR="00233061" w:rsidRPr="48F23DBF">
        <w:rPr>
          <w:rFonts w:asciiTheme="majorHAnsi" w:hAnsiTheme="majorHAnsi" w:cstheme="majorBidi"/>
          <w:sz w:val="24"/>
          <w:szCs w:val="24"/>
        </w:rPr>
        <w:t xml:space="preserve">there is no bias in the representations. </w:t>
      </w:r>
    </w:p>
    <w:p w14:paraId="1C040932" w14:textId="77777777" w:rsidR="00BE50E2" w:rsidRPr="00BE50E2" w:rsidRDefault="00BE50E2" w:rsidP="00BE50E2">
      <w:pPr>
        <w:spacing w:line="360" w:lineRule="auto"/>
        <w:rPr>
          <w:rFonts w:asciiTheme="majorHAnsi" w:hAnsiTheme="majorHAnsi" w:cstheme="majorHAnsi"/>
          <w:color w:val="ED7D31" w:themeColor="accent2"/>
          <w:sz w:val="24"/>
          <w:szCs w:val="24"/>
        </w:rPr>
      </w:pPr>
    </w:p>
    <w:p w14:paraId="61E17AC2" w14:textId="77777777" w:rsidR="00BE50E2" w:rsidRPr="00BE50E2" w:rsidRDefault="00BE50E2" w:rsidP="00BE50E2">
      <w:pPr>
        <w:spacing w:line="360" w:lineRule="auto"/>
        <w:rPr>
          <w:rStyle w:val="normaltextrun"/>
          <w:rFonts w:asciiTheme="majorHAnsi" w:hAnsiTheme="majorHAnsi" w:cstheme="majorHAnsi"/>
          <w:sz w:val="24"/>
          <w:szCs w:val="24"/>
        </w:rPr>
      </w:pPr>
      <w:r w:rsidRPr="00BE50E2">
        <w:rPr>
          <w:rStyle w:val="normaltextrun"/>
          <w:rFonts w:asciiTheme="majorHAnsi" w:hAnsiTheme="majorHAnsi" w:cstheme="majorHAnsi"/>
          <w:sz w:val="24"/>
          <w:szCs w:val="24"/>
        </w:rPr>
        <w:t>Issues and contentions</w:t>
      </w:r>
    </w:p>
    <w:p w14:paraId="222F5C24" w14:textId="64FF968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There is a big debate within the museum sector about the purpose of a museum. This may vary and </w:t>
      </w:r>
      <w:r w:rsidR="007820F0">
        <w:rPr>
          <w:rFonts w:asciiTheme="majorHAnsi" w:hAnsiTheme="majorHAnsi" w:cstheme="majorHAnsi"/>
          <w:sz w:val="24"/>
          <w:szCs w:val="24"/>
        </w:rPr>
        <w:t>likewise may encompass</w:t>
      </w:r>
      <w:r w:rsidRPr="00BE50E2">
        <w:rPr>
          <w:rFonts w:asciiTheme="majorHAnsi" w:hAnsiTheme="majorHAnsi" w:cstheme="majorHAnsi"/>
          <w:sz w:val="24"/>
          <w:szCs w:val="24"/>
        </w:rPr>
        <w:t xml:space="preserve"> </w:t>
      </w:r>
      <w:proofErr w:type="gramStart"/>
      <w:r w:rsidRPr="00BE50E2">
        <w:rPr>
          <w:rFonts w:asciiTheme="majorHAnsi" w:hAnsiTheme="majorHAnsi" w:cstheme="majorHAnsi"/>
          <w:sz w:val="24"/>
          <w:szCs w:val="24"/>
        </w:rPr>
        <w:t>several</w:t>
      </w:r>
      <w:proofErr w:type="gramEnd"/>
      <w:r w:rsidRPr="00BE50E2">
        <w:rPr>
          <w:rFonts w:asciiTheme="majorHAnsi" w:hAnsiTheme="majorHAnsi" w:cstheme="majorHAnsi"/>
          <w:sz w:val="24"/>
          <w:szCs w:val="24"/>
        </w:rPr>
        <w:t xml:space="preserve"> purposes. The International Council of Museums defines museums as a</w:t>
      </w:r>
      <w:r w:rsidR="00021A40">
        <w:rPr>
          <w:rFonts w:asciiTheme="majorHAnsi" w:hAnsiTheme="majorHAnsi" w:cstheme="majorHAnsi"/>
          <w:sz w:val="24"/>
          <w:szCs w:val="24"/>
        </w:rPr>
        <w:t>:</w:t>
      </w:r>
    </w:p>
    <w:p w14:paraId="12D5E7F5" w14:textId="0E0DC626" w:rsidR="00BE50E2" w:rsidRDefault="001F42CF" w:rsidP="00BE50E2">
      <w:pPr>
        <w:spacing w:line="360" w:lineRule="auto"/>
        <w:ind w:left="426" w:right="1513"/>
        <w:rPr>
          <w:rFonts w:asciiTheme="majorHAnsi" w:hAnsiTheme="majorHAnsi" w:cstheme="majorHAnsi"/>
          <w:sz w:val="24"/>
          <w:szCs w:val="24"/>
        </w:rPr>
      </w:pPr>
      <w:r>
        <w:rPr>
          <w:rFonts w:asciiTheme="majorHAnsi" w:hAnsiTheme="majorHAnsi" w:cstheme="majorHAnsi"/>
          <w:sz w:val="24"/>
          <w:szCs w:val="24"/>
        </w:rPr>
        <w:t>‘</w:t>
      </w:r>
      <w:r w:rsidR="00BE50E2" w:rsidRPr="00BE50E2">
        <w:rPr>
          <w:rFonts w:asciiTheme="majorHAnsi" w:hAnsiTheme="majorHAnsi" w:cstheme="majorHAnsi"/>
          <w:sz w:val="24"/>
          <w:szCs w:val="24"/>
        </w:rPr>
        <w:t xml:space="preserve">not-for-profit, permanent institution in the service of society that researches, collects, conserves, interprets and exhibits tangible and intangible heritage. Open to the public, accessible and inclusive, museums foster diversity and sustainability. They operate and communicate ethically, professionally, and with the participation of </w:t>
      </w:r>
      <w:r w:rsidR="00BE50E2" w:rsidRPr="00BE50E2">
        <w:rPr>
          <w:rFonts w:asciiTheme="majorHAnsi" w:hAnsiTheme="majorHAnsi" w:cstheme="majorHAnsi"/>
          <w:sz w:val="24"/>
          <w:szCs w:val="24"/>
        </w:rPr>
        <w:lastRenderedPageBreak/>
        <w:t>communities, offering varied experiences for education, enjoyment, reflection, and knowledge sharing.</w:t>
      </w:r>
      <w:r>
        <w:rPr>
          <w:rFonts w:asciiTheme="majorHAnsi" w:hAnsiTheme="majorHAnsi" w:cstheme="majorHAnsi"/>
          <w:sz w:val="24"/>
          <w:szCs w:val="24"/>
        </w:rPr>
        <w:t>’</w:t>
      </w:r>
      <w:r w:rsidR="00BE50E2" w:rsidRPr="00BE50E2">
        <w:rPr>
          <w:rStyle w:val="FootnoteReference"/>
          <w:rFonts w:asciiTheme="majorHAnsi" w:hAnsiTheme="majorHAnsi" w:cstheme="majorHAnsi"/>
          <w:sz w:val="24"/>
          <w:szCs w:val="24"/>
        </w:rPr>
        <w:footnoteReference w:id="103"/>
      </w:r>
    </w:p>
    <w:p w14:paraId="4177583A" w14:textId="06D46A4B" w:rsidR="00CA601A" w:rsidRPr="00BE50E2" w:rsidRDefault="00CA601A" w:rsidP="00CA601A">
      <w:pPr>
        <w:spacing w:line="360" w:lineRule="auto"/>
        <w:ind w:right="1513"/>
        <w:rPr>
          <w:rFonts w:asciiTheme="majorHAnsi" w:hAnsiTheme="majorHAnsi" w:cstheme="majorHAnsi"/>
          <w:sz w:val="24"/>
          <w:szCs w:val="24"/>
        </w:rPr>
      </w:pPr>
      <w:r>
        <w:rPr>
          <w:rFonts w:asciiTheme="majorHAnsi" w:hAnsiTheme="majorHAnsi" w:cstheme="majorHAnsi"/>
          <w:sz w:val="24"/>
          <w:szCs w:val="24"/>
        </w:rPr>
        <w:t xml:space="preserve">A space in which </w:t>
      </w:r>
      <w:r w:rsidR="00402707">
        <w:rPr>
          <w:rFonts w:asciiTheme="majorHAnsi" w:hAnsiTheme="majorHAnsi" w:cstheme="majorHAnsi"/>
          <w:sz w:val="24"/>
          <w:szCs w:val="24"/>
        </w:rPr>
        <w:t>there can be a preservation of the past, but also being able to present narratives about the past whilst holding memories.</w:t>
      </w:r>
      <w:r w:rsidR="00402707">
        <w:rPr>
          <w:rStyle w:val="FootnoteReference"/>
          <w:rFonts w:asciiTheme="majorHAnsi" w:hAnsiTheme="majorHAnsi" w:cstheme="majorHAnsi"/>
          <w:sz w:val="24"/>
          <w:szCs w:val="24"/>
        </w:rPr>
        <w:footnoteReference w:id="104"/>
      </w:r>
    </w:p>
    <w:p w14:paraId="33306BE2" w14:textId="7A1722E8"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Food in museums can be a powerful tool to help facilitate </w:t>
      </w:r>
      <w:proofErr w:type="gramStart"/>
      <w:r w:rsidRPr="00BE50E2">
        <w:rPr>
          <w:rFonts w:asciiTheme="majorHAnsi" w:hAnsiTheme="majorHAnsi" w:cstheme="majorHAnsi"/>
          <w:sz w:val="24"/>
          <w:szCs w:val="24"/>
        </w:rPr>
        <w:t>some of</w:t>
      </w:r>
      <w:proofErr w:type="gramEnd"/>
      <w:r w:rsidRPr="00BE50E2">
        <w:rPr>
          <w:rFonts w:asciiTheme="majorHAnsi" w:hAnsiTheme="majorHAnsi" w:cstheme="majorHAnsi"/>
          <w:sz w:val="24"/>
          <w:szCs w:val="24"/>
        </w:rPr>
        <w:t xml:space="preserve"> these purposes and contribute in a unique way</w:t>
      </w:r>
      <w:r w:rsidR="00694609" w:rsidRPr="00BE50E2">
        <w:rPr>
          <w:rFonts w:asciiTheme="majorHAnsi" w:hAnsiTheme="majorHAnsi" w:cstheme="majorHAnsi"/>
          <w:sz w:val="24"/>
          <w:szCs w:val="24"/>
        </w:rPr>
        <w:t xml:space="preserve">. </w:t>
      </w:r>
      <w:r w:rsidRPr="00BE50E2">
        <w:rPr>
          <w:rFonts w:asciiTheme="majorHAnsi" w:hAnsiTheme="majorHAnsi" w:cstheme="majorHAnsi"/>
          <w:sz w:val="24"/>
          <w:szCs w:val="24"/>
        </w:rPr>
        <w:t xml:space="preserve">Food has a sensory quality that leads to evoking memories, it is also a way to quickly communicate a person’s circumstances and lived experience. </w:t>
      </w:r>
    </w:p>
    <w:p w14:paraId="63A79AAF"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The phenomenological has been used in recent research to highlight the quality of a visitors experience within a museum and tourism when it includes the five senses seeing (visual),  hearing (auditory), smelling (olfactory), touching (tactile), and tasting (gustatory)</w:t>
      </w:r>
      <w:r w:rsidRPr="00BE50E2">
        <w:rPr>
          <w:rStyle w:val="FootnoteReference"/>
          <w:rFonts w:asciiTheme="majorHAnsi" w:hAnsiTheme="majorHAnsi" w:cstheme="majorHAnsi"/>
          <w:sz w:val="24"/>
          <w:szCs w:val="24"/>
        </w:rPr>
        <w:footnoteReference w:id="105"/>
      </w:r>
      <w:r w:rsidRPr="00BE50E2">
        <w:rPr>
          <w:rFonts w:asciiTheme="majorHAnsi" w:hAnsiTheme="majorHAnsi" w:cstheme="majorHAnsi"/>
          <w:sz w:val="24"/>
          <w:szCs w:val="24"/>
        </w:rPr>
        <w:t xml:space="preserve"> There has been significant evidence in research to incorporate sensory aspects into improving tourist experience and creating an attachment through phenomenology. Phenomenology creates a point of contact for museum visitors to the past through the sensory experiences they have with food, through cooking as well as eating. </w:t>
      </w:r>
    </w:p>
    <w:p w14:paraId="2FE626C2"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The Phenomenological approach can link in with the concept of concrete memories. Concrete memories comprise of three key features: familiarity, sensory remembering, and ownership.</w:t>
      </w:r>
      <w:r w:rsidRPr="00BE50E2">
        <w:rPr>
          <w:rStyle w:val="FootnoteReference"/>
          <w:rFonts w:asciiTheme="majorHAnsi" w:hAnsiTheme="majorHAnsi" w:cstheme="majorHAnsi"/>
          <w:sz w:val="24"/>
          <w:szCs w:val="24"/>
        </w:rPr>
        <w:footnoteReference w:id="106"/>
      </w:r>
      <w:r w:rsidRPr="00BE50E2">
        <w:rPr>
          <w:rFonts w:asciiTheme="majorHAnsi" w:hAnsiTheme="majorHAnsi" w:cstheme="majorHAnsi"/>
          <w:sz w:val="24"/>
          <w:szCs w:val="24"/>
        </w:rPr>
        <w:t xml:space="preserve">  This highlights how it is possible to make heritage more personal to people through their senses, as well as showing how museums are a tool to address the production and consumption of our heritage, how we package it for the consumer as well as the responsibility to be authentic. </w:t>
      </w:r>
    </w:p>
    <w:p w14:paraId="2B69ABA2" w14:textId="1D63BD5B"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There were </w:t>
      </w:r>
      <w:proofErr w:type="gramStart"/>
      <w:r w:rsidRPr="00BE50E2">
        <w:rPr>
          <w:rFonts w:asciiTheme="majorHAnsi" w:hAnsiTheme="majorHAnsi" w:cstheme="majorHAnsi"/>
          <w:sz w:val="24"/>
          <w:szCs w:val="24"/>
        </w:rPr>
        <w:t>some</w:t>
      </w:r>
      <w:proofErr w:type="gramEnd"/>
      <w:r w:rsidRPr="00BE50E2">
        <w:rPr>
          <w:rFonts w:asciiTheme="majorHAnsi" w:hAnsiTheme="majorHAnsi" w:cstheme="majorHAnsi"/>
          <w:sz w:val="24"/>
          <w:szCs w:val="24"/>
        </w:rPr>
        <w:t xml:space="preserve"> limits faced when conducting research for this thesis. Due to only being able to visit each location once in person, the case studies only give a snapshot of the museums and what they do. If multiple observations </w:t>
      </w:r>
      <w:proofErr w:type="gramStart"/>
      <w:r w:rsidRPr="00BE50E2">
        <w:rPr>
          <w:rFonts w:asciiTheme="majorHAnsi" w:hAnsiTheme="majorHAnsi" w:cstheme="majorHAnsi"/>
          <w:sz w:val="24"/>
          <w:szCs w:val="24"/>
        </w:rPr>
        <w:t>were made</w:t>
      </w:r>
      <w:proofErr w:type="gramEnd"/>
      <w:r w:rsidRPr="00BE50E2">
        <w:rPr>
          <w:rFonts w:asciiTheme="majorHAnsi" w:hAnsiTheme="majorHAnsi" w:cstheme="majorHAnsi"/>
          <w:sz w:val="24"/>
          <w:szCs w:val="24"/>
        </w:rPr>
        <w:t xml:space="preserve"> over a range of days, there may have been added displays and events on. For example, </w:t>
      </w:r>
      <w:r w:rsidR="00061766">
        <w:rPr>
          <w:rFonts w:asciiTheme="majorHAnsi" w:hAnsiTheme="majorHAnsi" w:cstheme="majorHAnsi"/>
          <w:sz w:val="24"/>
          <w:szCs w:val="24"/>
        </w:rPr>
        <w:t xml:space="preserve">when schools visit Castell Henlys, </w:t>
      </w:r>
      <w:r w:rsidR="00061766">
        <w:rPr>
          <w:rFonts w:asciiTheme="majorHAnsi" w:hAnsiTheme="majorHAnsi" w:cstheme="majorHAnsi"/>
          <w:sz w:val="24"/>
          <w:szCs w:val="24"/>
        </w:rPr>
        <w:lastRenderedPageBreak/>
        <w:t>they are able to make bread from the flour ground on site</w:t>
      </w:r>
      <w:r w:rsidR="00AD6B6A">
        <w:rPr>
          <w:rFonts w:asciiTheme="majorHAnsi" w:hAnsiTheme="majorHAnsi" w:cstheme="majorHAnsi"/>
          <w:sz w:val="24"/>
          <w:szCs w:val="24"/>
        </w:rPr>
        <w:t xml:space="preserve"> </w:t>
      </w:r>
      <w:r w:rsidRPr="00BE50E2">
        <w:rPr>
          <w:rFonts w:asciiTheme="majorHAnsi" w:hAnsiTheme="majorHAnsi" w:cstheme="majorHAnsi"/>
          <w:sz w:val="24"/>
          <w:szCs w:val="24"/>
        </w:rPr>
        <w:t xml:space="preserve">. Due to this, some data has come from the museum </w:t>
      </w:r>
      <w:r w:rsidR="00061766">
        <w:rPr>
          <w:rFonts w:asciiTheme="majorHAnsi" w:hAnsiTheme="majorHAnsi" w:cstheme="majorHAnsi"/>
          <w:sz w:val="24"/>
          <w:szCs w:val="24"/>
        </w:rPr>
        <w:t>websites</w:t>
      </w:r>
      <w:r w:rsidR="00483020">
        <w:rPr>
          <w:rFonts w:asciiTheme="majorHAnsi" w:hAnsiTheme="majorHAnsi" w:cstheme="majorHAnsi"/>
          <w:sz w:val="24"/>
          <w:szCs w:val="24"/>
        </w:rPr>
        <w:t xml:space="preserve"> in addition to the</w:t>
      </w:r>
      <w:r w:rsidRPr="00BE50E2">
        <w:rPr>
          <w:rFonts w:asciiTheme="majorHAnsi" w:hAnsiTheme="majorHAnsi" w:cstheme="majorHAnsi"/>
          <w:sz w:val="24"/>
          <w:szCs w:val="24"/>
        </w:rPr>
        <w:t xml:space="preserve"> research conducted on-site. Another issue was being unable to visit Sydney Living Museum to get a </w:t>
      </w:r>
      <w:proofErr w:type="gramStart"/>
      <w:r w:rsidRPr="00BE50E2">
        <w:rPr>
          <w:rFonts w:asciiTheme="majorHAnsi" w:hAnsiTheme="majorHAnsi" w:cstheme="majorHAnsi"/>
          <w:sz w:val="24"/>
          <w:szCs w:val="24"/>
        </w:rPr>
        <w:t>hands-on</w:t>
      </w:r>
      <w:proofErr w:type="gramEnd"/>
      <w:r w:rsidRPr="00BE50E2">
        <w:rPr>
          <w:rFonts w:asciiTheme="majorHAnsi" w:hAnsiTheme="majorHAnsi" w:cstheme="majorHAnsi"/>
          <w:sz w:val="24"/>
          <w:szCs w:val="24"/>
        </w:rPr>
        <w:t xml:space="preserve"> experience of the</w:t>
      </w:r>
      <w:r w:rsidR="00483020">
        <w:rPr>
          <w:rFonts w:asciiTheme="majorHAnsi" w:hAnsiTheme="majorHAnsi" w:cstheme="majorHAnsi"/>
          <w:sz w:val="24"/>
          <w:szCs w:val="24"/>
        </w:rPr>
        <w:t>ir</w:t>
      </w:r>
      <w:r w:rsidRPr="00BE50E2">
        <w:rPr>
          <w:rFonts w:asciiTheme="majorHAnsi" w:hAnsiTheme="majorHAnsi" w:cstheme="majorHAnsi"/>
          <w:sz w:val="24"/>
          <w:szCs w:val="24"/>
        </w:rPr>
        <w:t xml:space="preserve"> displays</w:t>
      </w:r>
      <w:r w:rsidR="00483020">
        <w:rPr>
          <w:rFonts w:asciiTheme="majorHAnsi" w:hAnsiTheme="majorHAnsi" w:cstheme="majorHAnsi"/>
          <w:sz w:val="24"/>
          <w:szCs w:val="24"/>
        </w:rPr>
        <w:t xml:space="preserve">, </w:t>
      </w:r>
      <w:r w:rsidRPr="00BE50E2">
        <w:rPr>
          <w:rFonts w:asciiTheme="majorHAnsi" w:hAnsiTheme="majorHAnsi" w:cstheme="majorHAnsi"/>
          <w:sz w:val="24"/>
          <w:szCs w:val="24"/>
        </w:rPr>
        <w:t>which have been used</w:t>
      </w:r>
      <w:r w:rsidR="00483020">
        <w:rPr>
          <w:rFonts w:asciiTheme="majorHAnsi" w:hAnsiTheme="majorHAnsi" w:cstheme="majorHAnsi"/>
          <w:sz w:val="24"/>
          <w:szCs w:val="24"/>
        </w:rPr>
        <w:t xml:space="preserve"> as an example of</w:t>
      </w:r>
      <w:r w:rsidRPr="00BE50E2">
        <w:rPr>
          <w:rFonts w:asciiTheme="majorHAnsi" w:hAnsiTheme="majorHAnsi" w:cstheme="majorHAnsi"/>
          <w:sz w:val="24"/>
          <w:szCs w:val="24"/>
        </w:rPr>
        <w:t xml:space="preserve"> best practice. </w:t>
      </w:r>
    </w:p>
    <w:p w14:paraId="1F22BF71" w14:textId="77777777" w:rsidR="00BE50E2" w:rsidRPr="00BE50E2" w:rsidRDefault="00BE50E2" w:rsidP="00BE50E2">
      <w:pPr>
        <w:spacing w:line="360" w:lineRule="auto"/>
        <w:rPr>
          <w:rFonts w:asciiTheme="majorHAnsi" w:hAnsiTheme="majorHAnsi" w:cstheme="majorHAnsi"/>
          <w:sz w:val="24"/>
          <w:szCs w:val="24"/>
        </w:rPr>
      </w:pPr>
    </w:p>
    <w:p w14:paraId="13171D82" w14:textId="77777777"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b/>
          <w:sz w:val="24"/>
          <w:szCs w:val="24"/>
        </w:rPr>
        <w:t xml:space="preserve">Sydney Living Museum has created a successful visitor experience around food heritage </w:t>
      </w:r>
      <w:r w:rsidRPr="48F23DBF">
        <w:rPr>
          <w:rFonts w:asciiTheme="majorHAnsi" w:hAnsiTheme="majorHAnsi" w:cstheme="majorBidi"/>
          <w:sz w:val="24"/>
          <w:szCs w:val="24"/>
        </w:rPr>
        <w:t>using the phenomenological approach and evoking memories. The Sydney Living Museum manages a range of properties that date from 1788 to 1950, as well as the contemporary museum of Sydney.</w:t>
      </w:r>
      <w:r w:rsidRPr="48F23DBF">
        <w:rPr>
          <w:rStyle w:val="FootnoteReference"/>
          <w:rFonts w:asciiTheme="majorHAnsi" w:hAnsiTheme="majorHAnsi" w:cstheme="majorBidi"/>
          <w:sz w:val="24"/>
          <w:szCs w:val="24"/>
        </w:rPr>
        <w:footnoteReference w:id="107"/>
      </w:r>
      <w:r w:rsidRPr="48F23DBF">
        <w:rPr>
          <w:rFonts w:asciiTheme="majorHAnsi" w:hAnsiTheme="majorHAnsi" w:cstheme="majorBidi"/>
          <w:sz w:val="24"/>
          <w:szCs w:val="24"/>
        </w:rPr>
        <w:t xml:space="preserve"> Born out of the need to engage audiences and to unlock a greater visitor experience, they have used food as a vessel of connectivity and communication of the past as well as present to their visitors. The museum uses period pieces and items that are attached to the historical families associated with each space, this highlights their need to enhance visitors’ existing impressions of everyday life, crafting holistic imagery with food as the connector. This </w:t>
      </w:r>
      <w:bookmarkStart w:id="12" w:name="_Int_yQPnkmNw"/>
      <w:r w:rsidRPr="48F23DBF">
        <w:rPr>
          <w:rFonts w:asciiTheme="majorHAnsi" w:hAnsiTheme="majorHAnsi" w:cstheme="majorBidi"/>
          <w:sz w:val="24"/>
          <w:szCs w:val="24"/>
        </w:rPr>
        <w:t>holistic approach</w:t>
      </w:r>
      <w:bookmarkEnd w:id="12"/>
      <w:r w:rsidRPr="48F23DBF">
        <w:rPr>
          <w:rFonts w:asciiTheme="majorHAnsi" w:hAnsiTheme="majorHAnsi" w:cstheme="majorBidi"/>
          <w:sz w:val="24"/>
          <w:szCs w:val="24"/>
        </w:rPr>
        <w:t xml:space="preserve"> includes going beyond the traditional static hands-off displays often seen in museums and using the house museum’s kitchens, pantries, dining rooms, and gardens as a way to interconnect and suggest the activities and lifestyles that would have taken place in these rooms at multiple points in history.</w:t>
      </w:r>
      <w:r w:rsidRPr="48F23DBF">
        <w:rPr>
          <w:rStyle w:val="FootnoteReference"/>
          <w:rFonts w:asciiTheme="majorHAnsi" w:hAnsiTheme="majorHAnsi" w:cstheme="majorBidi"/>
          <w:sz w:val="24"/>
          <w:szCs w:val="24"/>
        </w:rPr>
        <w:footnoteReference w:id="108"/>
      </w:r>
      <w:r w:rsidRPr="48F23DBF">
        <w:rPr>
          <w:rFonts w:asciiTheme="majorHAnsi" w:hAnsiTheme="majorHAnsi" w:cstheme="majorBidi"/>
          <w:sz w:val="24"/>
          <w:szCs w:val="24"/>
        </w:rPr>
        <w:t xml:space="preserve"> An example of this is seen in their harbourside villa previously owned by William Charles Wentworth.</w:t>
      </w:r>
    </w:p>
    <w:p w14:paraId="78D3B454" w14:textId="77777777" w:rsidR="00BE50E2" w:rsidRPr="00BE50E2" w:rsidRDefault="00BE50E2" w:rsidP="00BE50E2">
      <w:pPr>
        <w:spacing w:line="360" w:lineRule="auto"/>
        <w:ind w:left="426" w:right="804"/>
        <w:rPr>
          <w:rFonts w:asciiTheme="majorHAnsi" w:hAnsiTheme="majorHAnsi" w:cstheme="majorHAnsi"/>
          <w:sz w:val="24"/>
          <w:szCs w:val="24"/>
        </w:rPr>
      </w:pPr>
      <w:r w:rsidRPr="00BE50E2">
        <w:rPr>
          <w:rFonts w:asciiTheme="majorHAnsi" w:hAnsiTheme="majorHAnsi" w:cstheme="majorHAnsi"/>
          <w:sz w:val="24"/>
          <w:szCs w:val="24"/>
        </w:rPr>
        <w:t xml:space="preserve">‘Pineapples </w:t>
      </w:r>
      <w:proofErr w:type="gramStart"/>
      <w:r w:rsidRPr="00BE50E2">
        <w:rPr>
          <w:rFonts w:asciiTheme="majorHAnsi" w:hAnsiTheme="majorHAnsi" w:cstheme="majorHAnsi"/>
          <w:sz w:val="24"/>
          <w:szCs w:val="24"/>
        </w:rPr>
        <w:t>are seen</w:t>
      </w:r>
      <w:proofErr w:type="gramEnd"/>
      <w:r w:rsidRPr="00BE50E2">
        <w:rPr>
          <w:rFonts w:asciiTheme="majorHAnsi" w:hAnsiTheme="majorHAnsi" w:cstheme="majorHAnsi"/>
          <w:sz w:val="24"/>
          <w:szCs w:val="24"/>
        </w:rPr>
        <w:t xml:space="preserve"> growing in the kitchen garden, crowning an epergne in the dining room and again in the kitchen, where pineapple jam is made, and in the pantry where the jam is stored. In turn, jelly molds in the kitchen relate to a jelly “cooling” in its mold in the larder and a “made” (resin) jelly on the dining table.’</w:t>
      </w:r>
      <w:r w:rsidRPr="00BE50E2">
        <w:rPr>
          <w:rStyle w:val="FootnoteReference"/>
          <w:rFonts w:asciiTheme="majorHAnsi" w:hAnsiTheme="majorHAnsi" w:cstheme="majorHAnsi"/>
          <w:sz w:val="24"/>
          <w:szCs w:val="24"/>
        </w:rPr>
        <w:footnoteReference w:id="109"/>
      </w:r>
    </w:p>
    <w:p w14:paraId="6CB9EBE1" w14:textId="77777777" w:rsidR="00BE50E2" w:rsidRPr="00BE50E2" w:rsidRDefault="00BE50E2" w:rsidP="00BE50E2">
      <w:pPr>
        <w:spacing w:line="360" w:lineRule="auto"/>
        <w:ind w:left="426" w:right="804"/>
        <w:rPr>
          <w:rFonts w:asciiTheme="majorHAnsi" w:hAnsiTheme="majorHAnsi" w:cstheme="majorHAnsi"/>
          <w:sz w:val="24"/>
          <w:szCs w:val="24"/>
        </w:rPr>
      </w:pPr>
    </w:p>
    <w:p w14:paraId="339B1033"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This example demonstrates the subtle connections that contribute to the creation of a cohesive picture of life in that household. It also presents heritage and historical associations and ideas such as class and gender division, social and cultural change, cultivation and </w:t>
      </w:r>
      <w:r w:rsidRPr="00BE50E2">
        <w:rPr>
          <w:rFonts w:asciiTheme="majorHAnsi" w:hAnsiTheme="majorHAnsi" w:cstheme="majorHAnsi"/>
          <w:sz w:val="24"/>
          <w:szCs w:val="24"/>
        </w:rPr>
        <w:lastRenderedPageBreak/>
        <w:t xml:space="preserve">agriculture, cookery and preservation, and technology. This shows the potential that can </w:t>
      </w:r>
      <w:proofErr w:type="gramStart"/>
      <w:r w:rsidRPr="00BE50E2">
        <w:rPr>
          <w:rFonts w:asciiTheme="majorHAnsi" w:hAnsiTheme="majorHAnsi" w:cstheme="majorHAnsi"/>
          <w:sz w:val="24"/>
          <w:szCs w:val="24"/>
        </w:rPr>
        <w:t>be integrated</w:t>
      </w:r>
      <w:proofErr w:type="gramEnd"/>
      <w:r w:rsidRPr="00BE50E2">
        <w:rPr>
          <w:rFonts w:asciiTheme="majorHAnsi" w:hAnsiTheme="majorHAnsi" w:cstheme="majorHAnsi"/>
          <w:sz w:val="24"/>
          <w:szCs w:val="24"/>
        </w:rPr>
        <w:t xml:space="preserve"> within other museums for food histories, especially when using key aspects such as cultural associations. </w:t>
      </w:r>
    </w:p>
    <w:p w14:paraId="5EC938EF"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Sydney Living Museum brought in the </w:t>
      </w:r>
      <w:r w:rsidRPr="00BE50E2">
        <w:rPr>
          <w:rFonts w:asciiTheme="majorHAnsi" w:hAnsiTheme="majorHAnsi" w:cstheme="majorHAnsi"/>
          <w:i/>
          <w:iCs/>
          <w:sz w:val="24"/>
          <w:szCs w:val="24"/>
        </w:rPr>
        <w:t>Eat Your History</w:t>
      </w:r>
      <w:r w:rsidRPr="00BE50E2">
        <w:rPr>
          <w:rFonts w:asciiTheme="majorHAnsi" w:hAnsiTheme="majorHAnsi" w:cstheme="majorHAnsi"/>
          <w:sz w:val="24"/>
          <w:szCs w:val="24"/>
        </w:rPr>
        <w:t xml:space="preserve"> initiative in 2011.</w:t>
      </w:r>
      <w:r w:rsidRPr="00BE50E2">
        <w:rPr>
          <w:rStyle w:val="FootnoteReference"/>
          <w:rFonts w:asciiTheme="majorHAnsi" w:hAnsiTheme="majorHAnsi" w:cstheme="majorHAnsi"/>
          <w:sz w:val="24"/>
          <w:szCs w:val="24"/>
        </w:rPr>
        <w:footnoteReference w:id="110"/>
      </w:r>
      <w:r w:rsidRPr="00BE50E2">
        <w:rPr>
          <w:rFonts w:asciiTheme="majorHAnsi" w:hAnsiTheme="majorHAnsi" w:cstheme="majorHAnsi"/>
          <w:sz w:val="24"/>
          <w:szCs w:val="24"/>
        </w:rPr>
        <w:t xml:space="preserve"> This initiative highlights their attempt to be an ‘immersive, experimental and interactive experience’</w:t>
      </w:r>
      <w:r w:rsidRPr="00BE50E2">
        <w:rPr>
          <w:rStyle w:val="FootnoteReference"/>
          <w:rFonts w:asciiTheme="majorHAnsi" w:hAnsiTheme="majorHAnsi" w:cstheme="majorHAnsi"/>
          <w:sz w:val="24"/>
          <w:szCs w:val="24"/>
        </w:rPr>
        <w:footnoteReference w:id="111"/>
      </w:r>
      <w:r w:rsidRPr="00BE50E2">
        <w:rPr>
          <w:rFonts w:asciiTheme="majorHAnsi" w:hAnsiTheme="majorHAnsi" w:cstheme="majorHAnsi"/>
          <w:sz w:val="24"/>
          <w:szCs w:val="24"/>
        </w:rPr>
        <w:t xml:space="preserve"> rather than have a strictly informative delivery which is often the case with food within museums. It relates to and </w:t>
      </w:r>
      <w:proofErr w:type="gramStart"/>
      <w:r w:rsidRPr="00BE50E2">
        <w:rPr>
          <w:rFonts w:asciiTheme="majorHAnsi" w:hAnsiTheme="majorHAnsi" w:cstheme="majorHAnsi"/>
          <w:sz w:val="24"/>
          <w:szCs w:val="24"/>
        </w:rPr>
        <w:t>utilises</w:t>
      </w:r>
      <w:proofErr w:type="gramEnd"/>
      <w:r w:rsidRPr="00BE50E2">
        <w:rPr>
          <w:rFonts w:asciiTheme="majorHAnsi" w:hAnsiTheme="majorHAnsi" w:cstheme="majorHAnsi"/>
          <w:sz w:val="24"/>
          <w:szCs w:val="24"/>
        </w:rPr>
        <w:t xml:space="preserve"> real practices as well as lived experiences. Eat Your History was to shift thinking from impartial to subjective, material to personal.</w:t>
      </w:r>
      <w:r w:rsidRPr="00BE50E2">
        <w:rPr>
          <w:rStyle w:val="FootnoteReference"/>
          <w:rFonts w:asciiTheme="majorHAnsi" w:hAnsiTheme="majorHAnsi" w:cstheme="majorHAnsi"/>
          <w:sz w:val="24"/>
          <w:szCs w:val="24"/>
        </w:rPr>
        <w:footnoteReference w:id="112"/>
      </w:r>
      <w:r w:rsidRPr="00BE50E2">
        <w:rPr>
          <w:rFonts w:asciiTheme="majorHAnsi" w:hAnsiTheme="majorHAnsi" w:cstheme="majorHAnsi"/>
          <w:sz w:val="24"/>
          <w:szCs w:val="24"/>
        </w:rPr>
        <w:t xml:space="preserve"> It uses sensorial, experiential, and hands-on activities as well as using food to enliven static spaces to make history more accessible. Including its </w:t>
      </w:r>
      <w:r w:rsidRPr="00BE50E2">
        <w:rPr>
          <w:rFonts w:asciiTheme="majorHAnsi" w:hAnsiTheme="majorHAnsi" w:cstheme="majorHAnsi"/>
          <w:i/>
          <w:iCs/>
          <w:sz w:val="24"/>
          <w:szCs w:val="24"/>
        </w:rPr>
        <w:t>A Shared Table</w:t>
      </w:r>
      <w:r w:rsidRPr="00BE50E2">
        <w:rPr>
          <w:rFonts w:asciiTheme="majorHAnsi" w:hAnsiTheme="majorHAnsi" w:cstheme="majorHAnsi"/>
          <w:sz w:val="24"/>
          <w:szCs w:val="24"/>
        </w:rPr>
        <w:t xml:space="preserve"> project. </w:t>
      </w:r>
    </w:p>
    <w:p w14:paraId="689A22CE" w14:textId="241D8CD0"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The museum’s buildings demonstrate the evolution of food throughout the developments of technology, culture, politics, and economics as well as social changes within Australian society.</w:t>
      </w:r>
      <w:r w:rsidRPr="48F23DBF">
        <w:rPr>
          <w:rStyle w:val="FootnoteReference"/>
          <w:rFonts w:asciiTheme="majorHAnsi" w:hAnsiTheme="majorHAnsi" w:cstheme="majorBidi"/>
          <w:sz w:val="24"/>
          <w:szCs w:val="24"/>
        </w:rPr>
        <w:footnoteReference w:id="113"/>
      </w:r>
      <w:r w:rsidRPr="48F23DBF">
        <w:rPr>
          <w:rFonts w:asciiTheme="majorHAnsi" w:hAnsiTheme="majorHAnsi" w:cstheme="majorBidi"/>
          <w:sz w:val="24"/>
          <w:szCs w:val="24"/>
        </w:rPr>
        <w:t xml:space="preserve"> Alongside its physical displays for people to visit, the museum created a blog to </w:t>
      </w:r>
      <w:r w:rsidR="2EC860EF" w:rsidRPr="48F23DBF">
        <w:rPr>
          <w:rFonts w:asciiTheme="majorHAnsi" w:hAnsiTheme="majorHAnsi" w:cstheme="majorBidi"/>
          <w:sz w:val="24"/>
          <w:szCs w:val="24"/>
        </w:rPr>
        <w:t>display</w:t>
      </w:r>
      <w:r w:rsidRPr="48F23DBF">
        <w:rPr>
          <w:rFonts w:asciiTheme="majorHAnsi" w:hAnsiTheme="majorHAnsi" w:cstheme="majorBidi"/>
          <w:sz w:val="24"/>
          <w:szCs w:val="24"/>
        </w:rPr>
        <w:t xml:space="preserve"> its content that may not otherwise be available to visitors, such as time-consuming cooking activities within the kitchen. Up until 2020, The Cook and Curator blog provided an accessible form of delivering historical content, again using an informal tone rather than a teaching approach.</w:t>
      </w:r>
      <w:r w:rsidRPr="48F23DBF">
        <w:rPr>
          <w:rStyle w:val="FootnoteReference"/>
          <w:rFonts w:asciiTheme="majorHAnsi" w:hAnsiTheme="majorHAnsi" w:cstheme="majorBidi"/>
          <w:sz w:val="24"/>
          <w:szCs w:val="24"/>
        </w:rPr>
        <w:footnoteReference w:id="114"/>
      </w:r>
      <w:r w:rsidRPr="48F23DBF">
        <w:rPr>
          <w:rFonts w:asciiTheme="majorHAnsi" w:hAnsiTheme="majorHAnsi" w:cstheme="majorBidi"/>
          <w:sz w:val="24"/>
          <w:szCs w:val="24"/>
        </w:rPr>
        <w:t xml:space="preserve"> Hill and Newling highlight the importance and success of this method when they tell us that </w:t>
      </w:r>
      <w:proofErr w:type="gramStart"/>
      <w:r w:rsidRPr="48F23DBF">
        <w:rPr>
          <w:rFonts w:asciiTheme="majorHAnsi" w:hAnsiTheme="majorHAnsi" w:cstheme="majorBidi"/>
          <w:sz w:val="24"/>
          <w:szCs w:val="24"/>
        </w:rPr>
        <w:t>it</w:t>
      </w:r>
      <w:proofErr w:type="gramEnd"/>
      <w:r w:rsidRPr="48F23DBF">
        <w:rPr>
          <w:rFonts w:asciiTheme="majorHAnsi" w:hAnsiTheme="majorHAnsi" w:cstheme="majorBidi"/>
          <w:sz w:val="24"/>
          <w:szCs w:val="24"/>
        </w:rPr>
        <w:t xml:space="preserve"> </w:t>
      </w:r>
    </w:p>
    <w:p w14:paraId="7C362DF2" w14:textId="77777777" w:rsidR="00BE50E2" w:rsidRPr="00BE50E2" w:rsidRDefault="00BE50E2" w:rsidP="00BE50E2">
      <w:pPr>
        <w:spacing w:line="360" w:lineRule="auto"/>
        <w:ind w:left="426" w:right="946"/>
        <w:rPr>
          <w:rFonts w:asciiTheme="majorHAnsi" w:hAnsiTheme="majorHAnsi" w:cstheme="majorHAnsi"/>
          <w:sz w:val="24"/>
          <w:szCs w:val="24"/>
        </w:rPr>
      </w:pPr>
      <w:r w:rsidRPr="00BE50E2">
        <w:rPr>
          <w:rFonts w:asciiTheme="majorHAnsi" w:hAnsiTheme="majorHAnsi" w:cstheme="majorHAnsi"/>
          <w:sz w:val="24"/>
          <w:szCs w:val="24"/>
        </w:rPr>
        <w:br/>
        <w:t xml:space="preserve">‘Achieved its three key aims: to create an online platform to promote SLM and its properties to a wide audience through food stories; to create an accessible archive of research material for the organisation (including being used as a pre and post-visit resource for educational programs); and as a means of assessing the potential and viability of a food-related publication in the market.’ </w:t>
      </w:r>
    </w:p>
    <w:p w14:paraId="458D9972"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lastRenderedPageBreak/>
        <w:t>The success is especially emphasised as the museum has now launched their own book called Eat Your History with stories and recipes from Australian Kitchens.</w:t>
      </w:r>
      <w:r w:rsidRPr="00BE50E2">
        <w:rPr>
          <w:rStyle w:val="FootnoteReference"/>
          <w:rFonts w:asciiTheme="majorHAnsi" w:hAnsiTheme="majorHAnsi" w:cstheme="majorHAnsi"/>
          <w:sz w:val="24"/>
          <w:szCs w:val="24"/>
        </w:rPr>
        <w:footnoteReference w:id="115"/>
      </w:r>
      <w:r w:rsidRPr="00BE50E2">
        <w:rPr>
          <w:rFonts w:asciiTheme="majorHAnsi" w:hAnsiTheme="majorHAnsi" w:cstheme="majorHAnsi"/>
          <w:sz w:val="24"/>
          <w:szCs w:val="24"/>
        </w:rPr>
        <w:t xml:space="preserve"> Such an approach could be developed within Welsh museums such as St Fagans Living History Museum and Llanerchaeron Manor House where a range of histories and recipes would have been shared throughout the different time periods highlighted on their site. </w:t>
      </w:r>
    </w:p>
    <w:p w14:paraId="6444800E" w14:textId="77777777" w:rsidR="00BE50E2" w:rsidRPr="00BE50E2" w:rsidRDefault="00BE50E2" w:rsidP="00BE50E2">
      <w:pPr>
        <w:spacing w:line="360" w:lineRule="auto"/>
        <w:rPr>
          <w:rFonts w:asciiTheme="majorHAnsi" w:hAnsiTheme="majorHAnsi" w:cstheme="majorHAnsi"/>
          <w:sz w:val="24"/>
          <w:szCs w:val="24"/>
        </w:rPr>
      </w:pPr>
    </w:p>
    <w:p w14:paraId="32F18A87"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Another way in which Sydney’s Living Museum addresses food is through an audience-focused interpretation with their </w:t>
      </w:r>
      <w:r w:rsidRPr="00BE50E2">
        <w:rPr>
          <w:rFonts w:asciiTheme="majorHAnsi" w:hAnsiTheme="majorHAnsi" w:cstheme="majorHAnsi"/>
          <w:i/>
          <w:iCs/>
          <w:sz w:val="24"/>
          <w:szCs w:val="24"/>
        </w:rPr>
        <w:t>A Shared Table</w:t>
      </w:r>
      <w:r w:rsidRPr="00BE50E2">
        <w:rPr>
          <w:rFonts w:asciiTheme="majorHAnsi" w:hAnsiTheme="majorHAnsi" w:cstheme="majorHAnsi"/>
          <w:sz w:val="24"/>
          <w:szCs w:val="24"/>
        </w:rPr>
        <w:t xml:space="preserve"> project. The Shared Table was created to be inclusive; the museum wanted their visitors to feel as though they could be fully engaged with the museum’s concept to ‘sit at our tables, peek inside our kitchen cupboards, leaf through our cookbooks and be introduced to our residents.’</w:t>
      </w:r>
      <w:r w:rsidRPr="00BE50E2">
        <w:rPr>
          <w:rStyle w:val="FootnoteReference"/>
          <w:rFonts w:asciiTheme="majorHAnsi" w:hAnsiTheme="majorHAnsi" w:cstheme="majorHAnsi"/>
          <w:sz w:val="24"/>
          <w:szCs w:val="24"/>
        </w:rPr>
        <w:footnoteReference w:id="116"/>
      </w:r>
      <w:r w:rsidRPr="00BE50E2">
        <w:rPr>
          <w:rFonts w:asciiTheme="majorHAnsi" w:hAnsiTheme="majorHAnsi" w:cstheme="majorHAnsi"/>
          <w:sz w:val="24"/>
          <w:szCs w:val="24"/>
        </w:rPr>
        <w:t xml:space="preserve"> The museum used designers to use symbolic elements and integrate them into the exhibits, making the sections ‘inviting, immersive and… interactive.’</w:t>
      </w:r>
      <w:r w:rsidRPr="00BE50E2">
        <w:rPr>
          <w:rStyle w:val="FootnoteReference"/>
          <w:rFonts w:asciiTheme="majorHAnsi" w:hAnsiTheme="majorHAnsi" w:cstheme="majorHAnsi"/>
          <w:sz w:val="24"/>
          <w:szCs w:val="24"/>
        </w:rPr>
        <w:footnoteReference w:id="117"/>
      </w:r>
      <w:r w:rsidRPr="00BE50E2">
        <w:rPr>
          <w:rFonts w:asciiTheme="majorHAnsi" w:hAnsiTheme="majorHAnsi" w:cstheme="majorHAnsi"/>
          <w:sz w:val="24"/>
          <w:szCs w:val="24"/>
        </w:rPr>
        <w:t xml:space="preserve"> </w:t>
      </w:r>
    </w:p>
    <w:p w14:paraId="775C3707"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The museum and its exhibits highlight the ways in which food can </w:t>
      </w:r>
      <w:proofErr w:type="gramStart"/>
      <w:r w:rsidRPr="00BE50E2">
        <w:rPr>
          <w:rFonts w:asciiTheme="majorHAnsi" w:hAnsiTheme="majorHAnsi" w:cstheme="majorHAnsi"/>
          <w:sz w:val="24"/>
          <w:szCs w:val="24"/>
        </w:rPr>
        <w:t>be used</w:t>
      </w:r>
      <w:proofErr w:type="gramEnd"/>
      <w:r w:rsidRPr="00BE50E2">
        <w:rPr>
          <w:rFonts w:asciiTheme="majorHAnsi" w:hAnsiTheme="majorHAnsi" w:cstheme="majorHAnsi"/>
          <w:sz w:val="24"/>
          <w:szCs w:val="24"/>
        </w:rPr>
        <w:t xml:space="preserve"> and presented to the public. It is often a worry for museums about using real food due to vermin or rotting if the displays </w:t>
      </w:r>
      <w:proofErr w:type="gramStart"/>
      <w:r w:rsidRPr="00BE50E2">
        <w:rPr>
          <w:rFonts w:asciiTheme="majorHAnsi" w:hAnsiTheme="majorHAnsi" w:cstheme="majorHAnsi"/>
          <w:sz w:val="24"/>
          <w:szCs w:val="24"/>
        </w:rPr>
        <w:t>are not kept</w:t>
      </w:r>
      <w:proofErr w:type="gramEnd"/>
      <w:r w:rsidRPr="00BE50E2">
        <w:rPr>
          <w:rFonts w:asciiTheme="majorHAnsi" w:hAnsiTheme="majorHAnsi" w:cstheme="majorHAnsi"/>
          <w:sz w:val="24"/>
          <w:szCs w:val="24"/>
        </w:rPr>
        <w:t xml:space="preserve"> updated, or even using fake food that is so unrealistic it makes the exhibit less effective. </w:t>
      </w:r>
    </w:p>
    <w:p w14:paraId="27B80D84"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Even a museum with good practice such as the Sydney Living Museum also has these issues. Fake foods that are custom-made can be out of reach due to budget and time constraints, subsequently, the curators and design team of Sydney Living Museum were not satisfied that the quality up close would be suitable for their display. They ended up using fake food and foliage for centrepieces or fruit bowl displays that had been behind Perspex, and even then, these had been positioned at least half a meter from the viewer’s point of view.</w:t>
      </w:r>
      <w:r w:rsidRPr="00BE50E2">
        <w:rPr>
          <w:rStyle w:val="FootnoteReference"/>
          <w:rFonts w:asciiTheme="majorHAnsi" w:hAnsiTheme="majorHAnsi" w:cstheme="majorHAnsi"/>
          <w:sz w:val="24"/>
          <w:szCs w:val="24"/>
        </w:rPr>
        <w:footnoteReference w:id="118"/>
      </w:r>
      <w:r w:rsidRPr="00BE50E2">
        <w:rPr>
          <w:rFonts w:asciiTheme="majorHAnsi" w:hAnsiTheme="majorHAnsi" w:cstheme="majorHAnsi"/>
          <w:sz w:val="24"/>
          <w:szCs w:val="24"/>
        </w:rPr>
        <w:t xml:space="preserve"> Another downside of using fake food is the key association, aroma. When looking at phenomenology, a key point within that is olfactory senses and their importance within museum displays. Our olfactory senses evoke powerful associations and as described by Beca Lyne-Pirkis in section </w:t>
      </w:r>
      <w:r w:rsidRPr="00BE50E2">
        <w:rPr>
          <w:rFonts w:asciiTheme="majorHAnsi" w:hAnsiTheme="majorHAnsi" w:cstheme="majorHAnsi"/>
          <w:sz w:val="24"/>
          <w:szCs w:val="24"/>
        </w:rPr>
        <w:lastRenderedPageBreak/>
        <w:t xml:space="preserve">one, and her experience of </w:t>
      </w:r>
      <w:proofErr w:type="gramStart"/>
      <w:r w:rsidRPr="00BE50E2">
        <w:rPr>
          <w:rFonts w:asciiTheme="majorHAnsi" w:hAnsiTheme="majorHAnsi" w:cstheme="majorHAnsi"/>
          <w:sz w:val="24"/>
          <w:szCs w:val="24"/>
        </w:rPr>
        <w:t>being transported</w:t>
      </w:r>
      <w:proofErr w:type="gramEnd"/>
      <w:r w:rsidRPr="00BE50E2">
        <w:rPr>
          <w:rFonts w:asciiTheme="majorHAnsi" w:hAnsiTheme="majorHAnsi" w:cstheme="majorHAnsi"/>
          <w:sz w:val="24"/>
          <w:szCs w:val="24"/>
        </w:rPr>
        <w:t xml:space="preserve"> back to baking Welsh cakes with her nan when she smells the nutmeg and the cakes cooking. Smell is a key component often missed within museum displays, although synthetic smells can be made in the UK and the USA, these are often costly and limited to specialised events.</w:t>
      </w:r>
      <w:r w:rsidRPr="00BE50E2">
        <w:rPr>
          <w:rStyle w:val="FootnoteReference"/>
          <w:rFonts w:asciiTheme="majorHAnsi" w:hAnsiTheme="majorHAnsi" w:cstheme="majorHAnsi"/>
          <w:sz w:val="24"/>
          <w:szCs w:val="24"/>
        </w:rPr>
        <w:footnoteReference w:id="119"/>
      </w:r>
      <w:r w:rsidRPr="00BE50E2">
        <w:rPr>
          <w:rFonts w:asciiTheme="majorHAnsi" w:hAnsiTheme="majorHAnsi" w:cstheme="majorHAnsi"/>
          <w:sz w:val="24"/>
          <w:szCs w:val="24"/>
        </w:rPr>
        <w:t xml:space="preserve"> A way that the museum managed to combat this was by using dried spices and tea samples that were displayed in lidded cups, or concealed in a fuel stove. As visitors explore hands-on exhibits they are able to release the smells as they lift lids and open cupboards. These are items that need to be replenished often as the effects and smells fade.</w:t>
      </w:r>
      <w:r w:rsidRPr="00BE50E2">
        <w:rPr>
          <w:rStyle w:val="FootnoteReference"/>
          <w:rFonts w:asciiTheme="majorHAnsi" w:hAnsiTheme="majorHAnsi" w:cstheme="majorHAnsi"/>
          <w:sz w:val="24"/>
          <w:szCs w:val="24"/>
        </w:rPr>
        <w:footnoteReference w:id="120"/>
      </w:r>
      <w:r w:rsidRPr="00BE50E2">
        <w:rPr>
          <w:rFonts w:asciiTheme="majorHAnsi" w:hAnsiTheme="majorHAnsi" w:cstheme="majorHAnsi"/>
          <w:sz w:val="24"/>
          <w:szCs w:val="24"/>
        </w:rPr>
        <w:t xml:space="preserve"> </w:t>
      </w:r>
      <w:r w:rsidRPr="00BE50E2">
        <w:rPr>
          <w:rFonts w:asciiTheme="majorHAnsi" w:hAnsiTheme="majorHAnsi" w:cstheme="majorHAnsi"/>
          <w:sz w:val="24"/>
          <w:szCs w:val="24"/>
        </w:rPr>
        <w:br/>
        <w:t>The museum also managed to bring in real food, which had been freeze-dried to combat the issues of pests. Other real foods that has been used are ones of low perishability, these included ‘a portion of aged, salted pork, stone ground flour, dried peas, rice and – the only faux rendition- beeswax to emulate the daily allowance of butter.’</w:t>
      </w:r>
      <w:r w:rsidRPr="00BE50E2">
        <w:rPr>
          <w:rStyle w:val="FootnoteReference"/>
          <w:rFonts w:asciiTheme="majorHAnsi" w:hAnsiTheme="majorHAnsi" w:cstheme="majorHAnsi"/>
          <w:sz w:val="24"/>
          <w:szCs w:val="24"/>
        </w:rPr>
        <w:footnoteReference w:id="121"/>
      </w:r>
      <w:r w:rsidRPr="00BE50E2">
        <w:rPr>
          <w:rFonts w:asciiTheme="majorHAnsi" w:hAnsiTheme="majorHAnsi" w:cstheme="majorHAnsi"/>
          <w:sz w:val="24"/>
          <w:szCs w:val="24"/>
        </w:rPr>
        <w:t xml:space="preserve"> These give an example of where real food can be used within other museum displays within Wales. </w:t>
      </w:r>
    </w:p>
    <w:p w14:paraId="5AEB5219"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To add another dimension, as well as an auditory element, a video had </w:t>
      </w:r>
      <w:proofErr w:type="gramStart"/>
      <w:r w:rsidRPr="00BE50E2">
        <w:rPr>
          <w:rFonts w:asciiTheme="majorHAnsi" w:hAnsiTheme="majorHAnsi" w:cstheme="majorHAnsi"/>
          <w:sz w:val="24"/>
          <w:szCs w:val="24"/>
        </w:rPr>
        <w:t>been added</w:t>
      </w:r>
      <w:proofErr w:type="gramEnd"/>
      <w:r w:rsidRPr="00BE50E2">
        <w:rPr>
          <w:rFonts w:asciiTheme="majorHAnsi" w:hAnsiTheme="majorHAnsi" w:cstheme="majorHAnsi"/>
          <w:sz w:val="24"/>
          <w:szCs w:val="24"/>
        </w:rPr>
        <w:t xml:space="preserve"> to their exhibition. A film was made using a primary account of King George III’s birthday meal in 1788, where museum staff volunteers wore period costume shirtsleeve and were </w:t>
      </w:r>
    </w:p>
    <w:p w14:paraId="10B97E6C" w14:textId="77777777" w:rsidR="00BE50E2" w:rsidRPr="00BE50E2" w:rsidRDefault="00BE50E2" w:rsidP="00BE50E2">
      <w:pPr>
        <w:spacing w:line="360" w:lineRule="auto"/>
        <w:ind w:left="426" w:right="521"/>
        <w:rPr>
          <w:rFonts w:asciiTheme="majorHAnsi" w:hAnsiTheme="majorHAnsi" w:cstheme="majorHAnsi"/>
          <w:sz w:val="24"/>
          <w:szCs w:val="24"/>
        </w:rPr>
      </w:pPr>
      <w:r w:rsidRPr="00BE50E2">
        <w:rPr>
          <w:rFonts w:asciiTheme="majorHAnsi" w:hAnsiTheme="majorHAnsi" w:cstheme="majorHAnsi"/>
          <w:sz w:val="24"/>
          <w:szCs w:val="24"/>
        </w:rPr>
        <w:t>‘Filmed dining on authentic food and wine, prepared using eighteenth-century recipes and served a la Francaise. As the meal progressed and the brandy flowed, the table became messier and the “huzzahs” more enthusiastic. The footage was filmed from an overhead camera, showing the proceedings of the table itself (only the diners’ forearms are shown), and the film was projected from the gallery ceiling onto a viewing screen embedded into the “governor’s table.” Replica late eighteenth-century chairs allowed visitors to sit at the table and engage in the festivities unfolding before them.’</w:t>
      </w:r>
      <w:r w:rsidRPr="00BE50E2">
        <w:rPr>
          <w:rStyle w:val="FootnoteReference"/>
          <w:rFonts w:asciiTheme="majorHAnsi" w:hAnsiTheme="majorHAnsi" w:cstheme="majorHAnsi"/>
          <w:sz w:val="24"/>
          <w:szCs w:val="24"/>
        </w:rPr>
        <w:footnoteReference w:id="122"/>
      </w:r>
      <w:r w:rsidRPr="00BE50E2">
        <w:rPr>
          <w:rFonts w:asciiTheme="majorHAnsi" w:hAnsiTheme="majorHAnsi" w:cstheme="majorHAnsi"/>
          <w:sz w:val="24"/>
          <w:szCs w:val="24"/>
        </w:rPr>
        <w:br/>
      </w:r>
    </w:p>
    <w:p w14:paraId="3733B9F2"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This is a fascinating example of good practice. Engaging and innovative processes </w:t>
      </w:r>
      <w:proofErr w:type="gramStart"/>
      <w:r w:rsidRPr="00BE50E2">
        <w:rPr>
          <w:rFonts w:asciiTheme="majorHAnsi" w:hAnsiTheme="majorHAnsi" w:cstheme="majorHAnsi"/>
          <w:sz w:val="24"/>
          <w:szCs w:val="24"/>
        </w:rPr>
        <w:t>are embedded</w:t>
      </w:r>
      <w:proofErr w:type="gramEnd"/>
      <w:r w:rsidRPr="00BE50E2">
        <w:rPr>
          <w:rFonts w:asciiTheme="majorHAnsi" w:hAnsiTheme="majorHAnsi" w:cstheme="majorHAnsi"/>
          <w:sz w:val="24"/>
          <w:szCs w:val="24"/>
        </w:rPr>
        <w:t xml:space="preserve"> into the way that the museum presents food history, letting visitors become </w:t>
      </w:r>
      <w:r w:rsidRPr="00BE50E2">
        <w:rPr>
          <w:rFonts w:asciiTheme="majorHAnsi" w:hAnsiTheme="majorHAnsi" w:cstheme="majorHAnsi"/>
          <w:sz w:val="24"/>
          <w:szCs w:val="24"/>
        </w:rPr>
        <w:lastRenderedPageBreak/>
        <w:t xml:space="preserve">a part of the display itself. Evoking human emotion, and empathy as well as having fun whilst learning. It is possible to imagine such an approach being reimagined in a Welsh context, for example, a medieval bardic feast within a Welsh castle or a stately meal in a manor house such as Llanerchaeron. Even imaging having your packed lunch down at a coal mine, using the sounds of the miners working and chatting whilst others eat their cheese sandwiches. </w:t>
      </w:r>
    </w:p>
    <w:p w14:paraId="5671420B" w14:textId="755946F4"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Lastly, the museum encouraged their visitors to share their own food stories and food culture, through recipes, memories and thoughts using cards for them to write on to add to their display.</w:t>
      </w:r>
      <w:r w:rsidRPr="00BE50E2">
        <w:rPr>
          <w:rStyle w:val="FootnoteReference"/>
          <w:rFonts w:asciiTheme="majorHAnsi" w:hAnsiTheme="majorHAnsi" w:cstheme="majorHAnsi"/>
          <w:sz w:val="24"/>
          <w:szCs w:val="24"/>
        </w:rPr>
        <w:footnoteReference w:id="123"/>
      </w:r>
      <w:r w:rsidRPr="00BE50E2">
        <w:rPr>
          <w:rFonts w:asciiTheme="majorHAnsi" w:hAnsiTheme="majorHAnsi" w:cstheme="majorHAnsi"/>
          <w:sz w:val="24"/>
          <w:szCs w:val="24"/>
        </w:rPr>
        <w:t xml:space="preserve"> This is </w:t>
      </w:r>
      <w:r w:rsidR="00694609" w:rsidRPr="00BE50E2">
        <w:rPr>
          <w:rFonts w:asciiTheme="majorHAnsi" w:hAnsiTheme="majorHAnsi" w:cstheme="majorHAnsi"/>
          <w:sz w:val="24"/>
          <w:szCs w:val="24"/>
        </w:rPr>
        <w:t>a notable example</w:t>
      </w:r>
      <w:r w:rsidRPr="00BE50E2">
        <w:rPr>
          <w:rFonts w:asciiTheme="majorHAnsi" w:hAnsiTheme="majorHAnsi" w:cstheme="majorHAnsi"/>
          <w:sz w:val="24"/>
          <w:szCs w:val="24"/>
        </w:rPr>
        <w:t xml:space="preserve"> of intergenerational feedback and engagement as well as a way to connect to all generations and learn their food stories. As much as museums may want to cover everything, it is not always possible, however having an interactive display that visitors can add to create a sense of belonging. This is where the communication, the stories, the memories, the traditions, the culture, the history comes from. A way to further the reach of the museums as well allowing for online engagement through social media. </w:t>
      </w:r>
    </w:p>
    <w:p w14:paraId="51FF84A0" w14:textId="50D9839D" w:rsidR="00BE50E2" w:rsidRDefault="00BE50E2" w:rsidP="00BE50E2">
      <w:pPr>
        <w:spacing w:line="360" w:lineRule="auto"/>
        <w:ind w:right="521"/>
        <w:rPr>
          <w:rFonts w:asciiTheme="majorHAnsi" w:hAnsiTheme="majorHAnsi" w:cstheme="majorHAnsi"/>
          <w:sz w:val="24"/>
          <w:szCs w:val="24"/>
        </w:rPr>
      </w:pPr>
    </w:p>
    <w:p w14:paraId="528FC5CA" w14:textId="77777777" w:rsidR="00BE50E2" w:rsidRPr="00F4712F" w:rsidRDefault="00BE50E2" w:rsidP="00BE50E2">
      <w:pPr>
        <w:spacing w:line="360" w:lineRule="auto"/>
        <w:ind w:right="521"/>
        <w:rPr>
          <w:rFonts w:asciiTheme="majorHAnsi" w:hAnsiTheme="majorHAnsi" w:cstheme="majorHAnsi"/>
          <w:b/>
          <w:bCs/>
          <w:sz w:val="24"/>
          <w:szCs w:val="24"/>
        </w:rPr>
      </w:pPr>
      <w:r w:rsidRPr="00F4712F">
        <w:rPr>
          <w:rFonts w:asciiTheme="majorHAnsi" w:hAnsiTheme="majorHAnsi" w:cstheme="majorHAnsi"/>
          <w:b/>
          <w:bCs/>
          <w:sz w:val="24"/>
          <w:szCs w:val="24"/>
        </w:rPr>
        <w:t>Discussion</w:t>
      </w:r>
    </w:p>
    <w:p w14:paraId="70A3C426"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The Sydney Living Museum presents an excellent example of good practice in the representation of food heritage, one from which Welsh museums could learn. The key message is that </w:t>
      </w:r>
      <w:r w:rsidRPr="00BE50E2">
        <w:rPr>
          <w:rFonts w:asciiTheme="majorHAnsi" w:hAnsiTheme="majorHAnsi" w:cstheme="majorHAnsi"/>
          <w:b/>
          <w:bCs/>
          <w:sz w:val="24"/>
          <w:szCs w:val="24"/>
        </w:rPr>
        <w:t>food histories can help break down barriers</w:t>
      </w:r>
      <w:r w:rsidRPr="00BE50E2">
        <w:rPr>
          <w:rFonts w:asciiTheme="majorHAnsi" w:hAnsiTheme="majorHAnsi" w:cstheme="majorHAnsi"/>
          <w:sz w:val="24"/>
          <w:szCs w:val="24"/>
        </w:rPr>
        <w:t xml:space="preserve"> that stand between visitors and their full engagement with their heritage. A full engagement within museums and heritage sites links to the empathetic response to displays, and heightened engagement with the displays as well as it helps to build concrete memories as described by Low that bring forward the sense of familiarity, a sensory connection and a feeling of ownership.</w:t>
      </w:r>
      <w:r w:rsidRPr="00BE50E2">
        <w:rPr>
          <w:rStyle w:val="FootnoteReference"/>
          <w:rFonts w:asciiTheme="majorHAnsi" w:hAnsiTheme="majorHAnsi" w:cstheme="majorHAnsi"/>
          <w:sz w:val="24"/>
          <w:szCs w:val="24"/>
        </w:rPr>
        <w:footnoteReference w:id="124"/>
      </w:r>
      <w:r w:rsidRPr="00BE50E2">
        <w:rPr>
          <w:rFonts w:asciiTheme="majorHAnsi" w:hAnsiTheme="majorHAnsi" w:cstheme="majorHAnsi"/>
          <w:sz w:val="24"/>
          <w:szCs w:val="24"/>
        </w:rPr>
        <w:t xml:space="preserve">  Even though food representation within a museum setting presents its own set of challenges and concerns, it is fundamentally one of the most impactful tools with which to captivate an audience. Although food is fundamentally a logical component within in-house museums, it also presents its own purposes in other types </w:t>
      </w:r>
      <w:r w:rsidRPr="00BE50E2">
        <w:rPr>
          <w:rFonts w:asciiTheme="majorHAnsi" w:hAnsiTheme="majorHAnsi" w:cstheme="majorHAnsi"/>
          <w:sz w:val="24"/>
          <w:szCs w:val="24"/>
        </w:rPr>
        <w:lastRenderedPageBreak/>
        <w:t>of museums. Food displays and stories can lend themselves just as strongly within social history museums, but it also serves a function within science museums, ancient or classical museums as well as archaeology museums.</w:t>
      </w:r>
      <w:r w:rsidRPr="00BE50E2">
        <w:rPr>
          <w:rStyle w:val="FootnoteReference"/>
          <w:rFonts w:asciiTheme="majorHAnsi" w:hAnsiTheme="majorHAnsi" w:cstheme="majorHAnsi"/>
          <w:sz w:val="24"/>
          <w:szCs w:val="24"/>
        </w:rPr>
        <w:footnoteReference w:id="125"/>
      </w:r>
      <w:r w:rsidRPr="00BE50E2">
        <w:rPr>
          <w:rFonts w:asciiTheme="majorHAnsi" w:hAnsiTheme="majorHAnsi" w:cstheme="majorHAnsi"/>
          <w:sz w:val="24"/>
          <w:szCs w:val="24"/>
        </w:rPr>
        <w:t xml:space="preserve"> All types of museums can bring forward another dimension to their displays </w:t>
      </w:r>
      <w:proofErr w:type="gramStart"/>
      <w:r w:rsidRPr="00BE50E2">
        <w:rPr>
          <w:rFonts w:asciiTheme="majorHAnsi" w:hAnsiTheme="majorHAnsi" w:cstheme="majorHAnsi"/>
          <w:sz w:val="24"/>
          <w:szCs w:val="24"/>
        </w:rPr>
        <w:t>through the use of</w:t>
      </w:r>
      <w:proofErr w:type="gramEnd"/>
      <w:r w:rsidRPr="00BE50E2">
        <w:rPr>
          <w:rFonts w:asciiTheme="majorHAnsi" w:hAnsiTheme="majorHAnsi" w:cstheme="majorHAnsi"/>
          <w:sz w:val="24"/>
          <w:szCs w:val="24"/>
        </w:rPr>
        <w:t xml:space="preserve"> food. </w:t>
      </w:r>
    </w:p>
    <w:p w14:paraId="55A8E9FA"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An obvious thing to consider whilst curating displays that include food is the risk management of a collection when using perishable products, this includes heritage fabric and controlled environments during the planning phase. Whilst fake food is often the answer given when looking at food displays, it is often unsatisfactory for audiences unless expertly or potentially expensively crafted for realism. A ‘fake’ dimension to displays which is accessible however and adds value to displays is the use of synthetic olfactory stimulants. If these stimulants smell realistic rather than fake, they can add a multidimensional aspect to food displays, especially as olfactory senses are often able to evoke food memories and experiences. </w:t>
      </w:r>
    </w:p>
    <w:p w14:paraId="4C25058B"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Although digital technology may </w:t>
      </w:r>
      <w:proofErr w:type="gramStart"/>
      <w:r w:rsidRPr="00BE50E2">
        <w:rPr>
          <w:rFonts w:asciiTheme="majorHAnsi" w:hAnsiTheme="majorHAnsi" w:cstheme="majorHAnsi"/>
          <w:sz w:val="24"/>
          <w:szCs w:val="24"/>
        </w:rPr>
        <w:t>be perceived</w:t>
      </w:r>
      <w:proofErr w:type="gramEnd"/>
      <w:r w:rsidRPr="00BE50E2">
        <w:rPr>
          <w:rFonts w:asciiTheme="majorHAnsi" w:hAnsiTheme="majorHAnsi" w:cstheme="majorHAnsi"/>
          <w:sz w:val="24"/>
          <w:szCs w:val="24"/>
        </w:rPr>
        <w:t xml:space="preserve"> as too modern or intrusive to historical environments, they often add a lot of value to displays as seen in the </w:t>
      </w:r>
      <w:r w:rsidRPr="00BE50E2">
        <w:rPr>
          <w:rFonts w:asciiTheme="majorHAnsi" w:hAnsiTheme="majorHAnsi" w:cstheme="majorHAnsi"/>
          <w:i/>
          <w:iCs/>
          <w:sz w:val="24"/>
          <w:szCs w:val="24"/>
        </w:rPr>
        <w:t>A Shared Table</w:t>
      </w:r>
      <w:r w:rsidRPr="00BE50E2">
        <w:rPr>
          <w:rFonts w:asciiTheme="majorHAnsi" w:hAnsiTheme="majorHAnsi" w:cstheme="majorHAnsi"/>
          <w:sz w:val="24"/>
          <w:szCs w:val="24"/>
        </w:rPr>
        <w:t xml:space="preserve"> project by the Sydney Living Museum. Digital technology is proving to be a great engagement tool as audiences are often used to and more accepting of virtual interactions and digital devices in the present day.</w:t>
      </w:r>
      <w:r w:rsidRPr="00BE50E2">
        <w:rPr>
          <w:rStyle w:val="FootnoteReference"/>
          <w:rFonts w:asciiTheme="majorHAnsi" w:hAnsiTheme="majorHAnsi" w:cstheme="majorHAnsi"/>
          <w:sz w:val="24"/>
          <w:szCs w:val="24"/>
        </w:rPr>
        <w:footnoteReference w:id="126"/>
      </w:r>
      <w:r w:rsidRPr="00BE50E2">
        <w:rPr>
          <w:rFonts w:asciiTheme="majorHAnsi" w:hAnsiTheme="majorHAnsi" w:cstheme="majorHAnsi"/>
          <w:sz w:val="24"/>
          <w:szCs w:val="24"/>
        </w:rPr>
        <w:t xml:space="preserve">  </w:t>
      </w:r>
    </w:p>
    <w:p w14:paraId="43528AA6"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Opportunities for direct sensory interaction with real food can be part of a museum experience through hands-on components or associated with tasting activities. They do not need to be held in controlled heritage or exhibition spaces, but can be added to tours or neutral spaces, perhaps in collaboration with local businesses or councils. </w:t>
      </w:r>
    </w:p>
    <w:p w14:paraId="509DE463" w14:textId="77777777" w:rsidR="00BE50E2" w:rsidRPr="00BE50E2" w:rsidRDefault="00BE50E2" w:rsidP="00BE50E2">
      <w:pPr>
        <w:spacing w:line="360" w:lineRule="auto"/>
        <w:ind w:right="521"/>
        <w:rPr>
          <w:rFonts w:asciiTheme="majorHAnsi" w:hAnsiTheme="majorHAnsi" w:cstheme="majorHAnsi"/>
          <w:sz w:val="24"/>
          <w:szCs w:val="24"/>
        </w:rPr>
      </w:pPr>
      <w:r w:rsidRPr="00BE50E2">
        <w:rPr>
          <w:rFonts w:asciiTheme="majorHAnsi" w:hAnsiTheme="majorHAnsi" w:cstheme="majorHAnsi"/>
          <w:sz w:val="24"/>
          <w:szCs w:val="24"/>
        </w:rPr>
        <w:t xml:space="preserve">Having a team who is willing to try new practices, and have the space to do this is key for successful food heritage representation in museums and other heritage sites. This is not always possible due to funding or administrative risks and planning but would add </w:t>
      </w:r>
      <w:proofErr w:type="gramStart"/>
      <w:r w:rsidRPr="00BE50E2">
        <w:rPr>
          <w:rFonts w:asciiTheme="majorHAnsi" w:hAnsiTheme="majorHAnsi" w:cstheme="majorHAnsi"/>
          <w:sz w:val="24"/>
          <w:szCs w:val="24"/>
        </w:rPr>
        <w:t>a lot of</w:t>
      </w:r>
      <w:proofErr w:type="gramEnd"/>
      <w:r w:rsidRPr="00BE50E2">
        <w:rPr>
          <w:rFonts w:asciiTheme="majorHAnsi" w:hAnsiTheme="majorHAnsi" w:cstheme="majorHAnsi"/>
          <w:sz w:val="24"/>
          <w:szCs w:val="24"/>
        </w:rPr>
        <w:t xml:space="preserve"> value to displays if possible. </w:t>
      </w:r>
    </w:p>
    <w:p w14:paraId="544F7AE3"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color w:val="000000" w:themeColor="text1"/>
          <w:sz w:val="24"/>
          <w:szCs w:val="24"/>
        </w:rPr>
        <w:t xml:space="preserve">There is a perception around authenticity that everything in a display needs to be authentic, however, not </w:t>
      </w:r>
      <w:r w:rsidRPr="00BE50E2">
        <w:rPr>
          <w:rFonts w:asciiTheme="majorHAnsi" w:hAnsiTheme="majorHAnsi" w:cstheme="majorHAnsi"/>
          <w:sz w:val="24"/>
          <w:szCs w:val="24"/>
        </w:rPr>
        <w:t xml:space="preserve">every component of the experience need to be authentic (or even satisfactory) </w:t>
      </w:r>
      <w:r w:rsidRPr="00BE50E2">
        <w:rPr>
          <w:rFonts w:asciiTheme="majorHAnsi" w:hAnsiTheme="majorHAnsi" w:cstheme="majorHAnsi"/>
          <w:sz w:val="24"/>
          <w:szCs w:val="24"/>
        </w:rPr>
        <w:lastRenderedPageBreak/>
        <w:t>so long as the combination of elements generates the required nostalgic feelings</w:t>
      </w:r>
      <w:r w:rsidRPr="00BE50E2">
        <w:rPr>
          <w:rStyle w:val="FootnoteReference"/>
          <w:rFonts w:asciiTheme="majorHAnsi" w:hAnsiTheme="majorHAnsi" w:cstheme="majorHAnsi"/>
          <w:sz w:val="24"/>
          <w:szCs w:val="24"/>
        </w:rPr>
        <w:footnoteReference w:id="127"/>
      </w:r>
      <w:r w:rsidRPr="00BE50E2">
        <w:rPr>
          <w:rFonts w:asciiTheme="majorHAnsi" w:hAnsiTheme="majorHAnsi" w:cstheme="majorHAnsi"/>
          <w:sz w:val="24"/>
          <w:szCs w:val="24"/>
        </w:rPr>
        <w:t xml:space="preserve"> There needs to be a feeling of the requirement to take a risk and a budget that allows a museum to trial different things and experiment within their capacity as curators.</w:t>
      </w:r>
    </w:p>
    <w:p w14:paraId="082A36E7" w14:textId="77777777" w:rsidR="00BE50E2" w:rsidRPr="00BE50E2" w:rsidRDefault="00BE50E2" w:rsidP="00BE50E2">
      <w:pPr>
        <w:spacing w:line="360" w:lineRule="auto"/>
        <w:rPr>
          <w:rFonts w:asciiTheme="majorHAnsi" w:hAnsiTheme="majorHAnsi" w:cstheme="majorHAnsi"/>
          <w:color w:val="ED7D31" w:themeColor="accent2"/>
          <w:sz w:val="24"/>
          <w:szCs w:val="24"/>
        </w:rPr>
      </w:pPr>
    </w:p>
    <w:p w14:paraId="7CB1A71C" w14:textId="77777777" w:rsidR="00BE50E2" w:rsidRPr="00BE50E2" w:rsidRDefault="00BE50E2" w:rsidP="00BE50E2">
      <w:pPr>
        <w:spacing w:line="360" w:lineRule="auto"/>
        <w:rPr>
          <w:rStyle w:val="normaltextrun"/>
          <w:rFonts w:asciiTheme="majorHAnsi" w:hAnsiTheme="majorHAnsi" w:cstheme="majorHAnsi"/>
          <w:b/>
          <w:bCs/>
          <w:sz w:val="24"/>
          <w:szCs w:val="24"/>
        </w:rPr>
      </w:pPr>
      <w:r w:rsidRPr="00BE50E2">
        <w:rPr>
          <w:rStyle w:val="normaltextrun"/>
          <w:rFonts w:asciiTheme="majorHAnsi" w:hAnsiTheme="majorHAnsi" w:cstheme="majorHAnsi"/>
          <w:b/>
          <w:bCs/>
          <w:sz w:val="24"/>
          <w:szCs w:val="24"/>
        </w:rPr>
        <w:t xml:space="preserve">Welsh museums and food representation </w:t>
      </w:r>
    </w:p>
    <w:p w14:paraId="4664D38F" w14:textId="77777777" w:rsidR="00BE50E2" w:rsidRPr="00BE50E2" w:rsidRDefault="00BE50E2" w:rsidP="00BE50E2">
      <w:pPr>
        <w:pStyle w:val="paragraph"/>
        <w:spacing w:after="0" w:line="360" w:lineRule="auto"/>
        <w:textAlignment w:val="baseline"/>
        <w:rPr>
          <w:rFonts w:asciiTheme="majorHAnsi" w:hAnsiTheme="majorHAnsi" w:cstheme="majorHAnsi"/>
          <w:color w:val="000000"/>
          <w:shd w:val="clear" w:color="auto" w:fill="FFFFFF"/>
        </w:rPr>
      </w:pPr>
      <w:r w:rsidRPr="00BE50E2">
        <w:rPr>
          <w:rStyle w:val="normaltextrun"/>
          <w:rFonts w:asciiTheme="majorHAnsi" w:hAnsiTheme="majorHAnsi" w:cstheme="majorHAnsi"/>
        </w:rPr>
        <w:t xml:space="preserve">Traditionally, Welsh museums </w:t>
      </w:r>
      <w:proofErr w:type="gramStart"/>
      <w:r w:rsidRPr="00BE50E2">
        <w:rPr>
          <w:rStyle w:val="normaltextrun"/>
          <w:rFonts w:asciiTheme="majorHAnsi" w:hAnsiTheme="majorHAnsi" w:cstheme="majorHAnsi"/>
        </w:rPr>
        <w:t>appear to have</w:t>
      </w:r>
      <w:proofErr w:type="gramEnd"/>
      <w:r w:rsidRPr="00BE50E2">
        <w:rPr>
          <w:rStyle w:val="normaltextrun"/>
          <w:rFonts w:asciiTheme="majorHAnsi" w:hAnsiTheme="majorHAnsi" w:cstheme="majorHAnsi"/>
        </w:rPr>
        <w:t xml:space="preserve"> divorced food history and food from museum experiences, unless they are highlighting the food of the rich. </w:t>
      </w:r>
      <w:r w:rsidRPr="00BE50E2">
        <w:rPr>
          <w:rFonts w:asciiTheme="majorHAnsi" w:hAnsiTheme="majorHAnsi" w:cstheme="majorHAnsi"/>
          <w:color w:val="000000"/>
          <w:shd w:val="clear" w:color="auto" w:fill="FFFFFF"/>
        </w:rPr>
        <w:t xml:space="preserve">The exhibition of food in museums </w:t>
      </w:r>
      <w:proofErr w:type="gramStart"/>
      <w:r w:rsidRPr="00BE50E2">
        <w:rPr>
          <w:rFonts w:asciiTheme="majorHAnsi" w:hAnsiTheme="majorHAnsi" w:cstheme="majorHAnsi"/>
          <w:color w:val="000000"/>
          <w:shd w:val="clear" w:color="auto" w:fill="FFFFFF"/>
        </w:rPr>
        <w:t>is often omitted</w:t>
      </w:r>
      <w:proofErr w:type="gramEnd"/>
      <w:r w:rsidRPr="00BE50E2">
        <w:rPr>
          <w:rFonts w:asciiTheme="majorHAnsi" w:hAnsiTheme="majorHAnsi" w:cstheme="majorHAnsi"/>
          <w:color w:val="000000"/>
          <w:shd w:val="clear" w:color="auto" w:fill="FFFFFF"/>
        </w:rPr>
        <w:t xml:space="preserve"> or reduced to the background. Food history, however, can be contextualized within the greater representations of museums of different genres that use food, bringing memories to life, making historical connections, and conjure memories. </w:t>
      </w:r>
      <w:r w:rsidRPr="00BE50E2">
        <w:rPr>
          <w:rStyle w:val="FootnoteReference"/>
          <w:rFonts w:asciiTheme="majorHAnsi" w:hAnsiTheme="majorHAnsi" w:cstheme="majorHAnsi"/>
        </w:rPr>
        <w:footnoteReference w:id="128"/>
      </w:r>
      <w:r w:rsidRPr="00BE50E2">
        <w:rPr>
          <w:rFonts w:asciiTheme="majorHAnsi" w:hAnsiTheme="majorHAnsi" w:cstheme="majorHAnsi"/>
          <w:color w:val="000000"/>
          <w:shd w:val="clear" w:color="auto" w:fill="FFFFFF"/>
        </w:rPr>
        <w:t xml:space="preserve">  Nowhere is the question of identity more passionately debated and fiercely defended than in Wales.</w:t>
      </w:r>
      <w:r w:rsidRPr="00BE50E2">
        <w:rPr>
          <w:rStyle w:val="FootnoteReference"/>
          <w:rFonts w:asciiTheme="majorHAnsi" w:hAnsiTheme="majorHAnsi" w:cstheme="majorHAnsi"/>
        </w:rPr>
        <w:footnoteReference w:id="129"/>
      </w:r>
      <w:r w:rsidRPr="00BE50E2">
        <w:rPr>
          <w:rFonts w:asciiTheme="majorHAnsi" w:hAnsiTheme="majorHAnsi" w:cstheme="majorHAnsi"/>
          <w:color w:val="000000"/>
          <w:shd w:val="clear" w:color="auto" w:fill="FFFFFF"/>
        </w:rPr>
        <w:t xml:space="preserve"> Undoubtedly, Welsh food heritage has a part to play in representing and celebrating Welsh identity. </w:t>
      </w:r>
    </w:p>
    <w:p w14:paraId="2514EE7E" w14:textId="77777777" w:rsidR="00BE50E2" w:rsidRPr="00BE50E2" w:rsidRDefault="00BE50E2" w:rsidP="00BE50E2">
      <w:pPr>
        <w:spacing w:line="360" w:lineRule="auto"/>
        <w:rPr>
          <w:rFonts w:asciiTheme="majorHAnsi" w:hAnsiTheme="majorHAnsi" w:cstheme="majorHAnsi"/>
          <w:color w:val="000000"/>
          <w:sz w:val="24"/>
          <w:szCs w:val="24"/>
          <w:shd w:val="clear" w:color="auto" w:fill="FFFFFF"/>
        </w:rPr>
      </w:pPr>
      <w:r w:rsidRPr="00BE50E2">
        <w:rPr>
          <w:rFonts w:asciiTheme="majorHAnsi" w:hAnsiTheme="majorHAnsi" w:cstheme="majorHAnsi"/>
          <w:color w:val="000000"/>
          <w:sz w:val="24"/>
          <w:szCs w:val="24"/>
          <w:shd w:val="clear" w:color="auto" w:fill="FFFFFF"/>
        </w:rPr>
        <w:t>A range of sites within Wales was chosen to examine as part of the research for this thesis. These include St Fagan’s Living History Museum, Big Pit (a mining museum on a UNESCO heritage site), Castell Henlys (an Iron Age site) and Llanerchaeron (a National Trust Site).</w:t>
      </w:r>
    </w:p>
    <w:p w14:paraId="2F0E0D93" w14:textId="609BCF61" w:rsidR="00BE50E2" w:rsidRPr="00BE50E2" w:rsidRDefault="00BE50E2" w:rsidP="00BE50E2">
      <w:pPr>
        <w:spacing w:line="360" w:lineRule="auto"/>
        <w:rPr>
          <w:rStyle w:val="normaltextrun"/>
          <w:rFonts w:asciiTheme="majorHAnsi" w:hAnsiTheme="majorHAnsi" w:cstheme="majorHAnsi"/>
          <w:sz w:val="24"/>
          <w:szCs w:val="24"/>
        </w:rPr>
      </w:pPr>
      <w:r w:rsidRPr="00BE50E2">
        <w:rPr>
          <w:rStyle w:val="normaltextrun"/>
          <w:rFonts w:asciiTheme="majorHAnsi" w:hAnsiTheme="majorHAnsi" w:cstheme="majorHAnsi"/>
          <w:sz w:val="24"/>
          <w:szCs w:val="24"/>
        </w:rPr>
        <w:t>With the Sydney Living Museum as an example of good practice of food representation within museums, factors such as visitor interaction and a variety of innovative displays, the Welsh museums visited are critiqued and analysed</w:t>
      </w:r>
      <w:r w:rsidR="00694609" w:rsidRPr="00BE50E2">
        <w:rPr>
          <w:rStyle w:val="normaltextrun"/>
          <w:rFonts w:asciiTheme="majorHAnsi" w:hAnsiTheme="majorHAnsi" w:cstheme="majorHAnsi"/>
          <w:sz w:val="24"/>
          <w:szCs w:val="24"/>
        </w:rPr>
        <w:t xml:space="preserve">. </w:t>
      </w:r>
    </w:p>
    <w:p w14:paraId="492B83EA" w14:textId="77777777" w:rsidR="00BE50E2" w:rsidRPr="00BE50E2" w:rsidRDefault="00BE50E2" w:rsidP="00BE50E2">
      <w:pPr>
        <w:pStyle w:val="paragraph"/>
        <w:spacing w:after="0" w:line="360" w:lineRule="auto"/>
        <w:textAlignment w:val="baseline"/>
        <w:rPr>
          <w:rFonts w:asciiTheme="majorHAnsi" w:hAnsiTheme="majorHAnsi" w:cstheme="majorHAnsi"/>
          <w:color w:val="000000"/>
          <w:shd w:val="clear" w:color="auto" w:fill="FFFFFF"/>
        </w:rPr>
      </w:pPr>
    </w:p>
    <w:p w14:paraId="257074BD" w14:textId="77777777" w:rsidR="00BE50E2" w:rsidRPr="00BE50E2" w:rsidRDefault="00BE50E2"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St Fagans Living History Museum</w:t>
      </w:r>
    </w:p>
    <w:p w14:paraId="663B2A22" w14:textId="77777777" w:rsidR="00BE50E2" w:rsidRPr="00BE50E2" w:rsidRDefault="00BE50E2" w:rsidP="0082676B">
      <w:pPr>
        <w:spacing w:line="360" w:lineRule="auto"/>
        <w:ind w:left="3402" w:hanging="425"/>
        <w:jc w:val="right"/>
        <w:rPr>
          <w:rFonts w:asciiTheme="majorHAnsi" w:hAnsiTheme="majorHAnsi" w:cstheme="majorHAnsi"/>
          <w:i/>
          <w:iCs/>
          <w:sz w:val="24"/>
          <w:szCs w:val="24"/>
        </w:rPr>
      </w:pPr>
      <w:r w:rsidRPr="00BE50E2">
        <w:rPr>
          <w:rFonts w:asciiTheme="majorHAnsi" w:hAnsiTheme="majorHAnsi" w:cstheme="majorHAnsi"/>
          <w:i/>
          <w:iCs/>
          <w:sz w:val="24"/>
          <w:szCs w:val="24"/>
        </w:rPr>
        <w:t xml:space="preserve">‘[The task] was not to create a museum which preserved the dead past under glass but one which uses the past to link </w:t>
      </w:r>
      <w:r w:rsidRPr="00BE50E2">
        <w:rPr>
          <w:rFonts w:asciiTheme="majorHAnsi" w:hAnsiTheme="majorHAnsi" w:cstheme="majorHAnsi"/>
          <w:i/>
          <w:iCs/>
          <w:sz w:val="24"/>
          <w:szCs w:val="24"/>
        </w:rPr>
        <w:lastRenderedPageBreak/>
        <w:t>up with the present to provide a strong foundation and a healthy environment for the future of their people.’</w:t>
      </w:r>
      <w:r w:rsidRPr="00BE50E2">
        <w:rPr>
          <w:rStyle w:val="FootnoteReference"/>
          <w:rFonts w:asciiTheme="majorHAnsi" w:hAnsiTheme="majorHAnsi" w:cstheme="majorHAnsi"/>
          <w:sz w:val="24"/>
          <w:szCs w:val="24"/>
        </w:rPr>
        <w:footnoteReference w:id="130"/>
      </w:r>
    </w:p>
    <w:p w14:paraId="06CC5264" w14:textId="77777777" w:rsidR="00BE50E2" w:rsidRPr="00BE50E2" w:rsidRDefault="00BE50E2" w:rsidP="00BE50E2">
      <w:pPr>
        <w:pStyle w:val="ListParagraph"/>
        <w:numPr>
          <w:ilvl w:val="0"/>
          <w:numId w:val="7"/>
        </w:numPr>
        <w:spacing w:line="360" w:lineRule="auto"/>
        <w:jc w:val="right"/>
        <w:rPr>
          <w:rFonts w:asciiTheme="majorHAnsi" w:hAnsiTheme="majorHAnsi" w:cstheme="majorHAnsi"/>
          <w:b/>
          <w:bCs/>
          <w:sz w:val="24"/>
          <w:szCs w:val="24"/>
        </w:rPr>
      </w:pPr>
      <w:r w:rsidRPr="00BE50E2">
        <w:rPr>
          <w:rFonts w:asciiTheme="majorHAnsi" w:hAnsiTheme="majorHAnsi" w:cstheme="majorHAnsi"/>
          <w:b/>
          <w:bCs/>
          <w:sz w:val="24"/>
          <w:szCs w:val="24"/>
        </w:rPr>
        <w:t>Iorwerth C Peate, 1948</w:t>
      </w:r>
    </w:p>
    <w:p w14:paraId="6781795A" w14:textId="77777777" w:rsidR="00BE50E2" w:rsidRPr="00BE50E2" w:rsidRDefault="00BE50E2" w:rsidP="00BE50E2">
      <w:pPr>
        <w:pStyle w:val="ListParagraph"/>
        <w:numPr>
          <w:ilvl w:val="0"/>
          <w:numId w:val="7"/>
        </w:numPr>
        <w:spacing w:line="360" w:lineRule="auto"/>
        <w:jc w:val="right"/>
        <w:rPr>
          <w:rFonts w:asciiTheme="majorHAnsi" w:hAnsiTheme="majorHAnsi" w:cstheme="majorHAnsi"/>
          <w:b/>
          <w:bCs/>
          <w:sz w:val="24"/>
          <w:szCs w:val="24"/>
        </w:rPr>
      </w:pPr>
    </w:p>
    <w:p w14:paraId="6D196648" w14:textId="16FF92C2"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St Fagans is a living history museum based in Cardiff, South Wales. As it is a living history museum, it presents one of the best opportunities to bring in food culture, </w:t>
      </w:r>
      <w:r w:rsidR="00694609" w:rsidRPr="00BE50E2">
        <w:rPr>
          <w:rFonts w:asciiTheme="majorHAnsi" w:hAnsiTheme="majorHAnsi" w:cstheme="majorHAnsi"/>
          <w:sz w:val="24"/>
          <w:szCs w:val="24"/>
        </w:rPr>
        <w:t>traditions,</w:t>
      </w:r>
      <w:r w:rsidRPr="00BE50E2">
        <w:rPr>
          <w:rFonts w:asciiTheme="majorHAnsi" w:hAnsiTheme="majorHAnsi" w:cstheme="majorHAnsi"/>
          <w:sz w:val="24"/>
          <w:szCs w:val="24"/>
        </w:rPr>
        <w:t xml:space="preserve"> and heritage through their displays. For Wales, where a lot of our food traditions come from family rather than grand events it would be considered a key museum to recognise these food traditions, because when it was launched in 1948, it was to ‘reflect the everyday lives of ordinary people.’</w:t>
      </w:r>
      <w:r w:rsidRPr="00BE50E2">
        <w:rPr>
          <w:rStyle w:val="FootnoteReference"/>
          <w:rFonts w:asciiTheme="majorHAnsi" w:hAnsiTheme="majorHAnsi" w:cstheme="majorHAnsi"/>
          <w:sz w:val="24"/>
          <w:szCs w:val="24"/>
        </w:rPr>
        <w:footnoteReference w:id="131"/>
      </w:r>
      <w:r w:rsidRPr="00BE50E2">
        <w:rPr>
          <w:rFonts w:asciiTheme="majorHAnsi" w:hAnsiTheme="majorHAnsi" w:cstheme="majorHAnsi"/>
          <w:sz w:val="24"/>
          <w:szCs w:val="24"/>
        </w:rPr>
        <w:t xml:space="preserve"> Prof G J Williams in a radio appeal in 1958 highlighted how a ‘folk museum must illustrate not only the material side of life and culture but also the activities of mind and spirit… it is not only a matter of great importance but also of extreme urgency.’</w:t>
      </w:r>
      <w:r w:rsidRPr="00BE50E2">
        <w:rPr>
          <w:rStyle w:val="FootnoteReference"/>
          <w:rFonts w:asciiTheme="majorHAnsi" w:hAnsiTheme="majorHAnsi" w:cstheme="majorHAnsi"/>
          <w:sz w:val="24"/>
          <w:szCs w:val="24"/>
        </w:rPr>
        <w:footnoteReference w:id="132"/>
      </w:r>
      <w:r w:rsidRPr="00BE50E2">
        <w:rPr>
          <w:rFonts w:asciiTheme="majorHAnsi" w:hAnsiTheme="majorHAnsi" w:cstheme="majorHAnsi"/>
          <w:sz w:val="24"/>
          <w:szCs w:val="24"/>
        </w:rPr>
        <w:t xml:space="preserve"> As food is so closely linked with national identity, it would be paramount for the integration of it within the museum displays to fulfil the original aims of the museum which included its need ‘to cross the bridge of memories.’</w:t>
      </w:r>
      <w:r w:rsidRPr="00BE50E2">
        <w:rPr>
          <w:rStyle w:val="FootnoteReference"/>
          <w:rFonts w:asciiTheme="majorHAnsi" w:hAnsiTheme="majorHAnsi" w:cstheme="majorHAnsi"/>
          <w:sz w:val="24"/>
          <w:szCs w:val="24"/>
        </w:rPr>
        <w:footnoteReference w:id="133"/>
      </w:r>
    </w:p>
    <w:p w14:paraId="0275CA47"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St Fagans uses a multidimensional approach to their displays. There are traditional displays that are behind glass and rope, often these are archaeological remains or items that are too delicate to </w:t>
      </w:r>
      <w:proofErr w:type="gramStart"/>
      <w:r w:rsidRPr="00BE50E2">
        <w:rPr>
          <w:rFonts w:asciiTheme="majorHAnsi" w:hAnsiTheme="majorHAnsi" w:cstheme="majorHAnsi"/>
          <w:sz w:val="24"/>
          <w:szCs w:val="24"/>
        </w:rPr>
        <w:t>be touched</w:t>
      </w:r>
      <w:proofErr w:type="gramEnd"/>
      <w:r w:rsidRPr="00BE50E2">
        <w:rPr>
          <w:rFonts w:asciiTheme="majorHAnsi" w:hAnsiTheme="majorHAnsi" w:cstheme="majorHAnsi"/>
          <w:sz w:val="24"/>
          <w:szCs w:val="24"/>
        </w:rPr>
        <w:t xml:space="preserve">. Visitors can wander through a series of reclaimed and restored historical buildings from different areas of Wales, styled to represent the period of the architecture, </w:t>
      </w:r>
      <w:proofErr w:type="gramStart"/>
      <w:r w:rsidRPr="00BE50E2">
        <w:rPr>
          <w:rFonts w:asciiTheme="majorHAnsi" w:hAnsiTheme="majorHAnsi" w:cstheme="majorHAnsi"/>
          <w:sz w:val="24"/>
          <w:szCs w:val="24"/>
        </w:rPr>
        <w:t>many</w:t>
      </w:r>
      <w:proofErr w:type="gramEnd"/>
      <w:r w:rsidRPr="00BE50E2">
        <w:rPr>
          <w:rFonts w:asciiTheme="majorHAnsi" w:hAnsiTheme="majorHAnsi" w:cstheme="majorHAnsi"/>
          <w:sz w:val="24"/>
          <w:szCs w:val="24"/>
        </w:rPr>
        <w:t xml:space="preserve"> of these are homes. Rhyd-y-car Terrace presents typical Welsh home styles from 1805, 1855, 1895, 1925, 1955 and 1985. The earlier homes have fires lit in the hearth and cooking utensils on display, the later homes show the adaptation to the modern day, with gas and electric heating and cooking appliances. Food displays within the buildings show a representation of what each type of family would have eaten within the era represented. In comparison to the Sydney Living Museum which presents real foods that </w:t>
      </w:r>
      <w:r w:rsidRPr="00BE50E2">
        <w:rPr>
          <w:rFonts w:asciiTheme="majorHAnsi" w:hAnsiTheme="majorHAnsi" w:cstheme="majorHAnsi"/>
          <w:sz w:val="24"/>
          <w:szCs w:val="24"/>
        </w:rPr>
        <w:lastRenderedPageBreak/>
        <w:t xml:space="preserve">have </w:t>
      </w:r>
      <w:proofErr w:type="gramStart"/>
      <w:r w:rsidRPr="00BE50E2">
        <w:rPr>
          <w:rFonts w:asciiTheme="majorHAnsi" w:hAnsiTheme="majorHAnsi" w:cstheme="majorHAnsi"/>
          <w:sz w:val="24"/>
          <w:szCs w:val="24"/>
        </w:rPr>
        <w:t>been preserved</w:t>
      </w:r>
      <w:proofErr w:type="gramEnd"/>
      <w:r w:rsidRPr="00BE50E2">
        <w:rPr>
          <w:rFonts w:asciiTheme="majorHAnsi" w:hAnsiTheme="majorHAnsi" w:cstheme="majorHAnsi"/>
          <w:sz w:val="24"/>
          <w:szCs w:val="24"/>
        </w:rPr>
        <w:t xml:space="preserve">, St Fagans however, often defers to fake food made of plastic. These displays can often look unrealistic, </w:t>
      </w:r>
      <w:proofErr w:type="gramStart"/>
      <w:r w:rsidRPr="00BE50E2">
        <w:rPr>
          <w:rFonts w:asciiTheme="majorHAnsi" w:hAnsiTheme="majorHAnsi" w:cstheme="majorHAnsi"/>
          <w:sz w:val="24"/>
          <w:szCs w:val="24"/>
        </w:rPr>
        <w:t>and also</w:t>
      </w:r>
      <w:proofErr w:type="gramEnd"/>
      <w:r w:rsidRPr="00BE50E2">
        <w:rPr>
          <w:rFonts w:asciiTheme="majorHAnsi" w:hAnsiTheme="majorHAnsi" w:cstheme="majorHAnsi"/>
          <w:sz w:val="24"/>
          <w:szCs w:val="24"/>
        </w:rPr>
        <w:t xml:space="preserve"> offer limited sensory engagement.</w:t>
      </w:r>
    </w:p>
    <w:p w14:paraId="7BDDAB7B"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drawing>
          <wp:inline distT="0" distB="0" distL="0" distR="0" wp14:anchorId="50EDC623" wp14:editId="4CD70A86">
            <wp:extent cx="1391264" cy="1855070"/>
            <wp:effectExtent l="0" t="3493" r="0" b="0"/>
            <wp:docPr id="7" name="Picture 7" descr="Figure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Figure 1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flipH="1">
                      <a:off x="0" y="0"/>
                      <a:ext cx="1417161" cy="1889601"/>
                    </a:xfrm>
                    <a:prstGeom prst="rect">
                      <a:avLst/>
                    </a:prstGeom>
                    <a:noFill/>
                    <a:ln>
                      <a:noFill/>
                    </a:ln>
                  </pic:spPr>
                </pic:pic>
              </a:graphicData>
            </a:graphic>
          </wp:inline>
        </w:drawing>
      </w:r>
    </w:p>
    <w:p w14:paraId="0208758A" w14:textId="2E076DDB" w:rsidR="00BE50E2" w:rsidRPr="00BE50E2" w:rsidRDefault="00BE50E2" w:rsidP="00BE50E2">
      <w:pPr>
        <w:pStyle w:val="Caption"/>
        <w:spacing w:line="360" w:lineRule="auto"/>
        <w:rPr>
          <w:rFonts w:asciiTheme="majorHAnsi" w:hAnsiTheme="majorHAnsi" w:cstheme="majorHAnsi"/>
          <w:sz w:val="24"/>
          <w:szCs w:val="24"/>
        </w:rPr>
      </w:pPr>
      <w:bookmarkStart w:id="13" w:name="_Toc125402971"/>
      <w:bookmarkStart w:id="14" w:name="_Toc125481806"/>
      <w:bookmarkStart w:id="15" w:name="_Toc125481920"/>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2</w:t>
      </w:r>
      <w:r w:rsidRPr="00BE50E2">
        <w:rPr>
          <w:rFonts w:asciiTheme="majorHAnsi" w:hAnsiTheme="majorHAnsi" w:cstheme="majorHAnsi"/>
          <w:sz w:val="24"/>
          <w:szCs w:val="24"/>
        </w:rPr>
        <w:fldChar w:fldCharType="end"/>
      </w:r>
      <w:r w:rsidRPr="00BE50E2">
        <w:rPr>
          <w:rFonts w:asciiTheme="majorHAnsi" w:hAnsiTheme="majorHAnsi" w:cstheme="majorHAnsi"/>
          <w:noProof/>
          <w:sz w:val="24"/>
          <w:szCs w:val="24"/>
        </w:rPr>
        <w:t xml:space="preserve"> Driscoll, Laura-Cait. A Modern Meal at St Fagans Living History Museum. 23</w:t>
      </w:r>
      <w:r w:rsidRPr="00BE50E2">
        <w:rPr>
          <w:rFonts w:asciiTheme="majorHAnsi" w:hAnsiTheme="majorHAnsi" w:cstheme="majorHAnsi"/>
          <w:noProof/>
          <w:sz w:val="24"/>
          <w:szCs w:val="24"/>
          <w:vertAlign w:val="superscript"/>
        </w:rPr>
        <w:t>rd</w:t>
      </w:r>
      <w:r w:rsidRPr="00BE50E2">
        <w:rPr>
          <w:rFonts w:asciiTheme="majorHAnsi" w:hAnsiTheme="majorHAnsi" w:cstheme="majorHAnsi"/>
          <w:noProof/>
          <w:sz w:val="24"/>
          <w:szCs w:val="24"/>
        </w:rPr>
        <w:t xml:space="preserve"> October 2022. Authors Personal Collection</w:t>
      </w:r>
      <w:bookmarkEnd w:id="13"/>
      <w:bookmarkEnd w:id="14"/>
      <w:bookmarkEnd w:id="15"/>
    </w:p>
    <w:p w14:paraId="1991F040"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 </w:t>
      </w:r>
      <w:r w:rsidRPr="00BE50E2">
        <w:rPr>
          <w:rFonts w:asciiTheme="majorHAnsi" w:hAnsiTheme="majorHAnsi" w:cstheme="majorHAnsi"/>
          <w:noProof/>
          <w:sz w:val="24"/>
          <w:szCs w:val="24"/>
        </w:rPr>
        <w:drawing>
          <wp:inline distT="0" distB="0" distL="0" distR="0" wp14:anchorId="70BBA067" wp14:editId="69057492">
            <wp:extent cx="1838825" cy="1379220"/>
            <wp:effectExtent l="0" t="0" r="9525" b="0"/>
            <wp:docPr id="8" name="Picture 8"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 description availab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46819" cy="1385216"/>
                    </a:xfrm>
                    <a:prstGeom prst="rect">
                      <a:avLst/>
                    </a:prstGeom>
                    <a:noFill/>
                    <a:ln>
                      <a:noFill/>
                    </a:ln>
                  </pic:spPr>
                </pic:pic>
              </a:graphicData>
            </a:graphic>
          </wp:inline>
        </w:drawing>
      </w:r>
    </w:p>
    <w:p w14:paraId="0EBA74D0" w14:textId="438E9997" w:rsidR="00BE50E2" w:rsidRPr="00BE50E2" w:rsidRDefault="00BE50E2" w:rsidP="00BE50E2">
      <w:pPr>
        <w:pStyle w:val="Caption"/>
        <w:spacing w:line="360" w:lineRule="auto"/>
        <w:rPr>
          <w:rFonts w:asciiTheme="majorHAnsi" w:hAnsiTheme="majorHAnsi" w:cstheme="majorHAnsi"/>
          <w:sz w:val="24"/>
          <w:szCs w:val="24"/>
        </w:rPr>
      </w:pPr>
      <w:bookmarkStart w:id="16" w:name="_Toc125402972"/>
      <w:bookmarkStart w:id="17" w:name="_Toc125481807"/>
      <w:bookmarkStart w:id="18" w:name="_Toc125481921"/>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3</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xml:space="preserve"> Driscoll, Laura-Cait. A Modern Kitchen at St Fagans Living History Museum. 23</w:t>
      </w:r>
      <w:r w:rsidRPr="00BE50E2">
        <w:rPr>
          <w:rFonts w:asciiTheme="majorHAnsi" w:hAnsiTheme="majorHAnsi" w:cstheme="majorHAnsi"/>
          <w:sz w:val="24"/>
          <w:szCs w:val="24"/>
          <w:vertAlign w:val="superscript"/>
        </w:rPr>
        <w:t>rd</w:t>
      </w:r>
      <w:r w:rsidRPr="00BE50E2">
        <w:rPr>
          <w:rFonts w:asciiTheme="majorHAnsi" w:hAnsiTheme="majorHAnsi" w:cstheme="majorHAnsi"/>
          <w:sz w:val="24"/>
          <w:szCs w:val="24"/>
        </w:rPr>
        <w:t xml:space="preserve"> October 2022. </w:t>
      </w:r>
      <w:r w:rsidRPr="00BE50E2">
        <w:rPr>
          <w:rFonts w:asciiTheme="majorHAnsi" w:hAnsiTheme="majorHAnsi" w:cstheme="majorHAnsi"/>
          <w:noProof/>
          <w:sz w:val="24"/>
          <w:szCs w:val="24"/>
        </w:rPr>
        <w:t>Authors Personal Collection</w:t>
      </w:r>
      <w:bookmarkEnd w:id="16"/>
      <w:bookmarkEnd w:id="17"/>
      <w:bookmarkEnd w:id="18"/>
    </w:p>
    <w:p w14:paraId="22200477"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 </w:t>
      </w:r>
    </w:p>
    <w:p w14:paraId="415805D9"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 </w:t>
      </w:r>
      <w:r w:rsidRPr="00BE50E2">
        <w:rPr>
          <w:rFonts w:asciiTheme="majorHAnsi" w:hAnsiTheme="majorHAnsi" w:cstheme="majorHAnsi"/>
          <w:noProof/>
          <w:sz w:val="24"/>
          <w:szCs w:val="24"/>
        </w:rPr>
        <w:drawing>
          <wp:inline distT="0" distB="0" distL="0" distR="0" wp14:anchorId="1155E746" wp14:editId="279620ED">
            <wp:extent cx="1844040" cy="1383132"/>
            <wp:effectExtent l="0" t="0" r="3810" b="7620"/>
            <wp:docPr id="10" name="Picture 1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escription availab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49176" cy="1386984"/>
                    </a:xfrm>
                    <a:prstGeom prst="rect">
                      <a:avLst/>
                    </a:prstGeom>
                    <a:noFill/>
                    <a:ln>
                      <a:noFill/>
                    </a:ln>
                  </pic:spPr>
                </pic:pic>
              </a:graphicData>
            </a:graphic>
          </wp:inline>
        </w:drawing>
      </w:r>
    </w:p>
    <w:p w14:paraId="68E52DA5" w14:textId="6A0364A8" w:rsidR="00BE50E2" w:rsidRPr="00BE50E2" w:rsidRDefault="00BE50E2" w:rsidP="00BE50E2">
      <w:pPr>
        <w:pStyle w:val="Caption"/>
        <w:spacing w:line="360" w:lineRule="auto"/>
        <w:rPr>
          <w:rFonts w:asciiTheme="majorHAnsi" w:hAnsiTheme="majorHAnsi" w:cstheme="majorHAnsi"/>
          <w:sz w:val="24"/>
          <w:szCs w:val="24"/>
        </w:rPr>
      </w:pPr>
      <w:bookmarkStart w:id="19" w:name="_Toc125402973"/>
      <w:bookmarkStart w:id="20" w:name="_Toc125481808"/>
      <w:bookmarkStart w:id="21" w:name="_Toc125481922"/>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4</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xml:space="preserve">. Driscoll, Laura Cait. St Fagans Fireplace Kitchen. 23rd October 2022. </w:t>
      </w:r>
      <w:r w:rsidRPr="00BE50E2">
        <w:rPr>
          <w:rFonts w:asciiTheme="majorHAnsi" w:hAnsiTheme="majorHAnsi" w:cstheme="majorHAnsi"/>
          <w:noProof/>
          <w:sz w:val="24"/>
          <w:szCs w:val="24"/>
        </w:rPr>
        <w:t>Authors Personal Collection</w:t>
      </w:r>
      <w:bookmarkEnd w:id="19"/>
      <w:bookmarkEnd w:id="20"/>
      <w:bookmarkEnd w:id="21"/>
    </w:p>
    <w:p w14:paraId="3B150EA6" w14:textId="77777777"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When it comes to the olfactory aspect of displaying food heritage, although they use the senses regarding heating the buildings with fire, they do not go that one step further to add the cooking of real food or the use of synthetic smells within their buildings. This feels like a </w:t>
      </w:r>
      <w:r w:rsidRPr="48F23DBF">
        <w:rPr>
          <w:rFonts w:asciiTheme="majorHAnsi" w:hAnsiTheme="majorHAnsi" w:cstheme="majorBidi"/>
          <w:sz w:val="24"/>
          <w:szCs w:val="24"/>
        </w:rPr>
        <w:lastRenderedPageBreak/>
        <w:t xml:space="preserve">missed opportunity to enhance a visitor experience and trigger memories. Visitors are unable to go back through time using their senses. </w:t>
      </w:r>
      <w:r w:rsidRPr="00BE50E2">
        <w:rPr>
          <w:rFonts w:asciiTheme="majorHAnsi" w:hAnsiTheme="majorHAnsi" w:cstheme="majorHAnsi"/>
          <w:sz w:val="24"/>
          <w:szCs w:val="24"/>
        </w:rPr>
        <w:br/>
      </w:r>
      <w:r w:rsidRPr="48F23DBF">
        <w:rPr>
          <w:rFonts w:asciiTheme="majorHAnsi" w:hAnsiTheme="majorHAnsi" w:cstheme="majorBidi"/>
          <w:sz w:val="24"/>
          <w:szCs w:val="24"/>
        </w:rPr>
        <w:t xml:space="preserve">Although they do have </w:t>
      </w:r>
      <w:bookmarkStart w:id="22" w:name="_Int_JgLsoc3T"/>
      <w:proofErr w:type="gramStart"/>
      <w:r w:rsidRPr="48F23DBF">
        <w:rPr>
          <w:rFonts w:asciiTheme="majorHAnsi" w:hAnsiTheme="majorHAnsi" w:cstheme="majorBidi"/>
          <w:sz w:val="24"/>
          <w:szCs w:val="24"/>
        </w:rPr>
        <w:t>real dried</w:t>
      </w:r>
      <w:bookmarkEnd w:id="22"/>
      <w:proofErr w:type="gramEnd"/>
      <w:r w:rsidRPr="48F23DBF">
        <w:rPr>
          <w:rFonts w:asciiTheme="majorHAnsi" w:hAnsiTheme="majorHAnsi" w:cstheme="majorBidi"/>
          <w:sz w:val="24"/>
          <w:szCs w:val="24"/>
        </w:rPr>
        <w:t xml:space="preserve"> herbs within some buildings, they are often so old that they are fragile and falling apart as well as no longer have a smell. This is something, as stated by Sydney Living Museum, </w:t>
      </w:r>
      <w:proofErr w:type="gramStart"/>
      <w:r w:rsidRPr="48F23DBF">
        <w:rPr>
          <w:rFonts w:asciiTheme="majorHAnsi" w:hAnsiTheme="majorHAnsi" w:cstheme="majorBidi"/>
          <w:sz w:val="24"/>
          <w:szCs w:val="24"/>
        </w:rPr>
        <w:t>that</w:t>
      </w:r>
      <w:proofErr w:type="gramEnd"/>
      <w:r w:rsidRPr="48F23DBF">
        <w:rPr>
          <w:rFonts w:asciiTheme="majorHAnsi" w:hAnsiTheme="majorHAnsi" w:cstheme="majorBidi"/>
          <w:sz w:val="24"/>
          <w:szCs w:val="24"/>
        </w:rPr>
        <w:t xml:space="preserve"> needs to be, replenished often as the effects and smells fade.</w:t>
      </w:r>
      <w:r w:rsidRPr="48F23DBF">
        <w:rPr>
          <w:rStyle w:val="FootnoteReference"/>
          <w:rFonts w:asciiTheme="majorHAnsi" w:hAnsiTheme="majorHAnsi" w:cstheme="majorBidi"/>
          <w:sz w:val="24"/>
          <w:szCs w:val="24"/>
        </w:rPr>
        <w:footnoteReference w:id="134"/>
      </w:r>
      <w:r w:rsidRPr="48F23DBF">
        <w:rPr>
          <w:rFonts w:asciiTheme="majorHAnsi" w:hAnsiTheme="majorHAnsi" w:cstheme="majorBidi"/>
          <w:sz w:val="24"/>
          <w:szCs w:val="24"/>
        </w:rPr>
        <w:t xml:space="preserve">   </w:t>
      </w:r>
    </w:p>
    <w:p w14:paraId="31DFCBE0" w14:textId="77777777"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As St Fagans original plan was for the museum to “teach the world about Wales and the Welsh about their own fatherland”</w:t>
      </w:r>
      <w:r w:rsidRPr="48F23DBF">
        <w:rPr>
          <w:rStyle w:val="FootnoteReference"/>
          <w:rFonts w:asciiTheme="majorHAnsi" w:hAnsiTheme="majorHAnsi" w:cstheme="majorBidi"/>
          <w:sz w:val="24"/>
          <w:szCs w:val="24"/>
        </w:rPr>
        <w:footnoteReference w:id="135"/>
      </w:r>
      <w:r w:rsidRPr="48F23DBF">
        <w:rPr>
          <w:rFonts w:asciiTheme="majorHAnsi" w:hAnsiTheme="majorHAnsi" w:cstheme="majorBidi"/>
          <w:sz w:val="24"/>
          <w:szCs w:val="24"/>
        </w:rPr>
        <w:t>, there is a noticeable absence of food in the context of being something so integral to the experience of Welsh people, traditions</w:t>
      </w:r>
      <w:r w:rsidR="7C25FFCB" w:rsidRPr="48F23DBF">
        <w:rPr>
          <w:rFonts w:asciiTheme="majorHAnsi" w:hAnsiTheme="majorHAnsi" w:cstheme="majorBidi"/>
          <w:sz w:val="24"/>
          <w:szCs w:val="24"/>
        </w:rPr>
        <w:t>,</w:t>
      </w:r>
      <w:r w:rsidRPr="48F23DBF">
        <w:rPr>
          <w:rFonts w:asciiTheme="majorHAnsi" w:hAnsiTheme="majorHAnsi" w:cstheme="majorBidi"/>
          <w:sz w:val="24"/>
          <w:szCs w:val="24"/>
        </w:rPr>
        <w:t xml:space="preserve"> and culture. This absence means it is difficult for the museum to evoke empathy and memories from its visitors. The museum does engage with the food aspect of the Welsh people with </w:t>
      </w:r>
      <w:proofErr w:type="gramStart"/>
      <w:r w:rsidRPr="48F23DBF">
        <w:rPr>
          <w:rFonts w:asciiTheme="majorHAnsi" w:hAnsiTheme="majorHAnsi" w:cstheme="majorBidi"/>
          <w:sz w:val="24"/>
          <w:szCs w:val="24"/>
        </w:rPr>
        <w:t>some of</w:t>
      </w:r>
      <w:proofErr w:type="gramEnd"/>
      <w:r w:rsidRPr="48F23DBF">
        <w:rPr>
          <w:rFonts w:asciiTheme="majorHAnsi" w:hAnsiTheme="majorHAnsi" w:cstheme="majorBidi"/>
          <w:sz w:val="24"/>
          <w:szCs w:val="24"/>
        </w:rPr>
        <w:t xml:space="preserve"> the buildings such as the bakery and shop, but it is missing from some of the houses where relatability would play a key role. </w:t>
      </w:r>
    </w:p>
    <w:p w14:paraId="719D147B"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drawing>
          <wp:inline distT="0" distB="0" distL="0" distR="0" wp14:anchorId="4579FC4A" wp14:editId="73D074B4">
            <wp:extent cx="1900185" cy="2533650"/>
            <wp:effectExtent l="0" t="0" r="5080" b="0"/>
            <wp:docPr id="5" name="Picture 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 description availab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09341" cy="2545859"/>
                    </a:xfrm>
                    <a:prstGeom prst="rect">
                      <a:avLst/>
                    </a:prstGeom>
                    <a:noFill/>
                    <a:ln>
                      <a:noFill/>
                    </a:ln>
                  </pic:spPr>
                </pic:pic>
              </a:graphicData>
            </a:graphic>
          </wp:inline>
        </w:drawing>
      </w:r>
    </w:p>
    <w:p w14:paraId="3227B728" w14:textId="73583EEE" w:rsidR="00BE50E2" w:rsidRPr="00BE50E2" w:rsidRDefault="00BE50E2" w:rsidP="00BE50E2">
      <w:pPr>
        <w:pStyle w:val="Caption"/>
        <w:spacing w:line="360" w:lineRule="auto"/>
        <w:rPr>
          <w:rFonts w:asciiTheme="majorHAnsi" w:hAnsiTheme="majorHAnsi" w:cstheme="majorHAnsi"/>
          <w:sz w:val="24"/>
          <w:szCs w:val="24"/>
        </w:rPr>
      </w:pPr>
      <w:bookmarkStart w:id="23" w:name="_Toc125402974"/>
      <w:bookmarkStart w:id="24" w:name="_Toc125481809"/>
      <w:bookmarkStart w:id="25" w:name="_Toc125481923"/>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5</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St Fagans Traditional Bakery. 23rd October 2022. Authors Personal Collection</w:t>
      </w:r>
      <w:bookmarkEnd w:id="23"/>
      <w:bookmarkEnd w:id="24"/>
      <w:bookmarkEnd w:id="25"/>
    </w:p>
    <w:p w14:paraId="38AA58C4"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sz w:val="24"/>
          <w:szCs w:val="24"/>
        </w:rPr>
        <w:lastRenderedPageBreak/>
        <w:t xml:space="preserve">  </w:t>
      </w:r>
      <w:r w:rsidRPr="00BE50E2">
        <w:rPr>
          <w:rFonts w:asciiTheme="majorHAnsi" w:hAnsiTheme="majorHAnsi" w:cstheme="majorHAnsi"/>
          <w:noProof/>
          <w:sz w:val="24"/>
          <w:szCs w:val="24"/>
        </w:rPr>
        <w:drawing>
          <wp:inline distT="0" distB="0" distL="0" distR="0" wp14:anchorId="1F1A04B8" wp14:editId="4433CCE7">
            <wp:extent cx="2193070" cy="2924175"/>
            <wp:effectExtent l="0" t="0" r="0" b="0"/>
            <wp:docPr id="6" name="Picture 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 description avail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27582" cy="2970192"/>
                    </a:xfrm>
                    <a:prstGeom prst="rect">
                      <a:avLst/>
                    </a:prstGeom>
                    <a:noFill/>
                    <a:ln>
                      <a:noFill/>
                    </a:ln>
                  </pic:spPr>
                </pic:pic>
              </a:graphicData>
            </a:graphic>
          </wp:inline>
        </w:drawing>
      </w:r>
    </w:p>
    <w:p w14:paraId="7A1C2BDE" w14:textId="03820DDC" w:rsidR="00BE50E2" w:rsidRPr="00BE50E2" w:rsidRDefault="00BE50E2" w:rsidP="00BE50E2">
      <w:pPr>
        <w:pStyle w:val="Caption"/>
        <w:spacing w:line="360" w:lineRule="auto"/>
        <w:rPr>
          <w:rFonts w:asciiTheme="majorHAnsi" w:hAnsiTheme="majorHAnsi" w:cstheme="majorHAnsi"/>
          <w:sz w:val="24"/>
          <w:szCs w:val="24"/>
        </w:rPr>
      </w:pPr>
      <w:bookmarkStart w:id="26" w:name="_Toc125402975"/>
      <w:bookmarkStart w:id="27" w:name="_Toc125481810"/>
      <w:bookmarkStart w:id="28" w:name="_Toc125481924"/>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6</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St Fagans Cakes at Bakery. 23rd October 2022. Authors Personal Collection</w:t>
      </w:r>
      <w:bookmarkEnd w:id="26"/>
      <w:bookmarkEnd w:id="27"/>
      <w:bookmarkEnd w:id="28"/>
    </w:p>
    <w:p w14:paraId="25CBED98"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St Fagans has a range of online collections available which include historical recipes that they have collated from different areas of Wales. This is a positive way forward for the museum, especially the ones that have videos attached to demonstrate how to make the recipes. This approach has been successful in the Sydney Living Museum where curators also include a separate blog space. Visitors to the site can post food stories, recipes, videos and more providing an interactive tool that is easy to access for visitors who want to explore further and those who are unable to visit the museum itself to still feel connected to the food traditions and culture. This potentially is something that St Fagans could develop to enhance their online content. If Welsh food heritage is to </w:t>
      </w:r>
      <w:proofErr w:type="gramStart"/>
      <w:r w:rsidRPr="00BE50E2">
        <w:rPr>
          <w:rFonts w:asciiTheme="majorHAnsi" w:hAnsiTheme="majorHAnsi" w:cstheme="majorHAnsi"/>
          <w:sz w:val="24"/>
          <w:szCs w:val="24"/>
        </w:rPr>
        <w:t>be experienced</w:t>
      </w:r>
      <w:proofErr w:type="gramEnd"/>
      <w:r w:rsidRPr="00BE50E2">
        <w:rPr>
          <w:rFonts w:asciiTheme="majorHAnsi" w:hAnsiTheme="majorHAnsi" w:cstheme="majorHAnsi"/>
          <w:sz w:val="24"/>
          <w:szCs w:val="24"/>
        </w:rPr>
        <w:t xml:space="preserve"> as UNESCO outlines, it needs to be ‘created, maintained and transmitted’</w:t>
      </w:r>
      <w:r w:rsidRPr="00BE50E2">
        <w:rPr>
          <w:rStyle w:val="FootnoteReference"/>
          <w:rFonts w:asciiTheme="majorHAnsi" w:hAnsiTheme="majorHAnsi" w:cstheme="majorHAnsi"/>
          <w:sz w:val="24"/>
          <w:szCs w:val="24"/>
        </w:rPr>
        <w:footnoteReference w:id="136"/>
      </w:r>
      <w:r w:rsidRPr="00BE50E2">
        <w:rPr>
          <w:rFonts w:asciiTheme="majorHAnsi" w:hAnsiTheme="majorHAnsi" w:cstheme="majorHAnsi"/>
          <w:sz w:val="24"/>
          <w:szCs w:val="24"/>
        </w:rPr>
        <w:t xml:space="preserve"> by members of the communities themselves. Museums like St Fagans have a role to play in encouraging these discussions and conversations relating to the food heritage of Wales. </w:t>
      </w:r>
    </w:p>
    <w:p w14:paraId="1B66A322"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There are </w:t>
      </w:r>
      <w:proofErr w:type="gramStart"/>
      <w:r w:rsidRPr="00BE50E2">
        <w:rPr>
          <w:rFonts w:asciiTheme="majorHAnsi" w:hAnsiTheme="majorHAnsi" w:cstheme="majorHAnsi"/>
          <w:sz w:val="24"/>
          <w:szCs w:val="24"/>
        </w:rPr>
        <w:t>many</w:t>
      </w:r>
      <w:proofErr w:type="gramEnd"/>
      <w:r w:rsidRPr="00BE50E2">
        <w:rPr>
          <w:rFonts w:asciiTheme="majorHAnsi" w:hAnsiTheme="majorHAnsi" w:cstheme="majorHAnsi"/>
          <w:sz w:val="24"/>
          <w:szCs w:val="24"/>
        </w:rPr>
        <w:t xml:space="preserve"> things that St Fagans do well within their museum, but there are also things that they could implement to take it one step further. It is relevant to note that many museums depend on the funding given and are constrained by the practicalities of risk assessments they need to take, if there are staff who are specifically there to put these ideas </w:t>
      </w:r>
      <w:r w:rsidRPr="00BE50E2">
        <w:rPr>
          <w:rFonts w:asciiTheme="majorHAnsi" w:hAnsiTheme="majorHAnsi" w:cstheme="majorHAnsi"/>
          <w:sz w:val="24"/>
          <w:szCs w:val="24"/>
        </w:rPr>
        <w:lastRenderedPageBreak/>
        <w:t xml:space="preserve">forward or if they even have the resources available to them. There has to be a willingness to be innovative with displays and also the administrative structure and funding that allows for the innovations to be put in place. </w:t>
      </w:r>
    </w:p>
    <w:p w14:paraId="4B8D0AB2" w14:textId="77777777" w:rsidR="00BE50E2" w:rsidRPr="00BE50E2" w:rsidRDefault="00BE50E2" w:rsidP="00BE50E2">
      <w:pPr>
        <w:spacing w:line="360" w:lineRule="auto"/>
        <w:rPr>
          <w:rFonts w:asciiTheme="majorHAnsi" w:hAnsiTheme="majorHAnsi" w:cstheme="majorHAnsi"/>
          <w:sz w:val="24"/>
          <w:szCs w:val="24"/>
        </w:rPr>
      </w:pPr>
    </w:p>
    <w:p w14:paraId="7CE0231B" w14:textId="77777777" w:rsidR="00BE50E2" w:rsidRPr="00BE50E2" w:rsidRDefault="00BE50E2"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Llanerchaeron National Trust Manor House</w:t>
      </w:r>
    </w:p>
    <w:p w14:paraId="3DAFB7D9" w14:textId="77777777" w:rsidR="00BE50E2" w:rsidRPr="00BE50E2" w:rsidRDefault="00BE50E2" w:rsidP="00BE50E2">
      <w:pPr>
        <w:spacing w:line="360" w:lineRule="auto"/>
        <w:rPr>
          <w:rFonts w:asciiTheme="majorHAnsi" w:hAnsiTheme="majorHAnsi" w:cstheme="majorHAnsi"/>
          <w:i/>
          <w:iCs/>
          <w:sz w:val="24"/>
          <w:szCs w:val="24"/>
        </w:rPr>
      </w:pPr>
    </w:p>
    <w:p w14:paraId="192CCF2F" w14:textId="56D9AC7D" w:rsidR="00BE50E2" w:rsidRPr="00BE50E2" w:rsidRDefault="00BE50E2" w:rsidP="0082676B">
      <w:pPr>
        <w:spacing w:line="360" w:lineRule="auto"/>
        <w:ind w:left="3828"/>
        <w:rPr>
          <w:rFonts w:asciiTheme="majorHAnsi" w:hAnsiTheme="majorHAnsi" w:cstheme="majorBidi"/>
          <w:i/>
          <w:sz w:val="24"/>
          <w:szCs w:val="24"/>
        </w:rPr>
      </w:pPr>
      <w:r w:rsidRPr="48F23DBF">
        <w:rPr>
          <w:rFonts w:asciiTheme="majorHAnsi" w:hAnsiTheme="majorHAnsi" w:cstheme="majorBidi"/>
          <w:i/>
          <w:sz w:val="24"/>
          <w:szCs w:val="24"/>
        </w:rPr>
        <w:t xml:space="preserve"> ‘</w:t>
      </w:r>
      <w:r w:rsidR="618EA1C4" w:rsidRPr="48F23DBF">
        <w:rPr>
          <w:rFonts w:asciiTheme="majorHAnsi" w:hAnsiTheme="majorHAnsi" w:cstheme="majorBidi"/>
          <w:i/>
          <w:iCs/>
          <w:sz w:val="24"/>
          <w:szCs w:val="24"/>
        </w:rPr>
        <w:t>There</w:t>
      </w:r>
      <w:r w:rsidRPr="48F23DBF">
        <w:rPr>
          <w:rFonts w:asciiTheme="majorHAnsi" w:hAnsiTheme="majorHAnsi" w:cstheme="majorBidi"/>
          <w:i/>
          <w:sz w:val="24"/>
          <w:szCs w:val="24"/>
        </w:rPr>
        <w:t xml:space="preserve"> may have been a time when preservation was about saving an old building here or there, but those days are gone. preservation is in the business of saving communities and the values they </w:t>
      </w:r>
      <w:proofErr w:type="gramStart"/>
      <w:r w:rsidRPr="48F23DBF">
        <w:rPr>
          <w:rFonts w:asciiTheme="majorHAnsi" w:hAnsiTheme="majorHAnsi" w:cstheme="majorBidi"/>
          <w:i/>
          <w:sz w:val="24"/>
          <w:szCs w:val="24"/>
        </w:rPr>
        <w:t>embody’</w:t>
      </w:r>
      <w:proofErr w:type="gramEnd"/>
    </w:p>
    <w:p w14:paraId="6714FF43" w14:textId="77777777" w:rsidR="00BE50E2" w:rsidRPr="00BE50E2" w:rsidRDefault="00BE50E2" w:rsidP="00BE50E2">
      <w:pPr>
        <w:pStyle w:val="ListParagraph"/>
        <w:numPr>
          <w:ilvl w:val="0"/>
          <w:numId w:val="7"/>
        </w:num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Richard Moe National Trust for Historic Preservation</w:t>
      </w:r>
      <w:r w:rsidRPr="00BE50E2">
        <w:rPr>
          <w:rStyle w:val="FootnoteReference"/>
          <w:rFonts w:asciiTheme="majorHAnsi" w:hAnsiTheme="majorHAnsi" w:cstheme="majorHAnsi"/>
          <w:sz w:val="24"/>
          <w:szCs w:val="24"/>
        </w:rPr>
        <w:footnoteReference w:id="137"/>
      </w:r>
    </w:p>
    <w:p w14:paraId="2B91883B" w14:textId="77777777" w:rsidR="00BE50E2" w:rsidRPr="00BE50E2" w:rsidRDefault="00BE50E2" w:rsidP="00BE50E2">
      <w:pPr>
        <w:spacing w:line="360" w:lineRule="auto"/>
        <w:rPr>
          <w:rFonts w:asciiTheme="majorHAnsi" w:hAnsiTheme="majorHAnsi" w:cstheme="majorHAnsi"/>
          <w:b/>
          <w:bCs/>
          <w:sz w:val="24"/>
          <w:szCs w:val="24"/>
        </w:rPr>
      </w:pPr>
    </w:p>
    <w:p w14:paraId="0923FF93" w14:textId="43DC99F2"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Llanerchaeron is a Georgian villa, designed by an architect John Nash in 1970.</w:t>
      </w:r>
      <w:r w:rsidRPr="48F23DBF">
        <w:rPr>
          <w:rStyle w:val="FootnoteReference"/>
          <w:rFonts w:asciiTheme="majorHAnsi" w:hAnsiTheme="majorHAnsi" w:cstheme="majorBidi"/>
          <w:sz w:val="24"/>
          <w:szCs w:val="24"/>
        </w:rPr>
        <w:footnoteReference w:id="138"/>
      </w:r>
      <w:r w:rsidRPr="48F23DBF">
        <w:rPr>
          <w:rFonts w:asciiTheme="majorHAnsi" w:hAnsiTheme="majorHAnsi" w:cstheme="majorBidi"/>
          <w:sz w:val="24"/>
          <w:szCs w:val="24"/>
        </w:rPr>
        <w:t xml:space="preserve">  In this house, visitors can explore both sides of Edwardian life, both above and below the stairs. The servants’ area of the house shows the distinction between the everyday life of the family who resided there compared to their staff. The kitchen is Edwardian in style which sometimes has museum staff there baking Welsh cakes to share with visitors. This brings in the different senses for visitors, including taste, smell</w:t>
      </w:r>
      <w:r w:rsidR="63971F5B" w:rsidRPr="48F23DBF">
        <w:rPr>
          <w:rFonts w:asciiTheme="majorHAnsi" w:hAnsiTheme="majorHAnsi" w:cstheme="majorBidi"/>
          <w:sz w:val="24"/>
          <w:szCs w:val="24"/>
        </w:rPr>
        <w:t>,</w:t>
      </w:r>
      <w:r w:rsidRPr="48F23DBF">
        <w:rPr>
          <w:rFonts w:asciiTheme="majorHAnsi" w:hAnsiTheme="majorHAnsi" w:cstheme="majorBidi"/>
          <w:sz w:val="24"/>
          <w:szCs w:val="24"/>
        </w:rPr>
        <w:t xml:space="preserve"> and sight. The Kitchen (figure 8) itself is open to the public to explore, open the recipe books, touch the herbs that are drying, see taxidermy specimens of game animals presented as being ready to be prepared by the cook as well as be able to go into the pantry(figure 7) and see all the jars of pickled food. </w:t>
      </w:r>
      <w:proofErr w:type="gramStart"/>
      <w:r w:rsidRPr="48F23DBF">
        <w:rPr>
          <w:rFonts w:asciiTheme="majorHAnsi" w:hAnsiTheme="majorHAnsi" w:cstheme="majorBidi"/>
          <w:sz w:val="24"/>
          <w:szCs w:val="24"/>
        </w:rPr>
        <w:t>All of</w:t>
      </w:r>
      <w:proofErr w:type="gramEnd"/>
      <w:r w:rsidRPr="48F23DBF">
        <w:rPr>
          <w:rFonts w:asciiTheme="majorHAnsi" w:hAnsiTheme="majorHAnsi" w:cstheme="majorBidi"/>
          <w:sz w:val="24"/>
          <w:szCs w:val="24"/>
        </w:rPr>
        <w:t xml:space="preserve"> the food that they have on display is real. The dining room itself is behind a rope, with no food on display, just the silverware (figure 6).</w:t>
      </w:r>
    </w:p>
    <w:p w14:paraId="45107076"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lastRenderedPageBreak/>
        <w:drawing>
          <wp:inline distT="0" distB="0" distL="0" distR="0" wp14:anchorId="12488D64" wp14:editId="0464F625">
            <wp:extent cx="2539815" cy="1905000"/>
            <wp:effectExtent l="0" t="0" r="0" b="0"/>
            <wp:docPr id="11" name="Picture 1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description availab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9712" cy="1912423"/>
                    </a:xfrm>
                    <a:prstGeom prst="rect">
                      <a:avLst/>
                    </a:prstGeom>
                    <a:noFill/>
                    <a:ln>
                      <a:noFill/>
                    </a:ln>
                  </pic:spPr>
                </pic:pic>
              </a:graphicData>
            </a:graphic>
          </wp:inline>
        </w:drawing>
      </w:r>
    </w:p>
    <w:p w14:paraId="22B73257" w14:textId="4BEF486E" w:rsidR="00BE50E2" w:rsidRPr="00BE50E2" w:rsidRDefault="00BE50E2" w:rsidP="00BE50E2">
      <w:pPr>
        <w:pStyle w:val="Caption"/>
        <w:spacing w:line="360" w:lineRule="auto"/>
        <w:rPr>
          <w:rFonts w:asciiTheme="majorHAnsi" w:hAnsiTheme="majorHAnsi" w:cstheme="majorHAnsi"/>
          <w:sz w:val="24"/>
          <w:szCs w:val="24"/>
        </w:rPr>
      </w:pPr>
      <w:bookmarkStart w:id="29" w:name="_Toc125402976"/>
      <w:bookmarkStart w:id="30" w:name="_Toc125481811"/>
      <w:bookmarkStart w:id="31" w:name="_Toc125481925"/>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7</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Llanerchaeron Dining Room. 5th June 2022. Authors Personal Collection</w:t>
      </w:r>
      <w:bookmarkEnd w:id="29"/>
      <w:bookmarkEnd w:id="30"/>
      <w:bookmarkEnd w:id="31"/>
    </w:p>
    <w:p w14:paraId="6912F46B"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 </w:t>
      </w:r>
      <w:r w:rsidRPr="00BE50E2">
        <w:rPr>
          <w:rFonts w:asciiTheme="majorHAnsi" w:hAnsiTheme="majorHAnsi" w:cstheme="majorHAnsi"/>
          <w:noProof/>
          <w:sz w:val="24"/>
          <w:szCs w:val="24"/>
        </w:rPr>
        <w:drawing>
          <wp:inline distT="0" distB="0" distL="0" distR="0" wp14:anchorId="3043A17D" wp14:editId="2D970D28">
            <wp:extent cx="2438400" cy="1828937"/>
            <wp:effectExtent l="0" t="0" r="0" b="0"/>
            <wp:docPr id="12" name="Picture 1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description availab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48303" cy="1836365"/>
                    </a:xfrm>
                    <a:prstGeom prst="rect">
                      <a:avLst/>
                    </a:prstGeom>
                    <a:noFill/>
                    <a:ln>
                      <a:noFill/>
                    </a:ln>
                  </pic:spPr>
                </pic:pic>
              </a:graphicData>
            </a:graphic>
          </wp:inline>
        </w:drawing>
      </w:r>
    </w:p>
    <w:p w14:paraId="17378B49" w14:textId="24E7C463" w:rsidR="00BE50E2" w:rsidRPr="00BE50E2" w:rsidRDefault="00BE50E2" w:rsidP="00BE50E2">
      <w:pPr>
        <w:pStyle w:val="Caption"/>
        <w:spacing w:line="360" w:lineRule="auto"/>
        <w:rPr>
          <w:rFonts w:asciiTheme="majorHAnsi" w:hAnsiTheme="majorHAnsi" w:cstheme="majorHAnsi"/>
          <w:sz w:val="24"/>
          <w:szCs w:val="24"/>
        </w:rPr>
      </w:pPr>
      <w:bookmarkStart w:id="32" w:name="_Toc125402977"/>
      <w:bookmarkStart w:id="33" w:name="_Toc125481812"/>
      <w:bookmarkStart w:id="34" w:name="_Toc125481926"/>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8</w:t>
      </w:r>
      <w:r w:rsidRPr="00BE50E2">
        <w:rPr>
          <w:rFonts w:asciiTheme="majorHAnsi" w:hAnsiTheme="majorHAnsi" w:cstheme="majorHAnsi"/>
          <w:sz w:val="24"/>
          <w:szCs w:val="24"/>
        </w:rPr>
        <w:fldChar w:fldCharType="end"/>
      </w:r>
      <w:proofErr w:type="gramStart"/>
      <w:r w:rsidRPr="00BE50E2">
        <w:rPr>
          <w:rFonts w:asciiTheme="majorHAnsi" w:hAnsiTheme="majorHAnsi" w:cstheme="majorHAnsi"/>
          <w:sz w:val="24"/>
          <w:szCs w:val="24"/>
        </w:rPr>
        <w:t>. .</w:t>
      </w:r>
      <w:proofErr w:type="gramEnd"/>
      <w:r w:rsidRPr="00BE50E2">
        <w:rPr>
          <w:rFonts w:asciiTheme="majorHAnsi" w:hAnsiTheme="majorHAnsi" w:cstheme="majorHAnsi"/>
          <w:sz w:val="24"/>
          <w:szCs w:val="24"/>
        </w:rPr>
        <w:t xml:space="preserve"> Driscoll, Laura Cait. Llanerchaeron Kitchen Pantry. 5th June 2022. Authors Personal Collection</w:t>
      </w:r>
      <w:bookmarkEnd w:id="32"/>
      <w:bookmarkEnd w:id="33"/>
      <w:bookmarkEnd w:id="34"/>
    </w:p>
    <w:p w14:paraId="48E71DE6"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drawing>
          <wp:inline distT="0" distB="0" distL="0" distR="0" wp14:anchorId="16E07BB8" wp14:editId="3CF7008F">
            <wp:extent cx="2933483" cy="2200275"/>
            <wp:effectExtent l="0" t="0" r="635" b="0"/>
            <wp:docPr id="13" name="Picture 1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o description availa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4063" cy="2208210"/>
                    </a:xfrm>
                    <a:prstGeom prst="rect">
                      <a:avLst/>
                    </a:prstGeom>
                    <a:noFill/>
                    <a:ln>
                      <a:noFill/>
                    </a:ln>
                  </pic:spPr>
                </pic:pic>
              </a:graphicData>
            </a:graphic>
          </wp:inline>
        </w:drawing>
      </w:r>
    </w:p>
    <w:p w14:paraId="6572EB1A" w14:textId="35F24CB0" w:rsidR="00BE50E2" w:rsidRPr="00BE50E2" w:rsidRDefault="00BE50E2" w:rsidP="00BE50E2">
      <w:pPr>
        <w:pStyle w:val="Caption"/>
        <w:spacing w:line="360" w:lineRule="auto"/>
        <w:rPr>
          <w:rFonts w:asciiTheme="majorHAnsi" w:hAnsiTheme="majorHAnsi" w:cstheme="majorHAnsi"/>
          <w:sz w:val="24"/>
          <w:szCs w:val="24"/>
        </w:rPr>
      </w:pPr>
      <w:bookmarkStart w:id="35" w:name="_Toc125402978"/>
      <w:bookmarkStart w:id="36" w:name="_Toc125481813"/>
      <w:bookmarkStart w:id="37" w:name="_Toc125481927"/>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9</w:t>
      </w:r>
      <w:r w:rsidRPr="00BE50E2">
        <w:rPr>
          <w:rFonts w:asciiTheme="majorHAnsi" w:hAnsiTheme="majorHAnsi" w:cstheme="majorHAnsi"/>
          <w:sz w:val="24"/>
          <w:szCs w:val="24"/>
        </w:rPr>
        <w:fldChar w:fldCharType="end"/>
      </w:r>
      <w:proofErr w:type="gramStart"/>
      <w:r w:rsidRPr="00BE50E2">
        <w:rPr>
          <w:rFonts w:asciiTheme="majorHAnsi" w:hAnsiTheme="majorHAnsi" w:cstheme="majorHAnsi"/>
          <w:sz w:val="24"/>
          <w:szCs w:val="24"/>
        </w:rPr>
        <w:t>. .</w:t>
      </w:r>
      <w:proofErr w:type="gramEnd"/>
      <w:r w:rsidRPr="00BE50E2">
        <w:rPr>
          <w:rFonts w:asciiTheme="majorHAnsi" w:hAnsiTheme="majorHAnsi" w:cstheme="majorHAnsi"/>
          <w:sz w:val="24"/>
          <w:szCs w:val="24"/>
        </w:rPr>
        <w:t xml:space="preserve"> Driscoll, Laura Cait. Llanerchaeron Kitchen Area. 5th June 2022. Authors Personal Collection</w:t>
      </w:r>
      <w:bookmarkEnd w:id="35"/>
      <w:bookmarkEnd w:id="36"/>
      <w:bookmarkEnd w:id="37"/>
    </w:p>
    <w:p w14:paraId="04B22987" w14:textId="589B5595" w:rsidR="00BE50E2" w:rsidRPr="00BE50E2" w:rsidRDefault="00BE50E2" w:rsidP="00BE50E2">
      <w:pPr>
        <w:spacing w:line="360" w:lineRule="auto"/>
        <w:rPr>
          <w:rFonts w:asciiTheme="majorHAnsi" w:hAnsiTheme="majorHAnsi" w:cstheme="majorBidi"/>
          <w:sz w:val="24"/>
          <w:szCs w:val="24"/>
        </w:rPr>
      </w:pPr>
      <w:r>
        <w:lastRenderedPageBreak/>
        <w:br/>
      </w:r>
      <w:r w:rsidRPr="48F23DBF">
        <w:rPr>
          <w:rFonts w:asciiTheme="majorHAnsi" w:hAnsiTheme="majorHAnsi" w:cstheme="majorBidi"/>
          <w:sz w:val="24"/>
          <w:szCs w:val="24"/>
        </w:rPr>
        <w:t xml:space="preserve">One of the most interesting parts of the museum is that it presented a behind-the-scenes look at how the privileged life of the well-to-do </w:t>
      </w:r>
      <w:proofErr w:type="gramStart"/>
      <w:r w:rsidRPr="48F23DBF">
        <w:rPr>
          <w:rFonts w:asciiTheme="majorHAnsi" w:hAnsiTheme="majorHAnsi" w:cstheme="majorBidi"/>
          <w:sz w:val="24"/>
          <w:szCs w:val="24"/>
        </w:rPr>
        <w:t>was created</w:t>
      </w:r>
      <w:proofErr w:type="gramEnd"/>
      <w:r w:rsidRPr="48F23DBF">
        <w:rPr>
          <w:rFonts w:asciiTheme="majorHAnsi" w:hAnsiTheme="majorHAnsi" w:cstheme="majorBidi"/>
          <w:sz w:val="24"/>
          <w:szCs w:val="24"/>
        </w:rPr>
        <w:t xml:space="preserve"> and maintained. The inner workings of the courtyard of Llanerchaeron have a range of services shown there including the dairy scullery, cheese press room and store, bakehouse, smokehouse, brew house and salting room are fascinating to see and could certainly </w:t>
      </w:r>
      <w:proofErr w:type="gramStart"/>
      <w:r w:rsidRPr="48F23DBF">
        <w:rPr>
          <w:rFonts w:asciiTheme="majorHAnsi" w:hAnsiTheme="majorHAnsi" w:cstheme="majorBidi"/>
          <w:sz w:val="24"/>
          <w:szCs w:val="24"/>
        </w:rPr>
        <w:t>be further enhanced</w:t>
      </w:r>
      <w:proofErr w:type="gramEnd"/>
      <w:r w:rsidRPr="48F23DBF">
        <w:rPr>
          <w:rFonts w:asciiTheme="majorHAnsi" w:hAnsiTheme="majorHAnsi" w:cstheme="majorBidi"/>
          <w:sz w:val="24"/>
          <w:szCs w:val="24"/>
        </w:rPr>
        <w:t xml:space="preserve"> by demonstrations and interactive activities. </w:t>
      </w:r>
      <w:r>
        <w:br/>
      </w:r>
      <w:r w:rsidRPr="48F23DBF">
        <w:rPr>
          <w:rFonts w:asciiTheme="majorHAnsi" w:hAnsiTheme="majorHAnsi" w:cstheme="majorBidi"/>
          <w:sz w:val="24"/>
          <w:szCs w:val="24"/>
        </w:rPr>
        <w:t xml:space="preserve">Llanerchaeron has </w:t>
      </w:r>
      <w:r w:rsidR="00AF6E77" w:rsidRPr="48F23DBF">
        <w:rPr>
          <w:rFonts w:asciiTheme="majorHAnsi" w:hAnsiTheme="majorHAnsi" w:cstheme="majorBidi"/>
          <w:sz w:val="24"/>
          <w:szCs w:val="24"/>
        </w:rPr>
        <w:t>immense potential</w:t>
      </w:r>
      <w:r w:rsidRPr="48F23DBF">
        <w:rPr>
          <w:rFonts w:asciiTheme="majorHAnsi" w:hAnsiTheme="majorHAnsi" w:cstheme="majorBidi"/>
          <w:sz w:val="24"/>
          <w:szCs w:val="24"/>
        </w:rPr>
        <w:t xml:space="preserve"> to bring to life the feeling of bustle and productivity that would have characterised the staff courtyard in its heyday. Multisensory food exhibits and displays would certainly help to generate concrete memories and stimulate the conversation regarding Welsh good heritage and community connection to it. For example, using the courtyard to experience churning butter, making cream and cheese that can be stored in the cheese press room and using the kitchen to pickle and preserve the vegetables from the gardens, adding even more experiences that even good practice museums such as the living museum do not seem to do, it already uses the range of senses within its displays and uses different types of displays such as rooms left as they were and rooms and items that a visitor can explore. Something that the museum could add following the example of the Sydney Living Museum is the </w:t>
      </w:r>
      <w:r w:rsidRPr="48F23DBF">
        <w:rPr>
          <w:rFonts w:asciiTheme="majorHAnsi" w:hAnsiTheme="majorHAnsi" w:cstheme="majorBidi"/>
          <w:i/>
          <w:sz w:val="24"/>
          <w:szCs w:val="24"/>
        </w:rPr>
        <w:t>A Shared Table</w:t>
      </w:r>
      <w:r w:rsidRPr="48F23DBF">
        <w:rPr>
          <w:rFonts w:asciiTheme="majorHAnsi" w:hAnsiTheme="majorHAnsi" w:cstheme="majorBidi"/>
          <w:sz w:val="24"/>
          <w:szCs w:val="24"/>
        </w:rPr>
        <w:t xml:space="preserve"> project. It is possible to imagine the involvement of community volunteers or re-enactment to dress in period clothing relevant to the manor house and re-enact one of the dinners that would </w:t>
      </w:r>
      <w:proofErr w:type="gramStart"/>
      <w:r w:rsidRPr="48F23DBF">
        <w:rPr>
          <w:rFonts w:asciiTheme="majorHAnsi" w:hAnsiTheme="majorHAnsi" w:cstheme="majorBidi"/>
          <w:sz w:val="24"/>
          <w:szCs w:val="24"/>
        </w:rPr>
        <w:t>be seen</w:t>
      </w:r>
      <w:proofErr w:type="gramEnd"/>
      <w:r w:rsidRPr="48F23DBF">
        <w:rPr>
          <w:rFonts w:asciiTheme="majorHAnsi" w:hAnsiTheme="majorHAnsi" w:cstheme="majorBidi"/>
          <w:sz w:val="24"/>
          <w:szCs w:val="24"/>
        </w:rPr>
        <w:t xml:space="preserve"> around the table in the dining room, using archival evidence or a period-specific meal using the recipe booklets in their kitchen. This would bring immersive technology and experiences to the site for visitors to get involved in. </w:t>
      </w:r>
    </w:p>
    <w:p w14:paraId="41EFD4CB" w14:textId="598F6B3B"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The shop at Llanerchaeron sells its own garden produce from the site, which includes seasonal vegetables, fruit and flowers which </w:t>
      </w:r>
      <w:proofErr w:type="gramStart"/>
      <w:r w:rsidRPr="00BE50E2">
        <w:rPr>
          <w:rFonts w:asciiTheme="majorHAnsi" w:hAnsiTheme="majorHAnsi" w:cstheme="majorHAnsi"/>
          <w:sz w:val="24"/>
          <w:szCs w:val="24"/>
        </w:rPr>
        <w:t>are grown</w:t>
      </w:r>
      <w:proofErr w:type="gramEnd"/>
      <w:r w:rsidRPr="00BE50E2">
        <w:rPr>
          <w:rFonts w:asciiTheme="majorHAnsi" w:hAnsiTheme="majorHAnsi" w:cstheme="majorHAnsi"/>
          <w:sz w:val="24"/>
          <w:szCs w:val="24"/>
        </w:rPr>
        <w:t xml:space="preserve"> in the walled garden. The museum has a dedicated team of staff and volunteers who tend to their plants, pick the vegetables and fruit to then prepare them to sell in their shop.</w:t>
      </w:r>
      <w:r w:rsidRPr="00BE50E2">
        <w:rPr>
          <w:rStyle w:val="FootnoteReference"/>
          <w:rFonts w:asciiTheme="majorHAnsi" w:hAnsiTheme="majorHAnsi" w:cstheme="majorHAnsi"/>
          <w:sz w:val="24"/>
          <w:szCs w:val="24"/>
        </w:rPr>
        <w:footnoteReference w:id="139"/>
      </w:r>
      <w:r w:rsidRPr="00BE50E2">
        <w:rPr>
          <w:rFonts w:asciiTheme="majorHAnsi" w:hAnsiTheme="majorHAnsi" w:cstheme="majorHAnsi"/>
          <w:sz w:val="24"/>
          <w:szCs w:val="24"/>
        </w:rPr>
        <w:t xml:space="preserve"> This is evidence of how the site is still using food as a way to not only make money, but to get visitors to experience the fruit and vegetables that would have been grown in the area for many years, and by using the recipes </w:t>
      </w:r>
      <w:r w:rsidRPr="00BE50E2">
        <w:rPr>
          <w:rFonts w:asciiTheme="majorHAnsi" w:hAnsiTheme="majorHAnsi" w:cstheme="majorHAnsi"/>
          <w:sz w:val="24"/>
          <w:szCs w:val="24"/>
        </w:rPr>
        <w:lastRenderedPageBreak/>
        <w:t xml:space="preserve">within the kitchen they could potentially go home and make a period meal in their own time and take forward the experiences and traditions that one step further. The walled garden already provides a sensory adventure with its </w:t>
      </w:r>
      <w:r w:rsidR="00AF6E77" w:rsidRPr="00BE50E2">
        <w:rPr>
          <w:rFonts w:asciiTheme="majorHAnsi" w:hAnsiTheme="majorHAnsi" w:cstheme="majorHAnsi"/>
          <w:sz w:val="24"/>
          <w:szCs w:val="24"/>
        </w:rPr>
        <w:t>diverse collection</w:t>
      </w:r>
      <w:r w:rsidRPr="00BE50E2">
        <w:rPr>
          <w:rFonts w:asciiTheme="majorHAnsi" w:hAnsiTheme="majorHAnsi" w:cstheme="majorHAnsi"/>
          <w:sz w:val="24"/>
          <w:szCs w:val="24"/>
        </w:rPr>
        <w:t xml:space="preserve"> of heritage apple and pear varieties which are often scrumped by the younger visitors as they walk around or during their annual apple day. The substantial herb garden tempts visitors to touch and smell the herbs as they loll over the paths. This inevitably stimulates memories and recollections of personal food stories. The museum could </w:t>
      </w:r>
      <w:proofErr w:type="gramStart"/>
      <w:r w:rsidRPr="00BE50E2">
        <w:rPr>
          <w:rFonts w:asciiTheme="majorHAnsi" w:hAnsiTheme="majorHAnsi" w:cstheme="majorHAnsi"/>
          <w:sz w:val="24"/>
          <w:szCs w:val="24"/>
        </w:rPr>
        <w:t>perhaps encourage</w:t>
      </w:r>
      <w:proofErr w:type="gramEnd"/>
      <w:r w:rsidRPr="00BE50E2">
        <w:rPr>
          <w:rFonts w:asciiTheme="majorHAnsi" w:hAnsiTheme="majorHAnsi" w:cstheme="majorHAnsi"/>
          <w:sz w:val="24"/>
          <w:szCs w:val="24"/>
        </w:rPr>
        <w:t xml:space="preserve"> this through collaborative projects of sharing and collating recipes. </w:t>
      </w:r>
    </w:p>
    <w:p w14:paraId="28C344CB"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One thing Llanerchaeron could do is to also partake in videos of making the recipes or sharing recipes in an online format for visitors and the </w:t>
      </w:r>
      <w:proofErr w:type="gramStart"/>
      <w:r w:rsidRPr="00BE50E2">
        <w:rPr>
          <w:rFonts w:asciiTheme="majorHAnsi" w:hAnsiTheme="majorHAnsi" w:cstheme="majorHAnsi"/>
          <w:sz w:val="24"/>
          <w:szCs w:val="24"/>
        </w:rPr>
        <w:t>general public</w:t>
      </w:r>
      <w:proofErr w:type="gramEnd"/>
      <w:r w:rsidRPr="00BE50E2">
        <w:rPr>
          <w:rFonts w:asciiTheme="majorHAnsi" w:hAnsiTheme="majorHAnsi" w:cstheme="majorHAnsi"/>
          <w:sz w:val="24"/>
          <w:szCs w:val="24"/>
        </w:rPr>
        <w:t xml:space="preserve"> to be made aware of what people during the 1700s onwards would have eaten in West Wales, especially those who were in the manor house. </w:t>
      </w:r>
    </w:p>
    <w:p w14:paraId="6632D970" w14:textId="77777777" w:rsidR="00BE50E2" w:rsidRPr="00BE50E2" w:rsidRDefault="00BE50E2" w:rsidP="00BE50E2">
      <w:pPr>
        <w:spacing w:line="360" w:lineRule="auto"/>
        <w:rPr>
          <w:rFonts w:asciiTheme="majorHAnsi" w:hAnsiTheme="majorHAnsi" w:cstheme="majorHAnsi"/>
          <w:b/>
          <w:bCs/>
          <w:sz w:val="24"/>
          <w:szCs w:val="24"/>
        </w:rPr>
      </w:pPr>
    </w:p>
    <w:p w14:paraId="47CC98A5" w14:textId="77777777" w:rsidR="00BE50E2" w:rsidRPr="00BE50E2" w:rsidRDefault="00BE50E2"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t>Big Pit Mining Museum</w:t>
      </w:r>
    </w:p>
    <w:p w14:paraId="0F08CE8E" w14:textId="77777777" w:rsidR="00BE50E2" w:rsidRPr="00BE50E2" w:rsidRDefault="00BE50E2" w:rsidP="00BE50E2">
      <w:pPr>
        <w:spacing w:line="360" w:lineRule="auto"/>
        <w:rPr>
          <w:rFonts w:asciiTheme="majorHAnsi" w:hAnsiTheme="majorHAnsi" w:cstheme="majorHAnsi"/>
          <w:b/>
          <w:bCs/>
          <w:sz w:val="24"/>
          <w:szCs w:val="24"/>
        </w:rPr>
      </w:pPr>
    </w:p>
    <w:p w14:paraId="5FE8E48B" w14:textId="77777777" w:rsidR="00BE50E2" w:rsidRPr="00BE50E2" w:rsidRDefault="00BE50E2" w:rsidP="00BE50E2">
      <w:pPr>
        <w:spacing w:line="360" w:lineRule="auto"/>
        <w:ind w:left="4111"/>
        <w:rPr>
          <w:rFonts w:asciiTheme="majorHAnsi" w:hAnsiTheme="majorHAnsi" w:cstheme="majorHAnsi"/>
          <w:sz w:val="24"/>
          <w:szCs w:val="24"/>
        </w:rPr>
      </w:pPr>
      <w:r w:rsidRPr="00BE50E2">
        <w:rPr>
          <w:rFonts w:asciiTheme="majorHAnsi" w:hAnsiTheme="majorHAnsi" w:cstheme="majorHAnsi"/>
          <w:sz w:val="24"/>
          <w:szCs w:val="24"/>
        </w:rPr>
        <w:t>‘Discover Wales’s rich mining heritage in this award-winning interactive museum and experience the sights, sounds, smells and atmosphere of an authentic coal mine by taking our world-famous underground tour.’</w:t>
      </w:r>
      <w:r w:rsidRPr="00BE50E2">
        <w:rPr>
          <w:rStyle w:val="FootnoteReference"/>
          <w:rFonts w:asciiTheme="majorHAnsi" w:hAnsiTheme="majorHAnsi" w:cstheme="majorHAnsi"/>
          <w:sz w:val="24"/>
          <w:szCs w:val="24"/>
        </w:rPr>
        <w:footnoteReference w:id="140"/>
      </w:r>
    </w:p>
    <w:p w14:paraId="049482DD" w14:textId="77777777" w:rsidR="00BE50E2" w:rsidRPr="00BE50E2" w:rsidRDefault="00BE50E2" w:rsidP="00BE50E2">
      <w:pPr>
        <w:spacing w:line="360" w:lineRule="auto"/>
        <w:ind w:left="4111"/>
        <w:rPr>
          <w:rFonts w:asciiTheme="majorHAnsi" w:hAnsiTheme="majorHAnsi" w:cstheme="majorHAnsi"/>
          <w:sz w:val="24"/>
          <w:szCs w:val="24"/>
        </w:rPr>
      </w:pPr>
    </w:p>
    <w:p w14:paraId="506D0E02"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Big Pit is a Mining Museum based in the UNESCO World Heritage Site of the Blaenavon Industrial Landscape. It is ‘one of the few mining museums where visitors can descend in the pit cage and visit the places where generations of the coal miners worked.’</w:t>
      </w:r>
      <w:r w:rsidRPr="00BE50E2">
        <w:rPr>
          <w:rStyle w:val="FootnoteReference"/>
          <w:rFonts w:asciiTheme="majorHAnsi" w:hAnsiTheme="majorHAnsi" w:cstheme="majorHAnsi"/>
          <w:sz w:val="24"/>
          <w:szCs w:val="24"/>
        </w:rPr>
        <w:footnoteReference w:id="141"/>
      </w:r>
      <w:r w:rsidRPr="00BE50E2">
        <w:rPr>
          <w:rFonts w:asciiTheme="majorHAnsi" w:hAnsiTheme="majorHAnsi" w:cstheme="majorHAnsi"/>
          <w:sz w:val="24"/>
          <w:szCs w:val="24"/>
        </w:rPr>
        <w:t xml:space="preserve"> The site was a working coal mine between 1880 to 1980 and </w:t>
      </w:r>
      <w:proofErr w:type="gramStart"/>
      <w:r w:rsidRPr="00BE50E2">
        <w:rPr>
          <w:rFonts w:asciiTheme="majorHAnsi" w:hAnsiTheme="majorHAnsi" w:cstheme="majorHAnsi"/>
          <w:sz w:val="24"/>
          <w:szCs w:val="24"/>
        </w:rPr>
        <w:t>was opened</w:t>
      </w:r>
      <w:proofErr w:type="gramEnd"/>
      <w:r w:rsidRPr="00BE50E2">
        <w:rPr>
          <w:rFonts w:asciiTheme="majorHAnsi" w:hAnsiTheme="majorHAnsi" w:cstheme="majorHAnsi"/>
          <w:sz w:val="24"/>
          <w:szCs w:val="24"/>
        </w:rPr>
        <w:t xml:space="preserve"> again to the public as a tourist site in 1983. The visitors to the museum would follow a certain route whilst there, this would </w:t>
      </w:r>
      <w:r w:rsidRPr="00BE50E2">
        <w:rPr>
          <w:rFonts w:asciiTheme="majorHAnsi" w:hAnsiTheme="majorHAnsi" w:cstheme="majorHAnsi"/>
          <w:sz w:val="24"/>
          <w:szCs w:val="24"/>
        </w:rPr>
        <w:lastRenderedPageBreak/>
        <w:t xml:space="preserve">include starting the journey by going on a tour down the mine, seeing where the miners worked, the conditions they worked in and what was done where, they would then tour above the ground, going around the outdoor stores, going up to the pit baths and ending at the canteen. </w:t>
      </w:r>
      <w:r w:rsidRPr="00BE50E2">
        <w:rPr>
          <w:rFonts w:asciiTheme="majorHAnsi" w:hAnsiTheme="majorHAnsi" w:cstheme="majorHAnsi"/>
          <w:sz w:val="24"/>
          <w:szCs w:val="24"/>
        </w:rPr>
        <w:br/>
        <w:t xml:space="preserve">The aim of the museum is to take the visitor on a journey of what life for men working down in the pit may have been like. This includes, to </w:t>
      </w:r>
      <w:proofErr w:type="gramStart"/>
      <w:r w:rsidRPr="00BE50E2">
        <w:rPr>
          <w:rFonts w:asciiTheme="majorHAnsi" w:hAnsiTheme="majorHAnsi" w:cstheme="majorHAnsi"/>
          <w:sz w:val="24"/>
          <w:szCs w:val="24"/>
        </w:rPr>
        <w:t>some</w:t>
      </w:r>
      <w:proofErr w:type="gramEnd"/>
      <w:r w:rsidRPr="00BE50E2">
        <w:rPr>
          <w:rFonts w:asciiTheme="majorHAnsi" w:hAnsiTheme="majorHAnsi" w:cstheme="majorHAnsi"/>
          <w:sz w:val="24"/>
          <w:szCs w:val="24"/>
        </w:rPr>
        <w:t xml:space="preserve"> degree, their food. The museum has been careful to keep its historic buildings the same as when they were used by miners, whilst incorporating displays of miners’ belongings that are kept behind glass for preservation. These include a miner’s water jack as well as their Tommy box food container (figure 9). These highlight the limited amount of food and drink that were able to be taken down the mines(figure 10_. What they took down with them is all that they had until the end of the shift. This was often cheese and onion sandwiches as they were unable to taste </w:t>
      </w:r>
      <w:proofErr w:type="gramStart"/>
      <w:r w:rsidRPr="00BE50E2">
        <w:rPr>
          <w:rFonts w:asciiTheme="majorHAnsi" w:hAnsiTheme="majorHAnsi" w:cstheme="majorHAnsi"/>
          <w:sz w:val="24"/>
          <w:szCs w:val="24"/>
        </w:rPr>
        <w:t>much</w:t>
      </w:r>
      <w:proofErr w:type="gramEnd"/>
      <w:r w:rsidRPr="00BE50E2">
        <w:rPr>
          <w:rFonts w:asciiTheme="majorHAnsi" w:hAnsiTheme="majorHAnsi" w:cstheme="majorHAnsi"/>
          <w:sz w:val="24"/>
          <w:szCs w:val="24"/>
        </w:rPr>
        <w:t xml:space="preserve"> else with the coal dust in the air. </w:t>
      </w:r>
    </w:p>
    <w:p w14:paraId="02BF45A3"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drawing>
          <wp:inline distT="0" distB="0" distL="0" distR="0" wp14:anchorId="6ADD490F" wp14:editId="4648BFDB">
            <wp:extent cx="2091633" cy="2788920"/>
            <wp:effectExtent l="0" t="0" r="444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10596" cy="2814205"/>
                    </a:xfrm>
                    <a:prstGeom prst="rect">
                      <a:avLst/>
                    </a:prstGeom>
                  </pic:spPr>
                </pic:pic>
              </a:graphicData>
            </a:graphic>
          </wp:inline>
        </w:drawing>
      </w:r>
    </w:p>
    <w:p w14:paraId="7EDF28B2" w14:textId="4C052D72" w:rsidR="00BE50E2" w:rsidRPr="00BE50E2" w:rsidRDefault="00BE50E2" w:rsidP="00BE50E2">
      <w:pPr>
        <w:pStyle w:val="Caption"/>
        <w:spacing w:line="360" w:lineRule="auto"/>
        <w:rPr>
          <w:rFonts w:asciiTheme="majorHAnsi" w:hAnsiTheme="majorHAnsi" w:cstheme="majorHAnsi"/>
          <w:sz w:val="24"/>
          <w:szCs w:val="24"/>
        </w:rPr>
      </w:pPr>
      <w:bookmarkStart w:id="38" w:name="_Toc125402979"/>
      <w:bookmarkStart w:id="39" w:name="_Toc125481814"/>
      <w:bookmarkStart w:id="40" w:name="_Toc125481928"/>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10</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 Driscoll, Laura Cait. Big Pit Museum Display of a Water Jack and Tommy Box Food Tin. 8th October 2022. Authors Personal Collection</w:t>
      </w:r>
      <w:bookmarkEnd w:id="38"/>
      <w:bookmarkEnd w:id="39"/>
      <w:bookmarkEnd w:id="40"/>
    </w:p>
    <w:p w14:paraId="5229347E"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sz w:val="24"/>
          <w:szCs w:val="24"/>
        </w:rPr>
        <w:lastRenderedPageBreak/>
        <w:t xml:space="preserve"> </w:t>
      </w:r>
      <w:r w:rsidRPr="00BE50E2">
        <w:rPr>
          <w:rFonts w:asciiTheme="majorHAnsi" w:hAnsiTheme="majorHAnsi" w:cstheme="majorHAnsi"/>
          <w:noProof/>
          <w:sz w:val="24"/>
          <w:szCs w:val="24"/>
        </w:rPr>
        <w:drawing>
          <wp:inline distT="0" distB="0" distL="0" distR="0" wp14:anchorId="6FF514B0" wp14:editId="2827A5DD">
            <wp:extent cx="2103120" cy="2804237"/>
            <wp:effectExtent l="0" t="0" r="0" b="0"/>
            <wp:docPr id="2" name="Picture 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20945" cy="2828004"/>
                    </a:xfrm>
                    <a:prstGeom prst="rect">
                      <a:avLst/>
                    </a:prstGeom>
                    <a:noFill/>
                    <a:ln>
                      <a:noFill/>
                    </a:ln>
                  </pic:spPr>
                </pic:pic>
              </a:graphicData>
            </a:graphic>
          </wp:inline>
        </w:drawing>
      </w:r>
    </w:p>
    <w:p w14:paraId="11CFB20C" w14:textId="5515DDD4" w:rsidR="00BE50E2" w:rsidRPr="00BE50E2" w:rsidRDefault="00BE50E2" w:rsidP="00BE50E2">
      <w:pPr>
        <w:pStyle w:val="Caption"/>
        <w:spacing w:line="360" w:lineRule="auto"/>
        <w:rPr>
          <w:rFonts w:asciiTheme="majorHAnsi" w:hAnsiTheme="majorHAnsi" w:cstheme="majorHAnsi"/>
          <w:sz w:val="24"/>
          <w:szCs w:val="24"/>
        </w:rPr>
      </w:pPr>
      <w:bookmarkStart w:id="41" w:name="_Toc125402980"/>
      <w:bookmarkStart w:id="42" w:name="_Toc125481815"/>
      <w:bookmarkStart w:id="43" w:name="_Toc125481929"/>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11</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Big Pit Museum Display of Miners Eating Their Lunch Underground. 8th October 2022. Authors Personal Collection</w:t>
      </w:r>
      <w:bookmarkEnd w:id="41"/>
      <w:bookmarkEnd w:id="42"/>
      <w:bookmarkEnd w:id="43"/>
    </w:p>
    <w:p w14:paraId="67EE3BE4"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 xml:space="preserve"> Amgueddfa Cymru is responsible for Big Pit as well as St Fagans and five other museums within Wales. In 2015 they described their purpose as being able to</w:t>
      </w:r>
    </w:p>
    <w:p w14:paraId="397C893F" w14:textId="77777777" w:rsidR="00BE50E2" w:rsidRPr="00BE50E2" w:rsidRDefault="00BE50E2" w:rsidP="00BE50E2">
      <w:pPr>
        <w:spacing w:line="360" w:lineRule="auto"/>
        <w:ind w:left="284" w:right="379"/>
        <w:rPr>
          <w:rFonts w:asciiTheme="majorHAnsi" w:hAnsiTheme="majorHAnsi" w:cstheme="majorHAnsi"/>
          <w:sz w:val="24"/>
          <w:szCs w:val="24"/>
        </w:rPr>
      </w:pPr>
      <w:r w:rsidRPr="00BE50E2">
        <w:rPr>
          <w:rFonts w:asciiTheme="majorHAnsi" w:hAnsiTheme="majorHAnsi" w:cstheme="majorHAnsi"/>
          <w:sz w:val="24"/>
          <w:szCs w:val="24"/>
        </w:rPr>
        <w:t xml:space="preserve">‘Inspire people through our museums and collections to find a sense of well-being and identity, to discover, enjoy and learn bilingually, and to understand Wales’s place in the wider world. Our work is based on the principle that culture </w:t>
      </w:r>
      <w:proofErr w:type="gramStart"/>
      <w:r w:rsidRPr="00BE50E2">
        <w:rPr>
          <w:rFonts w:asciiTheme="majorHAnsi" w:hAnsiTheme="majorHAnsi" w:cstheme="majorHAnsi"/>
          <w:sz w:val="24"/>
          <w:szCs w:val="24"/>
        </w:rPr>
        <w:t>is created</w:t>
      </w:r>
      <w:proofErr w:type="gramEnd"/>
      <w:r w:rsidRPr="00BE50E2">
        <w:rPr>
          <w:rFonts w:asciiTheme="majorHAnsi" w:hAnsiTheme="majorHAnsi" w:cstheme="majorHAnsi"/>
          <w:sz w:val="24"/>
          <w:szCs w:val="24"/>
        </w:rPr>
        <w:t xml:space="preserve"> by people and communities. Our collections and other resources partly come from the society of which we are part, and are continually renewed through our work with the public… We are accountable for our use of these resources to the nation we serve’</w:t>
      </w:r>
      <w:r w:rsidRPr="00BE50E2">
        <w:rPr>
          <w:rStyle w:val="FootnoteReference"/>
          <w:rFonts w:asciiTheme="majorHAnsi" w:hAnsiTheme="majorHAnsi" w:cstheme="majorHAnsi"/>
          <w:sz w:val="24"/>
          <w:szCs w:val="24"/>
        </w:rPr>
        <w:footnoteReference w:id="142"/>
      </w:r>
    </w:p>
    <w:p w14:paraId="79AA138B" w14:textId="477C6F8E"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This approach is highlighted in the way that the museum shows all aspects of the miners’ life, often going beyond those that were based specifically in Blaenavon. The curators have designed a section of their exhibit dedicated to the life at home for the miners and their families which includes a poster entitled </w:t>
      </w:r>
      <w:r w:rsidRPr="48F23DBF">
        <w:rPr>
          <w:rFonts w:asciiTheme="majorHAnsi" w:hAnsiTheme="majorHAnsi" w:cstheme="majorBidi"/>
          <w:i/>
          <w:sz w:val="24"/>
          <w:szCs w:val="24"/>
        </w:rPr>
        <w:t>Grow Your Own</w:t>
      </w:r>
      <w:r w:rsidRPr="48F23DBF">
        <w:rPr>
          <w:rFonts w:asciiTheme="majorHAnsi" w:hAnsiTheme="majorHAnsi" w:cstheme="majorBidi"/>
          <w:sz w:val="24"/>
          <w:szCs w:val="24"/>
        </w:rPr>
        <w:t xml:space="preserve"> which is displayed on a pig sty. The intention is to show the home production of food stuff that </w:t>
      </w:r>
      <w:proofErr w:type="gramStart"/>
      <w:r w:rsidRPr="48F23DBF">
        <w:rPr>
          <w:rFonts w:asciiTheme="majorHAnsi" w:hAnsiTheme="majorHAnsi" w:cstheme="majorBidi"/>
          <w:sz w:val="24"/>
          <w:szCs w:val="24"/>
        </w:rPr>
        <w:t>some</w:t>
      </w:r>
      <w:proofErr w:type="gramEnd"/>
      <w:r w:rsidRPr="48F23DBF">
        <w:rPr>
          <w:rFonts w:asciiTheme="majorHAnsi" w:hAnsiTheme="majorHAnsi" w:cstheme="majorBidi"/>
          <w:sz w:val="24"/>
          <w:szCs w:val="24"/>
        </w:rPr>
        <w:t xml:space="preserve"> may have had to supplement their income. This exhibit could </w:t>
      </w:r>
      <w:proofErr w:type="gramStart"/>
      <w:r w:rsidRPr="48F23DBF">
        <w:rPr>
          <w:rFonts w:asciiTheme="majorHAnsi" w:hAnsiTheme="majorHAnsi" w:cstheme="majorBidi"/>
          <w:sz w:val="24"/>
          <w:szCs w:val="24"/>
        </w:rPr>
        <w:t>be enhanced</w:t>
      </w:r>
      <w:proofErr w:type="gramEnd"/>
      <w:r w:rsidRPr="48F23DBF">
        <w:rPr>
          <w:rFonts w:asciiTheme="majorHAnsi" w:hAnsiTheme="majorHAnsi" w:cstheme="majorBidi"/>
          <w:sz w:val="24"/>
          <w:szCs w:val="24"/>
        </w:rPr>
        <w:t xml:space="preserve"> further if they were to include aspects such as a recreation of kitchen gardens and vegetable plots rather than just the written word.</w:t>
      </w:r>
      <w:r w:rsidRPr="00BE50E2">
        <w:rPr>
          <w:rFonts w:asciiTheme="majorHAnsi" w:hAnsiTheme="majorHAnsi" w:cstheme="majorHAnsi"/>
          <w:sz w:val="24"/>
          <w:szCs w:val="24"/>
        </w:rPr>
        <w:br/>
      </w:r>
      <w:r w:rsidRPr="48F23DBF">
        <w:rPr>
          <w:rFonts w:asciiTheme="majorHAnsi" w:hAnsiTheme="majorHAnsi" w:cstheme="majorBidi"/>
          <w:sz w:val="24"/>
          <w:szCs w:val="24"/>
        </w:rPr>
        <w:lastRenderedPageBreak/>
        <w:t>A dedication to ‘our mam’ and the work they did to budget, clean the house</w:t>
      </w:r>
      <w:r w:rsidR="720A3A9A" w:rsidRPr="48F23DBF">
        <w:rPr>
          <w:rFonts w:asciiTheme="majorHAnsi" w:hAnsiTheme="majorHAnsi" w:cstheme="majorBidi"/>
          <w:sz w:val="24"/>
          <w:szCs w:val="24"/>
        </w:rPr>
        <w:t>,</w:t>
      </w:r>
      <w:r w:rsidRPr="48F23DBF">
        <w:rPr>
          <w:rFonts w:asciiTheme="majorHAnsi" w:hAnsiTheme="majorHAnsi" w:cstheme="majorBidi"/>
          <w:sz w:val="24"/>
          <w:szCs w:val="24"/>
        </w:rPr>
        <w:t xml:space="preserve"> and organise soup kitchens is given. The dedication is a lovely way to highlight the household economy whereby the miner and his wife form an economic unit. However, this could be developed in a more multisensory way, such as stories being told through speakers, archive photography and recreations.</w:t>
      </w:r>
      <w:r w:rsidRPr="00BE50E2">
        <w:rPr>
          <w:rFonts w:asciiTheme="majorHAnsi" w:hAnsiTheme="majorHAnsi" w:cstheme="majorHAnsi"/>
          <w:sz w:val="24"/>
          <w:szCs w:val="24"/>
        </w:rPr>
        <w:br/>
      </w:r>
      <w:r w:rsidRPr="48F23DBF">
        <w:rPr>
          <w:rFonts w:asciiTheme="majorHAnsi" w:hAnsiTheme="majorHAnsi" w:cstheme="majorBidi"/>
          <w:sz w:val="24"/>
          <w:szCs w:val="24"/>
        </w:rPr>
        <w:t xml:space="preserve">Although there is limited information on the food that miners themselves had down the mines during the Industrial Era, the museum does have information pamphlets on food that they ate at home, which included meat and vegetable soup (cawl) which often lasted for days. They also have a plastic exhibit that </w:t>
      </w:r>
      <w:bookmarkStart w:id="44" w:name="_Int_VkdyWzzc"/>
      <w:proofErr w:type="gramStart"/>
      <w:r w:rsidRPr="48F23DBF">
        <w:rPr>
          <w:rFonts w:asciiTheme="majorHAnsi" w:hAnsiTheme="majorHAnsi" w:cstheme="majorBidi"/>
          <w:sz w:val="24"/>
          <w:szCs w:val="24"/>
        </w:rPr>
        <w:t>showcases</w:t>
      </w:r>
      <w:bookmarkEnd w:id="44"/>
      <w:proofErr w:type="gramEnd"/>
      <w:r w:rsidRPr="48F23DBF">
        <w:rPr>
          <w:rFonts w:asciiTheme="majorHAnsi" w:hAnsiTheme="majorHAnsi" w:cstheme="majorBidi"/>
          <w:sz w:val="24"/>
          <w:szCs w:val="24"/>
        </w:rPr>
        <w:t xml:space="preserve"> the differences in food between what was eaten during the times of the mines being open compared to the ‘modern </w:t>
      </w:r>
      <w:r w:rsidRPr="48F23DBF">
        <w:rPr>
          <w:rFonts w:asciiTheme="majorHAnsi" w:hAnsiTheme="majorHAnsi" w:cstheme="majorBidi"/>
          <w:sz w:val="24"/>
          <w:szCs w:val="24"/>
        </w:rPr>
        <w:t>day</w:t>
      </w:r>
      <w:r w:rsidR="3017AD64" w:rsidRPr="48F23DBF">
        <w:rPr>
          <w:rFonts w:asciiTheme="majorHAnsi" w:hAnsiTheme="majorHAnsi" w:cstheme="majorBidi"/>
          <w:sz w:val="24"/>
          <w:szCs w:val="24"/>
        </w:rPr>
        <w:t>,’</w:t>
      </w:r>
      <w:r w:rsidRPr="48F23DBF">
        <w:rPr>
          <w:rFonts w:asciiTheme="majorHAnsi" w:hAnsiTheme="majorHAnsi" w:cstheme="majorBidi"/>
          <w:sz w:val="24"/>
          <w:szCs w:val="24"/>
        </w:rPr>
        <w:t xml:space="preserve"> although the modern-day representation has not been updated since the early 2000s. The plastic exhibit highlights the contentions that Sydney Living Museum raised, which is that plastic food happens to look </w:t>
      </w:r>
      <w:proofErr w:type="gramStart"/>
      <w:r w:rsidRPr="48F23DBF">
        <w:rPr>
          <w:rFonts w:asciiTheme="majorHAnsi" w:hAnsiTheme="majorHAnsi" w:cstheme="majorBidi"/>
          <w:sz w:val="24"/>
          <w:szCs w:val="24"/>
        </w:rPr>
        <w:t>fairly unrealistic</w:t>
      </w:r>
      <w:proofErr w:type="gramEnd"/>
      <w:r w:rsidRPr="48F23DBF">
        <w:rPr>
          <w:rFonts w:asciiTheme="majorHAnsi" w:hAnsiTheme="majorHAnsi" w:cstheme="majorBidi"/>
          <w:sz w:val="24"/>
          <w:szCs w:val="24"/>
        </w:rPr>
        <w:t xml:space="preserve"> especially when close to the viewers. This could </w:t>
      </w:r>
      <w:proofErr w:type="gramStart"/>
      <w:r w:rsidRPr="48F23DBF">
        <w:rPr>
          <w:rFonts w:asciiTheme="majorHAnsi" w:hAnsiTheme="majorHAnsi" w:cstheme="majorBidi"/>
          <w:sz w:val="24"/>
          <w:szCs w:val="24"/>
        </w:rPr>
        <w:t>be altered</w:t>
      </w:r>
      <w:proofErr w:type="gramEnd"/>
      <w:r w:rsidRPr="48F23DBF">
        <w:rPr>
          <w:rFonts w:asciiTheme="majorHAnsi" w:hAnsiTheme="majorHAnsi" w:cstheme="majorBidi"/>
          <w:sz w:val="24"/>
          <w:szCs w:val="24"/>
        </w:rPr>
        <w:t xml:space="preserve"> to look more realistic if the fake food </w:t>
      </w:r>
      <w:r w:rsidR="36E5C6F0" w:rsidRPr="48F23DBF">
        <w:rPr>
          <w:rFonts w:asciiTheme="majorHAnsi" w:hAnsiTheme="majorHAnsi" w:cstheme="majorBidi"/>
          <w:sz w:val="24"/>
          <w:szCs w:val="24"/>
        </w:rPr>
        <w:t>were</w:t>
      </w:r>
      <w:r w:rsidRPr="48F23DBF">
        <w:rPr>
          <w:rFonts w:asciiTheme="majorHAnsi" w:hAnsiTheme="majorHAnsi" w:cstheme="majorBidi"/>
          <w:sz w:val="24"/>
          <w:szCs w:val="24"/>
        </w:rPr>
        <w:t xml:space="preserve"> set back from the glass or if they had food that has been dried or fake food made from clay or other materials for a more realistic aspect. Llerena raises the point that although plastic food can help give information, all the food displays behind glass, </w:t>
      </w:r>
      <w:bookmarkStart w:id="45" w:name="_Int_LZ2LmPNK"/>
      <w:r w:rsidRPr="48F23DBF">
        <w:rPr>
          <w:rFonts w:asciiTheme="majorHAnsi" w:hAnsiTheme="majorHAnsi" w:cstheme="majorBidi"/>
          <w:sz w:val="24"/>
          <w:szCs w:val="24"/>
        </w:rPr>
        <w:t>miss out on</w:t>
      </w:r>
      <w:bookmarkEnd w:id="45"/>
      <w:r w:rsidRPr="48F23DBF">
        <w:rPr>
          <w:rFonts w:asciiTheme="majorHAnsi" w:hAnsiTheme="majorHAnsi" w:cstheme="majorBidi"/>
          <w:sz w:val="24"/>
          <w:szCs w:val="24"/>
        </w:rPr>
        <w:t xml:space="preserve"> olfactory senses being engaged within the displays.</w:t>
      </w:r>
      <w:r w:rsidRPr="48F23DBF">
        <w:rPr>
          <w:rStyle w:val="FootnoteReference"/>
          <w:rFonts w:asciiTheme="majorHAnsi" w:hAnsiTheme="majorHAnsi" w:cstheme="majorBidi"/>
          <w:sz w:val="24"/>
          <w:szCs w:val="24"/>
        </w:rPr>
        <w:footnoteReference w:id="143"/>
      </w:r>
      <w:r w:rsidRPr="48F23DBF">
        <w:rPr>
          <w:rFonts w:asciiTheme="majorHAnsi" w:hAnsiTheme="majorHAnsi" w:cstheme="majorBidi"/>
          <w:sz w:val="24"/>
          <w:szCs w:val="24"/>
        </w:rPr>
        <w:t xml:space="preserve"> Although the museum engages with the sights, sounds smell and atmosphere of an authentic coal mine when underground, that engagement is less developed when going through the museum displays above ground. </w:t>
      </w:r>
    </w:p>
    <w:p w14:paraId="0CBCBDA6"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drawing>
          <wp:inline distT="0" distB="0" distL="0" distR="0" wp14:anchorId="1412E7EE" wp14:editId="3458445E">
            <wp:extent cx="2019300" cy="1514587"/>
            <wp:effectExtent l="0" t="0" r="0" b="9525"/>
            <wp:docPr id="3" name="Picture 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availab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21840" cy="1516492"/>
                    </a:xfrm>
                    <a:prstGeom prst="rect">
                      <a:avLst/>
                    </a:prstGeom>
                    <a:noFill/>
                    <a:ln>
                      <a:noFill/>
                    </a:ln>
                  </pic:spPr>
                </pic:pic>
              </a:graphicData>
            </a:graphic>
          </wp:inline>
        </w:drawing>
      </w:r>
    </w:p>
    <w:p w14:paraId="3FC45069" w14:textId="7248A4A0" w:rsidR="00BE50E2" w:rsidRPr="00BE50E2" w:rsidRDefault="00BE50E2" w:rsidP="00BE50E2">
      <w:pPr>
        <w:pStyle w:val="Caption"/>
        <w:spacing w:line="360" w:lineRule="auto"/>
        <w:rPr>
          <w:rFonts w:asciiTheme="majorHAnsi" w:hAnsiTheme="majorHAnsi" w:cstheme="majorHAnsi"/>
          <w:sz w:val="24"/>
          <w:szCs w:val="24"/>
        </w:rPr>
      </w:pPr>
      <w:bookmarkStart w:id="46" w:name="_Toc125402981"/>
      <w:bookmarkStart w:id="47" w:name="_Toc125481816"/>
      <w:bookmarkStart w:id="48" w:name="_Toc125481930"/>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12</w:t>
      </w:r>
      <w:r w:rsidRPr="00BE50E2">
        <w:rPr>
          <w:rFonts w:asciiTheme="majorHAnsi" w:hAnsiTheme="majorHAnsi" w:cstheme="majorHAnsi"/>
          <w:sz w:val="24"/>
          <w:szCs w:val="24"/>
        </w:rPr>
        <w:fldChar w:fldCharType="end"/>
      </w:r>
      <w:proofErr w:type="gramStart"/>
      <w:r w:rsidRPr="00BE50E2">
        <w:rPr>
          <w:rFonts w:asciiTheme="majorHAnsi" w:hAnsiTheme="majorHAnsi" w:cstheme="majorHAnsi"/>
          <w:sz w:val="24"/>
          <w:szCs w:val="24"/>
        </w:rPr>
        <w:t>. .</w:t>
      </w:r>
      <w:proofErr w:type="gramEnd"/>
      <w:r w:rsidRPr="00BE50E2">
        <w:rPr>
          <w:rFonts w:asciiTheme="majorHAnsi" w:hAnsiTheme="majorHAnsi" w:cstheme="majorHAnsi"/>
          <w:sz w:val="24"/>
          <w:szCs w:val="24"/>
        </w:rPr>
        <w:t xml:space="preserve"> Driscoll, Laura Cait. Big Pit Museum Display of a Pig Sty. 8th October 2022. Authors Personal Collection</w:t>
      </w:r>
      <w:bookmarkEnd w:id="46"/>
      <w:bookmarkEnd w:id="47"/>
      <w:bookmarkEnd w:id="48"/>
    </w:p>
    <w:p w14:paraId="694DB471"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noProof/>
          <w:sz w:val="24"/>
          <w:szCs w:val="24"/>
        </w:rPr>
        <w:lastRenderedPageBreak/>
        <w:t xml:space="preserve">     </w:t>
      </w:r>
      <w:r w:rsidRPr="00BE50E2">
        <w:rPr>
          <w:rFonts w:asciiTheme="majorHAnsi" w:hAnsiTheme="majorHAnsi" w:cstheme="majorHAnsi"/>
          <w:noProof/>
          <w:sz w:val="24"/>
          <w:szCs w:val="24"/>
        </w:rPr>
        <w:drawing>
          <wp:inline distT="0" distB="0" distL="0" distR="0" wp14:anchorId="394398C0" wp14:editId="7147C5FA">
            <wp:extent cx="1632585" cy="2176780"/>
            <wp:effectExtent l="0" t="0" r="5715" b="0"/>
            <wp:docPr id="4" name="Picture 4" descr="A picture containing text, variety, fre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variety, fresh&#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32585" cy="2176780"/>
                    </a:xfrm>
                    <a:prstGeom prst="rect">
                      <a:avLst/>
                    </a:prstGeom>
                    <a:noFill/>
                  </pic:spPr>
                </pic:pic>
              </a:graphicData>
            </a:graphic>
          </wp:inline>
        </w:drawing>
      </w:r>
    </w:p>
    <w:p w14:paraId="65104D42" w14:textId="3DAA6463" w:rsidR="00BE50E2" w:rsidRPr="00BE50E2" w:rsidRDefault="00BE50E2" w:rsidP="00BE50E2">
      <w:pPr>
        <w:pStyle w:val="Caption"/>
        <w:spacing w:line="360" w:lineRule="auto"/>
        <w:rPr>
          <w:rFonts w:asciiTheme="majorHAnsi" w:hAnsiTheme="majorHAnsi" w:cstheme="majorHAnsi"/>
          <w:sz w:val="24"/>
          <w:szCs w:val="24"/>
        </w:rPr>
      </w:pPr>
      <w:bookmarkStart w:id="49" w:name="_Toc125402982"/>
      <w:bookmarkStart w:id="50" w:name="_Toc125481817"/>
      <w:bookmarkStart w:id="51" w:name="_Toc125481931"/>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13</w:t>
      </w:r>
      <w:r w:rsidRPr="00BE50E2">
        <w:rPr>
          <w:rFonts w:asciiTheme="majorHAnsi" w:hAnsiTheme="majorHAnsi" w:cstheme="majorHAnsi"/>
          <w:sz w:val="24"/>
          <w:szCs w:val="24"/>
        </w:rPr>
        <w:fldChar w:fldCharType="end"/>
      </w:r>
      <w:proofErr w:type="gramStart"/>
      <w:r w:rsidRPr="00BE50E2">
        <w:rPr>
          <w:rFonts w:asciiTheme="majorHAnsi" w:hAnsiTheme="majorHAnsi" w:cstheme="majorHAnsi"/>
          <w:sz w:val="24"/>
          <w:szCs w:val="24"/>
        </w:rPr>
        <w:t>. .</w:t>
      </w:r>
      <w:proofErr w:type="gramEnd"/>
      <w:r w:rsidRPr="00BE50E2">
        <w:rPr>
          <w:rFonts w:asciiTheme="majorHAnsi" w:hAnsiTheme="majorHAnsi" w:cstheme="majorHAnsi"/>
          <w:sz w:val="24"/>
          <w:szCs w:val="24"/>
        </w:rPr>
        <w:t xml:space="preserve"> Driscoll, Laura Cait. Big Pit Museum Display of Plastic Food Behind Glass. 8th October 2022. Authors Personal Collection</w:t>
      </w:r>
      <w:bookmarkEnd w:id="49"/>
      <w:bookmarkEnd w:id="50"/>
      <w:bookmarkEnd w:id="51"/>
    </w:p>
    <w:p w14:paraId="3D70C0A2" w14:textId="77777777" w:rsidR="00BE50E2" w:rsidRPr="00BE50E2" w:rsidRDefault="00BE50E2" w:rsidP="00BE50E2">
      <w:pPr>
        <w:spacing w:line="360" w:lineRule="auto"/>
        <w:rPr>
          <w:rFonts w:asciiTheme="majorHAnsi" w:hAnsiTheme="majorHAnsi" w:cstheme="majorHAnsi"/>
          <w:sz w:val="24"/>
          <w:szCs w:val="24"/>
        </w:rPr>
      </w:pPr>
    </w:p>
    <w:p w14:paraId="299AD0A8" w14:textId="18EDE996"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One of the buildings that are still being used in a similar capacity as during the Industrial Era is the canteen. It was originally built as part of the pithead baths. The canteen historically provided light refreshments such as hot drinks and cakes instead of full meals. This was often to do with the men being down the mines all day so never resurfacing for lunch, only emerging at the end of their shift where they would want a hot drink and maybe a cake to enjoy whilst they waited for their bus. In recent times the canteen is now used as a place for visitors to enjoy full meals as well as cakes and a snack. Even going as far as providing a ‘miners lunch’ for children which includes a sandwich, juice</w:t>
      </w:r>
      <w:r w:rsidR="70FF0DC4" w:rsidRPr="48F23DBF">
        <w:rPr>
          <w:rFonts w:asciiTheme="majorHAnsi" w:hAnsiTheme="majorHAnsi" w:cstheme="majorBidi"/>
          <w:sz w:val="24"/>
          <w:szCs w:val="24"/>
        </w:rPr>
        <w:t>,</w:t>
      </w:r>
      <w:r w:rsidRPr="48F23DBF">
        <w:rPr>
          <w:rFonts w:asciiTheme="majorHAnsi" w:hAnsiTheme="majorHAnsi" w:cstheme="majorBidi"/>
          <w:sz w:val="24"/>
          <w:szCs w:val="24"/>
        </w:rPr>
        <w:t xml:space="preserve"> and some snacks, it is reminiscent of a miner’s lunch whilst having a modern-day twist, this is a good way however, for children to be empathetic with the miners through encouragement to consider what would have been eaten down the mines.</w:t>
      </w:r>
    </w:p>
    <w:p w14:paraId="334393A6" w14:textId="28B1A7D5"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Something that Big Pit could add to their museum is to engage their visitors in a conversation about what miners ate and where, when they do their tour underground. This would highlight that the miners ate below ground and that the context affected the sensory experience of eating food. A little-known but interesting fact about eating food down the mine is that it changes a lot of tastes, this includes an onion losing its acidity and being eaten like an apple, and the fact that bananas are never included in the packed lunch as they quickly turn to mush. This anecdotal information comes from family history but is not generally included in the tours.</w:t>
      </w:r>
      <w:r w:rsidRPr="00BE50E2">
        <w:rPr>
          <w:rFonts w:asciiTheme="majorHAnsi" w:hAnsiTheme="majorHAnsi" w:cstheme="majorHAnsi"/>
          <w:sz w:val="24"/>
          <w:szCs w:val="24"/>
        </w:rPr>
        <w:br/>
      </w:r>
      <w:r w:rsidRPr="00BE50E2">
        <w:rPr>
          <w:rFonts w:asciiTheme="majorHAnsi" w:hAnsiTheme="majorHAnsi" w:cstheme="majorHAnsi"/>
          <w:sz w:val="24"/>
          <w:szCs w:val="24"/>
        </w:rPr>
        <w:lastRenderedPageBreak/>
        <w:br/>
      </w:r>
      <w:r w:rsidRPr="48F23DBF">
        <w:rPr>
          <w:rFonts w:asciiTheme="majorHAnsi" w:hAnsiTheme="majorHAnsi" w:cstheme="majorBidi"/>
          <w:sz w:val="24"/>
          <w:szCs w:val="24"/>
        </w:rPr>
        <w:t>Furthermore, by following the museum’s statement that they ‘are continually renewed through our work with the public’</w:t>
      </w:r>
      <w:r w:rsidRPr="48F23DBF">
        <w:rPr>
          <w:rStyle w:val="FootnoteReference"/>
          <w:rFonts w:asciiTheme="majorHAnsi" w:hAnsiTheme="majorHAnsi" w:cstheme="majorBidi"/>
          <w:sz w:val="24"/>
          <w:szCs w:val="24"/>
        </w:rPr>
        <w:footnoteReference w:id="144"/>
      </w:r>
      <w:r w:rsidRPr="48F23DBF">
        <w:rPr>
          <w:rFonts w:asciiTheme="majorHAnsi" w:hAnsiTheme="majorHAnsi" w:cstheme="majorBidi"/>
          <w:sz w:val="24"/>
          <w:szCs w:val="24"/>
        </w:rPr>
        <w:t xml:space="preserve"> the community element of the museum could be enhanced by engaging with those who have lived in the area and had family members down the mines. Mining families could be invited to bring in the local recipes and stories of what they ate, whether that be a general meal every week or what they did on special occasions, such as being brought up on bread pudding as the main sweet treat or iced slices if you were lucky and had eggs available to you. The dinners they had from leftovers, such as the gravy left over from Sundays</w:t>
      </w:r>
      <w:r w:rsidRPr="48F23DBF">
        <w:rPr>
          <w:rStyle w:val="FootnoteReference"/>
          <w:rFonts w:asciiTheme="majorHAnsi" w:hAnsiTheme="majorHAnsi" w:cstheme="majorBidi"/>
          <w:sz w:val="24"/>
          <w:szCs w:val="24"/>
        </w:rPr>
        <w:footnoteReference w:id="145"/>
      </w:r>
      <w:r w:rsidRPr="48F23DBF">
        <w:rPr>
          <w:rFonts w:asciiTheme="majorHAnsi" w:hAnsiTheme="majorHAnsi" w:cstheme="majorBidi"/>
          <w:sz w:val="24"/>
          <w:szCs w:val="24"/>
        </w:rPr>
        <w:t xml:space="preserve"> going into a pan with vegetables and meat slices, something that when put on a plate may have looked like ‘slop’ but with slices of bread was able to blow your mind.</w:t>
      </w:r>
      <w:r w:rsidRPr="48F23DBF">
        <w:rPr>
          <w:rStyle w:val="FootnoteReference"/>
          <w:rFonts w:asciiTheme="majorHAnsi" w:hAnsiTheme="majorHAnsi" w:cstheme="majorBidi"/>
          <w:sz w:val="24"/>
          <w:szCs w:val="24"/>
        </w:rPr>
        <w:footnoteReference w:id="146"/>
      </w:r>
      <w:r w:rsidRPr="48F23DBF">
        <w:rPr>
          <w:rFonts w:asciiTheme="majorHAnsi" w:hAnsiTheme="majorHAnsi" w:cstheme="majorBidi"/>
          <w:sz w:val="24"/>
          <w:szCs w:val="24"/>
        </w:rPr>
        <w:t xml:space="preserve"> </w:t>
      </w:r>
      <w:r w:rsidR="000A7DD8" w:rsidRPr="48F23DBF">
        <w:rPr>
          <w:rFonts w:asciiTheme="majorHAnsi" w:hAnsiTheme="majorHAnsi" w:cstheme="majorBidi"/>
          <w:sz w:val="24"/>
          <w:szCs w:val="24"/>
        </w:rPr>
        <w:t xml:space="preserve"> </w:t>
      </w:r>
      <w:r w:rsidR="00F05DB6" w:rsidRPr="48F23DBF">
        <w:rPr>
          <w:rFonts w:asciiTheme="majorHAnsi" w:hAnsiTheme="majorHAnsi" w:cstheme="majorBidi"/>
          <w:sz w:val="24"/>
          <w:szCs w:val="24"/>
        </w:rPr>
        <w:t xml:space="preserve">In industrial villages in North and South Wales, there used to be a prominent cottage industry where if </w:t>
      </w:r>
      <w:r w:rsidR="00570084" w:rsidRPr="48F23DBF">
        <w:rPr>
          <w:rFonts w:asciiTheme="majorHAnsi" w:hAnsiTheme="majorHAnsi" w:cstheme="majorBidi"/>
          <w:sz w:val="24"/>
          <w:szCs w:val="24"/>
        </w:rPr>
        <w:t xml:space="preserve">the family </w:t>
      </w:r>
      <w:r w:rsidR="4E05996C" w:rsidRPr="48F23DBF">
        <w:rPr>
          <w:rFonts w:asciiTheme="majorHAnsi" w:hAnsiTheme="majorHAnsi" w:cstheme="majorBidi"/>
          <w:sz w:val="24"/>
          <w:szCs w:val="24"/>
        </w:rPr>
        <w:t>were</w:t>
      </w:r>
      <w:r w:rsidR="00570084" w:rsidRPr="48F23DBF">
        <w:rPr>
          <w:rFonts w:asciiTheme="majorHAnsi" w:hAnsiTheme="majorHAnsi" w:cstheme="majorBidi"/>
          <w:sz w:val="24"/>
          <w:szCs w:val="24"/>
        </w:rPr>
        <w:t xml:space="preserve"> hit by sickness or industrial strife</w:t>
      </w:r>
      <w:r w:rsidRPr="48F23DBF">
        <w:rPr>
          <w:rFonts w:asciiTheme="majorHAnsi" w:hAnsiTheme="majorHAnsi" w:cstheme="majorBidi"/>
          <w:sz w:val="24"/>
          <w:szCs w:val="24"/>
        </w:rPr>
        <w:t>, the wife would create cash through other sources</w:t>
      </w:r>
      <w:r w:rsidR="00BA6469" w:rsidRPr="48F23DBF">
        <w:rPr>
          <w:rFonts w:asciiTheme="majorHAnsi" w:hAnsiTheme="majorHAnsi" w:cstheme="majorBidi"/>
          <w:sz w:val="24"/>
          <w:szCs w:val="24"/>
        </w:rPr>
        <w:t>. She would do what was</w:t>
      </w:r>
      <w:r w:rsidRPr="48F23DBF">
        <w:rPr>
          <w:rFonts w:asciiTheme="majorHAnsi" w:hAnsiTheme="majorHAnsi" w:cstheme="majorBidi"/>
          <w:sz w:val="24"/>
          <w:szCs w:val="24"/>
        </w:rPr>
        <w:t xml:space="preserve"> needed </w:t>
      </w:r>
      <w:r w:rsidR="00893E8C" w:rsidRPr="48F23DBF">
        <w:rPr>
          <w:rFonts w:asciiTheme="majorHAnsi" w:hAnsiTheme="majorHAnsi" w:cstheme="majorBidi"/>
          <w:sz w:val="24"/>
          <w:szCs w:val="24"/>
        </w:rPr>
        <w:t xml:space="preserve">to create income </w:t>
      </w:r>
      <w:r w:rsidRPr="48F23DBF">
        <w:rPr>
          <w:rFonts w:asciiTheme="majorHAnsi" w:hAnsiTheme="majorHAnsi" w:cstheme="majorBidi"/>
          <w:sz w:val="24"/>
          <w:szCs w:val="24"/>
        </w:rPr>
        <w:t>through making faggots, or brewing diod fain</w:t>
      </w:r>
      <w:r w:rsidR="00893E8C" w:rsidRPr="48F23DBF">
        <w:rPr>
          <w:rFonts w:asciiTheme="majorHAnsi" w:hAnsiTheme="majorHAnsi" w:cstheme="majorBidi"/>
          <w:sz w:val="24"/>
          <w:szCs w:val="24"/>
        </w:rPr>
        <w:t xml:space="preserve"> and selling it from home or at a local market</w:t>
      </w:r>
      <w:r w:rsidR="00BA6469" w:rsidRPr="48F23DBF">
        <w:rPr>
          <w:rFonts w:asciiTheme="majorHAnsi" w:hAnsiTheme="majorHAnsi" w:cstheme="majorBidi"/>
          <w:sz w:val="24"/>
          <w:szCs w:val="24"/>
        </w:rPr>
        <w:t>.</w:t>
      </w:r>
      <w:r w:rsidRPr="48F23DBF">
        <w:rPr>
          <w:rStyle w:val="FootnoteReference"/>
          <w:rFonts w:asciiTheme="majorHAnsi" w:hAnsiTheme="majorHAnsi" w:cstheme="majorBidi"/>
          <w:sz w:val="24"/>
          <w:szCs w:val="24"/>
        </w:rPr>
        <w:footnoteReference w:id="147"/>
      </w:r>
      <w:r w:rsidR="00893E8C" w:rsidRPr="48F23DBF">
        <w:rPr>
          <w:rFonts w:asciiTheme="majorHAnsi" w:hAnsiTheme="majorHAnsi" w:cstheme="majorBidi"/>
          <w:sz w:val="24"/>
          <w:szCs w:val="24"/>
        </w:rPr>
        <w:t xml:space="preserve"> Not only did this help the families create income, it also helped the local community through providing affordable</w:t>
      </w:r>
      <w:r w:rsidR="0045369E" w:rsidRPr="48F23DBF">
        <w:rPr>
          <w:rFonts w:asciiTheme="majorHAnsi" w:hAnsiTheme="majorHAnsi" w:cstheme="majorBidi"/>
          <w:sz w:val="24"/>
          <w:szCs w:val="24"/>
        </w:rPr>
        <w:t xml:space="preserve"> and traditional Welsh food and drink.</w:t>
      </w:r>
      <w:r w:rsidR="0045369E" w:rsidRPr="48F23DBF">
        <w:rPr>
          <w:rStyle w:val="FootnoteReference"/>
          <w:rFonts w:asciiTheme="majorHAnsi" w:hAnsiTheme="majorHAnsi" w:cstheme="majorBidi"/>
          <w:sz w:val="24"/>
          <w:szCs w:val="24"/>
        </w:rPr>
        <w:footnoteReference w:id="148"/>
      </w:r>
      <w:r w:rsidRPr="00BE50E2">
        <w:rPr>
          <w:rFonts w:asciiTheme="majorHAnsi" w:hAnsiTheme="majorHAnsi" w:cstheme="majorHAnsi"/>
          <w:sz w:val="24"/>
          <w:szCs w:val="24"/>
        </w:rPr>
        <w:br/>
      </w:r>
      <w:r w:rsidRPr="48F23DBF">
        <w:rPr>
          <w:rFonts w:asciiTheme="majorHAnsi" w:hAnsiTheme="majorHAnsi" w:cstheme="majorBidi"/>
          <w:sz w:val="24"/>
          <w:szCs w:val="24"/>
        </w:rPr>
        <w:t>Another aspect they could consider is looking at the community stories surrounding food, such as the ways that the bakehouse in Blaenavon would be a place where people from town could take their meats and cakes on Christmas Eve to be cooked ready for Christmas day.</w:t>
      </w:r>
      <w:r w:rsidRPr="48F23DBF">
        <w:rPr>
          <w:rStyle w:val="FootnoteReference"/>
          <w:rFonts w:asciiTheme="majorHAnsi" w:hAnsiTheme="majorHAnsi" w:cstheme="majorBidi"/>
          <w:sz w:val="24"/>
          <w:szCs w:val="24"/>
        </w:rPr>
        <w:footnoteReference w:id="149"/>
      </w:r>
      <w:r w:rsidRPr="48F23DBF">
        <w:rPr>
          <w:rFonts w:asciiTheme="majorHAnsi" w:hAnsiTheme="majorHAnsi" w:cstheme="majorBidi"/>
          <w:sz w:val="24"/>
          <w:szCs w:val="24"/>
        </w:rPr>
        <w:t xml:space="preserve"> This was due to the fact that people were unable to cook everything at home as coal fires were difficult to cook with. During these times you would have seen people carrying their tin pans of cake or meat through the town to take to the baker.</w:t>
      </w:r>
      <w:r w:rsidRPr="48F23DBF">
        <w:rPr>
          <w:rStyle w:val="FootnoteReference"/>
          <w:rFonts w:asciiTheme="majorHAnsi" w:hAnsiTheme="majorHAnsi" w:cstheme="majorBidi"/>
          <w:sz w:val="24"/>
          <w:szCs w:val="24"/>
        </w:rPr>
        <w:footnoteReference w:id="150"/>
      </w:r>
    </w:p>
    <w:p w14:paraId="4284203F" w14:textId="77777777" w:rsidR="00BE50E2" w:rsidRPr="00BE50E2" w:rsidRDefault="00BE50E2" w:rsidP="00BE50E2">
      <w:pPr>
        <w:spacing w:line="360" w:lineRule="auto"/>
        <w:rPr>
          <w:rFonts w:asciiTheme="majorHAnsi" w:hAnsiTheme="majorHAnsi" w:cstheme="majorHAnsi"/>
          <w:sz w:val="24"/>
          <w:szCs w:val="24"/>
        </w:rPr>
      </w:pPr>
    </w:p>
    <w:p w14:paraId="61D5DBAA" w14:textId="77777777" w:rsidR="00BE50E2" w:rsidRPr="00BE50E2" w:rsidRDefault="00BE50E2" w:rsidP="00BE50E2">
      <w:pPr>
        <w:spacing w:line="360" w:lineRule="auto"/>
        <w:rPr>
          <w:rFonts w:asciiTheme="majorHAnsi" w:hAnsiTheme="majorHAnsi" w:cstheme="majorHAnsi"/>
          <w:sz w:val="24"/>
          <w:szCs w:val="24"/>
        </w:rPr>
      </w:pPr>
    </w:p>
    <w:p w14:paraId="6458ED3C" w14:textId="77777777" w:rsidR="00BE50E2" w:rsidRPr="00BE50E2" w:rsidRDefault="00BE50E2" w:rsidP="00BE50E2">
      <w:pPr>
        <w:spacing w:line="360" w:lineRule="auto"/>
        <w:rPr>
          <w:rFonts w:asciiTheme="majorHAnsi" w:hAnsiTheme="majorHAnsi" w:cstheme="majorHAnsi"/>
          <w:b/>
          <w:bCs/>
          <w:sz w:val="24"/>
          <w:szCs w:val="24"/>
        </w:rPr>
      </w:pPr>
      <w:r w:rsidRPr="00BE50E2">
        <w:rPr>
          <w:rFonts w:asciiTheme="majorHAnsi" w:hAnsiTheme="majorHAnsi" w:cstheme="majorHAnsi"/>
          <w:b/>
          <w:bCs/>
          <w:sz w:val="24"/>
          <w:szCs w:val="24"/>
        </w:rPr>
        <w:lastRenderedPageBreak/>
        <w:t>Castell Henllys Iron Age Site</w:t>
      </w:r>
    </w:p>
    <w:p w14:paraId="429206E4" w14:textId="77777777" w:rsidR="00BE50E2" w:rsidRPr="00BE50E2" w:rsidRDefault="00BE50E2" w:rsidP="0082676B">
      <w:pPr>
        <w:spacing w:line="360" w:lineRule="auto"/>
        <w:ind w:left="1560"/>
        <w:jc w:val="right"/>
        <w:rPr>
          <w:rFonts w:asciiTheme="majorHAnsi" w:hAnsiTheme="majorHAnsi" w:cstheme="majorBidi"/>
          <w:sz w:val="24"/>
          <w:szCs w:val="24"/>
        </w:rPr>
      </w:pPr>
      <w:r w:rsidRPr="48F23DBF">
        <w:rPr>
          <w:rFonts w:asciiTheme="majorHAnsi" w:hAnsiTheme="majorHAnsi" w:cstheme="majorBidi"/>
          <w:sz w:val="24"/>
          <w:szCs w:val="24"/>
        </w:rPr>
        <w:t xml:space="preserve">‘Heritage is always about people, which means </w:t>
      </w:r>
      <w:r w:rsidR="63CC4469" w:rsidRPr="48F23DBF">
        <w:rPr>
          <w:rFonts w:asciiTheme="majorHAnsi" w:hAnsiTheme="majorHAnsi" w:cstheme="majorBidi"/>
          <w:sz w:val="24"/>
          <w:szCs w:val="24"/>
        </w:rPr>
        <w:t>it is</w:t>
      </w:r>
      <w:r w:rsidRPr="48F23DBF">
        <w:rPr>
          <w:rFonts w:asciiTheme="majorHAnsi" w:hAnsiTheme="majorHAnsi" w:cstheme="majorBidi"/>
          <w:sz w:val="24"/>
          <w:szCs w:val="24"/>
        </w:rPr>
        <w:t xml:space="preserve"> not always the finest examples of something that needs to </w:t>
      </w:r>
      <w:proofErr w:type="gramStart"/>
      <w:r w:rsidRPr="48F23DBF">
        <w:rPr>
          <w:rFonts w:asciiTheme="majorHAnsi" w:hAnsiTheme="majorHAnsi" w:cstheme="majorBidi"/>
          <w:sz w:val="24"/>
          <w:szCs w:val="24"/>
        </w:rPr>
        <w:t>be saved</w:t>
      </w:r>
      <w:proofErr w:type="gramEnd"/>
      <w:r w:rsidRPr="48F23DBF">
        <w:rPr>
          <w:rFonts w:asciiTheme="majorHAnsi" w:hAnsiTheme="majorHAnsi" w:cstheme="majorBidi"/>
          <w:sz w:val="24"/>
          <w:szCs w:val="24"/>
        </w:rPr>
        <w:t>, but the ones that have changed – or could change – lives most. Listing or expert approval is not necessarily a measure of heritage worth but of academic preference. Heritage is not synonymous with excellence.’</w:t>
      </w:r>
      <w:r w:rsidRPr="48F23DBF">
        <w:rPr>
          <w:rStyle w:val="FootnoteReference"/>
          <w:rFonts w:asciiTheme="majorHAnsi" w:hAnsiTheme="majorHAnsi" w:cstheme="majorBidi"/>
          <w:sz w:val="24"/>
          <w:szCs w:val="24"/>
        </w:rPr>
        <w:footnoteReference w:id="151"/>
      </w:r>
      <w:r w:rsidRPr="48F23DBF">
        <w:rPr>
          <w:rFonts w:asciiTheme="majorHAnsi" w:hAnsiTheme="majorHAnsi" w:cstheme="majorBidi"/>
          <w:sz w:val="24"/>
          <w:szCs w:val="24"/>
        </w:rPr>
        <w:t xml:space="preserve"> </w:t>
      </w:r>
    </w:p>
    <w:p w14:paraId="771F2879" w14:textId="77777777" w:rsidR="00BE50E2" w:rsidRPr="00BE50E2" w:rsidRDefault="00BE50E2" w:rsidP="0082676B">
      <w:pPr>
        <w:spacing w:line="360" w:lineRule="auto"/>
        <w:ind w:left="1560"/>
        <w:jc w:val="right"/>
        <w:rPr>
          <w:rFonts w:asciiTheme="majorHAnsi" w:hAnsiTheme="majorHAnsi" w:cstheme="majorHAnsi"/>
          <w:sz w:val="24"/>
          <w:szCs w:val="24"/>
        </w:rPr>
      </w:pPr>
      <w:r w:rsidRPr="00BE50E2">
        <w:rPr>
          <w:rFonts w:asciiTheme="majorHAnsi" w:hAnsiTheme="majorHAnsi" w:cstheme="majorHAnsi"/>
          <w:sz w:val="24"/>
          <w:szCs w:val="24"/>
        </w:rPr>
        <w:tab/>
        <w:t>Peter Luff, Former Chairman of the National Lottery Heritage Fund</w:t>
      </w:r>
    </w:p>
    <w:p w14:paraId="0160AD63" w14:textId="77777777" w:rsidR="00BE50E2" w:rsidRPr="00BE50E2" w:rsidRDefault="00BE50E2" w:rsidP="00BE50E2">
      <w:pPr>
        <w:spacing w:line="360" w:lineRule="auto"/>
        <w:rPr>
          <w:rFonts w:asciiTheme="majorHAnsi" w:hAnsiTheme="majorHAnsi" w:cstheme="majorHAnsi"/>
          <w:b/>
          <w:bCs/>
          <w:sz w:val="24"/>
          <w:szCs w:val="24"/>
        </w:rPr>
      </w:pPr>
    </w:p>
    <w:p w14:paraId="74E85327"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b/>
          <w:bCs/>
          <w:noProof/>
          <w:sz w:val="24"/>
          <w:szCs w:val="24"/>
        </w:rPr>
        <w:drawing>
          <wp:inline distT="0" distB="0" distL="0" distR="0" wp14:anchorId="69830BEB" wp14:editId="636D1933">
            <wp:extent cx="1442996" cy="1924050"/>
            <wp:effectExtent l="0" t="0" r="5080" b="0"/>
            <wp:docPr id="15" name="Picture 15" descr="A picture containing person,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outdoor, st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49395" cy="1932583"/>
                    </a:xfrm>
                    <a:prstGeom prst="rect">
                      <a:avLst/>
                    </a:prstGeom>
                  </pic:spPr>
                </pic:pic>
              </a:graphicData>
            </a:graphic>
          </wp:inline>
        </w:drawing>
      </w:r>
    </w:p>
    <w:p w14:paraId="0FCAF51C" w14:textId="174F05EE" w:rsidR="00BE50E2" w:rsidRPr="00BE50E2" w:rsidRDefault="00BE50E2" w:rsidP="00BE50E2">
      <w:pPr>
        <w:pStyle w:val="Caption"/>
        <w:spacing w:line="360" w:lineRule="auto"/>
        <w:rPr>
          <w:rFonts w:asciiTheme="majorHAnsi" w:hAnsiTheme="majorHAnsi" w:cstheme="majorBidi"/>
          <w:sz w:val="24"/>
          <w:szCs w:val="24"/>
        </w:rPr>
      </w:pPr>
      <w:bookmarkStart w:id="52" w:name="_Toc125402983"/>
      <w:bookmarkStart w:id="53" w:name="_Toc125481818"/>
      <w:bookmarkStart w:id="54" w:name="_Toc125481932"/>
      <w:r w:rsidRPr="48F23DBF">
        <w:rPr>
          <w:rFonts w:asciiTheme="majorHAnsi" w:hAnsiTheme="majorHAnsi" w:cstheme="majorBidi"/>
          <w:sz w:val="24"/>
          <w:szCs w:val="24"/>
        </w:rPr>
        <w:t xml:space="preserve">Figure </w:t>
      </w:r>
      <w:r w:rsidRPr="48F23DBF">
        <w:rPr>
          <w:rFonts w:asciiTheme="majorHAnsi" w:hAnsiTheme="majorHAnsi" w:cstheme="majorBidi"/>
          <w:sz w:val="24"/>
          <w:szCs w:val="24"/>
        </w:rPr>
        <w:fldChar w:fldCharType="begin"/>
      </w:r>
      <w:r w:rsidRPr="48F23DBF">
        <w:rPr>
          <w:rFonts w:asciiTheme="majorHAnsi" w:hAnsiTheme="majorHAnsi" w:cstheme="majorBidi"/>
          <w:sz w:val="24"/>
          <w:szCs w:val="24"/>
        </w:rPr>
        <w:instrText xml:space="preserve"> SEQ Figure \* ARABIC </w:instrText>
      </w:r>
      <w:r w:rsidRPr="48F23DBF">
        <w:rPr>
          <w:rFonts w:asciiTheme="majorHAnsi" w:hAnsiTheme="majorHAnsi" w:cstheme="majorBidi"/>
          <w:sz w:val="24"/>
          <w:szCs w:val="24"/>
        </w:rPr>
        <w:fldChar w:fldCharType="separate"/>
      </w:r>
      <w:r w:rsidR="009F4194" w:rsidRPr="48F23DBF">
        <w:rPr>
          <w:rFonts w:asciiTheme="majorHAnsi" w:hAnsiTheme="majorHAnsi" w:cstheme="majorBidi"/>
          <w:sz w:val="24"/>
          <w:szCs w:val="24"/>
        </w:rPr>
        <w:t>14</w:t>
      </w:r>
      <w:r w:rsidRPr="48F23DBF">
        <w:rPr>
          <w:rFonts w:asciiTheme="majorHAnsi" w:hAnsiTheme="majorHAnsi" w:cstheme="majorBidi"/>
          <w:sz w:val="24"/>
          <w:szCs w:val="24"/>
        </w:rPr>
        <w:fldChar w:fldCharType="end"/>
      </w:r>
      <w:r w:rsidRPr="48F23DBF">
        <w:rPr>
          <w:rFonts w:asciiTheme="majorHAnsi" w:hAnsiTheme="majorHAnsi" w:cstheme="majorBidi"/>
          <w:sz w:val="24"/>
          <w:szCs w:val="24"/>
        </w:rPr>
        <w:t xml:space="preserve">. Driscoll, Laura Cait. A Museum Staff Member Grinding Wheat </w:t>
      </w:r>
      <w:r w:rsidR="47D63821" w:rsidRPr="48F23DBF">
        <w:rPr>
          <w:rFonts w:asciiTheme="majorHAnsi" w:hAnsiTheme="majorHAnsi" w:cstheme="majorBidi"/>
          <w:sz w:val="24"/>
          <w:szCs w:val="24"/>
        </w:rPr>
        <w:t>for</w:t>
      </w:r>
      <w:r w:rsidRPr="48F23DBF">
        <w:rPr>
          <w:rFonts w:asciiTheme="majorHAnsi" w:hAnsiTheme="majorHAnsi" w:cstheme="majorBidi"/>
          <w:sz w:val="24"/>
          <w:szCs w:val="24"/>
        </w:rPr>
        <w:t xml:space="preserve"> Flour at Castell Henllys. 16th October 2022. Authors Personal Collection</w:t>
      </w:r>
      <w:bookmarkEnd w:id="52"/>
      <w:bookmarkEnd w:id="53"/>
      <w:bookmarkEnd w:id="54"/>
    </w:p>
    <w:p w14:paraId="7829EE70"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b/>
          <w:bCs/>
          <w:sz w:val="24"/>
          <w:szCs w:val="24"/>
        </w:rPr>
        <w:t xml:space="preserve"> </w:t>
      </w:r>
      <w:r w:rsidRPr="00BE50E2">
        <w:rPr>
          <w:rFonts w:asciiTheme="majorHAnsi" w:hAnsiTheme="majorHAnsi" w:cstheme="majorHAnsi"/>
          <w:b/>
          <w:bCs/>
          <w:noProof/>
          <w:sz w:val="24"/>
          <w:szCs w:val="24"/>
        </w:rPr>
        <w:drawing>
          <wp:inline distT="0" distB="0" distL="0" distR="0" wp14:anchorId="6B6CA9C5" wp14:editId="42B9C827">
            <wp:extent cx="1364419" cy="1819275"/>
            <wp:effectExtent l="0" t="0" r="7620" b="0"/>
            <wp:docPr id="16" name="Picture 16" descr="A picture containing outdoor, area, dirty,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area, dirty, severa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81594" cy="1842175"/>
                    </a:xfrm>
                    <a:prstGeom prst="rect">
                      <a:avLst/>
                    </a:prstGeom>
                  </pic:spPr>
                </pic:pic>
              </a:graphicData>
            </a:graphic>
          </wp:inline>
        </w:drawing>
      </w:r>
    </w:p>
    <w:p w14:paraId="7BAD3286" w14:textId="1BBB6C7A" w:rsidR="00BE50E2" w:rsidRPr="00BE50E2" w:rsidRDefault="00BE50E2" w:rsidP="00BE50E2">
      <w:pPr>
        <w:pStyle w:val="Caption"/>
        <w:spacing w:line="360" w:lineRule="auto"/>
        <w:rPr>
          <w:rFonts w:asciiTheme="majorHAnsi" w:hAnsiTheme="majorHAnsi" w:cstheme="majorHAnsi"/>
          <w:sz w:val="24"/>
          <w:szCs w:val="24"/>
        </w:rPr>
      </w:pPr>
      <w:bookmarkStart w:id="55" w:name="_Toc125402984"/>
      <w:bookmarkStart w:id="56" w:name="_Toc125481819"/>
      <w:bookmarkStart w:id="57" w:name="_Toc125481933"/>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15</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Round House Cooking Area at Castell Henllys. 16th October 2022. Authors Personal Collection</w:t>
      </w:r>
      <w:bookmarkEnd w:id="55"/>
      <w:bookmarkEnd w:id="56"/>
      <w:bookmarkEnd w:id="57"/>
    </w:p>
    <w:p w14:paraId="3E7837FD" w14:textId="77777777" w:rsidR="00BE50E2" w:rsidRPr="00BE50E2" w:rsidRDefault="00BE50E2" w:rsidP="00BE50E2">
      <w:pPr>
        <w:keepNext/>
        <w:spacing w:line="360" w:lineRule="auto"/>
        <w:rPr>
          <w:rFonts w:asciiTheme="majorHAnsi" w:hAnsiTheme="majorHAnsi" w:cstheme="majorHAnsi"/>
          <w:sz w:val="24"/>
          <w:szCs w:val="24"/>
        </w:rPr>
      </w:pPr>
      <w:r w:rsidRPr="00BE50E2">
        <w:rPr>
          <w:rFonts w:asciiTheme="majorHAnsi" w:hAnsiTheme="majorHAnsi" w:cstheme="majorHAnsi"/>
          <w:b/>
          <w:bCs/>
          <w:sz w:val="24"/>
          <w:szCs w:val="24"/>
        </w:rPr>
        <w:lastRenderedPageBreak/>
        <w:t xml:space="preserve">  </w:t>
      </w:r>
      <w:r w:rsidRPr="00BE50E2">
        <w:rPr>
          <w:rFonts w:asciiTheme="majorHAnsi" w:hAnsiTheme="majorHAnsi" w:cstheme="majorHAnsi"/>
          <w:b/>
          <w:bCs/>
          <w:noProof/>
          <w:sz w:val="24"/>
          <w:szCs w:val="24"/>
        </w:rPr>
        <w:drawing>
          <wp:inline distT="0" distB="0" distL="0" distR="0" wp14:anchorId="6C40550F" wp14:editId="7B0C18EE">
            <wp:extent cx="2076450" cy="1557453"/>
            <wp:effectExtent l="0" t="0" r="0" b="5080"/>
            <wp:docPr id="17" name="Picture 17" descr="A picture containing building, old, dirty,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uilding, old, dirty, ston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88575" cy="1566548"/>
                    </a:xfrm>
                    <a:prstGeom prst="rect">
                      <a:avLst/>
                    </a:prstGeom>
                  </pic:spPr>
                </pic:pic>
              </a:graphicData>
            </a:graphic>
          </wp:inline>
        </w:drawing>
      </w:r>
    </w:p>
    <w:p w14:paraId="2508C1C0" w14:textId="00096D87" w:rsidR="00BE50E2" w:rsidRPr="00BE50E2" w:rsidRDefault="00BE50E2" w:rsidP="00BE50E2">
      <w:pPr>
        <w:pStyle w:val="Caption"/>
        <w:spacing w:line="360" w:lineRule="auto"/>
        <w:rPr>
          <w:rFonts w:asciiTheme="majorHAnsi" w:hAnsiTheme="majorHAnsi" w:cstheme="majorHAnsi"/>
          <w:b/>
          <w:bCs/>
          <w:sz w:val="24"/>
          <w:szCs w:val="24"/>
        </w:rPr>
      </w:pPr>
      <w:bookmarkStart w:id="58" w:name="_Toc125402985"/>
      <w:bookmarkStart w:id="59" w:name="_Toc125481820"/>
      <w:bookmarkStart w:id="60" w:name="_Toc125481934"/>
      <w:r w:rsidRPr="00BE50E2">
        <w:rPr>
          <w:rFonts w:asciiTheme="majorHAnsi" w:hAnsiTheme="majorHAnsi" w:cstheme="majorHAnsi"/>
          <w:sz w:val="24"/>
          <w:szCs w:val="24"/>
        </w:rPr>
        <w:t xml:space="preserve">Figure </w:t>
      </w:r>
      <w:r w:rsidRPr="00BE50E2">
        <w:rPr>
          <w:rFonts w:asciiTheme="majorHAnsi" w:hAnsiTheme="majorHAnsi" w:cstheme="majorHAnsi"/>
          <w:sz w:val="24"/>
          <w:szCs w:val="24"/>
        </w:rPr>
        <w:fldChar w:fldCharType="begin"/>
      </w:r>
      <w:r w:rsidRPr="00BE50E2">
        <w:rPr>
          <w:rFonts w:asciiTheme="majorHAnsi" w:hAnsiTheme="majorHAnsi" w:cstheme="majorHAnsi"/>
          <w:sz w:val="24"/>
          <w:szCs w:val="24"/>
        </w:rPr>
        <w:instrText xml:space="preserve"> SEQ Figure \* ARABIC </w:instrText>
      </w:r>
      <w:r w:rsidRPr="00BE50E2">
        <w:rPr>
          <w:rFonts w:asciiTheme="majorHAnsi" w:hAnsiTheme="majorHAnsi" w:cstheme="majorHAnsi"/>
          <w:sz w:val="24"/>
          <w:szCs w:val="24"/>
        </w:rPr>
        <w:fldChar w:fldCharType="separate"/>
      </w:r>
      <w:r w:rsidR="009F4194">
        <w:rPr>
          <w:rFonts w:asciiTheme="majorHAnsi" w:hAnsiTheme="majorHAnsi" w:cstheme="majorHAnsi"/>
          <w:noProof/>
          <w:sz w:val="24"/>
          <w:szCs w:val="24"/>
        </w:rPr>
        <w:t>16</w:t>
      </w:r>
      <w:r w:rsidRPr="00BE50E2">
        <w:rPr>
          <w:rFonts w:asciiTheme="majorHAnsi" w:hAnsiTheme="majorHAnsi" w:cstheme="majorHAnsi"/>
          <w:sz w:val="24"/>
          <w:szCs w:val="24"/>
        </w:rPr>
        <w:fldChar w:fldCharType="end"/>
      </w:r>
      <w:r w:rsidRPr="00BE50E2">
        <w:rPr>
          <w:rFonts w:asciiTheme="majorHAnsi" w:hAnsiTheme="majorHAnsi" w:cstheme="majorHAnsi"/>
          <w:sz w:val="24"/>
          <w:szCs w:val="24"/>
        </w:rPr>
        <w:t>. Driscoll, Laura Cait. Clay Bread Oven at Castell Henllys. 16th October 2022. Authors Personal Collection</w:t>
      </w:r>
      <w:bookmarkEnd w:id="58"/>
      <w:bookmarkEnd w:id="59"/>
      <w:bookmarkEnd w:id="60"/>
    </w:p>
    <w:p w14:paraId="5BFD983F"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Castell Henllys is an Iron Age village, the only one in Britain, is an experimental archaeology project where roundhouses have been reconstructed on the spot where they would have stood over 2,000 years ago.</w:t>
      </w:r>
      <w:r w:rsidRPr="00BE50E2">
        <w:rPr>
          <w:rStyle w:val="FootnoteReference"/>
          <w:rFonts w:asciiTheme="majorHAnsi" w:hAnsiTheme="majorHAnsi" w:cstheme="majorHAnsi"/>
          <w:sz w:val="24"/>
          <w:szCs w:val="24"/>
        </w:rPr>
        <w:footnoteReference w:id="152"/>
      </w:r>
      <w:r w:rsidRPr="00BE50E2">
        <w:rPr>
          <w:rFonts w:asciiTheme="majorHAnsi" w:hAnsiTheme="majorHAnsi" w:cstheme="majorHAnsi"/>
          <w:sz w:val="24"/>
          <w:szCs w:val="24"/>
        </w:rPr>
        <w:t xml:space="preserve"> The historic site has food embedded throughout their museum, from signs in their café on herbs, how it is possible to still use the same ones as the Celts did and how they use them to the displays of traditional cooking materials and wheat grinding in the round houses. Historically, Castell Henllys would have been home to a big community of people that would have lived and worked together, producing food and materials.</w:t>
      </w:r>
      <w:r w:rsidRPr="00BE50E2">
        <w:rPr>
          <w:rStyle w:val="FootnoteReference"/>
          <w:rFonts w:asciiTheme="majorHAnsi" w:hAnsiTheme="majorHAnsi" w:cstheme="majorHAnsi"/>
          <w:sz w:val="24"/>
          <w:szCs w:val="24"/>
        </w:rPr>
        <w:footnoteReference w:id="153"/>
      </w:r>
      <w:r w:rsidRPr="00BE50E2">
        <w:rPr>
          <w:rFonts w:asciiTheme="majorHAnsi" w:hAnsiTheme="majorHAnsi" w:cstheme="majorHAnsi"/>
          <w:sz w:val="24"/>
          <w:szCs w:val="24"/>
        </w:rPr>
        <w:t xml:space="preserve"> </w:t>
      </w:r>
    </w:p>
    <w:p w14:paraId="2AC69D41" w14:textId="6C818509"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The heritage site takes visitors on a journey, starting at the café, walking through the forest depicting myths and legends, passing prehistoric breeds of livestock grazing in the fields before arriving at the round houses where visitors can explore each one that represents a range of Iron Age living and working spaces as well as a granary. Alongside the cooking materials within the roundhouses for example pots (figure 14) and animal bones </w:t>
      </w:r>
      <w:r w:rsidR="497C1615" w:rsidRPr="48F23DBF">
        <w:rPr>
          <w:rFonts w:asciiTheme="majorHAnsi" w:hAnsiTheme="majorHAnsi" w:cstheme="majorBidi"/>
          <w:sz w:val="24"/>
          <w:szCs w:val="24"/>
        </w:rPr>
        <w:t>displaying</w:t>
      </w:r>
      <w:r w:rsidRPr="48F23DBF">
        <w:rPr>
          <w:rFonts w:asciiTheme="majorHAnsi" w:hAnsiTheme="majorHAnsi" w:cstheme="majorBidi"/>
          <w:sz w:val="24"/>
          <w:szCs w:val="24"/>
        </w:rPr>
        <w:t xml:space="preserve"> evidence of food production, querns stones are also found (figure 13) within the roundhouses to </w:t>
      </w:r>
      <w:bookmarkStart w:id="61" w:name="_Int_DjYR3BAz"/>
      <w:r w:rsidRPr="48F23DBF">
        <w:rPr>
          <w:rFonts w:asciiTheme="majorHAnsi" w:hAnsiTheme="majorHAnsi" w:cstheme="majorBidi"/>
          <w:sz w:val="24"/>
          <w:szCs w:val="24"/>
        </w:rPr>
        <w:t>showcase</w:t>
      </w:r>
      <w:bookmarkEnd w:id="61"/>
      <w:r w:rsidRPr="48F23DBF">
        <w:rPr>
          <w:rFonts w:asciiTheme="majorHAnsi" w:hAnsiTheme="majorHAnsi" w:cstheme="majorBidi"/>
          <w:sz w:val="24"/>
          <w:szCs w:val="24"/>
        </w:rPr>
        <w:t xml:space="preserve"> how to grind grain by hand. This is an experience that all visitors can partake in during their visit to the heritage site, and when schools visit</w:t>
      </w:r>
      <w:r w:rsidR="39012E8D" w:rsidRPr="48F23DBF">
        <w:rPr>
          <w:rFonts w:asciiTheme="majorHAnsi" w:hAnsiTheme="majorHAnsi" w:cstheme="majorBidi"/>
          <w:sz w:val="24"/>
          <w:szCs w:val="24"/>
        </w:rPr>
        <w:t>,</w:t>
      </w:r>
      <w:r w:rsidRPr="48F23DBF">
        <w:rPr>
          <w:rFonts w:asciiTheme="majorHAnsi" w:hAnsiTheme="majorHAnsi" w:cstheme="majorBidi"/>
          <w:sz w:val="24"/>
          <w:szCs w:val="24"/>
        </w:rPr>
        <w:t xml:space="preserve"> they can take it one step further and make bread out of the grains and a full sensory experience to the visit. However, these would </w:t>
      </w:r>
      <w:proofErr w:type="gramStart"/>
      <w:r w:rsidRPr="48F23DBF">
        <w:rPr>
          <w:rFonts w:asciiTheme="majorHAnsi" w:hAnsiTheme="majorHAnsi" w:cstheme="majorBidi"/>
          <w:sz w:val="24"/>
          <w:szCs w:val="24"/>
        </w:rPr>
        <w:t>be thrown</w:t>
      </w:r>
      <w:proofErr w:type="gramEnd"/>
      <w:r w:rsidRPr="48F23DBF">
        <w:rPr>
          <w:rFonts w:asciiTheme="majorHAnsi" w:hAnsiTheme="majorHAnsi" w:cstheme="majorBidi"/>
          <w:sz w:val="24"/>
          <w:szCs w:val="24"/>
        </w:rPr>
        <w:t xml:space="preserve"> out at the end of the day due to not having time to bake all the bread and it would have been unsanitary to give out to members of the public. The </w:t>
      </w:r>
      <w:r w:rsidRPr="48F23DBF">
        <w:rPr>
          <w:rFonts w:asciiTheme="majorHAnsi" w:hAnsiTheme="majorHAnsi" w:cstheme="majorBidi"/>
          <w:sz w:val="24"/>
          <w:szCs w:val="24"/>
        </w:rPr>
        <w:lastRenderedPageBreak/>
        <w:t>costumed interpreters, who represent members of the Demetae tribe</w:t>
      </w:r>
      <w:r w:rsidRPr="48F23DBF">
        <w:rPr>
          <w:rStyle w:val="FootnoteReference"/>
          <w:rFonts w:asciiTheme="majorHAnsi" w:hAnsiTheme="majorHAnsi" w:cstheme="majorBidi"/>
          <w:sz w:val="24"/>
          <w:szCs w:val="24"/>
        </w:rPr>
        <w:footnoteReference w:id="154"/>
      </w:r>
      <w:r w:rsidRPr="48F23DBF">
        <w:rPr>
          <w:rFonts w:asciiTheme="majorHAnsi" w:hAnsiTheme="majorHAnsi" w:cstheme="majorBidi"/>
          <w:sz w:val="24"/>
          <w:szCs w:val="24"/>
        </w:rPr>
        <w:t xml:space="preserve"> are there to share knowledge of the life of those living at the roundhouses before, during, and after the Roman invasion. </w:t>
      </w:r>
    </w:p>
    <w:p w14:paraId="208B7D77" w14:textId="77777777" w:rsidR="00BE50E2" w:rsidRPr="00BE50E2" w:rsidRDefault="00BE50E2" w:rsidP="00BE50E2">
      <w:pPr>
        <w:spacing w:line="360" w:lineRule="auto"/>
        <w:rPr>
          <w:rFonts w:asciiTheme="majorHAnsi" w:hAnsiTheme="majorHAnsi" w:cstheme="majorHAnsi"/>
          <w:sz w:val="24"/>
          <w:szCs w:val="24"/>
        </w:rPr>
      </w:pPr>
      <w:r w:rsidRPr="00BE50E2">
        <w:rPr>
          <w:rFonts w:asciiTheme="majorHAnsi" w:hAnsiTheme="majorHAnsi" w:cstheme="majorHAnsi"/>
          <w:sz w:val="24"/>
          <w:szCs w:val="24"/>
        </w:rPr>
        <w:t>The heritage site represents where food comes from and the bread part of the diet well, but a lack of pottery and artefacts made from more delicate materials which were not able to be preserved in the archaeological records</w:t>
      </w:r>
      <w:r w:rsidRPr="00BE50E2">
        <w:rPr>
          <w:rStyle w:val="FootnoteReference"/>
          <w:rFonts w:asciiTheme="majorHAnsi" w:hAnsiTheme="majorHAnsi" w:cstheme="majorHAnsi"/>
          <w:sz w:val="24"/>
          <w:szCs w:val="24"/>
        </w:rPr>
        <w:footnoteReference w:id="155"/>
      </w:r>
      <w:r w:rsidRPr="00BE50E2">
        <w:rPr>
          <w:rFonts w:asciiTheme="majorHAnsi" w:hAnsiTheme="majorHAnsi" w:cstheme="majorHAnsi"/>
          <w:sz w:val="24"/>
          <w:szCs w:val="24"/>
        </w:rPr>
        <w:t xml:space="preserve">, it is impossible to know all </w:t>
      </w:r>
      <w:proofErr w:type="gramStart"/>
      <w:r w:rsidRPr="00BE50E2">
        <w:rPr>
          <w:rFonts w:asciiTheme="majorHAnsi" w:hAnsiTheme="majorHAnsi" w:cstheme="majorHAnsi"/>
          <w:sz w:val="24"/>
          <w:szCs w:val="24"/>
        </w:rPr>
        <w:t>different parts</w:t>
      </w:r>
      <w:proofErr w:type="gramEnd"/>
      <w:r w:rsidRPr="00BE50E2">
        <w:rPr>
          <w:rFonts w:asciiTheme="majorHAnsi" w:hAnsiTheme="majorHAnsi" w:cstheme="majorHAnsi"/>
          <w:sz w:val="24"/>
          <w:szCs w:val="24"/>
        </w:rPr>
        <w:t xml:space="preserve"> of the diet past the bread and bones of animals. </w:t>
      </w:r>
    </w:p>
    <w:p w14:paraId="2258F036" w14:textId="03AF21B6"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The site, if given the time and finances, could add more dimension to its displays, by having food cooking all the time for food such as bread or oat cakes which may have been eaten during that time</w:t>
      </w:r>
      <w:r w:rsidR="67767E1A" w:rsidRPr="48F23DBF">
        <w:rPr>
          <w:rFonts w:asciiTheme="majorHAnsi" w:hAnsiTheme="majorHAnsi" w:cstheme="majorBidi"/>
          <w:sz w:val="24"/>
          <w:szCs w:val="24"/>
        </w:rPr>
        <w:t>,</w:t>
      </w:r>
      <w:r w:rsidRPr="48F23DBF">
        <w:rPr>
          <w:rFonts w:asciiTheme="majorHAnsi" w:hAnsiTheme="majorHAnsi" w:cstheme="majorBidi"/>
          <w:sz w:val="24"/>
          <w:szCs w:val="24"/>
        </w:rPr>
        <w:t xml:space="preserve"> is cheap</w:t>
      </w:r>
      <w:r w:rsidR="67767E1A" w:rsidRPr="48F23DBF">
        <w:rPr>
          <w:rFonts w:asciiTheme="majorHAnsi" w:hAnsiTheme="majorHAnsi" w:cstheme="majorBidi"/>
          <w:sz w:val="24"/>
          <w:szCs w:val="24"/>
        </w:rPr>
        <w:t>,</w:t>
      </w:r>
      <w:r w:rsidRPr="48F23DBF">
        <w:rPr>
          <w:rFonts w:asciiTheme="majorHAnsi" w:hAnsiTheme="majorHAnsi" w:cstheme="majorBidi"/>
          <w:sz w:val="24"/>
          <w:szCs w:val="24"/>
        </w:rPr>
        <w:t xml:space="preserve"> and easy to make. They could take the herbs grown in their gardeners’ patch of land and dry them in the roundhouses, presenting an olfactory as well as visual experience to the sites. </w:t>
      </w:r>
    </w:p>
    <w:p w14:paraId="49040103" w14:textId="77777777" w:rsidR="00BE50E2" w:rsidRPr="00BE50E2" w:rsidRDefault="00BE50E2" w:rsidP="00BE50E2">
      <w:pPr>
        <w:spacing w:line="360" w:lineRule="auto"/>
        <w:rPr>
          <w:rFonts w:asciiTheme="majorHAnsi" w:hAnsiTheme="majorHAnsi" w:cstheme="majorHAnsi"/>
          <w:sz w:val="24"/>
          <w:szCs w:val="24"/>
        </w:rPr>
      </w:pPr>
    </w:p>
    <w:p w14:paraId="495AA104" w14:textId="0E406D89" w:rsidR="00BE50E2" w:rsidRPr="00BE50E2" w:rsidRDefault="00B3199F" w:rsidP="00BE50E2">
      <w:pPr>
        <w:spacing w:line="360" w:lineRule="auto"/>
        <w:rPr>
          <w:rFonts w:asciiTheme="majorHAnsi" w:hAnsiTheme="majorHAnsi" w:cstheme="majorHAnsi"/>
          <w:b/>
          <w:bCs/>
          <w:sz w:val="24"/>
          <w:szCs w:val="24"/>
        </w:rPr>
      </w:pPr>
      <w:r>
        <w:rPr>
          <w:rFonts w:asciiTheme="majorHAnsi" w:hAnsiTheme="majorHAnsi" w:cstheme="majorHAnsi"/>
          <w:b/>
          <w:bCs/>
          <w:sz w:val="24"/>
          <w:szCs w:val="24"/>
        </w:rPr>
        <w:t>Discussion</w:t>
      </w:r>
    </w:p>
    <w:p w14:paraId="34DFE4E7" w14:textId="68AD993B" w:rsidR="00BE50E2" w:rsidRP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Visits to these museums </w:t>
      </w:r>
      <w:bookmarkStart w:id="62" w:name="_Int_aHgp7dTZ"/>
      <w:proofErr w:type="gramStart"/>
      <w:r w:rsidRPr="48F23DBF">
        <w:rPr>
          <w:rFonts w:asciiTheme="majorHAnsi" w:hAnsiTheme="majorHAnsi" w:cstheme="majorBidi"/>
          <w:sz w:val="24"/>
          <w:szCs w:val="24"/>
        </w:rPr>
        <w:t>were helpful in understanding</w:t>
      </w:r>
      <w:bookmarkEnd w:id="62"/>
      <w:proofErr w:type="gramEnd"/>
      <w:r w:rsidRPr="48F23DBF">
        <w:rPr>
          <w:rFonts w:asciiTheme="majorHAnsi" w:hAnsiTheme="majorHAnsi" w:cstheme="majorBidi"/>
          <w:sz w:val="24"/>
          <w:szCs w:val="24"/>
        </w:rPr>
        <w:t xml:space="preserve"> multiple different aspects from food representations, the opportunities for visitor interaction, the different types of displays used as well as looking at the innovative aspects captured within the sites. Nostalgia is a tool which, if used successfully, can motivate individuals to travel halfway around the world in order to be able to experience and reinforce their own identities. </w:t>
      </w:r>
    </w:p>
    <w:p w14:paraId="0C5D5294" w14:textId="5A23077D" w:rsidR="00BE50E2" w:rsidRDefault="00BE50E2"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Different museums within Wales, represent </w:t>
      </w:r>
      <w:r w:rsidR="00AF6E77" w:rsidRPr="48F23DBF">
        <w:rPr>
          <w:rFonts w:asciiTheme="majorHAnsi" w:hAnsiTheme="majorHAnsi" w:cstheme="majorBidi"/>
          <w:sz w:val="24"/>
          <w:szCs w:val="24"/>
        </w:rPr>
        <w:t>various aspects</w:t>
      </w:r>
      <w:r w:rsidRPr="48F23DBF">
        <w:rPr>
          <w:rFonts w:asciiTheme="majorHAnsi" w:hAnsiTheme="majorHAnsi" w:cstheme="majorBidi"/>
          <w:sz w:val="24"/>
          <w:szCs w:val="24"/>
        </w:rPr>
        <w:t xml:space="preserve"> and areas of Welsh life. From the big estate kitchens at Llanerchaeron portraying both the life and wealth of the inhabitants as well as the servant quarters to Big Pit showing the minimum that miners and their families may have lived on, especially through the limited food they could take down the mine shaft. All four museums visited are representative not only of our history, but they are key for remembering the traditions and food cultures. Each one has a range of ways in which they can enhance the representations of each area. There are many food examples of the innovative ways they are working in already such as grinding flour, smelling the fires</w:t>
      </w:r>
      <w:r w:rsidR="7237313C" w:rsidRPr="48F23DBF">
        <w:rPr>
          <w:rFonts w:asciiTheme="majorHAnsi" w:hAnsiTheme="majorHAnsi" w:cstheme="majorBidi"/>
          <w:sz w:val="24"/>
          <w:szCs w:val="24"/>
        </w:rPr>
        <w:t>,</w:t>
      </w:r>
      <w:r w:rsidRPr="48F23DBF">
        <w:rPr>
          <w:rFonts w:asciiTheme="majorHAnsi" w:hAnsiTheme="majorHAnsi" w:cstheme="majorBidi"/>
          <w:sz w:val="24"/>
          <w:szCs w:val="24"/>
        </w:rPr>
        <w:t xml:space="preserve"> and </w:t>
      </w:r>
      <w:r w:rsidRPr="48F23DBF">
        <w:rPr>
          <w:rFonts w:asciiTheme="majorHAnsi" w:hAnsiTheme="majorHAnsi" w:cstheme="majorBidi"/>
          <w:sz w:val="24"/>
          <w:szCs w:val="24"/>
        </w:rPr>
        <w:lastRenderedPageBreak/>
        <w:t>experiencing the food eaten. However, there are ways in which they can enhance their representations such as cooking food, sharing recipes and stories online and in person and using technology to portray feasts that could have taken place on-site</w:t>
      </w:r>
      <w:r w:rsidR="00694609" w:rsidRPr="48F23DBF">
        <w:rPr>
          <w:rFonts w:asciiTheme="majorHAnsi" w:hAnsiTheme="majorHAnsi" w:cstheme="majorBidi"/>
          <w:sz w:val="24"/>
          <w:szCs w:val="24"/>
        </w:rPr>
        <w:t xml:space="preserve">. </w:t>
      </w:r>
      <w:r w:rsidRPr="48F23DBF">
        <w:rPr>
          <w:rFonts w:asciiTheme="majorHAnsi" w:hAnsiTheme="majorHAnsi" w:cstheme="majorBidi"/>
          <w:sz w:val="24"/>
          <w:szCs w:val="24"/>
        </w:rPr>
        <w:t xml:space="preserve">These displays can be very evocative linking a phenomenological connection that we can all share and relate to. This all leads to a sense of empathy with people when we think of how they eat and what they eat, immediately giving a connection to people of the past by seeing their food culture. </w:t>
      </w:r>
    </w:p>
    <w:p w14:paraId="4CAEDD24" w14:textId="40DDC1AB" w:rsidR="00CD5114" w:rsidRPr="00BE50E2" w:rsidRDefault="005711F9"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Heritage tourism depends on the feeling of authenticity within the displays, meaning that curators need to be give attention to how they stage or recreated ethnic and cultural traditions.</w:t>
      </w:r>
      <w:r w:rsidR="00C209AA" w:rsidRPr="48F23DBF">
        <w:rPr>
          <w:rFonts w:asciiTheme="majorHAnsi" w:hAnsiTheme="majorHAnsi" w:cstheme="majorBidi"/>
          <w:sz w:val="24"/>
          <w:szCs w:val="24"/>
        </w:rPr>
        <w:t xml:space="preserve"> </w:t>
      </w:r>
      <w:r w:rsidR="00453EFA" w:rsidRPr="48F23DBF">
        <w:rPr>
          <w:rFonts w:asciiTheme="majorHAnsi" w:hAnsiTheme="majorHAnsi" w:cstheme="majorBidi"/>
          <w:sz w:val="24"/>
          <w:szCs w:val="24"/>
        </w:rPr>
        <w:t xml:space="preserve">It is possible for there to be a high perception of authenticity </w:t>
      </w:r>
      <w:r w:rsidR="00613D5A" w:rsidRPr="48F23DBF">
        <w:rPr>
          <w:rFonts w:asciiTheme="majorHAnsi" w:hAnsiTheme="majorHAnsi" w:cstheme="majorBidi"/>
          <w:sz w:val="24"/>
          <w:szCs w:val="24"/>
        </w:rPr>
        <w:t>achieved</w:t>
      </w:r>
      <w:r w:rsidR="00453EFA" w:rsidRPr="48F23DBF">
        <w:rPr>
          <w:rFonts w:asciiTheme="majorHAnsi" w:hAnsiTheme="majorHAnsi" w:cstheme="majorBidi"/>
          <w:sz w:val="24"/>
          <w:szCs w:val="24"/>
        </w:rPr>
        <w:t xml:space="preserve"> during displays and events even if it is staged far away from the original source of the tradition</w:t>
      </w:r>
      <w:r w:rsidR="008461CB" w:rsidRPr="48F23DBF">
        <w:rPr>
          <w:rFonts w:asciiTheme="majorHAnsi" w:hAnsiTheme="majorHAnsi" w:cstheme="majorBidi"/>
          <w:sz w:val="24"/>
          <w:szCs w:val="24"/>
        </w:rPr>
        <w:t>.</w:t>
      </w:r>
      <w:r w:rsidR="00613D5A" w:rsidRPr="48F23DBF">
        <w:rPr>
          <w:rStyle w:val="FootnoteReference"/>
          <w:rFonts w:asciiTheme="majorHAnsi" w:hAnsiTheme="majorHAnsi" w:cstheme="majorBidi"/>
          <w:sz w:val="24"/>
          <w:szCs w:val="24"/>
        </w:rPr>
        <w:footnoteReference w:id="156"/>
      </w:r>
      <w:r w:rsidR="00613D5A" w:rsidRPr="48F23DBF">
        <w:rPr>
          <w:rFonts w:asciiTheme="majorHAnsi" w:hAnsiTheme="majorHAnsi" w:cstheme="majorBidi"/>
          <w:sz w:val="24"/>
          <w:szCs w:val="24"/>
        </w:rPr>
        <w:t xml:space="preserve"> </w:t>
      </w:r>
      <w:r w:rsidR="008461CB">
        <w:rPr>
          <w:rFonts w:asciiTheme="majorHAnsi" w:hAnsiTheme="majorHAnsi" w:cstheme="majorHAnsi"/>
          <w:sz w:val="24"/>
          <w:szCs w:val="24"/>
        </w:rPr>
        <w:br/>
      </w:r>
      <w:r w:rsidR="008461CB" w:rsidRPr="48F23DBF">
        <w:rPr>
          <w:rFonts w:asciiTheme="majorHAnsi" w:hAnsiTheme="majorHAnsi" w:cstheme="majorBidi"/>
          <w:sz w:val="24"/>
          <w:szCs w:val="24"/>
        </w:rPr>
        <w:t>Museums themselves are important heritage attractions that should be offering authentic cultural experiences</w:t>
      </w:r>
      <w:r w:rsidR="000154F5" w:rsidRPr="48F23DBF">
        <w:rPr>
          <w:rFonts w:asciiTheme="majorHAnsi" w:hAnsiTheme="majorHAnsi" w:cstheme="majorBidi"/>
          <w:sz w:val="24"/>
          <w:szCs w:val="24"/>
        </w:rPr>
        <w:t>, especially those which are</w:t>
      </w:r>
      <w:r w:rsidR="00613D5A" w:rsidRPr="48F23DBF">
        <w:rPr>
          <w:rFonts w:asciiTheme="majorHAnsi" w:hAnsiTheme="majorHAnsi" w:cstheme="majorBidi"/>
          <w:sz w:val="24"/>
          <w:szCs w:val="24"/>
        </w:rPr>
        <w:t xml:space="preserve"> on the original sites, or in original buildings such as those</w:t>
      </w:r>
      <w:r w:rsidR="00B558F2" w:rsidRPr="48F23DBF">
        <w:rPr>
          <w:rFonts w:asciiTheme="majorHAnsi" w:hAnsiTheme="majorHAnsi" w:cstheme="majorBidi"/>
          <w:sz w:val="24"/>
          <w:szCs w:val="24"/>
        </w:rPr>
        <w:t xml:space="preserve"> discussed</w:t>
      </w:r>
      <w:r w:rsidR="00B7531E" w:rsidRPr="48F23DBF">
        <w:rPr>
          <w:rFonts w:asciiTheme="majorHAnsi" w:hAnsiTheme="majorHAnsi" w:cstheme="majorBidi"/>
          <w:sz w:val="24"/>
          <w:szCs w:val="24"/>
        </w:rPr>
        <w:t>.</w:t>
      </w:r>
      <w:r w:rsidR="0059533A" w:rsidRPr="48F23DBF">
        <w:rPr>
          <w:rFonts w:asciiTheme="majorHAnsi" w:hAnsiTheme="majorHAnsi" w:cstheme="majorBidi"/>
          <w:sz w:val="24"/>
          <w:szCs w:val="24"/>
        </w:rPr>
        <w:t xml:space="preserve"> The visitor</w:t>
      </w:r>
      <w:r w:rsidR="004B14DC" w:rsidRPr="48F23DBF">
        <w:rPr>
          <w:rFonts w:asciiTheme="majorHAnsi" w:hAnsiTheme="majorHAnsi" w:cstheme="majorBidi"/>
          <w:sz w:val="24"/>
          <w:szCs w:val="24"/>
        </w:rPr>
        <w:t>s</w:t>
      </w:r>
      <w:r w:rsidR="0059533A" w:rsidRPr="48F23DBF">
        <w:rPr>
          <w:rFonts w:asciiTheme="majorHAnsi" w:hAnsiTheme="majorHAnsi" w:cstheme="majorBidi"/>
          <w:sz w:val="24"/>
          <w:szCs w:val="24"/>
        </w:rPr>
        <w:t xml:space="preserve"> </w:t>
      </w:r>
      <w:r w:rsidR="004B14DC" w:rsidRPr="48F23DBF">
        <w:rPr>
          <w:rFonts w:asciiTheme="majorHAnsi" w:hAnsiTheme="majorHAnsi" w:cstheme="majorBidi"/>
          <w:sz w:val="24"/>
          <w:szCs w:val="24"/>
        </w:rPr>
        <w:t>first-hand</w:t>
      </w:r>
      <w:r w:rsidR="00B558F2" w:rsidRPr="48F23DBF">
        <w:rPr>
          <w:rFonts w:asciiTheme="majorHAnsi" w:hAnsiTheme="majorHAnsi" w:cstheme="majorBidi"/>
          <w:sz w:val="24"/>
          <w:szCs w:val="24"/>
        </w:rPr>
        <w:t xml:space="preserve"> experience of</w:t>
      </w:r>
      <w:r w:rsidR="004B14DC" w:rsidRPr="48F23DBF">
        <w:rPr>
          <w:rFonts w:asciiTheme="majorHAnsi" w:hAnsiTheme="majorHAnsi" w:cstheme="majorBidi"/>
          <w:sz w:val="24"/>
          <w:szCs w:val="24"/>
        </w:rPr>
        <w:t xml:space="preserve"> authenticity can be evoked </w:t>
      </w:r>
      <w:bookmarkStart w:id="63" w:name="_Int_EXzMWp9m"/>
      <w:proofErr w:type="gramStart"/>
      <w:r w:rsidR="00E100A0" w:rsidRPr="48F23DBF">
        <w:rPr>
          <w:rFonts w:asciiTheme="majorHAnsi" w:hAnsiTheme="majorHAnsi" w:cstheme="majorBidi"/>
          <w:sz w:val="24"/>
          <w:szCs w:val="24"/>
        </w:rPr>
        <w:t>through the use of</w:t>
      </w:r>
      <w:bookmarkEnd w:id="63"/>
      <w:proofErr w:type="gramEnd"/>
      <w:r w:rsidR="00E100A0" w:rsidRPr="48F23DBF">
        <w:rPr>
          <w:rFonts w:asciiTheme="majorHAnsi" w:hAnsiTheme="majorHAnsi" w:cstheme="majorBidi"/>
          <w:sz w:val="24"/>
          <w:szCs w:val="24"/>
        </w:rPr>
        <w:t xml:space="preserve"> material objects, demonstrations</w:t>
      </w:r>
      <w:r w:rsidR="4EC1A363" w:rsidRPr="48F23DBF">
        <w:rPr>
          <w:rFonts w:asciiTheme="majorHAnsi" w:hAnsiTheme="majorHAnsi" w:cstheme="majorBidi"/>
          <w:sz w:val="24"/>
          <w:szCs w:val="24"/>
        </w:rPr>
        <w:t>,</w:t>
      </w:r>
      <w:r w:rsidR="00E100A0" w:rsidRPr="48F23DBF">
        <w:rPr>
          <w:rFonts w:asciiTheme="majorHAnsi" w:hAnsiTheme="majorHAnsi" w:cstheme="majorBidi"/>
          <w:sz w:val="24"/>
          <w:szCs w:val="24"/>
        </w:rPr>
        <w:t xml:space="preserve"> and technology</w:t>
      </w:r>
      <w:r w:rsidR="00B558F2" w:rsidRPr="48F23DBF">
        <w:rPr>
          <w:rFonts w:asciiTheme="majorHAnsi" w:hAnsiTheme="majorHAnsi" w:cstheme="majorBidi"/>
          <w:sz w:val="24"/>
          <w:szCs w:val="24"/>
        </w:rPr>
        <w:t xml:space="preserve">, </w:t>
      </w:r>
      <w:r w:rsidR="00E100A0" w:rsidRPr="48F23DBF">
        <w:rPr>
          <w:rFonts w:asciiTheme="majorHAnsi" w:hAnsiTheme="majorHAnsi" w:cstheme="majorBidi"/>
          <w:sz w:val="24"/>
          <w:szCs w:val="24"/>
        </w:rPr>
        <w:t>it is even more important for there to be a positive perception of authenticity displayed when representing food</w:t>
      </w:r>
      <w:r w:rsidR="00B558F2" w:rsidRPr="48F23DBF">
        <w:rPr>
          <w:rFonts w:asciiTheme="majorHAnsi" w:hAnsiTheme="majorHAnsi" w:cstheme="majorBidi"/>
          <w:sz w:val="24"/>
          <w:szCs w:val="24"/>
        </w:rPr>
        <w:t xml:space="preserve"> culture in Wales as it is such an integral</w:t>
      </w:r>
    </w:p>
    <w:p w14:paraId="7720DE7E" w14:textId="0FC8E43B" w:rsidR="004966FB" w:rsidRDefault="00BE50E2" w:rsidP="004966FB">
      <w:pPr>
        <w:spacing w:line="360" w:lineRule="auto"/>
        <w:rPr>
          <w:rFonts w:asciiTheme="majorHAnsi" w:hAnsiTheme="majorHAnsi" w:cstheme="majorHAnsi"/>
          <w:sz w:val="24"/>
          <w:szCs w:val="24"/>
        </w:rPr>
      </w:pPr>
      <w:proofErr w:type="gramStart"/>
      <w:r w:rsidRPr="00BE50E2">
        <w:rPr>
          <w:rFonts w:asciiTheme="majorHAnsi" w:hAnsiTheme="majorHAnsi" w:cstheme="majorHAnsi"/>
          <w:sz w:val="24"/>
          <w:szCs w:val="24"/>
        </w:rPr>
        <w:t>Some</w:t>
      </w:r>
      <w:proofErr w:type="gramEnd"/>
      <w:r w:rsidRPr="00BE50E2">
        <w:rPr>
          <w:rFonts w:asciiTheme="majorHAnsi" w:hAnsiTheme="majorHAnsi" w:cstheme="majorHAnsi"/>
          <w:sz w:val="24"/>
          <w:szCs w:val="24"/>
        </w:rPr>
        <w:t xml:space="preserve"> museums may get it wrong, whether that be by being too broad in their representation, or missing food completely from their displays. However, these are not criticisms of the museums, instead, they can be used as opportunities to provide useful lessons for </w:t>
      </w:r>
      <w:r w:rsidR="00331CA5" w:rsidRPr="00BE50E2">
        <w:rPr>
          <w:rFonts w:asciiTheme="majorHAnsi" w:hAnsiTheme="majorHAnsi" w:cstheme="majorHAnsi"/>
          <w:sz w:val="24"/>
          <w:szCs w:val="24"/>
        </w:rPr>
        <w:t>curators</w:t>
      </w:r>
      <w:r w:rsidR="00331CA5">
        <w:rPr>
          <w:rFonts w:asciiTheme="majorHAnsi" w:hAnsiTheme="majorHAnsi" w:cstheme="majorHAnsi"/>
          <w:sz w:val="24"/>
          <w:szCs w:val="24"/>
        </w:rPr>
        <w:t>. The</w:t>
      </w:r>
      <w:r w:rsidR="004966FB">
        <w:rPr>
          <w:rFonts w:asciiTheme="majorHAnsi" w:hAnsiTheme="majorHAnsi" w:cstheme="majorHAnsi"/>
          <w:sz w:val="24"/>
          <w:szCs w:val="24"/>
        </w:rPr>
        <w:t xml:space="preserve"> UNESCO saying is true when researching food histories within Wales and safeguarding intangible heritage</w:t>
      </w:r>
      <w:r w:rsidR="000B7C98">
        <w:rPr>
          <w:rFonts w:asciiTheme="majorHAnsi" w:hAnsiTheme="majorHAnsi" w:cstheme="majorHAnsi"/>
          <w:sz w:val="24"/>
          <w:szCs w:val="24"/>
        </w:rPr>
        <w:t xml:space="preserve"> in the museums.</w:t>
      </w:r>
      <w:r w:rsidR="004966FB">
        <w:rPr>
          <w:rFonts w:asciiTheme="majorHAnsi" w:hAnsiTheme="majorHAnsi" w:cstheme="majorHAnsi"/>
          <w:sz w:val="24"/>
          <w:szCs w:val="24"/>
        </w:rPr>
        <w:t xml:space="preserve"> </w:t>
      </w:r>
    </w:p>
    <w:p w14:paraId="4304704C" w14:textId="77777777" w:rsidR="004966FB" w:rsidRDefault="004966FB" w:rsidP="004966FB">
      <w:pPr>
        <w:spacing w:line="360" w:lineRule="auto"/>
        <w:ind w:left="1276" w:right="1938"/>
        <w:rPr>
          <w:rFonts w:asciiTheme="majorHAnsi" w:hAnsiTheme="majorHAnsi" w:cstheme="majorHAnsi"/>
          <w:sz w:val="24"/>
          <w:szCs w:val="24"/>
        </w:rPr>
      </w:pPr>
      <w:r>
        <w:rPr>
          <w:rFonts w:asciiTheme="majorHAnsi" w:hAnsiTheme="majorHAnsi" w:cstheme="majorHAnsi"/>
          <w:sz w:val="24"/>
          <w:szCs w:val="24"/>
        </w:rPr>
        <w:t>‘</w:t>
      </w:r>
      <w:r w:rsidRPr="001A16DE">
        <w:rPr>
          <w:rFonts w:asciiTheme="majorHAnsi" w:hAnsiTheme="majorHAnsi" w:cstheme="majorHAnsi"/>
          <w:sz w:val="24"/>
          <w:szCs w:val="24"/>
        </w:rPr>
        <w:t>If intangible cultural heritage is not nurtured, it risks becoming lost forever, or frozen as a</w:t>
      </w:r>
      <w:r>
        <w:rPr>
          <w:rFonts w:asciiTheme="majorHAnsi" w:hAnsiTheme="majorHAnsi" w:cstheme="majorHAnsi"/>
          <w:sz w:val="24"/>
          <w:szCs w:val="24"/>
        </w:rPr>
        <w:t xml:space="preserve"> </w:t>
      </w:r>
      <w:r w:rsidRPr="001A16DE">
        <w:rPr>
          <w:rFonts w:asciiTheme="majorHAnsi" w:hAnsiTheme="majorHAnsi" w:cstheme="majorHAnsi"/>
          <w:sz w:val="24"/>
          <w:szCs w:val="24"/>
        </w:rPr>
        <w:t>practice belonging to the past. Preserving this heritage and passing it on to the future</w:t>
      </w:r>
      <w:r>
        <w:rPr>
          <w:rFonts w:asciiTheme="majorHAnsi" w:hAnsiTheme="majorHAnsi" w:cstheme="majorHAnsi"/>
          <w:sz w:val="24"/>
          <w:szCs w:val="24"/>
        </w:rPr>
        <w:t xml:space="preserve"> </w:t>
      </w:r>
      <w:r w:rsidRPr="001A16DE">
        <w:rPr>
          <w:rFonts w:asciiTheme="majorHAnsi" w:hAnsiTheme="majorHAnsi" w:cstheme="majorHAnsi"/>
          <w:sz w:val="24"/>
          <w:szCs w:val="24"/>
        </w:rPr>
        <w:t>generation strengthens it and keeps it alive.</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157"/>
      </w:r>
    </w:p>
    <w:p w14:paraId="03650C97" w14:textId="0F31E741" w:rsidR="004966FB" w:rsidRDefault="004966FB" w:rsidP="004966FB">
      <w:pPr>
        <w:spacing w:line="360" w:lineRule="auto"/>
        <w:ind w:right="95"/>
        <w:rPr>
          <w:rFonts w:asciiTheme="majorHAnsi" w:hAnsiTheme="majorHAnsi" w:cstheme="majorHAnsi"/>
          <w:sz w:val="24"/>
          <w:szCs w:val="24"/>
        </w:rPr>
      </w:pPr>
      <w:r>
        <w:rPr>
          <w:rFonts w:asciiTheme="majorHAnsi" w:hAnsiTheme="majorHAnsi" w:cstheme="majorHAnsi"/>
          <w:sz w:val="24"/>
          <w:szCs w:val="24"/>
        </w:rPr>
        <w:t xml:space="preserve">Although UNESCO identifies that it is the communities themselves which need to recognise their heritage and continue the traditions, </w:t>
      </w:r>
      <w:proofErr w:type="gramStart"/>
      <w:r>
        <w:rPr>
          <w:rFonts w:asciiTheme="majorHAnsi" w:hAnsiTheme="majorHAnsi" w:cstheme="majorHAnsi"/>
          <w:sz w:val="24"/>
          <w:szCs w:val="24"/>
        </w:rPr>
        <w:t>perhaps it</w:t>
      </w:r>
      <w:proofErr w:type="gramEnd"/>
      <w:r>
        <w:rPr>
          <w:rFonts w:asciiTheme="majorHAnsi" w:hAnsiTheme="majorHAnsi" w:cstheme="majorHAnsi"/>
          <w:sz w:val="24"/>
          <w:szCs w:val="24"/>
        </w:rPr>
        <w:t xml:space="preserve"> should also be up to museum curators within those societies to work with those who follow these traditions and practices</w:t>
      </w:r>
      <w:r w:rsidR="00F32019">
        <w:rPr>
          <w:rFonts w:asciiTheme="majorHAnsi" w:hAnsiTheme="majorHAnsi" w:cstheme="majorHAnsi"/>
          <w:sz w:val="24"/>
          <w:szCs w:val="24"/>
        </w:rPr>
        <w:t xml:space="preserve">. They </w:t>
      </w:r>
      <w:r w:rsidR="00F32019">
        <w:rPr>
          <w:rFonts w:asciiTheme="majorHAnsi" w:hAnsiTheme="majorHAnsi" w:cstheme="majorHAnsi"/>
          <w:sz w:val="24"/>
          <w:szCs w:val="24"/>
        </w:rPr>
        <w:lastRenderedPageBreak/>
        <w:t>could work</w:t>
      </w:r>
      <w:r w:rsidR="00CB472C">
        <w:rPr>
          <w:rFonts w:asciiTheme="majorHAnsi" w:hAnsiTheme="majorHAnsi" w:cstheme="majorHAnsi"/>
          <w:sz w:val="24"/>
          <w:szCs w:val="24"/>
        </w:rPr>
        <w:t xml:space="preserve"> to create a platform for the knowledge to be represented and safeguarded</w:t>
      </w:r>
      <w:r w:rsidR="00F32019">
        <w:rPr>
          <w:rFonts w:asciiTheme="majorHAnsi" w:hAnsiTheme="majorHAnsi" w:cstheme="majorHAnsi"/>
          <w:sz w:val="24"/>
          <w:szCs w:val="24"/>
        </w:rPr>
        <w:t xml:space="preserve"> in a place that should have authentic representations of Welsh life and history. </w:t>
      </w:r>
    </w:p>
    <w:p w14:paraId="07EBAB8C" w14:textId="77777777" w:rsidR="004966FB" w:rsidRPr="00BE50E2" w:rsidRDefault="004966FB" w:rsidP="00BE50E2">
      <w:pPr>
        <w:spacing w:line="360" w:lineRule="auto"/>
        <w:rPr>
          <w:rFonts w:asciiTheme="majorHAnsi" w:hAnsiTheme="majorHAnsi" w:cstheme="majorHAnsi"/>
          <w:sz w:val="24"/>
          <w:szCs w:val="24"/>
        </w:rPr>
      </w:pPr>
    </w:p>
    <w:p w14:paraId="6EC8E63E" w14:textId="77777777" w:rsidR="00BE50E2" w:rsidRPr="00BE50E2" w:rsidRDefault="00BE50E2" w:rsidP="00BE50E2">
      <w:pPr>
        <w:spacing w:line="360" w:lineRule="auto"/>
        <w:rPr>
          <w:rFonts w:asciiTheme="majorHAnsi" w:hAnsiTheme="majorHAnsi" w:cstheme="majorHAnsi"/>
          <w:sz w:val="24"/>
          <w:szCs w:val="24"/>
        </w:rPr>
      </w:pPr>
    </w:p>
    <w:p w14:paraId="2C35C8D8" w14:textId="3EE2C8AA" w:rsidR="00BE50E2" w:rsidRDefault="00BE50E2" w:rsidP="00BE50E2">
      <w:pPr>
        <w:spacing w:line="360" w:lineRule="auto"/>
        <w:rPr>
          <w:rFonts w:asciiTheme="majorHAnsi" w:hAnsiTheme="majorHAnsi" w:cstheme="majorHAnsi"/>
          <w:sz w:val="24"/>
          <w:szCs w:val="24"/>
        </w:rPr>
      </w:pPr>
    </w:p>
    <w:p w14:paraId="1D38F994" w14:textId="70277212" w:rsidR="005E1657" w:rsidRDefault="005E1657" w:rsidP="00BE50E2">
      <w:pPr>
        <w:spacing w:line="360" w:lineRule="auto"/>
        <w:rPr>
          <w:rFonts w:asciiTheme="majorHAnsi" w:hAnsiTheme="majorHAnsi" w:cstheme="majorHAnsi"/>
          <w:sz w:val="24"/>
          <w:szCs w:val="24"/>
        </w:rPr>
      </w:pPr>
    </w:p>
    <w:p w14:paraId="345006CA" w14:textId="7D213CBC" w:rsidR="003C27EE" w:rsidRDefault="003C27EE" w:rsidP="00BE50E2">
      <w:pPr>
        <w:spacing w:line="360" w:lineRule="auto"/>
        <w:rPr>
          <w:rFonts w:asciiTheme="majorHAnsi" w:hAnsiTheme="majorHAnsi" w:cstheme="majorHAnsi"/>
          <w:sz w:val="24"/>
          <w:szCs w:val="24"/>
        </w:rPr>
      </w:pPr>
    </w:p>
    <w:p w14:paraId="7F23F1D4" w14:textId="210143D5" w:rsidR="003C27EE" w:rsidRDefault="003C27EE" w:rsidP="00BE50E2">
      <w:pPr>
        <w:spacing w:line="360" w:lineRule="auto"/>
        <w:rPr>
          <w:rFonts w:asciiTheme="majorHAnsi" w:hAnsiTheme="majorHAnsi" w:cstheme="majorHAnsi"/>
          <w:sz w:val="24"/>
          <w:szCs w:val="24"/>
        </w:rPr>
      </w:pPr>
    </w:p>
    <w:p w14:paraId="489418EC" w14:textId="748CE7B4" w:rsidR="003C27EE" w:rsidRDefault="003C27EE" w:rsidP="00BE50E2">
      <w:pPr>
        <w:spacing w:line="360" w:lineRule="auto"/>
        <w:rPr>
          <w:rFonts w:asciiTheme="majorHAnsi" w:hAnsiTheme="majorHAnsi" w:cstheme="majorHAnsi"/>
          <w:sz w:val="24"/>
          <w:szCs w:val="24"/>
        </w:rPr>
      </w:pPr>
    </w:p>
    <w:p w14:paraId="5CA1D9A7" w14:textId="4827BFD9" w:rsidR="003C27EE" w:rsidRDefault="003C27EE" w:rsidP="00BE50E2">
      <w:pPr>
        <w:spacing w:line="360" w:lineRule="auto"/>
        <w:rPr>
          <w:rFonts w:asciiTheme="majorHAnsi" w:hAnsiTheme="majorHAnsi" w:cstheme="majorHAnsi"/>
          <w:sz w:val="24"/>
          <w:szCs w:val="24"/>
        </w:rPr>
      </w:pPr>
    </w:p>
    <w:p w14:paraId="37F7BC0D" w14:textId="35F61EDB" w:rsidR="003C27EE" w:rsidRDefault="003C27EE" w:rsidP="00BE50E2">
      <w:pPr>
        <w:spacing w:line="360" w:lineRule="auto"/>
        <w:rPr>
          <w:rFonts w:asciiTheme="majorHAnsi" w:hAnsiTheme="majorHAnsi" w:cstheme="majorHAnsi"/>
          <w:sz w:val="24"/>
          <w:szCs w:val="24"/>
        </w:rPr>
      </w:pPr>
    </w:p>
    <w:p w14:paraId="3E0A931F" w14:textId="36BAE4C1" w:rsidR="003C27EE" w:rsidRDefault="003C27EE" w:rsidP="00BE50E2">
      <w:pPr>
        <w:spacing w:line="360" w:lineRule="auto"/>
        <w:rPr>
          <w:rFonts w:asciiTheme="majorHAnsi" w:hAnsiTheme="majorHAnsi" w:cstheme="majorHAnsi"/>
          <w:sz w:val="24"/>
          <w:szCs w:val="24"/>
        </w:rPr>
      </w:pPr>
    </w:p>
    <w:p w14:paraId="3AE68772" w14:textId="38E6F742" w:rsidR="003C27EE" w:rsidRDefault="003C27EE" w:rsidP="00BE50E2">
      <w:pPr>
        <w:spacing w:line="360" w:lineRule="auto"/>
        <w:rPr>
          <w:rFonts w:asciiTheme="majorHAnsi" w:hAnsiTheme="majorHAnsi" w:cstheme="majorHAnsi"/>
          <w:sz w:val="24"/>
          <w:szCs w:val="24"/>
        </w:rPr>
      </w:pPr>
    </w:p>
    <w:p w14:paraId="0FA86676" w14:textId="4A6F7B48" w:rsidR="003C27EE" w:rsidRDefault="003C27EE" w:rsidP="00BE50E2">
      <w:pPr>
        <w:spacing w:line="360" w:lineRule="auto"/>
        <w:rPr>
          <w:rFonts w:asciiTheme="majorHAnsi" w:hAnsiTheme="majorHAnsi" w:cstheme="majorHAnsi"/>
          <w:sz w:val="24"/>
          <w:szCs w:val="24"/>
        </w:rPr>
      </w:pPr>
    </w:p>
    <w:p w14:paraId="31D95EC3" w14:textId="7B151E00" w:rsidR="003C27EE" w:rsidRDefault="003C27EE" w:rsidP="00BE50E2">
      <w:pPr>
        <w:spacing w:line="360" w:lineRule="auto"/>
        <w:rPr>
          <w:rFonts w:asciiTheme="majorHAnsi" w:hAnsiTheme="majorHAnsi" w:cstheme="majorHAnsi"/>
          <w:sz w:val="24"/>
          <w:szCs w:val="24"/>
        </w:rPr>
      </w:pPr>
    </w:p>
    <w:p w14:paraId="742CEAEC" w14:textId="7A3D4290" w:rsidR="003C27EE" w:rsidRDefault="003C27EE" w:rsidP="00BE50E2">
      <w:pPr>
        <w:spacing w:line="360" w:lineRule="auto"/>
        <w:rPr>
          <w:rFonts w:asciiTheme="majorHAnsi" w:hAnsiTheme="majorHAnsi" w:cstheme="majorHAnsi"/>
          <w:sz w:val="24"/>
          <w:szCs w:val="24"/>
        </w:rPr>
      </w:pPr>
    </w:p>
    <w:p w14:paraId="1B2F7EA2" w14:textId="0819CB1F" w:rsidR="003C27EE" w:rsidRDefault="003C27EE" w:rsidP="00BE50E2">
      <w:pPr>
        <w:spacing w:line="360" w:lineRule="auto"/>
        <w:rPr>
          <w:rFonts w:asciiTheme="majorHAnsi" w:hAnsiTheme="majorHAnsi" w:cstheme="majorHAnsi"/>
          <w:sz w:val="24"/>
          <w:szCs w:val="24"/>
        </w:rPr>
      </w:pPr>
    </w:p>
    <w:p w14:paraId="60921590" w14:textId="77777777" w:rsidR="003C27EE" w:rsidRDefault="003C27EE" w:rsidP="00BE50E2">
      <w:pPr>
        <w:spacing w:line="360" w:lineRule="auto"/>
        <w:rPr>
          <w:rFonts w:asciiTheme="majorHAnsi" w:hAnsiTheme="majorHAnsi" w:cstheme="majorHAnsi"/>
          <w:sz w:val="24"/>
          <w:szCs w:val="24"/>
        </w:rPr>
      </w:pPr>
    </w:p>
    <w:p w14:paraId="4DBD8EB8" w14:textId="7C190F0B" w:rsidR="005E1657" w:rsidRDefault="005E1657" w:rsidP="00BE50E2">
      <w:pPr>
        <w:spacing w:line="360" w:lineRule="auto"/>
        <w:rPr>
          <w:rFonts w:asciiTheme="majorHAnsi" w:hAnsiTheme="majorHAnsi" w:cstheme="majorHAnsi"/>
          <w:sz w:val="24"/>
          <w:szCs w:val="24"/>
        </w:rPr>
      </w:pPr>
    </w:p>
    <w:p w14:paraId="68630FE8" w14:textId="5F522315" w:rsidR="005E1657" w:rsidRDefault="005E1657" w:rsidP="00BE50E2">
      <w:pPr>
        <w:spacing w:line="360" w:lineRule="auto"/>
        <w:rPr>
          <w:rFonts w:asciiTheme="majorHAnsi" w:hAnsiTheme="majorHAnsi" w:cstheme="majorHAnsi"/>
          <w:sz w:val="24"/>
          <w:szCs w:val="24"/>
        </w:rPr>
      </w:pPr>
    </w:p>
    <w:p w14:paraId="6D18BA70" w14:textId="68B54469" w:rsidR="003C27EE" w:rsidRDefault="003C27EE" w:rsidP="00BE50E2">
      <w:pPr>
        <w:spacing w:line="360" w:lineRule="auto"/>
        <w:rPr>
          <w:rFonts w:asciiTheme="majorHAnsi" w:hAnsiTheme="majorHAnsi" w:cstheme="majorHAnsi"/>
          <w:sz w:val="24"/>
          <w:szCs w:val="24"/>
        </w:rPr>
      </w:pPr>
    </w:p>
    <w:p w14:paraId="0D0E5560" w14:textId="01452C6C" w:rsidR="003C27EE" w:rsidRDefault="003C27EE" w:rsidP="00BE50E2">
      <w:pPr>
        <w:spacing w:line="360" w:lineRule="auto"/>
        <w:rPr>
          <w:rFonts w:asciiTheme="majorHAnsi" w:hAnsiTheme="majorHAnsi" w:cstheme="majorHAnsi"/>
          <w:sz w:val="24"/>
          <w:szCs w:val="24"/>
        </w:rPr>
      </w:pPr>
    </w:p>
    <w:p w14:paraId="55C5D964" w14:textId="77777777" w:rsidR="003C27EE" w:rsidRDefault="003C27EE" w:rsidP="00BE50E2">
      <w:pPr>
        <w:spacing w:line="360" w:lineRule="auto"/>
        <w:rPr>
          <w:rFonts w:asciiTheme="majorHAnsi" w:hAnsiTheme="majorHAnsi" w:cstheme="majorHAnsi"/>
          <w:sz w:val="24"/>
          <w:szCs w:val="24"/>
        </w:rPr>
      </w:pPr>
    </w:p>
    <w:p w14:paraId="1737FCB8" w14:textId="1D73FBCE" w:rsidR="00014058" w:rsidRDefault="00F32019" w:rsidP="00F4712F">
      <w:pPr>
        <w:pStyle w:val="Heading1"/>
        <w:jc w:val="center"/>
        <w:rPr>
          <w:sz w:val="36"/>
          <w:szCs w:val="44"/>
        </w:rPr>
      </w:pPr>
      <w:bookmarkStart w:id="64" w:name="_Toc125482494"/>
      <w:r>
        <w:rPr>
          <w:sz w:val="36"/>
          <w:szCs w:val="44"/>
        </w:rPr>
        <w:t>C</w:t>
      </w:r>
      <w:r w:rsidR="00F4712F" w:rsidRPr="00F4712F">
        <w:rPr>
          <w:sz w:val="36"/>
          <w:szCs w:val="44"/>
        </w:rPr>
        <w:t xml:space="preserve">hapter 4: </w:t>
      </w:r>
      <w:r w:rsidR="00014058" w:rsidRPr="00F4712F">
        <w:rPr>
          <w:sz w:val="36"/>
          <w:szCs w:val="44"/>
        </w:rPr>
        <w:t>Conclusion</w:t>
      </w:r>
      <w:bookmarkEnd w:id="64"/>
    </w:p>
    <w:p w14:paraId="10561A03" w14:textId="77777777" w:rsidR="00F4712F" w:rsidRPr="00F4712F" w:rsidRDefault="00F4712F" w:rsidP="00F4712F"/>
    <w:p w14:paraId="3F185B45" w14:textId="1E9F3089" w:rsidR="0023008A" w:rsidRDefault="008655EC" w:rsidP="00BE50E2">
      <w:pPr>
        <w:spacing w:line="360" w:lineRule="auto"/>
        <w:rPr>
          <w:rFonts w:asciiTheme="majorHAnsi" w:hAnsiTheme="majorHAnsi" w:cstheme="majorHAnsi"/>
          <w:sz w:val="24"/>
          <w:szCs w:val="24"/>
        </w:rPr>
      </w:pPr>
      <w:r>
        <w:rPr>
          <w:rFonts w:asciiTheme="majorHAnsi" w:hAnsiTheme="majorHAnsi" w:cstheme="majorHAnsi"/>
          <w:sz w:val="24"/>
          <w:szCs w:val="24"/>
        </w:rPr>
        <w:t>The purpose of this study was to analyse the ways in which museums within Wales represent a sense of place</w:t>
      </w:r>
      <w:r w:rsidR="0023008A">
        <w:rPr>
          <w:rFonts w:asciiTheme="majorHAnsi" w:hAnsiTheme="majorHAnsi" w:cstheme="majorHAnsi"/>
          <w:sz w:val="24"/>
          <w:szCs w:val="24"/>
        </w:rPr>
        <w:t>, going back to our roots and sharing our heritage through food histories and traditions.</w:t>
      </w:r>
      <w:r w:rsidR="00711E44">
        <w:rPr>
          <w:rFonts w:asciiTheme="majorHAnsi" w:hAnsiTheme="majorHAnsi" w:cstheme="majorHAnsi"/>
          <w:sz w:val="24"/>
          <w:szCs w:val="24"/>
        </w:rPr>
        <w:t xml:space="preserve"> </w:t>
      </w:r>
      <w:r w:rsidR="0023008A">
        <w:rPr>
          <w:rFonts w:asciiTheme="majorHAnsi" w:hAnsiTheme="majorHAnsi" w:cstheme="majorHAnsi"/>
          <w:sz w:val="24"/>
          <w:szCs w:val="24"/>
        </w:rPr>
        <w:t xml:space="preserve">The stories of </w:t>
      </w:r>
      <w:r w:rsidR="00711E44">
        <w:rPr>
          <w:rFonts w:asciiTheme="majorHAnsi" w:hAnsiTheme="majorHAnsi" w:cstheme="majorHAnsi"/>
          <w:sz w:val="24"/>
          <w:szCs w:val="24"/>
        </w:rPr>
        <w:t>Welsh</w:t>
      </w:r>
      <w:r w:rsidR="0023008A">
        <w:rPr>
          <w:rFonts w:asciiTheme="majorHAnsi" w:hAnsiTheme="majorHAnsi" w:cstheme="majorHAnsi"/>
          <w:sz w:val="24"/>
          <w:szCs w:val="24"/>
        </w:rPr>
        <w:t xml:space="preserve"> food </w:t>
      </w:r>
      <w:r w:rsidR="003F3F5D">
        <w:rPr>
          <w:rFonts w:asciiTheme="majorHAnsi" w:hAnsiTheme="majorHAnsi" w:cstheme="majorHAnsi"/>
          <w:sz w:val="24"/>
          <w:szCs w:val="24"/>
        </w:rPr>
        <w:t>have</w:t>
      </w:r>
      <w:r w:rsidR="0023008A">
        <w:rPr>
          <w:rFonts w:asciiTheme="majorHAnsi" w:hAnsiTheme="majorHAnsi" w:cstheme="majorHAnsi"/>
          <w:sz w:val="24"/>
          <w:szCs w:val="24"/>
        </w:rPr>
        <w:t xml:space="preserve"> been almost ignored within Welsh history, often kept as a side topic but never fully in the forefront. This study has readdressed its importance, showing that food is a key part of the history and traditions of communities within Wales.</w:t>
      </w:r>
    </w:p>
    <w:p w14:paraId="0804A68B" w14:textId="255683AB" w:rsidR="00015ECA" w:rsidRDefault="00DD2D72" w:rsidP="00BE50E2">
      <w:pPr>
        <w:spacing w:line="360" w:lineRule="auto"/>
        <w:rPr>
          <w:rFonts w:asciiTheme="majorHAnsi" w:hAnsiTheme="majorHAnsi" w:cstheme="majorHAnsi"/>
          <w:sz w:val="24"/>
          <w:szCs w:val="24"/>
        </w:rPr>
      </w:pPr>
      <w:r>
        <w:rPr>
          <w:rFonts w:asciiTheme="majorHAnsi" w:hAnsiTheme="majorHAnsi" w:cstheme="majorHAnsi"/>
          <w:sz w:val="24"/>
          <w:szCs w:val="24"/>
        </w:rPr>
        <w:t>F</w:t>
      </w:r>
      <w:r w:rsidR="00711E44">
        <w:rPr>
          <w:rFonts w:asciiTheme="majorHAnsi" w:hAnsiTheme="majorHAnsi" w:cstheme="majorHAnsi"/>
          <w:sz w:val="24"/>
          <w:szCs w:val="24"/>
        </w:rPr>
        <w:t>ood traditions and culture within Wales ha</w:t>
      </w:r>
      <w:r w:rsidR="000D3BEB">
        <w:rPr>
          <w:rFonts w:asciiTheme="majorHAnsi" w:hAnsiTheme="majorHAnsi" w:cstheme="majorHAnsi"/>
          <w:sz w:val="24"/>
          <w:szCs w:val="24"/>
        </w:rPr>
        <w:t>ve</w:t>
      </w:r>
      <w:r w:rsidR="00711E44">
        <w:rPr>
          <w:rFonts w:asciiTheme="majorHAnsi" w:hAnsiTheme="majorHAnsi" w:cstheme="majorHAnsi"/>
          <w:sz w:val="24"/>
          <w:szCs w:val="24"/>
        </w:rPr>
        <w:t xml:space="preserve"> been </w:t>
      </w:r>
      <w:proofErr w:type="gramStart"/>
      <w:r w:rsidR="00711E44">
        <w:rPr>
          <w:rFonts w:asciiTheme="majorHAnsi" w:hAnsiTheme="majorHAnsi" w:cstheme="majorHAnsi"/>
          <w:sz w:val="24"/>
          <w:szCs w:val="24"/>
        </w:rPr>
        <w:t>greatly impacted</w:t>
      </w:r>
      <w:proofErr w:type="gramEnd"/>
      <w:r w:rsidR="00ED3394">
        <w:rPr>
          <w:rFonts w:asciiTheme="majorHAnsi" w:hAnsiTheme="majorHAnsi" w:cstheme="majorHAnsi"/>
          <w:sz w:val="24"/>
          <w:szCs w:val="24"/>
        </w:rPr>
        <w:t xml:space="preserve"> by a range of events. Firstly,</w:t>
      </w:r>
      <w:r w:rsidR="00711E44">
        <w:rPr>
          <w:rFonts w:asciiTheme="majorHAnsi" w:hAnsiTheme="majorHAnsi" w:cstheme="majorHAnsi"/>
          <w:sz w:val="24"/>
          <w:szCs w:val="24"/>
        </w:rPr>
        <w:t xml:space="preserve"> colonialisation of the country</w:t>
      </w:r>
      <w:r w:rsidR="00794F68">
        <w:rPr>
          <w:rFonts w:asciiTheme="majorHAnsi" w:hAnsiTheme="majorHAnsi" w:cstheme="majorHAnsi"/>
          <w:sz w:val="24"/>
          <w:szCs w:val="24"/>
        </w:rPr>
        <w:t xml:space="preserve"> </w:t>
      </w:r>
      <w:r w:rsidR="0069284D">
        <w:rPr>
          <w:rFonts w:asciiTheme="majorHAnsi" w:hAnsiTheme="majorHAnsi" w:cstheme="majorHAnsi"/>
          <w:sz w:val="24"/>
          <w:szCs w:val="24"/>
        </w:rPr>
        <w:t>ha</w:t>
      </w:r>
      <w:r w:rsidR="00E37935">
        <w:rPr>
          <w:rFonts w:asciiTheme="majorHAnsi" w:hAnsiTheme="majorHAnsi" w:cstheme="majorHAnsi"/>
          <w:sz w:val="24"/>
          <w:szCs w:val="24"/>
        </w:rPr>
        <w:t>d</w:t>
      </w:r>
      <w:r w:rsidR="0069284D">
        <w:rPr>
          <w:rFonts w:asciiTheme="majorHAnsi" w:hAnsiTheme="majorHAnsi" w:cstheme="majorHAnsi"/>
          <w:sz w:val="24"/>
          <w:szCs w:val="24"/>
        </w:rPr>
        <w:t xml:space="preserve"> the effect of undermining confidence </w:t>
      </w:r>
      <w:r w:rsidR="00E37935">
        <w:rPr>
          <w:rFonts w:asciiTheme="majorHAnsi" w:hAnsiTheme="majorHAnsi" w:cstheme="majorHAnsi"/>
          <w:sz w:val="24"/>
          <w:szCs w:val="24"/>
        </w:rPr>
        <w:t>in a</w:t>
      </w:r>
      <w:r w:rsidR="0069284D">
        <w:rPr>
          <w:rFonts w:asciiTheme="majorHAnsi" w:hAnsiTheme="majorHAnsi" w:cstheme="majorHAnsi"/>
          <w:sz w:val="24"/>
          <w:szCs w:val="24"/>
        </w:rPr>
        <w:t xml:space="preserve"> Welsh identity</w:t>
      </w:r>
      <w:r w:rsidR="00E37935">
        <w:rPr>
          <w:rFonts w:asciiTheme="majorHAnsi" w:hAnsiTheme="majorHAnsi" w:cstheme="majorHAnsi"/>
          <w:sz w:val="24"/>
          <w:szCs w:val="24"/>
        </w:rPr>
        <w:t xml:space="preserve"> that was </w:t>
      </w:r>
      <w:r w:rsidR="00353C28">
        <w:rPr>
          <w:rFonts w:asciiTheme="majorHAnsi" w:hAnsiTheme="majorHAnsi" w:cstheme="majorHAnsi"/>
          <w:sz w:val="24"/>
          <w:szCs w:val="24"/>
        </w:rPr>
        <w:t>socially and</w:t>
      </w:r>
      <w:r w:rsidR="00FF6ECA">
        <w:rPr>
          <w:rFonts w:asciiTheme="majorHAnsi" w:hAnsiTheme="majorHAnsi" w:cstheme="majorHAnsi"/>
          <w:sz w:val="24"/>
          <w:szCs w:val="24"/>
        </w:rPr>
        <w:t xml:space="preserve"> structurally</w:t>
      </w:r>
      <w:r w:rsidR="00353C28">
        <w:rPr>
          <w:rFonts w:asciiTheme="majorHAnsi" w:hAnsiTheme="majorHAnsi" w:cstheme="majorHAnsi"/>
          <w:sz w:val="24"/>
          <w:szCs w:val="24"/>
        </w:rPr>
        <w:t xml:space="preserve"> made secondary to English</w:t>
      </w:r>
      <w:r w:rsidR="00AF0FB9">
        <w:rPr>
          <w:rFonts w:asciiTheme="majorHAnsi" w:hAnsiTheme="majorHAnsi" w:cstheme="majorHAnsi"/>
          <w:sz w:val="24"/>
          <w:szCs w:val="24"/>
        </w:rPr>
        <w:t xml:space="preserve"> through</w:t>
      </w:r>
      <w:r w:rsidR="00353C28">
        <w:rPr>
          <w:rFonts w:asciiTheme="majorHAnsi" w:hAnsiTheme="majorHAnsi" w:cstheme="majorHAnsi"/>
          <w:sz w:val="24"/>
          <w:szCs w:val="24"/>
        </w:rPr>
        <w:t xml:space="preserve"> language a</w:t>
      </w:r>
      <w:r w:rsidR="00FF6ECA">
        <w:rPr>
          <w:rFonts w:asciiTheme="majorHAnsi" w:hAnsiTheme="majorHAnsi" w:cstheme="majorHAnsi"/>
          <w:sz w:val="24"/>
          <w:szCs w:val="24"/>
        </w:rPr>
        <w:t>nd</w:t>
      </w:r>
      <w:r w:rsidR="00FF6ECA" w:rsidRPr="00FF6ECA">
        <w:rPr>
          <w:rFonts w:asciiTheme="majorHAnsi" w:hAnsiTheme="majorHAnsi" w:cstheme="majorHAnsi"/>
          <w:sz w:val="24"/>
          <w:szCs w:val="24"/>
        </w:rPr>
        <w:t xml:space="preserve"> </w:t>
      </w:r>
      <w:r w:rsidR="00FF6ECA">
        <w:rPr>
          <w:rFonts w:asciiTheme="majorHAnsi" w:hAnsiTheme="majorHAnsi" w:cstheme="majorHAnsi"/>
          <w:sz w:val="24"/>
          <w:szCs w:val="24"/>
        </w:rPr>
        <w:t>institution</w:t>
      </w:r>
      <w:r w:rsidR="00FF6ECA">
        <w:rPr>
          <w:rFonts w:asciiTheme="majorHAnsi" w:hAnsiTheme="majorHAnsi" w:cstheme="majorHAnsi"/>
          <w:sz w:val="24"/>
          <w:szCs w:val="24"/>
        </w:rPr>
        <w:t>s</w:t>
      </w:r>
      <w:r w:rsidR="00AF0FB9">
        <w:rPr>
          <w:rFonts w:asciiTheme="majorHAnsi" w:hAnsiTheme="majorHAnsi" w:cstheme="majorHAnsi"/>
          <w:sz w:val="24"/>
          <w:szCs w:val="24"/>
        </w:rPr>
        <w:t xml:space="preserve">. </w:t>
      </w:r>
      <w:r w:rsidR="000847DA">
        <w:rPr>
          <w:rFonts w:asciiTheme="majorHAnsi" w:hAnsiTheme="majorHAnsi" w:cstheme="majorHAnsi"/>
          <w:sz w:val="24"/>
          <w:szCs w:val="24"/>
        </w:rPr>
        <w:t>D</w:t>
      </w:r>
      <w:r w:rsidR="002A0D15">
        <w:rPr>
          <w:rFonts w:asciiTheme="majorHAnsi" w:hAnsiTheme="majorHAnsi" w:cstheme="majorHAnsi"/>
          <w:sz w:val="24"/>
          <w:szCs w:val="24"/>
        </w:rPr>
        <w:t xml:space="preserve">ifferent areas of Wales have been impacted </w:t>
      </w:r>
      <w:proofErr w:type="gramStart"/>
      <w:r w:rsidR="002A0D15">
        <w:rPr>
          <w:rFonts w:asciiTheme="majorHAnsi" w:hAnsiTheme="majorHAnsi" w:cstheme="majorHAnsi"/>
          <w:sz w:val="24"/>
          <w:szCs w:val="24"/>
        </w:rPr>
        <w:t>tangibly and intangibly</w:t>
      </w:r>
      <w:proofErr w:type="gramEnd"/>
      <w:r w:rsidR="002A0D15">
        <w:rPr>
          <w:rFonts w:asciiTheme="majorHAnsi" w:hAnsiTheme="majorHAnsi" w:cstheme="majorHAnsi"/>
          <w:sz w:val="24"/>
          <w:szCs w:val="24"/>
        </w:rPr>
        <w:t xml:space="preserve"> </w:t>
      </w:r>
      <w:r w:rsidR="006714CD">
        <w:rPr>
          <w:rFonts w:asciiTheme="majorHAnsi" w:hAnsiTheme="majorHAnsi" w:cstheme="majorHAnsi"/>
          <w:sz w:val="24"/>
          <w:szCs w:val="24"/>
        </w:rPr>
        <w:t xml:space="preserve">and this </w:t>
      </w:r>
      <w:r w:rsidR="00123E32">
        <w:rPr>
          <w:rFonts w:asciiTheme="majorHAnsi" w:hAnsiTheme="majorHAnsi" w:cstheme="majorHAnsi"/>
          <w:sz w:val="24"/>
          <w:szCs w:val="24"/>
        </w:rPr>
        <w:t xml:space="preserve">can be seen </w:t>
      </w:r>
      <w:r w:rsidR="00613B5D">
        <w:rPr>
          <w:rFonts w:asciiTheme="majorHAnsi" w:hAnsiTheme="majorHAnsi" w:cstheme="majorHAnsi"/>
          <w:sz w:val="24"/>
          <w:szCs w:val="24"/>
        </w:rPr>
        <w:t>in the emergence of</w:t>
      </w:r>
      <w:r w:rsidR="002A0D15">
        <w:rPr>
          <w:rFonts w:asciiTheme="majorHAnsi" w:hAnsiTheme="majorHAnsi" w:cstheme="majorHAnsi"/>
          <w:sz w:val="24"/>
          <w:szCs w:val="24"/>
        </w:rPr>
        <w:t xml:space="preserve"> industrialisation and the movement of people from England and abroad </w:t>
      </w:r>
      <w:r w:rsidR="00613B5D">
        <w:rPr>
          <w:rFonts w:asciiTheme="majorHAnsi" w:hAnsiTheme="majorHAnsi" w:cstheme="majorHAnsi"/>
          <w:sz w:val="24"/>
          <w:szCs w:val="24"/>
        </w:rPr>
        <w:t>to Wales which</w:t>
      </w:r>
      <w:r w:rsidR="00B00435">
        <w:rPr>
          <w:rFonts w:asciiTheme="majorHAnsi" w:hAnsiTheme="majorHAnsi" w:cstheme="majorHAnsi"/>
          <w:sz w:val="24"/>
          <w:szCs w:val="24"/>
        </w:rPr>
        <w:t xml:space="preserve"> created Anglophone Welsh.</w:t>
      </w:r>
      <w:r w:rsidR="00B73B60">
        <w:rPr>
          <w:rFonts w:asciiTheme="majorHAnsi" w:hAnsiTheme="majorHAnsi" w:cstheme="majorHAnsi"/>
          <w:sz w:val="24"/>
          <w:szCs w:val="24"/>
        </w:rPr>
        <w:t xml:space="preserve"> These scenarios </w:t>
      </w:r>
      <w:r w:rsidR="006714CD">
        <w:rPr>
          <w:rFonts w:asciiTheme="majorHAnsi" w:hAnsiTheme="majorHAnsi" w:cstheme="majorHAnsi"/>
          <w:sz w:val="24"/>
          <w:szCs w:val="24"/>
        </w:rPr>
        <w:t>have</w:t>
      </w:r>
      <w:r w:rsidR="00C67D68">
        <w:rPr>
          <w:rFonts w:asciiTheme="majorHAnsi" w:hAnsiTheme="majorHAnsi" w:cstheme="majorHAnsi"/>
          <w:sz w:val="24"/>
          <w:szCs w:val="24"/>
        </w:rPr>
        <w:t xml:space="preserve"> changed the foodscape of Wales, creating more of a hybridity </w:t>
      </w:r>
      <w:r w:rsidR="00124AA0">
        <w:rPr>
          <w:rFonts w:asciiTheme="majorHAnsi" w:hAnsiTheme="majorHAnsi" w:cstheme="majorHAnsi"/>
          <w:sz w:val="24"/>
          <w:szCs w:val="24"/>
        </w:rPr>
        <w:t>of language</w:t>
      </w:r>
      <w:r w:rsidR="00E02DF6">
        <w:rPr>
          <w:rFonts w:asciiTheme="majorHAnsi" w:hAnsiTheme="majorHAnsi" w:cstheme="majorHAnsi"/>
          <w:sz w:val="24"/>
          <w:szCs w:val="24"/>
        </w:rPr>
        <w:t xml:space="preserve"> surrounding the naming of food</w:t>
      </w:r>
      <w:r w:rsidR="00124AA0">
        <w:rPr>
          <w:rFonts w:asciiTheme="majorHAnsi" w:hAnsiTheme="majorHAnsi" w:cstheme="majorHAnsi"/>
          <w:sz w:val="24"/>
          <w:szCs w:val="24"/>
        </w:rPr>
        <w:t xml:space="preserve"> as well as </w:t>
      </w:r>
      <w:r w:rsidR="00810089">
        <w:rPr>
          <w:rFonts w:asciiTheme="majorHAnsi" w:hAnsiTheme="majorHAnsi" w:cstheme="majorHAnsi"/>
          <w:sz w:val="24"/>
          <w:szCs w:val="24"/>
        </w:rPr>
        <w:t xml:space="preserve">food </w:t>
      </w:r>
      <w:r w:rsidR="00124AA0">
        <w:rPr>
          <w:rFonts w:asciiTheme="majorHAnsi" w:hAnsiTheme="majorHAnsi" w:cstheme="majorHAnsi"/>
          <w:sz w:val="24"/>
          <w:szCs w:val="24"/>
        </w:rPr>
        <w:t>culture</w:t>
      </w:r>
      <w:r w:rsidR="00810089">
        <w:rPr>
          <w:rFonts w:asciiTheme="majorHAnsi" w:hAnsiTheme="majorHAnsi" w:cstheme="majorHAnsi"/>
          <w:sz w:val="24"/>
          <w:szCs w:val="24"/>
        </w:rPr>
        <w:t>s</w:t>
      </w:r>
      <w:r w:rsidR="00124AA0">
        <w:rPr>
          <w:rFonts w:asciiTheme="majorHAnsi" w:hAnsiTheme="majorHAnsi" w:cstheme="majorHAnsi"/>
          <w:sz w:val="24"/>
          <w:szCs w:val="24"/>
        </w:rPr>
        <w:t>. This has been shown in the ways f</w:t>
      </w:r>
      <w:r w:rsidR="00D7442D">
        <w:rPr>
          <w:rFonts w:asciiTheme="majorHAnsi" w:hAnsiTheme="majorHAnsi" w:cstheme="majorHAnsi"/>
          <w:sz w:val="24"/>
          <w:szCs w:val="24"/>
        </w:rPr>
        <w:t>ood names have changed as well as recipes themselves</w:t>
      </w:r>
      <w:r w:rsidR="000E4F45">
        <w:rPr>
          <w:rFonts w:asciiTheme="majorHAnsi" w:hAnsiTheme="majorHAnsi" w:cstheme="majorHAnsi"/>
          <w:sz w:val="24"/>
          <w:szCs w:val="24"/>
        </w:rPr>
        <w:t xml:space="preserve">, </w:t>
      </w:r>
      <w:r w:rsidR="00124AA0">
        <w:rPr>
          <w:rFonts w:asciiTheme="majorHAnsi" w:hAnsiTheme="majorHAnsi" w:cstheme="majorHAnsi"/>
          <w:sz w:val="24"/>
          <w:szCs w:val="24"/>
        </w:rPr>
        <w:t>adapting to the area and community changes.</w:t>
      </w:r>
    </w:p>
    <w:p w14:paraId="40E3ED7B" w14:textId="2038090B" w:rsidR="00711E44" w:rsidRDefault="00866CD6" w:rsidP="00BE50E2">
      <w:pPr>
        <w:spacing w:line="360" w:lineRule="auto"/>
        <w:rPr>
          <w:rFonts w:asciiTheme="majorHAnsi" w:hAnsiTheme="majorHAnsi" w:cstheme="majorHAnsi"/>
          <w:color w:val="000000"/>
          <w:sz w:val="24"/>
          <w:szCs w:val="24"/>
        </w:rPr>
      </w:pPr>
      <w:r>
        <w:rPr>
          <w:rFonts w:asciiTheme="majorHAnsi" w:hAnsiTheme="majorHAnsi" w:cstheme="majorHAnsi"/>
          <w:sz w:val="24"/>
          <w:szCs w:val="24"/>
        </w:rPr>
        <w:t>Wales’s</w:t>
      </w:r>
      <w:r w:rsidR="009E2723">
        <w:rPr>
          <w:rFonts w:asciiTheme="majorHAnsi" w:hAnsiTheme="majorHAnsi" w:cstheme="majorHAnsi"/>
          <w:sz w:val="24"/>
          <w:szCs w:val="24"/>
        </w:rPr>
        <w:t xml:space="preserve"> cultural food heritage is something which is ever evolving and does not come from big event</w:t>
      </w:r>
      <w:r w:rsidR="00DE0DE3">
        <w:rPr>
          <w:rFonts w:asciiTheme="majorHAnsi" w:hAnsiTheme="majorHAnsi" w:cstheme="majorHAnsi"/>
          <w:sz w:val="24"/>
          <w:szCs w:val="24"/>
        </w:rPr>
        <w:t xml:space="preserve">s, instead </w:t>
      </w:r>
      <w:r w:rsidR="00DE0DE3">
        <w:rPr>
          <w:rFonts w:asciiTheme="majorHAnsi" w:hAnsiTheme="majorHAnsi" w:cstheme="majorHAnsi"/>
          <w:color w:val="000000"/>
          <w:sz w:val="24"/>
          <w:szCs w:val="24"/>
        </w:rPr>
        <w:t xml:space="preserve">the economic </w:t>
      </w:r>
      <w:r w:rsidR="002643E1">
        <w:rPr>
          <w:rFonts w:asciiTheme="majorHAnsi" w:hAnsiTheme="majorHAnsi" w:cstheme="majorHAnsi"/>
          <w:color w:val="000000"/>
          <w:sz w:val="24"/>
          <w:szCs w:val="24"/>
        </w:rPr>
        <w:t xml:space="preserve">situations of households and communities have born </w:t>
      </w:r>
      <w:r w:rsidR="001D2714">
        <w:rPr>
          <w:rFonts w:asciiTheme="majorHAnsi" w:hAnsiTheme="majorHAnsi" w:cstheme="majorHAnsi"/>
          <w:color w:val="000000"/>
          <w:sz w:val="24"/>
          <w:szCs w:val="24"/>
        </w:rPr>
        <w:t>meals and foods wh</w:t>
      </w:r>
      <w:r w:rsidR="00DE0DE3" w:rsidRPr="00BE50E2">
        <w:rPr>
          <w:rFonts w:asciiTheme="majorHAnsi" w:hAnsiTheme="majorHAnsi" w:cstheme="majorHAnsi"/>
          <w:color w:val="000000"/>
          <w:sz w:val="24"/>
          <w:szCs w:val="24"/>
        </w:rPr>
        <w:t xml:space="preserve">ich characterise </w:t>
      </w:r>
      <w:r w:rsidR="001D2714">
        <w:rPr>
          <w:rFonts w:asciiTheme="majorHAnsi" w:hAnsiTheme="majorHAnsi" w:cstheme="majorHAnsi"/>
          <w:color w:val="000000"/>
          <w:sz w:val="24"/>
          <w:szCs w:val="24"/>
        </w:rPr>
        <w:t xml:space="preserve">traditional </w:t>
      </w:r>
      <w:r w:rsidR="00DE0DE3" w:rsidRPr="00BE50E2">
        <w:rPr>
          <w:rFonts w:asciiTheme="majorHAnsi" w:hAnsiTheme="majorHAnsi" w:cstheme="majorHAnsi"/>
          <w:color w:val="000000"/>
          <w:sz w:val="24"/>
          <w:szCs w:val="24"/>
        </w:rPr>
        <w:t>Welsh food culture.</w:t>
      </w:r>
      <w:r w:rsidR="00981374">
        <w:rPr>
          <w:rFonts w:asciiTheme="majorHAnsi" w:hAnsiTheme="majorHAnsi" w:cstheme="majorHAnsi"/>
          <w:color w:val="000000"/>
          <w:sz w:val="24"/>
          <w:szCs w:val="24"/>
        </w:rPr>
        <w:t xml:space="preserve"> </w:t>
      </w:r>
      <w:r w:rsidR="00102752">
        <w:rPr>
          <w:rFonts w:asciiTheme="majorHAnsi" w:hAnsiTheme="majorHAnsi" w:cstheme="majorHAnsi"/>
          <w:color w:val="000000"/>
          <w:sz w:val="24"/>
          <w:szCs w:val="24"/>
        </w:rPr>
        <w:t xml:space="preserve">Many </w:t>
      </w:r>
      <w:r w:rsidR="00981374">
        <w:rPr>
          <w:rFonts w:asciiTheme="majorHAnsi" w:hAnsiTheme="majorHAnsi" w:cstheme="majorHAnsi"/>
          <w:color w:val="000000"/>
          <w:sz w:val="24"/>
          <w:szCs w:val="24"/>
        </w:rPr>
        <w:t xml:space="preserve">of </w:t>
      </w:r>
      <w:r w:rsidR="00102752">
        <w:rPr>
          <w:rFonts w:asciiTheme="majorHAnsi" w:hAnsiTheme="majorHAnsi" w:cstheme="majorHAnsi"/>
          <w:color w:val="000000"/>
          <w:sz w:val="24"/>
          <w:szCs w:val="24"/>
        </w:rPr>
        <w:t xml:space="preserve">the </w:t>
      </w:r>
      <w:r w:rsidR="00981374">
        <w:rPr>
          <w:rFonts w:asciiTheme="majorHAnsi" w:hAnsiTheme="majorHAnsi" w:cstheme="majorHAnsi"/>
          <w:color w:val="000000"/>
          <w:sz w:val="24"/>
          <w:szCs w:val="24"/>
        </w:rPr>
        <w:t xml:space="preserve">food traditions are </w:t>
      </w:r>
      <w:r w:rsidR="00981374">
        <w:rPr>
          <w:rFonts w:asciiTheme="majorHAnsi" w:hAnsiTheme="majorHAnsi" w:cstheme="majorHAnsi"/>
          <w:color w:val="000000"/>
          <w:sz w:val="24"/>
          <w:szCs w:val="24"/>
        </w:rPr>
        <w:lastRenderedPageBreak/>
        <w:t>born from living off what is available whether that is by land or by sea</w:t>
      </w:r>
      <w:r w:rsidR="00103CAF">
        <w:rPr>
          <w:rFonts w:asciiTheme="majorHAnsi" w:hAnsiTheme="majorHAnsi" w:cstheme="majorHAnsi"/>
          <w:color w:val="000000"/>
          <w:sz w:val="24"/>
          <w:szCs w:val="24"/>
        </w:rPr>
        <w:t xml:space="preserve">, and in some cases </w:t>
      </w:r>
      <w:r w:rsidR="004035DF">
        <w:rPr>
          <w:rFonts w:asciiTheme="majorHAnsi" w:hAnsiTheme="majorHAnsi" w:cstheme="majorHAnsi"/>
          <w:color w:val="000000"/>
          <w:sz w:val="24"/>
          <w:szCs w:val="24"/>
        </w:rPr>
        <w:t>through poverty and hardship.</w:t>
      </w:r>
    </w:p>
    <w:p w14:paraId="4DE1F46B" w14:textId="57DCC610" w:rsidR="005904DD" w:rsidRDefault="005904DD" w:rsidP="005904DD">
      <w:pPr>
        <w:spacing w:line="360" w:lineRule="auto"/>
        <w:rPr>
          <w:rFonts w:asciiTheme="majorHAnsi" w:hAnsiTheme="majorHAnsi" w:cstheme="majorHAnsi"/>
          <w:sz w:val="24"/>
          <w:szCs w:val="24"/>
        </w:rPr>
      </w:pPr>
      <w:r w:rsidRPr="00BE50E2">
        <w:rPr>
          <w:rFonts w:asciiTheme="majorHAnsi" w:hAnsiTheme="majorHAnsi" w:cstheme="majorHAnsi"/>
          <w:color w:val="000000" w:themeColor="text1"/>
          <w:sz w:val="24"/>
          <w:szCs w:val="24"/>
        </w:rPr>
        <w:t>At its heart, Welsh food heritage can be categorised as simple, understated, homely and community centred.</w:t>
      </w:r>
      <w:r>
        <w:rPr>
          <w:rFonts w:asciiTheme="majorHAnsi" w:hAnsiTheme="majorHAnsi" w:cstheme="majorHAnsi"/>
          <w:color w:val="000000" w:themeColor="text1"/>
          <w:sz w:val="24"/>
          <w:szCs w:val="24"/>
        </w:rPr>
        <w:t xml:space="preserve"> </w:t>
      </w:r>
      <w:r>
        <w:rPr>
          <w:rFonts w:asciiTheme="majorHAnsi" w:hAnsiTheme="majorHAnsi" w:cstheme="majorHAnsi"/>
          <w:sz w:val="24"/>
          <w:szCs w:val="24"/>
        </w:rPr>
        <w:t xml:space="preserve">Food heritage of Wales comprises a range of traditions based around local ingredients such as laver, cockles, lamb and home-grown fruits and vegetables. Recipes are created in the home and shared within the community, including diod fain, picau ar y maen, bara brith and cawl. </w:t>
      </w:r>
    </w:p>
    <w:p w14:paraId="4BA7451B" w14:textId="5789E032" w:rsidR="004C1F64" w:rsidRDefault="00C34181" w:rsidP="005904DD">
      <w:pPr>
        <w:spacing w:line="360" w:lineRule="auto"/>
        <w:rPr>
          <w:rFonts w:asciiTheme="majorHAnsi" w:hAnsiTheme="majorHAnsi" w:cstheme="majorHAnsi"/>
          <w:sz w:val="24"/>
          <w:szCs w:val="24"/>
        </w:rPr>
      </w:pPr>
      <w:r>
        <w:rPr>
          <w:rFonts w:asciiTheme="majorHAnsi" w:hAnsiTheme="majorHAnsi" w:cstheme="majorHAnsi"/>
          <w:sz w:val="24"/>
          <w:szCs w:val="24"/>
        </w:rPr>
        <w:t xml:space="preserve">Welsh food heritage </w:t>
      </w:r>
      <w:r w:rsidR="003F6E05">
        <w:rPr>
          <w:rFonts w:asciiTheme="majorHAnsi" w:hAnsiTheme="majorHAnsi" w:cstheme="majorHAnsi"/>
          <w:sz w:val="24"/>
          <w:szCs w:val="24"/>
        </w:rPr>
        <w:t xml:space="preserve">is not necessarily a homogenised experience, rather it reflects the many different communities, coastal, rural and industrial. </w:t>
      </w:r>
      <w:r w:rsidR="004C1F64" w:rsidRPr="004C1F64">
        <w:rPr>
          <w:rFonts w:asciiTheme="majorHAnsi" w:hAnsiTheme="majorHAnsi" w:cstheme="majorHAnsi"/>
          <w:sz w:val="24"/>
          <w:szCs w:val="24"/>
        </w:rPr>
        <w:t xml:space="preserve">Many other countries have been represented and recognised as having food traditions that need to be saved and protected within UNESCO, whereas Wales has had none. This could be down to the lack of engagement within Wales and their food, especially </w:t>
      </w:r>
      <w:r w:rsidR="00504520">
        <w:rPr>
          <w:rFonts w:asciiTheme="majorHAnsi" w:hAnsiTheme="majorHAnsi" w:cstheme="majorHAnsi"/>
          <w:sz w:val="24"/>
          <w:szCs w:val="24"/>
        </w:rPr>
        <w:t>many food traditions</w:t>
      </w:r>
      <w:r w:rsidR="004C1F64" w:rsidRPr="004C1F64">
        <w:rPr>
          <w:rFonts w:asciiTheme="majorHAnsi" w:hAnsiTheme="majorHAnsi" w:cstheme="majorHAnsi"/>
          <w:sz w:val="24"/>
          <w:szCs w:val="24"/>
        </w:rPr>
        <w:t xml:space="preserve"> were born out of poverty and communities may </w:t>
      </w:r>
      <w:r w:rsidR="00504520">
        <w:rPr>
          <w:rFonts w:asciiTheme="majorHAnsi" w:hAnsiTheme="majorHAnsi" w:cstheme="majorHAnsi"/>
          <w:sz w:val="24"/>
          <w:szCs w:val="24"/>
        </w:rPr>
        <w:t>be reluctant</w:t>
      </w:r>
      <w:r w:rsidR="004C1F64" w:rsidRPr="004C1F64">
        <w:rPr>
          <w:rFonts w:asciiTheme="majorHAnsi" w:hAnsiTheme="majorHAnsi" w:cstheme="majorHAnsi"/>
          <w:sz w:val="24"/>
          <w:szCs w:val="24"/>
        </w:rPr>
        <w:t xml:space="preserve"> to recognise the heritage of </w:t>
      </w:r>
      <w:r w:rsidR="00504520">
        <w:rPr>
          <w:rFonts w:asciiTheme="majorHAnsi" w:hAnsiTheme="majorHAnsi" w:cstheme="majorHAnsi"/>
          <w:sz w:val="24"/>
          <w:szCs w:val="24"/>
        </w:rPr>
        <w:t>such</w:t>
      </w:r>
      <w:r w:rsidR="004C1F64" w:rsidRPr="004C1F64">
        <w:rPr>
          <w:rFonts w:asciiTheme="majorHAnsi" w:hAnsiTheme="majorHAnsi" w:cstheme="majorHAnsi"/>
          <w:sz w:val="24"/>
          <w:szCs w:val="24"/>
        </w:rPr>
        <w:t xml:space="preserve"> food, however </w:t>
      </w:r>
      <w:r w:rsidR="00133BA6">
        <w:rPr>
          <w:rFonts w:asciiTheme="majorHAnsi" w:hAnsiTheme="majorHAnsi" w:cstheme="majorHAnsi"/>
          <w:sz w:val="24"/>
          <w:szCs w:val="24"/>
        </w:rPr>
        <w:t xml:space="preserve">despite their humble origins, </w:t>
      </w:r>
      <w:r w:rsidR="004C1F64" w:rsidRPr="004C1F64">
        <w:rPr>
          <w:rFonts w:asciiTheme="majorHAnsi" w:hAnsiTheme="majorHAnsi" w:cstheme="majorHAnsi"/>
          <w:sz w:val="24"/>
          <w:szCs w:val="24"/>
        </w:rPr>
        <w:t>they are still important to be remembered and recognised.</w:t>
      </w:r>
    </w:p>
    <w:p w14:paraId="788A1330" w14:textId="37C32E6B" w:rsidR="004035DF" w:rsidRDefault="004035DF" w:rsidP="005904DD">
      <w:pPr>
        <w:spacing w:line="360" w:lineRule="auto"/>
        <w:rPr>
          <w:rFonts w:asciiTheme="majorHAnsi" w:hAnsiTheme="majorHAnsi" w:cstheme="majorHAnsi"/>
          <w:sz w:val="24"/>
          <w:szCs w:val="24"/>
        </w:rPr>
      </w:pPr>
      <w:r>
        <w:rPr>
          <w:rFonts w:asciiTheme="majorHAnsi" w:hAnsiTheme="majorHAnsi" w:cstheme="majorHAnsi"/>
          <w:sz w:val="24"/>
          <w:szCs w:val="24"/>
        </w:rPr>
        <w:t xml:space="preserve">Some museums have been very successful in promoting food heritage and using the particular qualities of </w:t>
      </w:r>
      <w:r w:rsidR="00415BDE">
        <w:rPr>
          <w:rFonts w:asciiTheme="majorHAnsi" w:hAnsiTheme="majorHAnsi" w:cstheme="majorHAnsi"/>
          <w:sz w:val="24"/>
          <w:szCs w:val="24"/>
        </w:rPr>
        <w:t xml:space="preserve">food to engage visitors. Phenomenological </w:t>
      </w:r>
      <w:r w:rsidR="00B92550">
        <w:rPr>
          <w:rFonts w:asciiTheme="majorHAnsi" w:hAnsiTheme="majorHAnsi" w:cstheme="majorHAnsi"/>
          <w:sz w:val="24"/>
          <w:szCs w:val="24"/>
        </w:rPr>
        <w:t>approaches</w:t>
      </w:r>
      <w:r w:rsidR="00415BDE">
        <w:rPr>
          <w:rFonts w:asciiTheme="majorHAnsi" w:hAnsiTheme="majorHAnsi" w:cstheme="majorHAnsi"/>
          <w:sz w:val="24"/>
          <w:szCs w:val="24"/>
        </w:rPr>
        <w:t xml:space="preserve"> that exploit the sensory aspects of food </w:t>
      </w:r>
      <w:r w:rsidR="00B92550">
        <w:rPr>
          <w:rFonts w:asciiTheme="majorHAnsi" w:hAnsiTheme="majorHAnsi" w:cstheme="majorHAnsi"/>
          <w:sz w:val="24"/>
          <w:szCs w:val="24"/>
        </w:rPr>
        <w:t xml:space="preserve">have shown to be effective in enhancing the visitor experience, </w:t>
      </w:r>
      <w:proofErr w:type="gramStart"/>
      <w:r w:rsidR="00073C20">
        <w:rPr>
          <w:rFonts w:asciiTheme="majorHAnsi" w:hAnsiTheme="majorHAnsi" w:cstheme="majorHAnsi"/>
          <w:sz w:val="24"/>
          <w:szCs w:val="24"/>
        </w:rPr>
        <w:t>stimulating</w:t>
      </w:r>
      <w:proofErr w:type="gramEnd"/>
      <w:r w:rsidR="00073C20">
        <w:rPr>
          <w:rFonts w:asciiTheme="majorHAnsi" w:hAnsiTheme="majorHAnsi" w:cstheme="majorHAnsi"/>
          <w:sz w:val="24"/>
          <w:szCs w:val="24"/>
        </w:rPr>
        <w:t xml:space="preserve"> and creating concrete memories, and stimulating conversations and activities that promote the continuing development of community food heritage. </w:t>
      </w:r>
      <w:r w:rsidR="005571E3">
        <w:rPr>
          <w:rFonts w:asciiTheme="majorHAnsi" w:hAnsiTheme="majorHAnsi" w:cstheme="majorHAnsi"/>
          <w:sz w:val="24"/>
          <w:szCs w:val="24"/>
        </w:rPr>
        <w:t xml:space="preserve">Interactive food exhibits </w:t>
      </w:r>
      <w:r w:rsidR="00A37263">
        <w:rPr>
          <w:rFonts w:asciiTheme="majorHAnsi" w:hAnsiTheme="majorHAnsi" w:cstheme="majorHAnsi"/>
          <w:sz w:val="24"/>
          <w:szCs w:val="24"/>
        </w:rPr>
        <w:t>can help enhance the authenticity of the visitor experience, which helps to</w:t>
      </w:r>
      <w:r w:rsidR="00DB50F7">
        <w:rPr>
          <w:rFonts w:asciiTheme="majorHAnsi" w:hAnsiTheme="majorHAnsi" w:cstheme="majorHAnsi"/>
          <w:sz w:val="24"/>
          <w:szCs w:val="24"/>
        </w:rPr>
        <w:t xml:space="preserve"> </w:t>
      </w:r>
      <w:r w:rsidR="00680A37">
        <w:rPr>
          <w:rFonts w:asciiTheme="majorHAnsi" w:hAnsiTheme="majorHAnsi" w:cstheme="majorHAnsi"/>
          <w:sz w:val="24"/>
          <w:szCs w:val="24"/>
        </w:rPr>
        <w:t xml:space="preserve">promote food heritage. </w:t>
      </w:r>
    </w:p>
    <w:p w14:paraId="679AF783" w14:textId="08544DD9" w:rsidR="00810038" w:rsidRDefault="00EA4724" w:rsidP="00BE50E2">
      <w:pPr>
        <w:spacing w:line="360" w:lineRule="auto"/>
        <w:rPr>
          <w:rFonts w:asciiTheme="majorHAnsi" w:hAnsiTheme="majorHAnsi" w:cstheme="majorBidi"/>
          <w:sz w:val="24"/>
          <w:szCs w:val="24"/>
        </w:rPr>
      </w:pPr>
      <w:r w:rsidRPr="48F23DBF">
        <w:rPr>
          <w:rFonts w:asciiTheme="majorHAnsi" w:hAnsiTheme="majorHAnsi" w:cstheme="majorBidi"/>
          <w:sz w:val="24"/>
          <w:szCs w:val="24"/>
        </w:rPr>
        <w:t xml:space="preserve">This study has gone some way to enhance the understanding </w:t>
      </w:r>
      <w:r w:rsidR="00EB6058">
        <w:rPr>
          <w:rFonts w:asciiTheme="majorHAnsi" w:hAnsiTheme="majorHAnsi" w:cstheme="majorBidi"/>
          <w:sz w:val="24"/>
          <w:szCs w:val="24"/>
        </w:rPr>
        <w:t xml:space="preserve">of </w:t>
      </w:r>
      <w:r w:rsidRPr="48F23DBF">
        <w:rPr>
          <w:rFonts w:asciiTheme="majorHAnsi" w:hAnsiTheme="majorHAnsi" w:cstheme="majorBidi"/>
          <w:sz w:val="24"/>
          <w:szCs w:val="24"/>
        </w:rPr>
        <w:t>the role food has to play within society, and how museums can represent this in a multidimensional way</w:t>
      </w:r>
      <w:r w:rsidR="00EC62F7" w:rsidRPr="48F23DBF">
        <w:rPr>
          <w:rFonts w:asciiTheme="majorHAnsi" w:hAnsiTheme="majorHAnsi" w:cstheme="majorBidi"/>
          <w:sz w:val="24"/>
          <w:szCs w:val="24"/>
        </w:rPr>
        <w:t>.</w:t>
      </w:r>
      <w:r w:rsidR="00D7442D" w:rsidRPr="48F23DBF">
        <w:rPr>
          <w:rFonts w:asciiTheme="majorHAnsi" w:hAnsiTheme="majorHAnsi" w:cstheme="majorBidi"/>
          <w:sz w:val="24"/>
          <w:szCs w:val="24"/>
        </w:rPr>
        <w:t xml:space="preserve"> </w:t>
      </w:r>
      <w:r w:rsidR="00EB6058">
        <w:rPr>
          <w:rFonts w:asciiTheme="majorHAnsi" w:hAnsiTheme="majorHAnsi" w:cstheme="majorBidi"/>
          <w:sz w:val="24"/>
          <w:szCs w:val="24"/>
        </w:rPr>
        <w:t xml:space="preserve">Museums in Wales </w:t>
      </w:r>
      <w:r w:rsidR="00A81D86">
        <w:rPr>
          <w:rFonts w:asciiTheme="majorHAnsi" w:hAnsiTheme="majorHAnsi" w:cstheme="majorBidi"/>
          <w:sz w:val="24"/>
          <w:szCs w:val="24"/>
        </w:rPr>
        <w:t xml:space="preserve">present </w:t>
      </w:r>
      <w:r w:rsidR="003F3F5D" w:rsidRPr="48F23DBF">
        <w:rPr>
          <w:rFonts w:asciiTheme="majorHAnsi" w:hAnsiTheme="majorHAnsi" w:cstheme="majorBidi"/>
          <w:sz w:val="24"/>
          <w:szCs w:val="24"/>
        </w:rPr>
        <w:t xml:space="preserve">various </w:t>
      </w:r>
      <w:r w:rsidR="00D7442D" w:rsidRPr="48F23DBF">
        <w:rPr>
          <w:rFonts w:asciiTheme="majorHAnsi" w:hAnsiTheme="majorHAnsi" w:cstheme="majorBidi"/>
          <w:sz w:val="24"/>
          <w:szCs w:val="24"/>
        </w:rPr>
        <w:t>approaches to the representation of Welsh</w:t>
      </w:r>
      <w:r w:rsidR="00A81D86">
        <w:rPr>
          <w:rFonts w:asciiTheme="majorHAnsi" w:hAnsiTheme="majorHAnsi" w:cstheme="majorBidi"/>
          <w:sz w:val="24"/>
          <w:szCs w:val="24"/>
        </w:rPr>
        <w:t xml:space="preserve"> food</w:t>
      </w:r>
      <w:r w:rsidR="00D7442D" w:rsidRPr="48F23DBF">
        <w:rPr>
          <w:rFonts w:asciiTheme="majorHAnsi" w:hAnsiTheme="majorHAnsi" w:cstheme="majorBidi"/>
          <w:sz w:val="24"/>
          <w:szCs w:val="24"/>
        </w:rPr>
        <w:t xml:space="preserve"> culture</w:t>
      </w:r>
      <w:r w:rsidR="00421C0D">
        <w:rPr>
          <w:rFonts w:asciiTheme="majorHAnsi" w:hAnsiTheme="majorHAnsi" w:cstheme="majorBidi"/>
          <w:sz w:val="24"/>
          <w:szCs w:val="24"/>
        </w:rPr>
        <w:t xml:space="preserve">. </w:t>
      </w:r>
      <w:proofErr w:type="gramStart"/>
      <w:r w:rsidR="00421C0D">
        <w:rPr>
          <w:rFonts w:asciiTheme="majorHAnsi" w:hAnsiTheme="majorHAnsi" w:cstheme="majorBidi"/>
          <w:sz w:val="24"/>
          <w:szCs w:val="24"/>
        </w:rPr>
        <w:t>S</w:t>
      </w:r>
      <w:r w:rsidR="00D7442D" w:rsidRPr="48F23DBF">
        <w:rPr>
          <w:rFonts w:asciiTheme="majorHAnsi" w:hAnsiTheme="majorHAnsi" w:cstheme="majorBidi"/>
          <w:sz w:val="24"/>
          <w:szCs w:val="24"/>
        </w:rPr>
        <w:t>ome</w:t>
      </w:r>
      <w:proofErr w:type="gramEnd"/>
      <w:r w:rsidR="00D7442D" w:rsidRPr="48F23DBF">
        <w:rPr>
          <w:rFonts w:asciiTheme="majorHAnsi" w:hAnsiTheme="majorHAnsi" w:cstheme="majorBidi"/>
          <w:sz w:val="24"/>
          <w:szCs w:val="24"/>
        </w:rPr>
        <w:t xml:space="preserve"> have had food within the forefront of </w:t>
      </w:r>
      <w:r w:rsidR="00421C0D">
        <w:rPr>
          <w:rFonts w:asciiTheme="majorHAnsi" w:hAnsiTheme="majorHAnsi" w:cstheme="majorBidi"/>
          <w:sz w:val="24"/>
          <w:szCs w:val="24"/>
        </w:rPr>
        <w:t>the</w:t>
      </w:r>
      <w:r w:rsidR="00D7442D" w:rsidRPr="48F23DBF">
        <w:rPr>
          <w:rFonts w:asciiTheme="majorHAnsi" w:hAnsiTheme="majorHAnsi" w:cstheme="majorBidi"/>
          <w:sz w:val="24"/>
          <w:szCs w:val="24"/>
        </w:rPr>
        <w:t xml:space="preserve"> displays whilst others have </w:t>
      </w:r>
      <w:r w:rsidR="00421C0D">
        <w:rPr>
          <w:rFonts w:asciiTheme="majorHAnsi" w:hAnsiTheme="majorHAnsi" w:cstheme="majorBidi"/>
          <w:sz w:val="24"/>
          <w:szCs w:val="24"/>
        </w:rPr>
        <w:t>barely addressed it</w:t>
      </w:r>
      <w:r w:rsidR="00664E54" w:rsidRPr="48F23DBF">
        <w:rPr>
          <w:rFonts w:asciiTheme="majorHAnsi" w:hAnsiTheme="majorHAnsi" w:cstheme="majorBidi"/>
          <w:sz w:val="24"/>
          <w:szCs w:val="24"/>
        </w:rPr>
        <w:t xml:space="preserve">. </w:t>
      </w:r>
      <w:r w:rsidR="000F583D">
        <w:rPr>
          <w:rFonts w:asciiTheme="majorHAnsi" w:hAnsiTheme="majorHAnsi" w:cstheme="majorBidi"/>
          <w:sz w:val="24"/>
          <w:szCs w:val="24"/>
        </w:rPr>
        <w:t>E</w:t>
      </w:r>
      <w:r w:rsidR="003B416C">
        <w:rPr>
          <w:rFonts w:asciiTheme="majorHAnsi" w:hAnsiTheme="majorHAnsi" w:cstheme="majorBidi"/>
          <w:sz w:val="24"/>
          <w:szCs w:val="24"/>
        </w:rPr>
        <w:t>xamples of good practice</w:t>
      </w:r>
      <w:r w:rsidR="00D224DF">
        <w:rPr>
          <w:rFonts w:asciiTheme="majorHAnsi" w:hAnsiTheme="majorHAnsi" w:cstheme="majorBidi"/>
          <w:sz w:val="24"/>
          <w:szCs w:val="24"/>
        </w:rPr>
        <w:t xml:space="preserve">, </w:t>
      </w:r>
      <w:r w:rsidR="006C0912">
        <w:rPr>
          <w:rFonts w:asciiTheme="majorHAnsi" w:hAnsiTheme="majorHAnsi" w:cstheme="majorBidi"/>
          <w:sz w:val="24"/>
          <w:szCs w:val="24"/>
        </w:rPr>
        <w:t>offer insight into</w:t>
      </w:r>
      <w:r w:rsidR="00664E54" w:rsidRPr="48F23DBF">
        <w:rPr>
          <w:rFonts w:asciiTheme="majorHAnsi" w:hAnsiTheme="majorHAnsi" w:cstheme="majorBidi"/>
          <w:sz w:val="24"/>
          <w:szCs w:val="24"/>
        </w:rPr>
        <w:t xml:space="preserve"> </w:t>
      </w:r>
      <w:r w:rsidR="00D224DF">
        <w:rPr>
          <w:rFonts w:asciiTheme="majorHAnsi" w:hAnsiTheme="majorHAnsi" w:cstheme="majorBidi"/>
          <w:sz w:val="24"/>
          <w:szCs w:val="24"/>
        </w:rPr>
        <w:t>some</w:t>
      </w:r>
      <w:r w:rsidR="00664E54" w:rsidRPr="48F23DBF">
        <w:rPr>
          <w:rFonts w:asciiTheme="majorHAnsi" w:hAnsiTheme="majorHAnsi" w:cstheme="majorBidi"/>
          <w:sz w:val="24"/>
          <w:szCs w:val="24"/>
        </w:rPr>
        <w:t xml:space="preserve"> </w:t>
      </w:r>
      <w:proofErr w:type="gramStart"/>
      <w:r w:rsidR="00664E54" w:rsidRPr="48F23DBF">
        <w:rPr>
          <w:rFonts w:asciiTheme="majorHAnsi" w:hAnsiTheme="majorHAnsi" w:cstheme="majorBidi"/>
          <w:sz w:val="24"/>
          <w:szCs w:val="24"/>
        </w:rPr>
        <w:t>different ways</w:t>
      </w:r>
      <w:proofErr w:type="gramEnd"/>
      <w:r w:rsidR="00664E54" w:rsidRPr="48F23DBF">
        <w:rPr>
          <w:rFonts w:asciiTheme="majorHAnsi" w:hAnsiTheme="majorHAnsi" w:cstheme="majorBidi"/>
          <w:sz w:val="24"/>
          <w:szCs w:val="24"/>
        </w:rPr>
        <w:t xml:space="preserve"> in which </w:t>
      </w:r>
      <w:r w:rsidR="00D224DF">
        <w:rPr>
          <w:rFonts w:asciiTheme="majorHAnsi" w:hAnsiTheme="majorHAnsi" w:cstheme="majorBidi"/>
          <w:sz w:val="24"/>
          <w:szCs w:val="24"/>
        </w:rPr>
        <w:t>Welsh</w:t>
      </w:r>
      <w:r w:rsidR="00664E54" w:rsidRPr="48F23DBF">
        <w:rPr>
          <w:rFonts w:asciiTheme="majorHAnsi" w:hAnsiTheme="majorHAnsi" w:cstheme="majorBidi"/>
          <w:sz w:val="24"/>
          <w:szCs w:val="24"/>
        </w:rPr>
        <w:t xml:space="preserve"> museums can </w:t>
      </w:r>
      <w:r w:rsidR="00D224DF">
        <w:rPr>
          <w:rFonts w:asciiTheme="majorHAnsi" w:hAnsiTheme="majorHAnsi" w:cstheme="majorBidi"/>
          <w:sz w:val="24"/>
          <w:szCs w:val="24"/>
        </w:rPr>
        <w:t>develop engagement</w:t>
      </w:r>
      <w:r w:rsidR="00664E54" w:rsidRPr="48F23DBF">
        <w:rPr>
          <w:rFonts w:asciiTheme="majorHAnsi" w:hAnsiTheme="majorHAnsi" w:cstheme="majorBidi"/>
          <w:sz w:val="24"/>
          <w:szCs w:val="24"/>
        </w:rPr>
        <w:t xml:space="preserve"> further </w:t>
      </w:r>
      <w:r w:rsidR="00D224DF">
        <w:rPr>
          <w:rFonts w:asciiTheme="majorHAnsi" w:hAnsiTheme="majorHAnsi" w:cstheme="majorBidi"/>
          <w:sz w:val="24"/>
          <w:szCs w:val="24"/>
        </w:rPr>
        <w:t>with food heritage</w:t>
      </w:r>
      <w:r w:rsidR="00AA7E7C">
        <w:rPr>
          <w:rFonts w:asciiTheme="majorHAnsi" w:hAnsiTheme="majorHAnsi" w:cstheme="majorBidi"/>
          <w:sz w:val="24"/>
          <w:szCs w:val="24"/>
        </w:rPr>
        <w:t>.</w:t>
      </w:r>
      <w:r w:rsidR="00D224DF">
        <w:rPr>
          <w:rFonts w:asciiTheme="majorHAnsi" w:hAnsiTheme="majorHAnsi" w:cstheme="majorBidi"/>
          <w:sz w:val="24"/>
          <w:szCs w:val="24"/>
        </w:rPr>
        <w:t xml:space="preserve"> </w:t>
      </w:r>
      <w:r w:rsidR="00810038">
        <w:rPr>
          <w:rFonts w:asciiTheme="majorHAnsi" w:hAnsiTheme="majorHAnsi" w:cstheme="majorBidi"/>
          <w:sz w:val="24"/>
          <w:szCs w:val="24"/>
        </w:rPr>
        <w:t xml:space="preserve">While time and budgets </w:t>
      </w:r>
      <w:r w:rsidR="00301D9B">
        <w:rPr>
          <w:rFonts w:asciiTheme="majorHAnsi" w:hAnsiTheme="majorHAnsi" w:cstheme="majorBidi"/>
          <w:sz w:val="24"/>
          <w:szCs w:val="24"/>
        </w:rPr>
        <w:t>may hinder the exploration and development of innovative, multisensory displays</w:t>
      </w:r>
      <w:r w:rsidR="00F7244B">
        <w:rPr>
          <w:rFonts w:asciiTheme="majorHAnsi" w:hAnsiTheme="majorHAnsi" w:cstheme="majorBidi"/>
          <w:sz w:val="24"/>
          <w:szCs w:val="24"/>
        </w:rPr>
        <w:t>, there is much that can be considered to enhance the</w:t>
      </w:r>
      <w:r w:rsidR="008E0651">
        <w:rPr>
          <w:rFonts w:asciiTheme="majorHAnsi" w:hAnsiTheme="majorHAnsi" w:cstheme="majorBidi"/>
          <w:sz w:val="24"/>
          <w:szCs w:val="24"/>
        </w:rPr>
        <w:t xml:space="preserve"> contribution made by Welsh</w:t>
      </w:r>
      <w:r w:rsidR="00F7244B">
        <w:rPr>
          <w:rFonts w:asciiTheme="majorHAnsi" w:hAnsiTheme="majorHAnsi" w:cstheme="majorBidi"/>
          <w:sz w:val="24"/>
          <w:szCs w:val="24"/>
        </w:rPr>
        <w:t xml:space="preserve"> museums</w:t>
      </w:r>
      <w:r w:rsidR="008E0651">
        <w:rPr>
          <w:rFonts w:asciiTheme="majorHAnsi" w:hAnsiTheme="majorHAnsi" w:cstheme="majorBidi"/>
          <w:sz w:val="24"/>
          <w:szCs w:val="24"/>
        </w:rPr>
        <w:t xml:space="preserve"> to celebrate and highlight Welsh food heritage.</w:t>
      </w:r>
    </w:p>
    <w:p w14:paraId="5679B1E7" w14:textId="5993E75D" w:rsidR="00676584" w:rsidRDefault="00EF6AA8" w:rsidP="00BE50E2">
      <w:pPr>
        <w:spacing w:line="360" w:lineRule="auto"/>
        <w:rPr>
          <w:rFonts w:asciiTheme="majorHAnsi" w:hAnsiTheme="majorHAnsi" w:cstheme="majorHAnsi"/>
          <w:sz w:val="24"/>
          <w:szCs w:val="24"/>
        </w:rPr>
      </w:pPr>
      <w:r>
        <w:rPr>
          <w:rFonts w:asciiTheme="majorHAnsi" w:hAnsiTheme="majorHAnsi" w:cstheme="majorBidi"/>
          <w:sz w:val="24"/>
          <w:szCs w:val="24"/>
        </w:rPr>
        <w:lastRenderedPageBreak/>
        <w:t>F</w:t>
      </w:r>
      <w:r w:rsidR="00C4228E" w:rsidRPr="48F23DBF">
        <w:rPr>
          <w:rFonts w:asciiTheme="majorHAnsi" w:hAnsiTheme="majorHAnsi" w:cstheme="majorBidi"/>
          <w:sz w:val="24"/>
          <w:szCs w:val="24"/>
        </w:rPr>
        <w:t xml:space="preserve">urther study </w:t>
      </w:r>
      <w:r>
        <w:rPr>
          <w:rFonts w:asciiTheme="majorHAnsi" w:hAnsiTheme="majorHAnsi" w:cstheme="majorBidi"/>
          <w:sz w:val="24"/>
          <w:szCs w:val="24"/>
        </w:rPr>
        <w:t>would be valuable to expand the understanding of Welsh food heritage. I</w:t>
      </w:r>
      <w:r w:rsidR="005B4713" w:rsidRPr="48F23DBF">
        <w:rPr>
          <w:rFonts w:asciiTheme="majorHAnsi" w:hAnsiTheme="majorHAnsi" w:cstheme="majorBidi"/>
          <w:sz w:val="24"/>
          <w:szCs w:val="24"/>
        </w:rPr>
        <w:t xml:space="preserve">t should include stories coming from oral histories from those who have lived </w:t>
      </w:r>
      <w:r w:rsidR="00861F32" w:rsidRPr="48F23DBF">
        <w:rPr>
          <w:rFonts w:asciiTheme="majorHAnsi" w:hAnsiTheme="majorHAnsi" w:cstheme="majorBidi"/>
          <w:sz w:val="24"/>
          <w:szCs w:val="24"/>
        </w:rPr>
        <w:t>Welsh culture and traditions</w:t>
      </w:r>
      <w:r w:rsidR="006278F3">
        <w:rPr>
          <w:rFonts w:asciiTheme="majorHAnsi" w:hAnsiTheme="majorHAnsi" w:cstheme="majorBidi"/>
          <w:sz w:val="24"/>
          <w:szCs w:val="24"/>
        </w:rPr>
        <w:t xml:space="preserve">. </w:t>
      </w:r>
      <w:r w:rsidR="005F2AC8">
        <w:rPr>
          <w:rFonts w:asciiTheme="majorHAnsi" w:hAnsiTheme="majorHAnsi" w:cstheme="majorBidi"/>
          <w:sz w:val="24"/>
          <w:szCs w:val="24"/>
        </w:rPr>
        <w:t>There is a need to</w:t>
      </w:r>
      <w:r w:rsidR="006278F3">
        <w:rPr>
          <w:rFonts w:asciiTheme="majorHAnsi" w:hAnsiTheme="majorHAnsi" w:cstheme="majorBidi"/>
          <w:sz w:val="24"/>
          <w:szCs w:val="24"/>
        </w:rPr>
        <w:t xml:space="preserve"> create</w:t>
      </w:r>
      <w:r w:rsidR="00861F32" w:rsidRPr="48F23DBF">
        <w:rPr>
          <w:rFonts w:asciiTheme="majorHAnsi" w:hAnsiTheme="majorHAnsi" w:cstheme="majorBidi"/>
          <w:sz w:val="24"/>
          <w:szCs w:val="24"/>
        </w:rPr>
        <w:t xml:space="preserve"> a</w:t>
      </w:r>
      <w:r w:rsidR="005F2AC8">
        <w:rPr>
          <w:rFonts w:asciiTheme="majorHAnsi" w:hAnsiTheme="majorHAnsi" w:cstheme="majorBidi"/>
          <w:sz w:val="24"/>
          <w:szCs w:val="24"/>
        </w:rPr>
        <w:t xml:space="preserve"> shared</w:t>
      </w:r>
      <w:r w:rsidR="00861F32" w:rsidRPr="48F23DBF">
        <w:rPr>
          <w:rFonts w:asciiTheme="majorHAnsi" w:hAnsiTheme="majorHAnsi" w:cstheme="majorBidi"/>
          <w:sz w:val="24"/>
          <w:szCs w:val="24"/>
        </w:rPr>
        <w:t xml:space="preserve"> story </w:t>
      </w:r>
      <w:r w:rsidR="005E6270">
        <w:rPr>
          <w:rFonts w:asciiTheme="majorHAnsi" w:hAnsiTheme="majorHAnsi" w:cstheme="majorBidi"/>
          <w:sz w:val="24"/>
          <w:szCs w:val="24"/>
        </w:rPr>
        <w:t>that celebrates Welsh food heritage as a source of pride and Welsh identity</w:t>
      </w:r>
      <w:r w:rsidR="006634F9">
        <w:rPr>
          <w:rFonts w:asciiTheme="majorHAnsi" w:hAnsiTheme="majorHAnsi" w:cstheme="majorBidi"/>
          <w:sz w:val="24"/>
          <w:szCs w:val="24"/>
        </w:rPr>
        <w:t xml:space="preserve"> that is able to encompass communities in all the different parts of Wales. </w:t>
      </w:r>
      <w:r w:rsidR="00E319EF">
        <w:rPr>
          <w:rFonts w:asciiTheme="majorHAnsi" w:hAnsiTheme="majorHAnsi" w:cstheme="majorBidi"/>
          <w:sz w:val="24"/>
          <w:szCs w:val="24"/>
        </w:rPr>
        <w:t xml:space="preserve">Communities and museums can work collaboratively to stimulate the conversation </w:t>
      </w:r>
      <w:r w:rsidR="00557861">
        <w:rPr>
          <w:rFonts w:asciiTheme="majorHAnsi" w:hAnsiTheme="majorHAnsi" w:cstheme="majorBidi"/>
          <w:sz w:val="24"/>
          <w:szCs w:val="24"/>
        </w:rPr>
        <w:t xml:space="preserve">around what part food and food traditions play in homes and communities around Wales. </w:t>
      </w:r>
    </w:p>
    <w:p w14:paraId="573EEAA0" w14:textId="4C5120F7" w:rsidR="00676584" w:rsidRDefault="00676584" w:rsidP="00BE50E2">
      <w:pPr>
        <w:spacing w:line="360" w:lineRule="auto"/>
        <w:rPr>
          <w:rFonts w:asciiTheme="majorHAnsi" w:hAnsiTheme="majorHAnsi" w:cstheme="majorHAnsi"/>
          <w:sz w:val="24"/>
          <w:szCs w:val="24"/>
        </w:rPr>
      </w:pPr>
    </w:p>
    <w:p w14:paraId="3403961E" w14:textId="03C4BA15" w:rsidR="00676584" w:rsidRDefault="006D6A98" w:rsidP="00BE50E2">
      <w:pPr>
        <w:spacing w:line="360" w:lineRule="auto"/>
        <w:rPr>
          <w:rFonts w:asciiTheme="majorHAnsi" w:hAnsiTheme="majorHAnsi" w:cstheme="majorHAnsi"/>
          <w:sz w:val="24"/>
          <w:szCs w:val="24"/>
        </w:rPr>
      </w:pPr>
      <w:r>
        <w:rPr>
          <w:rFonts w:asciiTheme="majorHAnsi" w:hAnsiTheme="majorHAnsi" w:cstheme="majorHAnsi"/>
          <w:sz w:val="24"/>
          <w:szCs w:val="24"/>
        </w:rPr>
        <w:t xml:space="preserve">Word Count: </w:t>
      </w:r>
      <w:r w:rsidR="00A02CE8">
        <w:rPr>
          <w:rFonts w:asciiTheme="majorHAnsi" w:hAnsiTheme="majorHAnsi" w:cstheme="majorHAnsi"/>
          <w:sz w:val="24"/>
          <w:szCs w:val="24"/>
        </w:rPr>
        <w:t>15,</w:t>
      </w:r>
      <w:r w:rsidR="006B78E5">
        <w:rPr>
          <w:rFonts w:asciiTheme="majorHAnsi" w:hAnsiTheme="majorHAnsi" w:cstheme="majorHAnsi"/>
          <w:sz w:val="24"/>
          <w:szCs w:val="24"/>
        </w:rPr>
        <w:t xml:space="preserve">770 </w:t>
      </w:r>
    </w:p>
    <w:p w14:paraId="1FAA9EA3" w14:textId="527E79F3" w:rsidR="00014058" w:rsidRPr="00241078" w:rsidRDefault="00014058" w:rsidP="00241078">
      <w:pPr>
        <w:pStyle w:val="Heading1"/>
        <w:spacing w:line="360" w:lineRule="auto"/>
        <w:jc w:val="center"/>
        <w:rPr>
          <w:rFonts w:cstheme="majorHAnsi"/>
          <w:sz w:val="36"/>
          <w:szCs w:val="36"/>
        </w:rPr>
      </w:pPr>
      <w:bookmarkStart w:id="65" w:name="_Toc125482495"/>
      <w:r w:rsidRPr="00241078">
        <w:rPr>
          <w:rFonts w:cstheme="majorHAnsi"/>
          <w:sz w:val="36"/>
          <w:szCs w:val="36"/>
        </w:rPr>
        <w:t>Bibliography</w:t>
      </w:r>
      <w:bookmarkEnd w:id="65"/>
    </w:p>
    <w:p w14:paraId="22AFCADD" w14:textId="77777777" w:rsidR="005831B4" w:rsidRPr="005C38AF" w:rsidRDefault="00D90493" w:rsidP="005831B4">
      <w:pPr>
        <w:pStyle w:val="Bibliography"/>
        <w:rPr>
          <w:rFonts w:asciiTheme="majorHAnsi" w:hAnsiTheme="majorHAnsi" w:cstheme="majorHAnsi"/>
        </w:rPr>
      </w:pPr>
      <w:r w:rsidRPr="005C38AF">
        <w:rPr>
          <w:rFonts w:asciiTheme="majorHAnsi" w:hAnsiTheme="majorHAnsi" w:cstheme="majorHAnsi"/>
        </w:rPr>
        <w:fldChar w:fldCharType="begin"/>
      </w:r>
      <w:r w:rsidR="001111BD" w:rsidRPr="005C38AF">
        <w:rPr>
          <w:rFonts w:asciiTheme="majorHAnsi" w:hAnsiTheme="majorHAnsi" w:cstheme="majorHAnsi"/>
        </w:rPr>
        <w:instrText xml:space="preserve"> ADDIN ZOTERO_BIBL {"uncited":[["http://zotero.org/users/6665715/items/YUV5DI53"],["http://zotero.org/users/6665715/items/LX56CYCX"],["http://zotero.org/users/6665715/items/P9BTDU2S"],["http://zotero.org/users/6665715/items/XTZQUF8Q"],["http://zotero.org/users/6665715/items/A7X8ZDCT"],["http://zotero.org/users/6665715/items/WAHDACV8"],["http://zotero.org/users/6665715/items/A75CYP2C"],["http://zotero.org/users/6665715/items/8IEU67WT"],["http://zotero.org/users/6665715/items/JYNI6IJK"],["http://zotero.org/users/6665715/items/6SCQHWGH"],["http://zotero.org/users/6665715/items/KBVST6Q2"],["http://zotero.org/users/6665715/items/7KZXWMDL"],["http://zotero.org/users/6665715/items/IZ9XMPMI"],["http://zotero.org/users/6665715/items/VU5CF8V2"],["http://zotero.org/users/6665715/items/ZS2CBRBH"],["http://zotero.org/users/6665715/items/ZBXJ96TP"],["http://zotero.org/users/6665715/items/TYR87FI5"],["http://zotero.org/users/6665715/items/IXCAF7HK"],["http://zotero.org/users/6665715/items/73APGFMI"]],"omitted":[],"custom":[]} CSL_BIBLIOGRAPHY </w:instrText>
      </w:r>
      <w:r w:rsidRPr="005C38AF">
        <w:rPr>
          <w:rFonts w:asciiTheme="majorHAnsi" w:hAnsiTheme="majorHAnsi" w:cstheme="majorHAnsi"/>
        </w:rPr>
        <w:fldChar w:fldCharType="separate"/>
      </w:r>
      <w:r w:rsidR="005831B4" w:rsidRPr="005C38AF">
        <w:rPr>
          <w:rFonts w:asciiTheme="majorHAnsi" w:hAnsiTheme="majorHAnsi" w:cstheme="majorHAnsi"/>
        </w:rPr>
        <w:t>‘A Brief History of St Fagans</w:t>
      </w:r>
      <w:proofErr w:type="gramStart"/>
      <w:r w:rsidR="005831B4" w:rsidRPr="005C38AF">
        <w:rPr>
          <w:rFonts w:asciiTheme="majorHAnsi" w:hAnsiTheme="majorHAnsi" w:cstheme="majorHAnsi"/>
        </w:rPr>
        <w:t>’,</w:t>
      </w:r>
      <w:proofErr w:type="gramEnd"/>
      <w:r w:rsidR="005831B4" w:rsidRPr="005C38AF">
        <w:rPr>
          <w:rFonts w:asciiTheme="majorHAnsi" w:hAnsiTheme="majorHAnsi" w:cstheme="majorHAnsi"/>
        </w:rPr>
        <w:t xml:space="preserve"> </w:t>
      </w:r>
      <w:r w:rsidR="005831B4" w:rsidRPr="005C38AF">
        <w:rPr>
          <w:rFonts w:asciiTheme="majorHAnsi" w:hAnsiTheme="majorHAnsi" w:cstheme="majorHAnsi"/>
          <w:i/>
          <w:iCs/>
        </w:rPr>
        <w:t>Museum Wales</w:t>
      </w:r>
      <w:r w:rsidR="005831B4" w:rsidRPr="005C38AF">
        <w:rPr>
          <w:rFonts w:asciiTheme="majorHAnsi" w:hAnsiTheme="majorHAnsi" w:cstheme="majorHAnsi"/>
        </w:rPr>
        <w:t xml:space="preserve"> &lt;https://museum.wales/stfagans/stfagans-history/&gt; [accessed 24 August 2022]</w:t>
      </w:r>
    </w:p>
    <w:p w14:paraId="4D064A77"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A, </w:t>
      </w:r>
      <w:proofErr w:type="spellStart"/>
      <w:r w:rsidRPr="005C38AF">
        <w:rPr>
          <w:rFonts w:asciiTheme="majorHAnsi" w:hAnsiTheme="majorHAnsi" w:cstheme="majorHAnsi"/>
        </w:rPr>
        <w:t>Emelianova</w:t>
      </w:r>
      <w:proofErr w:type="spellEnd"/>
      <w:r w:rsidRPr="005C38AF">
        <w:rPr>
          <w:rFonts w:asciiTheme="majorHAnsi" w:hAnsiTheme="majorHAnsi" w:cstheme="majorHAnsi"/>
        </w:rPr>
        <w:t xml:space="preserve"> Nadezhda, ‘Sociolinguistic Conditions of Functioning of the Welsh Variety of the English Language (Wenglish)’, </w:t>
      </w:r>
      <w:r w:rsidRPr="005C38AF">
        <w:rPr>
          <w:rFonts w:asciiTheme="majorHAnsi" w:hAnsiTheme="majorHAnsi" w:cstheme="majorHAnsi"/>
          <w:i/>
          <w:iCs/>
        </w:rPr>
        <w:t>Language and Culture</w:t>
      </w:r>
      <w:r w:rsidRPr="005C38AF">
        <w:rPr>
          <w:rFonts w:asciiTheme="majorHAnsi" w:hAnsiTheme="majorHAnsi" w:cstheme="majorHAnsi"/>
        </w:rPr>
        <w:t>, 3, 2014, 40–48</w:t>
      </w:r>
    </w:p>
    <w:p w14:paraId="05638A5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Abd Rahman, Nur Hidayah, Zainab Khalifah, and Hairul Ismail, ‘Entanglement between Visitor and Attractions through Sensory Experiences Perspective in the Context of Cultural Heritage Tourism’, 2018</w:t>
      </w:r>
    </w:p>
    <w:p w14:paraId="56BE7CD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‘About Amgueddfa Cymru’, </w:t>
      </w:r>
      <w:r w:rsidRPr="005C38AF">
        <w:rPr>
          <w:rFonts w:asciiTheme="majorHAnsi" w:hAnsiTheme="majorHAnsi" w:cstheme="majorHAnsi"/>
          <w:i/>
          <w:iCs/>
        </w:rPr>
        <w:t>Museum Wales</w:t>
      </w:r>
      <w:r w:rsidRPr="005C38AF">
        <w:rPr>
          <w:rFonts w:asciiTheme="majorHAnsi" w:hAnsiTheme="majorHAnsi" w:cstheme="majorHAnsi"/>
        </w:rPr>
        <w:t xml:space="preserve"> &lt;https://museum.wales/about/work-for-us/background/&gt; [accessed 23 January 2023]</w:t>
      </w:r>
    </w:p>
    <w:p w14:paraId="64C883D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‘About Castell Henllys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Pembrokeshire Coast National Park</w:t>
      </w:r>
      <w:r w:rsidRPr="005C38AF">
        <w:rPr>
          <w:rFonts w:asciiTheme="majorHAnsi" w:hAnsiTheme="majorHAnsi" w:cstheme="majorHAnsi"/>
        </w:rPr>
        <w:t xml:space="preserve"> &lt;https://www.pembrokeshirecoast.wales/castell-henllys/about-castell-henllys/&gt; [accessed 12 January 2023]</w:t>
      </w:r>
    </w:p>
    <w:p w14:paraId="7B76EEB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admin, ‘Cenedl Heb Iaith, Cenedl Heb Galon’, </w:t>
      </w:r>
      <w:r w:rsidRPr="005C38AF">
        <w:rPr>
          <w:rFonts w:asciiTheme="majorHAnsi" w:hAnsiTheme="majorHAnsi" w:cstheme="majorHAnsi"/>
          <w:i/>
          <w:iCs/>
        </w:rPr>
        <w:t>Institute of Welsh Affairs</w:t>
      </w:r>
      <w:r w:rsidRPr="005C38AF">
        <w:rPr>
          <w:rFonts w:asciiTheme="majorHAnsi" w:hAnsiTheme="majorHAnsi" w:cstheme="majorHAnsi"/>
        </w:rPr>
        <w:t>, 2013 &lt;https://www.iwa.wales/agenda/2013/02/cenedl-heb-iaith-cenedl-heb-galon/&gt; [accessed 15 November 2022]</w:t>
      </w:r>
    </w:p>
    <w:p w14:paraId="1CB04530"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Almansouri</w:t>
      </w:r>
      <w:proofErr w:type="spellEnd"/>
      <w:r w:rsidRPr="005C38AF">
        <w:rPr>
          <w:rFonts w:asciiTheme="majorHAnsi" w:hAnsiTheme="majorHAnsi" w:cstheme="majorHAnsi"/>
        </w:rPr>
        <w:t xml:space="preserve">, Mohammad, Ruud </w:t>
      </w:r>
      <w:proofErr w:type="spellStart"/>
      <w:r w:rsidRPr="005C38AF">
        <w:rPr>
          <w:rFonts w:asciiTheme="majorHAnsi" w:hAnsiTheme="majorHAnsi" w:cstheme="majorHAnsi"/>
        </w:rPr>
        <w:t>Verkerk</w:t>
      </w:r>
      <w:proofErr w:type="spellEnd"/>
      <w:r w:rsidRPr="005C38AF">
        <w:rPr>
          <w:rFonts w:asciiTheme="majorHAnsi" w:hAnsiTheme="majorHAnsi" w:cstheme="majorHAnsi"/>
        </w:rPr>
        <w:t xml:space="preserve">, Vincenzo </w:t>
      </w:r>
      <w:proofErr w:type="spellStart"/>
      <w:r w:rsidRPr="005C38AF">
        <w:rPr>
          <w:rFonts w:asciiTheme="majorHAnsi" w:hAnsiTheme="majorHAnsi" w:cstheme="majorHAnsi"/>
        </w:rPr>
        <w:t>Fogliano</w:t>
      </w:r>
      <w:proofErr w:type="spellEnd"/>
      <w:r w:rsidRPr="005C38AF">
        <w:rPr>
          <w:rFonts w:asciiTheme="majorHAnsi" w:hAnsiTheme="majorHAnsi" w:cstheme="majorHAnsi"/>
        </w:rPr>
        <w:t xml:space="preserve">, and </w:t>
      </w:r>
      <w:proofErr w:type="spellStart"/>
      <w:r w:rsidRPr="005C38AF">
        <w:rPr>
          <w:rFonts w:asciiTheme="majorHAnsi" w:hAnsiTheme="majorHAnsi" w:cstheme="majorHAnsi"/>
        </w:rPr>
        <w:t>Pieternel</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Luning</w:t>
      </w:r>
      <w:proofErr w:type="spellEnd"/>
      <w:r w:rsidRPr="005C38AF">
        <w:rPr>
          <w:rFonts w:asciiTheme="majorHAnsi" w:hAnsiTheme="majorHAnsi" w:cstheme="majorHAnsi"/>
        </w:rPr>
        <w:t xml:space="preserve">, ‘Exploration of Heritage Food Concept’, </w:t>
      </w:r>
      <w:r w:rsidRPr="005C38AF">
        <w:rPr>
          <w:rFonts w:asciiTheme="majorHAnsi" w:hAnsiTheme="majorHAnsi" w:cstheme="majorHAnsi"/>
          <w:i/>
          <w:iCs/>
        </w:rPr>
        <w:t>Trends in Food Science &amp; Technology</w:t>
      </w:r>
      <w:r w:rsidRPr="005C38AF">
        <w:rPr>
          <w:rFonts w:asciiTheme="majorHAnsi" w:hAnsiTheme="majorHAnsi" w:cstheme="majorHAnsi"/>
        </w:rPr>
        <w:t>, 111 (2021) &lt;https://doi.org/10.1016/j.tifs.2021.01.013&gt;</w:t>
      </w:r>
    </w:p>
    <w:p w14:paraId="315AF52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Anderson, Benedict Richard O’Gorman, </w:t>
      </w:r>
      <w:r w:rsidRPr="005C38AF">
        <w:rPr>
          <w:rFonts w:asciiTheme="majorHAnsi" w:hAnsiTheme="majorHAnsi" w:cstheme="majorHAnsi"/>
          <w:i/>
          <w:iCs/>
        </w:rPr>
        <w:t>Imagined Communities: Reflections on the Origin and Spread of Nationalism</w:t>
      </w:r>
      <w:r w:rsidRPr="005C38AF">
        <w:rPr>
          <w:rFonts w:asciiTheme="majorHAnsi" w:hAnsiTheme="majorHAnsi" w:cstheme="majorHAnsi"/>
        </w:rPr>
        <w:t xml:space="preserve"> (Verso, 1991)</w:t>
      </w:r>
    </w:p>
    <w:p w14:paraId="097C24F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van </w:t>
      </w:r>
      <w:proofErr w:type="spellStart"/>
      <w:r w:rsidRPr="005C38AF">
        <w:rPr>
          <w:rFonts w:asciiTheme="majorHAnsi" w:hAnsiTheme="majorHAnsi" w:cstheme="majorHAnsi"/>
        </w:rPr>
        <w:t>Balgooy</w:t>
      </w:r>
      <w:proofErr w:type="spellEnd"/>
      <w:r w:rsidRPr="005C38AF">
        <w:rPr>
          <w:rFonts w:asciiTheme="majorHAnsi" w:hAnsiTheme="majorHAnsi" w:cstheme="majorHAnsi"/>
        </w:rPr>
        <w:t xml:space="preserve">, Max, ‘A Visitors’ Perspective on Visitor Engagement : Understanding Visitors’ Needs Will Greatly Inform Our Work in Engagement’, </w:t>
      </w:r>
      <w:r w:rsidRPr="005C38AF">
        <w:rPr>
          <w:rFonts w:asciiTheme="majorHAnsi" w:hAnsiTheme="majorHAnsi" w:cstheme="majorHAnsi"/>
          <w:i/>
          <w:iCs/>
        </w:rPr>
        <w:t>Museum</w:t>
      </w:r>
      <w:r w:rsidRPr="005C38AF">
        <w:rPr>
          <w:rFonts w:asciiTheme="majorHAnsi" w:hAnsiTheme="majorHAnsi" w:cstheme="majorHAnsi"/>
        </w:rPr>
        <w:t>, 96 (2017), 40–43</w:t>
      </w:r>
    </w:p>
    <w:p w14:paraId="7AA340B1"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‘BBC Radio 4 - The Food Programme, A Taste of Britain Revisited - Wales’, </w:t>
      </w:r>
      <w:r w:rsidRPr="005C38AF">
        <w:rPr>
          <w:rFonts w:asciiTheme="majorHAnsi" w:hAnsiTheme="majorHAnsi" w:cstheme="majorHAnsi"/>
          <w:i/>
          <w:iCs/>
        </w:rPr>
        <w:t>BBC</w:t>
      </w:r>
      <w:r w:rsidRPr="005C38AF">
        <w:rPr>
          <w:rFonts w:asciiTheme="majorHAnsi" w:hAnsiTheme="majorHAnsi" w:cstheme="majorHAnsi"/>
        </w:rPr>
        <w:t xml:space="preserve"> &lt;https://www.bbc.co.uk/programmes/b04fy2bl&gt; [accessed 4 January 2023]</w:t>
      </w:r>
    </w:p>
    <w:p w14:paraId="63F5B72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Bender, David A., ‘Welsh Rarebit</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in </w:t>
      </w:r>
      <w:r w:rsidRPr="005C38AF">
        <w:rPr>
          <w:rFonts w:asciiTheme="majorHAnsi" w:hAnsiTheme="majorHAnsi" w:cstheme="majorHAnsi"/>
          <w:i/>
          <w:iCs/>
        </w:rPr>
        <w:t>A Dictionary of Food and Nutrition</w:t>
      </w:r>
      <w:r w:rsidRPr="005C38AF">
        <w:rPr>
          <w:rFonts w:asciiTheme="majorHAnsi" w:hAnsiTheme="majorHAnsi" w:cstheme="majorHAnsi"/>
        </w:rPr>
        <w:t xml:space="preserve"> (Oxford University Press, 2014) &lt;https://www.oxfordreference.com/display/10.1093/acref/9780191752391.001.0001/acref-9780191752391-e-5779&gt; [accessed 7 January 2023]</w:t>
      </w:r>
    </w:p>
    <w:p w14:paraId="647FCF3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Bendix, Regina, ‘Life Itself: An Essay on the Sensory and the (Potential) End of Heritage Making’, </w:t>
      </w:r>
      <w:proofErr w:type="spellStart"/>
      <w:r w:rsidRPr="005C38AF">
        <w:rPr>
          <w:rFonts w:asciiTheme="majorHAnsi" w:hAnsiTheme="majorHAnsi" w:cstheme="majorHAnsi"/>
          <w:i/>
          <w:iCs/>
        </w:rPr>
        <w:t>Traditiones</w:t>
      </w:r>
      <w:proofErr w:type="spellEnd"/>
      <w:r w:rsidRPr="005C38AF">
        <w:rPr>
          <w:rFonts w:asciiTheme="majorHAnsi" w:hAnsiTheme="majorHAnsi" w:cstheme="majorHAnsi"/>
        </w:rPr>
        <w:t>, 50.1 (2021), 43–51 &lt;https://doi.org/10.3986/Traditio2021500104&gt;</w:t>
      </w:r>
    </w:p>
    <w:p w14:paraId="163C9951"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Bessière</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Jacinthe</w:t>
      </w:r>
      <w:proofErr w:type="spellEnd"/>
      <w:r w:rsidRPr="005C38AF">
        <w:rPr>
          <w:rFonts w:asciiTheme="majorHAnsi" w:hAnsiTheme="majorHAnsi" w:cstheme="majorHAnsi"/>
        </w:rPr>
        <w:t>, ‘“Heritagisation</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a Challenge for Tourism Promotion and Regional Development: An Example of Food Heritage’, </w:t>
      </w:r>
      <w:r w:rsidRPr="005C38AF">
        <w:rPr>
          <w:rFonts w:asciiTheme="majorHAnsi" w:hAnsiTheme="majorHAnsi" w:cstheme="majorHAnsi"/>
          <w:i/>
          <w:iCs/>
        </w:rPr>
        <w:t>Journal of Heritage Tourism</w:t>
      </w:r>
      <w:r w:rsidRPr="005C38AF">
        <w:rPr>
          <w:rFonts w:asciiTheme="majorHAnsi" w:hAnsiTheme="majorHAnsi" w:cstheme="majorHAnsi"/>
        </w:rPr>
        <w:t>, 8.4 (2013), 275–91 &lt;https://doi.org/10.1080/1743873X.2013.770861&gt;</w:t>
      </w:r>
    </w:p>
    <w:p w14:paraId="2DD27E5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Bhabha, Homi K., </w:t>
      </w:r>
      <w:r w:rsidRPr="005C38AF">
        <w:rPr>
          <w:rFonts w:asciiTheme="majorHAnsi" w:hAnsiTheme="majorHAnsi" w:cstheme="majorHAnsi"/>
          <w:i/>
          <w:iCs/>
        </w:rPr>
        <w:t>The Location of Culture</w:t>
      </w:r>
      <w:r w:rsidRPr="005C38AF">
        <w:rPr>
          <w:rFonts w:asciiTheme="majorHAnsi" w:hAnsiTheme="majorHAnsi" w:cstheme="majorHAnsi"/>
        </w:rPr>
        <w:t>, 2nd edn (London: Routledge, 2004) &lt;https://doi.org/10.4324/9780203820551&gt;</w:t>
      </w:r>
    </w:p>
    <w:p w14:paraId="7F456EC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‘The Other Question: Difference, Discrimination and the Discourse of Colonialism</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in </w:t>
      </w:r>
      <w:r w:rsidRPr="005C38AF">
        <w:rPr>
          <w:rFonts w:asciiTheme="majorHAnsi" w:hAnsiTheme="majorHAnsi" w:cstheme="majorHAnsi"/>
          <w:i/>
          <w:iCs/>
        </w:rPr>
        <w:t>Literature Politics &amp; Theory</w:t>
      </w:r>
      <w:r w:rsidRPr="005C38AF">
        <w:rPr>
          <w:rFonts w:asciiTheme="majorHAnsi" w:hAnsiTheme="majorHAnsi" w:cstheme="majorHAnsi"/>
        </w:rPr>
        <w:t xml:space="preserve"> (Routledge, 2003)</w:t>
      </w:r>
    </w:p>
    <w:p w14:paraId="25B7915A"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Bohata</w:t>
      </w:r>
      <w:proofErr w:type="spellEnd"/>
      <w:r w:rsidRPr="005C38AF">
        <w:rPr>
          <w:rFonts w:asciiTheme="majorHAnsi" w:hAnsiTheme="majorHAnsi" w:cstheme="majorHAnsi"/>
        </w:rPr>
        <w:t xml:space="preserve">, Kirsti, </w:t>
      </w:r>
      <w:r w:rsidRPr="005C38AF">
        <w:rPr>
          <w:rFonts w:asciiTheme="majorHAnsi" w:hAnsiTheme="majorHAnsi" w:cstheme="majorHAnsi"/>
          <w:i/>
          <w:iCs/>
        </w:rPr>
        <w:t>Postcolonialism Revisited: Writing Wales in English</w:t>
      </w:r>
      <w:r w:rsidRPr="005C38AF">
        <w:rPr>
          <w:rFonts w:asciiTheme="majorHAnsi" w:hAnsiTheme="majorHAnsi" w:cstheme="majorHAnsi"/>
        </w:rPr>
        <w:t xml:space="preserve"> (University of Wales Press, 2009)</w:t>
      </w:r>
    </w:p>
    <w:p w14:paraId="0E4FE11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Brauch, Julia, and Anna Lipphardt, ‘Foodscapes: The Culinary Landscapes of Russian-Jewish New York</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in </w:t>
      </w:r>
      <w:r w:rsidRPr="005C38AF">
        <w:rPr>
          <w:rFonts w:asciiTheme="majorHAnsi" w:hAnsiTheme="majorHAnsi" w:cstheme="majorHAnsi"/>
          <w:i/>
          <w:iCs/>
        </w:rPr>
        <w:t>Jewish Topographies</w:t>
      </w:r>
      <w:r w:rsidRPr="005C38AF">
        <w:rPr>
          <w:rFonts w:asciiTheme="majorHAnsi" w:hAnsiTheme="majorHAnsi" w:cstheme="majorHAnsi"/>
        </w:rPr>
        <w:t xml:space="preserve"> (Routledge, 2008)</w:t>
      </w:r>
    </w:p>
    <w:p w14:paraId="297A2BE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Breverton, Terry, </w:t>
      </w:r>
      <w:r w:rsidRPr="005C38AF">
        <w:rPr>
          <w:rFonts w:asciiTheme="majorHAnsi" w:hAnsiTheme="majorHAnsi" w:cstheme="majorHAnsi"/>
          <w:i/>
          <w:iCs/>
        </w:rPr>
        <w:t>Physicians of Myddfai: Cures and Remedies of the Mediaeval World</w:t>
      </w:r>
      <w:r w:rsidRPr="005C38AF">
        <w:rPr>
          <w:rFonts w:asciiTheme="majorHAnsi" w:hAnsiTheme="majorHAnsi" w:cstheme="majorHAnsi"/>
        </w:rPr>
        <w:t xml:space="preserve"> (Cambria Books, 2012)</w:t>
      </w:r>
    </w:p>
    <w:p w14:paraId="4EF432B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Bruley, Sue, ‘The Politics of Food: Gender, Family, Community and Collective Feeding in South Wales in the General Strike and Miners’ Lockout of 1926’, </w:t>
      </w:r>
      <w:r w:rsidRPr="005C38AF">
        <w:rPr>
          <w:rFonts w:asciiTheme="majorHAnsi" w:hAnsiTheme="majorHAnsi" w:cstheme="majorHAnsi"/>
          <w:i/>
          <w:iCs/>
        </w:rPr>
        <w:t>Twentieth Century British History</w:t>
      </w:r>
      <w:r w:rsidRPr="005C38AF">
        <w:rPr>
          <w:rFonts w:asciiTheme="majorHAnsi" w:hAnsiTheme="majorHAnsi" w:cstheme="majorHAnsi"/>
        </w:rPr>
        <w:t>, 18.1 (2007), 54–77 &lt;https://doi.org/10.1093/tcbh/hwl045&gt;</w:t>
      </w:r>
    </w:p>
    <w:p w14:paraId="094B380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Cambrensis, Gerald of Wales Giraldus, </w:t>
      </w:r>
      <w:r w:rsidRPr="005C38AF">
        <w:rPr>
          <w:rFonts w:asciiTheme="majorHAnsi" w:hAnsiTheme="majorHAnsi" w:cstheme="majorHAnsi"/>
          <w:i/>
          <w:iCs/>
        </w:rPr>
        <w:t>The Journey Through Wales and the Description of Wales</w:t>
      </w:r>
      <w:r w:rsidRPr="005C38AF">
        <w:rPr>
          <w:rFonts w:asciiTheme="majorHAnsi" w:hAnsiTheme="majorHAnsi" w:cstheme="majorHAnsi"/>
        </w:rPr>
        <w:t>, ed. by Betty Radice, trans. by L. Thorpe, Annotated edition (</w:t>
      </w:r>
      <w:proofErr w:type="gramStart"/>
      <w:r w:rsidRPr="005C38AF">
        <w:rPr>
          <w:rFonts w:asciiTheme="majorHAnsi" w:hAnsiTheme="majorHAnsi" w:cstheme="majorHAnsi"/>
        </w:rPr>
        <w:t>Harmondsworth ;</w:t>
      </w:r>
      <w:proofErr w:type="gramEnd"/>
      <w:r w:rsidRPr="005C38AF">
        <w:rPr>
          <w:rFonts w:asciiTheme="majorHAnsi" w:hAnsiTheme="majorHAnsi" w:cstheme="majorHAnsi"/>
        </w:rPr>
        <w:t xml:space="preserve"> New York etc.: Penguin Classics, 1978)</w:t>
      </w:r>
    </w:p>
    <w:p w14:paraId="25B052C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Carss, David N., Ana C. Brito, Paula </w:t>
      </w:r>
      <w:proofErr w:type="spellStart"/>
      <w:r w:rsidRPr="005C38AF">
        <w:rPr>
          <w:rFonts w:asciiTheme="majorHAnsi" w:hAnsiTheme="majorHAnsi" w:cstheme="majorHAnsi"/>
        </w:rPr>
        <w:t>Chainho</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Aurélie</w:t>
      </w:r>
      <w:proofErr w:type="spellEnd"/>
      <w:r w:rsidRPr="005C38AF">
        <w:rPr>
          <w:rFonts w:asciiTheme="majorHAnsi" w:hAnsiTheme="majorHAnsi" w:cstheme="majorHAnsi"/>
        </w:rPr>
        <w:t xml:space="preserve"> Ciutat, Xavier de </w:t>
      </w:r>
      <w:proofErr w:type="spellStart"/>
      <w:r w:rsidRPr="005C38AF">
        <w:rPr>
          <w:rFonts w:asciiTheme="majorHAnsi" w:hAnsiTheme="majorHAnsi" w:cstheme="majorHAnsi"/>
        </w:rPr>
        <w:t>Montaudouin</w:t>
      </w:r>
      <w:proofErr w:type="spellEnd"/>
      <w:r w:rsidRPr="005C38AF">
        <w:rPr>
          <w:rFonts w:asciiTheme="majorHAnsi" w:hAnsiTheme="majorHAnsi" w:cstheme="majorHAnsi"/>
        </w:rPr>
        <w:t xml:space="preserve">, Rosa M. Fernández Otero, and others, ‘Ecosystem Services Provided by a Non-Cultured Shellfish Species: The Common Cockle Cerastoderma Edule’, </w:t>
      </w:r>
      <w:r w:rsidRPr="005C38AF">
        <w:rPr>
          <w:rFonts w:asciiTheme="majorHAnsi" w:hAnsiTheme="majorHAnsi" w:cstheme="majorHAnsi"/>
          <w:i/>
          <w:iCs/>
        </w:rPr>
        <w:t>Marine Environmental Research</w:t>
      </w:r>
      <w:r w:rsidRPr="005C38AF">
        <w:rPr>
          <w:rFonts w:asciiTheme="majorHAnsi" w:hAnsiTheme="majorHAnsi" w:cstheme="majorHAnsi"/>
        </w:rPr>
        <w:t>, 158 (2020), 104931 &lt;https://doi.org/10.1016/j.marenvres.2020.104931&gt;</w:t>
      </w:r>
    </w:p>
    <w:p w14:paraId="78659DD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Cater, Carl Iain, Katja </w:t>
      </w:r>
      <w:proofErr w:type="spellStart"/>
      <w:r w:rsidRPr="005C38AF">
        <w:rPr>
          <w:rFonts w:asciiTheme="majorHAnsi" w:hAnsiTheme="majorHAnsi" w:cstheme="majorHAnsi"/>
        </w:rPr>
        <w:t>Poguntke</w:t>
      </w:r>
      <w:proofErr w:type="spellEnd"/>
      <w:r w:rsidRPr="005C38AF">
        <w:rPr>
          <w:rFonts w:asciiTheme="majorHAnsi" w:hAnsiTheme="majorHAnsi" w:cstheme="majorHAnsi"/>
        </w:rPr>
        <w:t xml:space="preserve">, and Wyn Morris, ‘Y </w:t>
      </w:r>
      <w:proofErr w:type="spellStart"/>
      <w:r w:rsidRPr="005C38AF">
        <w:rPr>
          <w:rFonts w:asciiTheme="majorHAnsi" w:hAnsiTheme="majorHAnsi" w:cstheme="majorHAnsi"/>
        </w:rPr>
        <w:t>Wladfa</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Gymreig</w:t>
      </w:r>
      <w:proofErr w:type="spellEnd"/>
      <w:r w:rsidRPr="005C38AF">
        <w:rPr>
          <w:rFonts w:asciiTheme="majorHAnsi" w:hAnsiTheme="majorHAnsi" w:cstheme="majorHAnsi"/>
        </w:rPr>
        <w:t xml:space="preserve">: Outbound Diasporic Tourism and Contribution to Identity’, </w:t>
      </w:r>
      <w:r w:rsidRPr="005C38AF">
        <w:rPr>
          <w:rFonts w:asciiTheme="majorHAnsi" w:hAnsiTheme="majorHAnsi" w:cstheme="majorHAnsi"/>
          <w:i/>
          <w:iCs/>
        </w:rPr>
        <w:t>Tourism Geographies</w:t>
      </w:r>
      <w:r w:rsidRPr="005C38AF">
        <w:rPr>
          <w:rFonts w:asciiTheme="majorHAnsi" w:hAnsiTheme="majorHAnsi" w:cstheme="majorHAnsi"/>
        </w:rPr>
        <w:t>, 21.4 (2019), 665–86 &lt;https://doi.org/10.1080/14616688.2019.1571095&gt;</w:t>
      </w:r>
    </w:p>
    <w:p w14:paraId="6D66699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Chhabra, Deepak, Robert Healy, and Erin Sills, ‘Staged Authenticity and Heritage Tourism’, </w:t>
      </w:r>
      <w:r w:rsidRPr="005C38AF">
        <w:rPr>
          <w:rFonts w:asciiTheme="majorHAnsi" w:hAnsiTheme="majorHAnsi" w:cstheme="majorHAnsi"/>
          <w:i/>
          <w:iCs/>
        </w:rPr>
        <w:t>Annals of Tourism Research</w:t>
      </w:r>
      <w:r w:rsidRPr="005C38AF">
        <w:rPr>
          <w:rFonts w:asciiTheme="majorHAnsi" w:hAnsiTheme="majorHAnsi" w:cstheme="majorHAnsi"/>
        </w:rPr>
        <w:t>, 30.3 (2003), 702–19 &lt;https://doi.org/10.1016/S0160-7383(03)00044-6&gt;</w:t>
      </w:r>
    </w:p>
    <w:p w14:paraId="0CED061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Csergo, Julia, ‘Food As a Collective Heritage Brand in the Era of Globalization’, </w:t>
      </w:r>
      <w:r w:rsidRPr="005C38AF">
        <w:rPr>
          <w:rFonts w:asciiTheme="majorHAnsi" w:hAnsiTheme="majorHAnsi" w:cstheme="majorHAnsi"/>
          <w:i/>
          <w:iCs/>
        </w:rPr>
        <w:t>International Journal of Cultural Property</w:t>
      </w:r>
      <w:r w:rsidRPr="005C38AF">
        <w:rPr>
          <w:rFonts w:asciiTheme="majorHAnsi" w:hAnsiTheme="majorHAnsi" w:cstheme="majorHAnsi"/>
        </w:rPr>
        <w:t>, 25.4 (2018), 449–68 &lt;https://doi.org/10.1017/S0940739118000322&gt;</w:t>
      </w:r>
    </w:p>
    <w:p w14:paraId="7C0F8A87"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Day, G. A., and H. Mackay, ‘Place and Belonging.’, </w:t>
      </w:r>
      <w:r w:rsidRPr="005C38AF">
        <w:rPr>
          <w:rFonts w:asciiTheme="majorHAnsi" w:hAnsiTheme="majorHAnsi" w:cstheme="majorHAnsi"/>
          <w:i/>
          <w:iCs/>
        </w:rPr>
        <w:t xml:space="preserve">Understanding </w:t>
      </w:r>
      <w:proofErr w:type="spellStart"/>
      <w:r w:rsidRPr="005C38AF">
        <w:rPr>
          <w:rFonts w:asciiTheme="majorHAnsi" w:hAnsiTheme="majorHAnsi" w:cstheme="majorHAnsi"/>
          <w:i/>
          <w:iCs/>
        </w:rPr>
        <w:t>Comtemporary</w:t>
      </w:r>
      <w:proofErr w:type="spellEnd"/>
      <w:r w:rsidRPr="005C38AF">
        <w:rPr>
          <w:rFonts w:asciiTheme="majorHAnsi" w:hAnsiTheme="majorHAnsi" w:cstheme="majorHAnsi"/>
          <w:i/>
          <w:iCs/>
        </w:rPr>
        <w:t xml:space="preserve"> Wales.</w:t>
      </w:r>
      <w:r w:rsidRPr="005C38AF">
        <w:rPr>
          <w:rFonts w:asciiTheme="majorHAnsi" w:hAnsiTheme="majorHAnsi" w:cstheme="majorHAnsi"/>
        </w:rPr>
        <w:t>, 2010, 26–</w:t>
      </w:r>
      <w:proofErr w:type="gramStart"/>
      <w:r w:rsidRPr="005C38AF">
        <w:rPr>
          <w:rFonts w:asciiTheme="majorHAnsi" w:hAnsiTheme="majorHAnsi" w:cstheme="majorHAnsi"/>
        </w:rPr>
        <w:t>57</w:t>
      </w:r>
      <w:proofErr w:type="gramEnd"/>
    </w:p>
    <w:p w14:paraId="7B4245A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Development, PodBean, ‘The Sensory Heirloom of Food &amp; Memory’ &lt;https://asavouredlife.podbean.com/e/the-sensory-heirloom-of-food-memory/&gt; [accessed 22 August 2022]</w:t>
      </w:r>
    </w:p>
    <w:p w14:paraId="3876944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Di Fiore, Laura, ‘Chapter 2 Heritage and Food History : A Critical Assessment’, 2020 &lt;https://directory.doabooks.org/handle/20.500.12854/30400&gt; [accessed 21 August 2022]</w:t>
      </w:r>
    </w:p>
    <w:p w14:paraId="3823FADB"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Dietler, Michael, ‘Culinary Encounters: Food, Identity, and Colonialism. In The Archaeology of Food and Identity, Edited by Katheryn Twiss, Pp. 218-242. Carbondale: Center for Archaeological Investigations Press, University of Southern Illinois. 2007’, </w:t>
      </w:r>
      <w:r w:rsidRPr="005C38AF">
        <w:rPr>
          <w:rFonts w:asciiTheme="majorHAnsi" w:hAnsiTheme="majorHAnsi" w:cstheme="majorHAnsi"/>
          <w:i/>
          <w:iCs/>
        </w:rPr>
        <w:t>The Archaeology of Food and Identity</w:t>
      </w:r>
      <w:r w:rsidRPr="005C38AF">
        <w:rPr>
          <w:rFonts w:asciiTheme="majorHAnsi" w:hAnsiTheme="majorHAnsi" w:cstheme="majorHAnsi"/>
        </w:rPr>
        <w:t>, 2007 &lt;https://www.academia.edu/273518/Culinary_encounters_food_identity_and_colonialism_In_The_Archaeology_of_Food_and_Identity_edited_by_Katheryn_Twiss_pp_218_242_Carbondale_Center_for_Archaeological_Investigations_Press_University_of_Southern_Illinois_2007&gt; [accessed 14 November 2022]</w:t>
      </w:r>
    </w:p>
    <w:p w14:paraId="575B75D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‘Eat Your History: A Shared Table | MHNSW’ &lt;https://mhnsw.au/whats-on/exhibitions/eat-your-history-shared-table/&gt; [accessed 5 January 2023]</w:t>
      </w:r>
    </w:p>
    <w:p w14:paraId="6AC430C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‘Eating and Shopping at </w:t>
      </w:r>
      <w:proofErr w:type="spellStart"/>
      <w:r w:rsidRPr="005C38AF">
        <w:rPr>
          <w:rFonts w:asciiTheme="majorHAnsi" w:hAnsiTheme="majorHAnsi" w:cstheme="majorHAnsi"/>
        </w:rPr>
        <w:t>Llanerchaeron|Wales</w:t>
      </w:r>
      <w:proofErr w:type="spellEnd"/>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National Trust</w:t>
      </w:r>
      <w:r w:rsidRPr="005C38AF">
        <w:rPr>
          <w:rFonts w:asciiTheme="majorHAnsi" w:hAnsiTheme="majorHAnsi" w:cstheme="majorHAnsi"/>
        </w:rPr>
        <w:t xml:space="preserve"> &lt;https://www.nationaltrust.org.uk/visit/wales/llanerchaeron/eating-and-shopping-at-llanerchaeron&gt; [accessed 12 January 2023]</w:t>
      </w:r>
    </w:p>
    <w:p w14:paraId="0390890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Edwards, John R., </w:t>
      </w:r>
      <w:r w:rsidRPr="005C38AF">
        <w:rPr>
          <w:rFonts w:asciiTheme="majorHAnsi" w:hAnsiTheme="majorHAnsi" w:cstheme="majorHAnsi"/>
          <w:i/>
          <w:iCs/>
        </w:rPr>
        <w:t>Talk Tidy - the Art of Speaking Wenglish</w:t>
      </w:r>
      <w:r w:rsidRPr="005C38AF">
        <w:rPr>
          <w:rFonts w:asciiTheme="majorHAnsi" w:hAnsiTheme="majorHAnsi" w:cstheme="majorHAnsi"/>
        </w:rPr>
        <w:t xml:space="preserve"> (</w:t>
      </w:r>
      <w:proofErr w:type="gramStart"/>
      <w:r w:rsidRPr="005C38AF">
        <w:rPr>
          <w:rFonts w:asciiTheme="majorHAnsi" w:hAnsiTheme="majorHAnsi" w:cstheme="majorHAnsi"/>
        </w:rPr>
        <w:t>D.Brown</w:t>
      </w:r>
      <w:proofErr w:type="gramEnd"/>
      <w:r w:rsidRPr="005C38AF">
        <w:rPr>
          <w:rFonts w:asciiTheme="majorHAnsi" w:hAnsiTheme="majorHAnsi" w:cstheme="majorHAnsi"/>
        </w:rPr>
        <w:t xml:space="preserve"> &amp; Sons Ltd, 1985)</w:t>
      </w:r>
    </w:p>
    <w:p w14:paraId="5AE4BA1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Evans, Daniel John, ‘Welshness in “British Wales”: Negotiating National Identity at the Margins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Nations and Nationalism</w:t>
      </w:r>
      <w:r w:rsidRPr="005C38AF">
        <w:rPr>
          <w:rFonts w:asciiTheme="majorHAnsi" w:hAnsiTheme="majorHAnsi" w:cstheme="majorHAnsi"/>
        </w:rPr>
        <w:t>, 25.1 (2019), 167–90 &lt;https://doi.org/10.1111/nana.12390&gt;</w:t>
      </w:r>
    </w:p>
    <w:p w14:paraId="13C4C0B5"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Evans, Neil, ‘Writing Regional History’ &lt;https://www.academia.edu/25559921/Writing_Regional_history&gt; [accessed 26 January 2023]</w:t>
      </w:r>
    </w:p>
    <w:p w14:paraId="7E218EE1"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‘Faggots, Herring, and Small Beer: Food for Sale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Peoples Collection Wales</w:t>
      </w:r>
      <w:r w:rsidRPr="005C38AF">
        <w:rPr>
          <w:rFonts w:asciiTheme="majorHAnsi" w:hAnsiTheme="majorHAnsi" w:cstheme="majorHAnsi"/>
        </w:rPr>
        <w:t xml:space="preserve"> &lt;https://www.peoplescollection.wales/content/faggots-herring-and-small-beer-food-sale&gt; [accessed 23 January 2023]</w:t>
      </w:r>
    </w:p>
    <w:p w14:paraId="6873579B"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Geyzen, Anneke, ‘Food Studies and the Heritage Turn: A Conceptual Repertoire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Food and History</w:t>
      </w:r>
      <w:r w:rsidRPr="005C38AF">
        <w:rPr>
          <w:rFonts w:asciiTheme="majorHAnsi" w:hAnsiTheme="majorHAnsi" w:cstheme="majorHAnsi"/>
        </w:rPr>
        <w:t>, 12.2 (2014), 67–96 &lt;https://doi.org/10.1484/J.FOOD.5.108963&gt;</w:t>
      </w:r>
    </w:p>
    <w:p w14:paraId="2BF4B78B"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Graves, Carwyn, </w:t>
      </w:r>
      <w:r w:rsidRPr="005C38AF">
        <w:rPr>
          <w:rFonts w:asciiTheme="majorHAnsi" w:hAnsiTheme="majorHAnsi" w:cstheme="majorHAnsi"/>
          <w:i/>
          <w:iCs/>
        </w:rPr>
        <w:t>Welsh Food Stories</w:t>
      </w:r>
      <w:r w:rsidRPr="005C38AF">
        <w:rPr>
          <w:rFonts w:asciiTheme="majorHAnsi" w:hAnsiTheme="majorHAnsi" w:cstheme="majorHAnsi"/>
        </w:rPr>
        <w:t xml:space="preserve"> (Calon, 2022)</w:t>
      </w:r>
    </w:p>
    <w:p w14:paraId="663207F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Griffiths, Ralph Alan, ‘Union, Act of (Wales)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in </w:t>
      </w:r>
      <w:r w:rsidRPr="005C38AF">
        <w:rPr>
          <w:rFonts w:asciiTheme="majorHAnsi" w:hAnsiTheme="majorHAnsi" w:cstheme="majorHAnsi"/>
          <w:i/>
          <w:iCs/>
        </w:rPr>
        <w:t>The Oxford Companion to British History</w:t>
      </w:r>
      <w:r w:rsidRPr="005C38AF">
        <w:rPr>
          <w:rFonts w:asciiTheme="majorHAnsi" w:hAnsiTheme="majorHAnsi" w:cstheme="majorHAnsi"/>
        </w:rPr>
        <w:t xml:space="preserve"> (Oxford University Press, 2009) &lt;https://www.oxfordreference.com/display/10.1093/acref/9780199567638.001.0001/acref-9780199567638-e-4321&gt; [accessed 23 January 2023]</w:t>
      </w:r>
    </w:p>
    <w:p w14:paraId="28697377"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Gruffudd</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Pyrs</w:t>
      </w:r>
      <w:proofErr w:type="spellEnd"/>
      <w:r w:rsidRPr="005C38AF">
        <w:rPr>
          <w:rFonts w:asciiTheme="majorHAnsi" w:hAnsiTheme="majorHAnsi" w:cstheme="majorHAnsi"/>
        </w:rPr>
        <w:t xml:space="preserve">, ‘Remaking Wales: Nation-Building and the Geographical Imagination, 1925–1950’, </w:t>
      </w:r>
      <w:r w:rsidRPr="005C38AF">
        <w:rPr>
          <w:rFonts w:asciiTheme="majorHAnsi" w:hAnsiTheme="majorHAnsi" w:cstheme="majorHAnsi"/>
          <w:i/>
          <w:iCs/>
        </w:rPr>
        <w:t>Political Geography</w:t>
      </w:r>
      <w:r w:rsidRPr="005C38AF">
        <w:rPr>
          <w:rFonts w:asciiTheme="majorHAnsi" w:hAnsiTheme="majorHAnsi" w:cstheme="majorHAnsi"/>
        </w:rPr>
        <w:t>, 14.3 (1995), 219–39 &lt;https://doi.org/10.1016/0962-6298(95)93185-L&gt;</w:t>
      </w:r>
    </w:p>
    <w:p w14:paraId="707F6E0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Hannah Glasse, </w:t>
      </w:r>
      <w:r w:rsidRPr="005C38AF">
        <w:rPr>
          <w:rFonts w:asciiTheme="majorHAnsi" w:hAnsiTheme="majorHAnsi" w:cstheme="majorHAnsi"/>
          <w:i/>
          <w:iCs/>
        </w:rPr>
        <w:t xml:space="preserve">The Art </w:t>
      </w:r>
      <w:proofErr w:type="gramStart"/>
      <w:r w:rsidRPr="005C38AF">
        <w:rPr>
          <w:rFonts w:asciiTheme="majorHAnsi" w:hAnsiTheme="majorHAnsi" w:cstheme="majorHAnsi"/>
          <w:i/>
          <w:iCs/>
        </w:rPr>
        <w:t>Of</w:t>
      </w:r>
      <w:proofErr w:type="gramEnd"/>
      <w:r w:rsidRPr="005C38AF">
        <w:rPr>
          <w:rFonts w:asciiTheme="majorHAnsi" w:hAnsiTheme="majorHAnsi" w:cstheme="majorHAnsi"/>
          <w:i/>
          <w:iCs/>
        </w:rPr>
        <w:t xml:space="preserve"> Cookery</w:t>
      </w:r>
      <w:r w:rsidRPr="005C38AF">
        <w:rPr>
          <w:rFonts w:asciiTheme="majorHAnsi" w:hAnsiTheme="majorHAnsi" w:cstheme="majorHAnsi"/>
        </w:rPr>
        <w:t>, 1747 &lt;http://archive.org/details/TheArtOfCookery&gt; [accessed 7 January 2023]</w:t>
      </w:r>
    </w:p>
    <w:p w14:paraId="63ADD00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Hendrickson, Robert, </w:t>
      </w:r>
      <w:r w:rsidRPr="005C38AF">
        <w:rPr>
          <w:rFonts w:asciiTheme="majorHAnsi" w:hAnsiTheme="majorHAnsi" w:cstheme="majorHAnsi"/>
          <w:i/>
          <w:iCs/>
        </w:rPr>
        <w:t>Animal Crackers: A Bestial Lexicon</w:t>
      </w:r>
      <w:r w:rsidRPr="005C38AF">
        <w:rPr>
          <w:rFonts w:asciiTheme="majorHAnsi" w:hAnsiTheme="majorHAnsi" w:cstheme="majorHAnsi"/>
        </w:rPr>
        <w:t>, Open market ed edition (New York: Penguin, 1983)</w:t>
      </w:r>
    </w:p>
    <w:p w14:paraId="1E1348C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Hoffmann, Richard C. (Richard Charles), ‘Remembrance of Repasts. An Anthropology of Food and Memory (Review)’, </w:t>
      </w:r>
      <w:r w:rsidRPr="005C38AF">
        <w:rPr>
          <w:rFonts w:asciiTheme="majorHAnsi" w:hAnsiTheme="majorHAnsi" w:cstheme="majorHAnsi"/>
          <w:i/>
          <w:iCs/>
        </w:rPr>
        <w:t>Journal of Modern Greek Studies</w:t>
      </w:r>
      <w:r w:rsidRPr="005C38AF">
        <w:rPr>
          <w:rFonts w:asciiTheme="majorHAnsi" w:hAnsiTheme="majorHAnsi" w:cstheme="majorHAnsi"/>
        </w:rPr>
        <w:t>, 24.2 (2006), 472–74 &lt;https://doi.org/10.1353/mgs.2006.0023&gt;</w:t>
      </w:r>
    </w:p>
    <w:p w14:paraId="64DBF420"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Hollinshead, Keith, ‘Touirsm and the Restless Peoples: A Dialectical Inspection of Bhabha’s Halfway Populations’, </w:t>
      </w:r>
      <w:r w:rsidRPr="005C38AF">
        <w:rPr>
          <w:rFonts w:asciiTheme="majorHAnsi" w:hAnsiTheme="majorHAnsi" w:cstheme="majorHAnsi"/>
          <w:i/>
          <w:iCs/>
        </w:rPr>
        <w:t>Tourism Culture &amp; Communication</w:t>
      </w:r>
      <w:r w:rsidRPr="005C38AF">
        <w:rPr>
          <w:rFonts w:asciiTheme="majorHAnsi" w:hAnsiTheme="majorHAnsi" w:cstheme="majorHAnsi"/>
        </w:rPr>
        <w:t>, 1.1 (1998), 49–77</w:t>
      </w:r>
    </w:p>
    <w:p w14:paraId="653156C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Ishak, Noriza, </w:t>
      </w:r>
      <w:proofErr w:type="spellStart"/>
      <w:r w:rsidRPr="005C38AF">
        <w:rPr>
          <w:rFonts w:asciiTheme="majorHAnsi" w:hAnsiTheme="majorHAnsi" w:cstheme="majorHAnsi"/>
        </w:rPr>
        <w:t>Mohd</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Salehuddin</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Mohd</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Zahari</w:t>
      </w:r>
      <w:proofErr w:type="spellEnd"/>
      <w:r w:rsidRPr="005C38AF">
        <w:rPr>
          <w:rFonts w:asciiTheme="majorHAnsi" w:hAnsiTheme="majorHAnsi" w:cstheme="majorHAnsi"/>
        </w:rPr>
        <w:t xml:space="preserve">, M.S. </w:t>
      </w:r>
      <w:proofErr w:type="spellStart"/>
      <w:r w:rsidRPr="005C38AF">
        <w:rPr>
          <w:rFonts w:asciiTheme="majorHAnsi" w:hAnsiTheme="majorHAnsi" w:cstheme="majorHAnsi"/>
        </w:rPr>
        <w:t>Shazali</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Rosmaliza</w:t>
      </w:r>
      <w:proofErr w:type="spellEnd"/>
      <w:r w:rsidRPr="005C38AF">
        <w:rPr>
          <w:rFonts w:asciiTheme="majorHAnsi" w:hAnsiTheme="majorHAnsi" w:cstheme="majorHAnsi"/>
        </w:rPr>
        <w:t xml:space="preserve"> Muhammad, and S </w:t>
      </w:r>
      <w:proofErr w:type="spellStart"/>
      <w:r w:rsidRPr="005C38AF">
        <w:rPr>
          <w:rFonts w:asciiTheme="majorHAnsi" w:hAnsiTheme="majorHAnsi" w:cstheme="majorHAnsi"/>
        </w:rPr>
        <w:t>Hannita</w:t>
      </w:r>
      <w:proofErr w:type="spellEnd"/>
      <w:r w:rsidRPr="005C38AF">
        <w:rPr>
          <w:rFonts w:asciiTheme="majorHAnsi" w:hAnsiTheme="majorHAnsi" w:cstheme="majorHAnsi"/>
        </w:rPr>
        <w:t>, ‘Acculturation, Foodways and Malaysian Food Identity</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in </w:t>
      </w:r>
      <w:r w:rsidRPr="005C38AF">
        <w:rPr>
          <w:rFonts w:asciiTheme="majorHAnsi" w:hAnsiTheme="majorHAnsi" w:cstheme="majorHAnsi"/>
          <w:i/>
          <w:iCs/>
        </w:rPr>
        <w:t>Current Issues in Hospitality and Tourism Research and Innovations</w:t>
      </w:r>
      <w:r w:rsidRPr="005C38AF">
        <w:rPr>
          <w:rFonts w:asciiTheme="majorHAnsi" w:hAnsiTheme="majorHAnsi" w:cstheme="majorHAnsi"/>
        </w:rPr>
        <w:t>, 2012, pp. 359–63 &lt;https://doi.org/10.1201/b12752-71&gt;</w:t>
      </w:r>
    </w:p>
    <w:p w14:paraId="30DBD4E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Johnston, Josée, and Michael Goodman, ‘Spectacular Foodscapes: Food Celebrities and the Politics of Lifestyle Mediation in an Age of Inequality’, </w:t>
      </w:r>
      <w:r w:rsidRPr="005C38AF">
        <w:rPr>
          <w:rFonts w:asciiTheme="majorHAnsi" w:hAnsiTheme="majorHAnsi" w:cstheme="majorHAnsi"/>
          <w:i/>
          <w:iCs/>
        </w:rPr>
        <w:t xml:space="preserve">Food Culture and Society </w:t>
      </w:r>
      <w:proofErr w:type="gramStart"/>
      <w:r w:rsidRPr="005C38AF">
        <w:rPr>
          <w:rFonts w:asciiTheme="majorHAnsi" w:hAnsiTheme="majorHAnsi" w:cstheme="majorHAnsi"/>
          <w:i/>
          <w:iCs/>
        </w:rPr>
        <w:t>An</w:t>
      </w:r>
      <w:proofErr w:type="gramEnd"/>
      <w:r w:rsidRPr="005C38AF">
        <w:rPr>
          <w:rFonts w:asciiTheme="majorHAnsi" w:hAnsiTheme="majorHAnsi" w:cstheme="majorHAnsi"/>
          <w:i/>
          <w:iCs/>
        </w:rPr>
        <w:t xml:space="preserve"> International Journal of Multidisciplinary Research</w:t>
      </w:r>
      <w:r w:rsidRPr="005C38AF">
        <w:rPr>
          <w:rFonts w:asciiTheme="majorHAnsi" w:hAnsiTheme="majorHAnsi" w:cstheme="majorHAnsi"/>
        </w:rPr>
        <w:t>, 18 (2015) &lt;https://doi.org/10.2752/175174415X14180391604369&gt;</w:t>
      </w:r>
    </w:p>
    <w:p w14:paraId="7C82B6D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Johnstone, Christian Isobel, </w:t>
      </w:r>
      <w:r w:rsidRPr="005C38AF">
        <w:rPr>
          <w:rFonts w:asciiTheme="majorHAnsi" w:hAnsiTheme="majorHAnsi" w:cstheme="majorHAnsi"/>
          <w:i/>
          <w:iCs/>
        </w:rPr>
        <w:t>The Cook and Housewife’s Manual, by Margaret Dods</w:t>
      </w:r>
      <w:r w:rsidRPr="005C38AF">
        <w:rPr>
          <w:rFonts w:asciiTheme="majorHAnsi" w:hAnsiTheme="majorHAnsi" w:cstheme="majorHAnsi"/>
        </w:rPr>
        <w:t>, 1826</w:t>
      </w:r>
    </w:p>
    <w:p w14:paraId="3DAD670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Jones, Aled, and Bill Jones, ‘The Welsh World and the British Empire, c.1851–1939: An Exploration’, </w:t>
      </w:r>
      <w:r w:rsidRPr="005C38AF">
        <w:rPr>
          <w:rFonts w:asciiTheme="majorHAnsi" w:hAnsiTheme="majorHAnsi" w:cstheme="majorHAnsi"/>
          <w:i/>
          <w:iCs/>
        </w:rPr>
        <w:t>The Journal of Imperial and Commonwealth History</w:t>
      </w:r>
      <w:r w:rsidRPr="005C38AF">
        <w:rPr>
          <w:rFonts w:asciiTheme="majorHAnsi" w:hAnsiTheme="majorHAnsi" w:cstheme="majorHAnsi"/>
        </w:rPr>
        <w:t>, 31.2 (2003), 57–81 &lt;https://doi.org/10.1080/03086530310001705606&gt;</w:t>
      </w:r>
    </w:p>
    <w:p w14:paraId="4055E9AE"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Jones, Tecwyn Vaughan, ‘Welsh Nots, Welsh Notes and Welsh Nuts: A Dictionary of Phrases with the Word “Welsh”’, </w:t>
      </w:r>
      <w:r w:rsidRPr="005C38AF">
        <w:rPr>
          <w:rFonts w:asciiTheme="majorHAnsi" w:hAnsiTheme="majorHAnsi" w:cstheme="majorHAnsi"/>
          <w:i/>
          <w:iCs/>
        </w:rPr>
        <w:t>Folklore</w:t>
      </w:r>
      <w:r w:rsidRPr="005C38AF">
        <w:rPr>
          <w:rFonts w:asciiTheme="majorHAnsi" w:hAnsiTheme="majorHAnsi" w:cstheme="majorHAnsi"/>
        </w:rPr>
        <w:t>, 112.2 (2001), 230–31</w:t>
      </w:r>
    </w:p>
    <w:p w14:paraId="3AF2A14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Jones, Vilma Nancy, and Claudia Monica Sager, ‘Convergencia multilingüística en un campo lexical. El habla en una provincia de la Patagonia argentina: Chubut (Multilingual convergence in a lexical field</w:t>
      </w:r>
      <w:proofErr w:type="gramStart"/>
      <w:r w:rsidRPr="005C38AF">
        <w:rPr>
          <w:rFonts w:asciiTheme="majorHAnsi" w:hAnsiTheme="majorHAnsi" w:cstheme="majorHAnsi"/>
        </w:rPr>
        <w:t xml:space="preserve">.  </w:t>
      </w:r>
      <w:proofErr w:type="gramEnd"/>
      <w:r w:rsidRPr="005C38AF">
        <w:rPr>
          <w:rFonts w:asciiTheme="majorHAnsi" w:hAnsiTheme="majorHAnsi" w:cstheme="majorHAnsi"/>
        </w:rPr>
        <w:t xml:space="preserve">Speech in a province of </w:t>
      </w:r>
      <w:proofErr w:type="gramStart"/>
      <w:r w:rsidRPr="005C38AF">
        <w:rPr>
          <w:rFonts w:asciiTheme="majorHAnsi" w:hAnsiTheme="majorHAnsi" w:cstheme="majorHAnsi"/>
        </w:rPr>
        <w:t>Argentine  Patagonia</w:t>
      </w:r>
      <w:proofErr w:type="gramEnd"/>
      <w:r w:rsidRPr="005C38AF">
        <w:rPr>
          <w:rFonts w:asciiTheme="majorHAnsi" w:hAnsiTheme="majorHAnsi" w:cstheme="majorHAnsi"/>
        </w:rPr>
        <w:t xml:space="preserve">: Chubut)’, </w:t>
      </w:r>
      <w:r w:rsidRPr="005C38AF">
        <w:rPr>
          <w:rFonts w:asciiTheme="majorHAnsi" w:hAnsiTheme="majorHAnsi" w:cstheme="majorHAnsi"/>
          <w:i/>
          <w:iCs/>
        </w:rPr>
        <w:t>Revista del Centro de Ciencias del Lenguaje</w:t>
      </w:r>
      <w:r w:rsidRPr="005C38AF">
        <w:rPr>
          <w:rFonts w:asciiTheme="majorHAnsi" w:hAnsiTheme="majorHAnsi" w:cstheme="majorHAnsi"/>
        </w:rPr>
        <w:t>, 24, 2001, 85–97</w:t>
      </w:r>
    </w:p>
    <w:p w14:paraId="09215425"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Knight, Jeremy, </w:t>
      </w:r>
      <w:r w:rsidRPr="005C38AF">
        <w:rPr>
          <w:rFonts w:asciiTheme="majorHAnsi" w:hAnsiTheme="majorHAnsi" w:cstheme="majorHAnsi"/>
          <w:i/>
          <w:iCs/>
        </w:rPr>
        <w:t>Blaenavon: From Iron Town to World Heritage Site</w:t>
      </w:r>
      <w:r w:rsidRPr="005C38AF">
        <w:rPr>
          <w:rFonts w:asciiTheme="majorHAnsi" w:hAnsiTheme="majorHAnsi" w:cstheme="majorHAnsi"/>
        </w:rPr>
        <w:t>, UK ed. edition (Little Logaston, Woonton, Almeley, Herefordshire: Logaston Press, 2016)</w:t>
      </w:r>
    </w:p>
    <w:p w14:paraId="5EA5C9E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Koziol, Christopher, ‘How Heritage’s Debate on Values Fuels Its Valorization Engine: The Side Effects of Controversy from Alois Riegl to Richard Moe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Change Over Time</w:t>
      </w:r>
      <w:r w:rsidRPr="005C38AF">
        <w:rPr>
          <w:rFonts w:asciiTheme="majorHAnsi" w:hAnsiTheme="majorHAnsi" w:cstheme="majorHAnsi"/>
        </w:rPr>
        <w:t>, 3.2 (2013), 244–57 &lt;https://doi.org/10.1353/cot.2013.0012&gt;</w:t>
      </w:r>
    </w:p>
    <w:p w14:paraId="193ED705"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Kurin</w:t>
      </w:r>
      <w:proofErr w:type="spellEnd"/>
      <w:r w:rsidRPr="005C38AF">
        <w:rPr>
          <w:rFonts w:asciiTheme="majorHAnsi" w:hAnsiTheme="majorHAnsi" w:cstheme="majorHAnsi"/>
        </w:rPr>
        <w:t xml:space="preserve">, Richard, ‘Safeguarding Intangible Cultural Heritage in the 2003 UNESCO Convention: A Critical Appraisal’, </w:t>
      </w:r>
      <w:r w:rsidRPr="005C38AF">
        <w:rPr>
          <w:rFonts w:asciiTheme="majorHAnsi" w:hAnsiTheme="majorHAnsi" w:cstheme="majorHAnsi"/>
          <w:i/>
          <w:iCs/>
        </w:rPr>
        <w:t>Museum International</w:t>
      </w:r>
      <w:r w:rsidRPr="005C38AF">
        <w:rPr>
          <w:rFonts w:asciiTheme="majorHAnsi" w:hAnsiTheme="majorHAnsi" w:cstheme="majorHAnsi"/>
        </w:rPr>
        <w:t>, 56.1–2 (2004), 66–77 &lt;https://doi.org/10.1111/j.1350-0775.2004.00459.x&gt;</w:t>
      </w:r>
    </w:p>
    <w:p w14:paraId="1ACB8E3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Kwik, J., ‘Traditional Food Knowledge: A Case Study of an Immigrant Canadian “Foodscape”’, </w:t>
      </w:r>
      <w:r w:rsidRPr="005C38AF">
        <w:rPr>
          <w:rFonts w:asciiTheme="majorHAnsi" w:hAnsiTheme="majorHAnsi" w:cstheme="majorHAnsi"/>
          <w:i/>
          <w:iCs/>
        </w:rPr>
        <w:t>Environments</w:t>
      </w:r>
      <w:r w:rsidRPr="005C38AF">
        <w:rPr>
          <w:rFonts w:asciiTheme="majorHAnsi" w:hAnsiTheme="majorHAnsi" w:cstheme="majorHAnsi"/>
        </w:rPr>
        <w:t>, 36 (2008), 59–74</w:t>
      </w:r>
    </w:p>
    <w:p w14:paraId="0E1BC50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Latham, K.F., ‘What Is “the Real Thing” in the Museum? An Interpretative Phenomenological Study</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Museum Management and Curatorship</w:t>
      </w:r>
      <w:r w:rsidRPr="005C38AF">
        <w:rPr>
          <w:rFonts w:asciiTheme="majorHAnsi" w:hAnsiTheme="majorHAnsi" w:cstheme="majorHAnsi"/>
        </w:rPr>
        <w:t>, 30.1 (2015), 2–20 &lt;https://doi.org/10.1080/09647775.2015.1008393&gt;</w:t>
      </w:r>
    </w:p>
    <w:p w14:paraId="5A633ADE"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‘Learn at Big Pit: National Coal Museum</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Museum Wales</w:t>
      </w:r>
      <w:r w:rsidRPr="005C38AF">
        <w:rPr>
          <w:rFonts w:asciiTheme="majorHAnsi" w:hAnsiTheme="majorHAnsi" w:cstheme="majorHAnsi"/>
        </w:rPr>
        <w:t xml:space="preserve"> &lt;https://museum.wales/bigpit/learning/&gt; [accessed 23 January 2023]</w:t>
      </w:r>
    </w:p>
    <w:p w14:paraId="2BD64AD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Levent, Nina, and Irina D. Mihalache, </w:t>
      </w:r>
      <w:r w:rsidRPr="005C38AF">
        <w:rPr>
          <w:rFonts w:asciiTheme="majorHAnsi" w:hAnsiTheme="majorHAnsi" w:cstheme="majorHAnsi"/>
          <w:i/>
          <w:iCs/>
        </w:rPr>
        <w:t>Food and Museums</w:t>
      </w:r>
      <w:r w:rsidRPr="005C38AF">
        <w:rPr>
          <w:rFonts w:asciiTheme="majorHAnsi" w:hAnsiTheme="majorHAnsi" w:cstheme="majorHAnsi"/>
        </w:rPr>
        <w:t xml:space="preserve"> (Bloomsbury Publishing, 2018)</w:t>
      </w:r>
    </w:p>
    <w:p w14:paraId="5702CF8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‘Llanerchaeron | Ceredigion | Wales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National Trust</w:t>
      </w:r>
      <w:r w:rsidRPr="005C38AF">
        <w:rPr>
          <w:rFonts w:asciiTheme="majorHAnsi" w:hAnsiTheme="majorHAnsi" w:cstheme="majorHAnsi"/>
        </w:rPr>
        <w:t xml:space="preserve"> &lt;https://www.nationaltrust.org.uk/visit/wales/llanerchaeron&gt; [accessed 12 January 2023]</w:t>
      </w:r>
    </w:p>
    <w:p w14:paraId="21E1818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Llerena, Zella, ‘Food Conjures Memory: Making Memory in the Museum</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2009 &lt;https://tspace.library.utoronto.ca/handle/1807/78750&gt; [accessed 21 August 2022]</w:t>
      </w:r>
    </w:p>
    <w:p w14:paraId="63331D6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Low, Kelvin E.Y., ‘Concrete Memories and Sensory Pasts: Everyday Heritage and the Politics of Nationhood</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Pacific Affairs</w:t>
      </w:r>
      <w:r w:rsidRPr="005C38AF">
        <w:rPr>
          <w:rFonts w:asciiTheme="majorHAnsi" w:hAnsiTheme="majorHAnsi" w:cstheme="majorHAnsi"/>
        </w:rPr>
        <w:t>, 90.2 (2017), 275–95 &lt;https://doi.org/10.5509/2017902275&gt;</w:t>
      </w:r>
    </w:p>
    <w:p w14:paraId="3AFC51A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Lublin, Geraldine, ‘The War of the Tea Houses, or How Welsh Heritage in Patagonia Became a Valuable Commodity</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E-Keltoi: Journal of Interdisciplinary Celtic Studies</w:t>
      </w:r>
      <w:r w:rsidRPr="005C38AF">
        <w:rPr>
          <w:rFonts w:asciiTheme="majorHAnsi" w:hAnsiTheme="majorHAnsi" w:cstheme="majorHAnsi"/>
        </w:rPr>
        <w:t>, 1.1 (2009) &lt;https://dc.uwm.edu/ekeltoi/vol1/iss1/3&gt;</w:t>
      </w:r>
    </w:p>
    <w:p w14:paraId="7CD4A3CB"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Mac Con Iomaire, Máirtín, ‘Recognizing Food as Part of Ireland’s Intangible Cultural Heritage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Folk Life</w:t>
      </w:r>
      <w:r w:rsidRPr="005C38AF">
        <w:rPr>
          <w:rFonts w:asciiTheme="majorHAnsi" w:hAnsiTheme="majorHAnsi" w:cstheme="majorHAnsi"/>
        </w:rPr>
        <w:t>, 56.2 (2018), 93–115 &lt;https://doi.org/10.1080/04308778.2018.1502402&gt;</w:t>
      </w:r>
    </w:p>
    <w:p w14:paraId="049C8AD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‘Meet the Tribe’, </w:t>
      </w:r>
      <w:r w:rsidRPr="005C38AF">
        <w:rPr>
          <w:rFonts w:asciiTheme="majorHAnsi" w:hAnsiTheme="majorHAnsi" w:cstheme="majorHAnsi"/>
          <w:i/>
          <w:iCs/>
        </w:rPr>
        <w:t>Pembrokeshire Coast National Park</w:t>
      </w:r>
      <w:r w:rsidRPr="005C38AF">
        <w:rPr>
          <w:rFonts w:asciiTheme="majorHAnsi" w:hAnsiTheme="majorHAnsi" w:cstheme="majorHAnsi"/>
        </w:rPr>
        <w:t xml:space="preserve"> &lt;https://www.pembrokeshirecoast.wales/castell-henllys/about-castell-henllys/meet-the-tribe/&gt; [accessed 23 January 2023]</w:t>
      </w:r>
    </w:p>
    <w:p w14:paraId="04867FA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‘Museum Definition’, </w:t>
      </w:r>
      <w:r w:rsidRPr="005C38AF">
        <w:rPr>
          <w:rFonts w:asciiTheme="majorHAnsi" w:hAnsiTheme="majorHAnsi" w:cstheme="majorHAnsi"/>
          <w:i/>
          <w:iCs/>
        </w:rPr>
        <w:t>International Council of Museums</w:t>
      </w:r>
      <w:r w:rsidRPr="005C38AF">
        <w:rPr>
          <w:rFonts w:asciiTheme="majorHAnsi" w:hAnsiTheme="majorHAnsi" w:cstheme="majorHAnsi"/>
        </w:rPr>
        <w:t xml:space="preserve"> &lt;https://icom.museum/en/resources/standards-guidelines/museum-definition/&gt; [accessed 28 November 2022]</w:t>
      </w:r>
    </w:p>
    <w:p w14:paraId="36DC93B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Newling, Jacqui, </w:t>
      </w:r>
      <w:r w:rsidRPr="005C38AF">
        <w:rPr>
          <w:rFonts w:asciiTheme="majorHAnsi" w:hAnsiTheme="majorHAnsi" w:cstheme="majorHAnsi"/>
          <w:i/>
          <w:iCs/>
        </w:rPr>
        <w:t>Eat Your History: Stories and Recipes from Australian Kitchens</w:t>
      </w:r>
      <w:r w:rsidRPr="005C38AF">
        <w:rPr>
          <w:rFonts w:asciiTheme="majorHAnsi" w:hAnsiTheme="majorHAnsi" w:cstheme="majorHAnsi"/>
        </w:rPr>
        <w:t xml:space="preserve"> (NewSouth Publishing, 2015)</w:t>
      </w:r>
    </w:p>
    <w:p w14:paraId="471CCAF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O’Connor, Kaori, ‘The Secret History of “the Weed of Hiraeth”: Laverbread, Identity, and Museums in Wales’, </w:t>
      </w:r>
      <w:r w:rsidRPr="005C38AF">
        <w:rPr>
          <w:rFonts w:asciiTheme="majorHAnsi" w:hAnsiTheme="majorHAnsi" w:cstheme="majorHAnsi"/>
          <w:i/>
          <w:iCs/>
        </w:rPr>
        <w:t>Journal of Museum Ethnography</w:t>
      </w:r>
      <w:r w:rsidRPr="005C38AF">
        <w:rPr>
          <w:rFonts w:asciiTheme="majorHAnsi" w:hAnsiTheme="majorHAnsi" w:cstheme="majorHAnsi"/>
        </w:rPr>
        <w:t>, 22, 2009, 82–101</w:t>
      </w:r>
    </w:p>
    <w:p w14:paraId="36A2877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Ortega, Gena Philibert, </w:t>
      </w:r>
      <w:r w:rsidRPr="005C38AF">
        <w:rPr>
          <w:rFonts w:asciiTheme="majorHAnsi" w:hAnsiTheme="majorHAnsi" w:cstheme="majorHAnsi"/>
          <w:i/>
          <w:iCs/>
        </w:rPr>
        <w:t xml:space="preserve">From the Family Kitchen: Discover Your Food Heritage and Preserve </w:t>
      </w:r>
      <w:proofErr w:type="spellStart"/>
      <w:r w:rsidRPr="005C38AF">
        <w:rPr>
          <w:rFonts w:asciiTheme="majorHAnsi" w:hAnsiTheme="majorHAnsi" w:cstheme="majorHAnsi"/>
          <w:i/>
          <w:iCs/>
        </w:rPr>
        <w:t>Favorite</w:t>
      </w:r>
      <w:proofErr w:type="spellEnd"/>
      <w:r w:rsidRPr="005C38AF">
        <w:rPr>
          <w:rFonts w:asciiTheme="majorHAnsi" w:hAnsiTheme="majorHAnsi" w:cstheme="majorHAnsi"/>
          <w:i/>
          <w:iCs/>
        </w:rPr>
        <w:t xml:space="preserve"> Recipes</w:t>
      </w:r>
      <w:r w:rsidRPr="005C38AF">
        <w:rPr>
          <w:rFonts w:asciiTheme="majorHAnsi" w:hAnsiTheme="majorHAnsi" w:cstheme="majorHAnsi"/>
        </w:rPr>
        <w:t xml:space="preserve"> (Penguin, 2012)</w:t>
      </w:r>
    </w:p>
    <w:p w14:paraId="1433F378"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‘Our Rare Welsh Oats’, </w:t>
      </w:r>
      <w:r w:rsidRPr="005C38AF">
        <w:rPr>
          <w:rFonts w:asciiTheme="majorHAnsi" w:hAnsiTheme="majorHAnsi" w:cstheme="majorHAnsi"/>
          <w:i/>
          <w:iCs/>
        </w:rPr>
        <w:t>The A Team Foundation</w:t>
      </w:r>
      <w:r w:rsidRPr="005C38AF">
        <w:rPr>
          <w:rFonts w:asciiTheme="majorHAnsi" w:hAnsiTheme="majorHAnsi" w:cstheme="majorHAnsi"/>
        </w:rPr>
        <w:t xml:space="preserve"> &lt;https://www.ateamfoundation.org/blog-1/2019/5/3/our-rare-welsh-oats&gt; [accessed 28 November 2022]</w:t>
      </w:r>
    </w:p>
    <w:p w14:paraId="280FF32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Parliament, UK, </w:t>
      </w:r>
      <w:r w:rsidRPr="005C38AF">
        <w:rPr>
          <w:rFonts w:asciiTheme="majorHAnsi" w:hAnsiTheme="majorHAnsi" w:cstheme="majorHAnsi"/>
          <w:i/>
          <w:iCs/>
        </w:rPr>
        <w:t>Act of Uniformity 1949</w:t>
      </w:r>
      <w:r w:rsidRPr="005C38AF">
        <w:rPr>
          <w:rFonts w:asciiTheme="majorHAnsi" w:hAnsiTheme="majorHAnsi" w:cstheme="majorHAnsi"/>
        </w:rPr>
        <w:t xml:space="preserve"> &lt;http://archives.parliament.uk/index.php?&gt; [accessed 23 January 2023]</w:t>
      </w:r>
    </w:p>
    <w:p w14:paraId="06EFC74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Peate, Iorwerth Cyfeiliog, </w:t>
      </w:r>
      <w:r w:rsidRPr="005C38AF">
        <w:rPr>
          <w:rFonts w:asciiTheme="majorHAnsi" w:hAnsiTheme="majorHAnsi" w:cstheme="majorHAnsi"/>
          <w:i/>
          <w:iCs/>
        </w:rPr>
        <w:t>AMGUEDDFEYDD GWERIN. FOLK MUSEUMS. WELSH &amp; ENG</w:t>
      </w:r>
    </w:p>
    <w:p w14:paraId="37BBE94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Philpott, Sarah, ‘“Traditional Dishes Were Borne out of Poverty”: A Brief History of Welsh Food</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New Statesman</w:t>
      </w:r>
      <w:r w:rsidRPr="005C38AF">
        <w:rPr>
          <w:rFonts w:asciiTheme="majorHAnsi" w:hAnsiTheme="majorHAnsi" w:cstheme="majorHAnsi"/>
        </w:rPr>
        <w:t>, 2018 &lt;https://www.newstatesman.com/culture/food-drink/2018/11/traditional-dishes-were-borne-out-poverty-brief-history-welsh-food&gt; [accessed 22 August 2022]</w:t>
      </w:r>
    </w:p>
    <w:p w14:paraId="3EF0E20B"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Pitchford, Susan R, ‘Ethnic Tourism and Nationalism in Wales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Annals of Tourism Research</w:t>
      </w:r>
      <w:r w:rsidRPr="005C38AF">
        <w:rPr>
          <w:rFonts w:asciiTheme="majorHAnsi" w:hAnsiTheme="majorHAnsi" w:cstheme="majorHAnsi"/>
        </w:rPr>
        <w:t>, 22.1 (1995), 35–52 &lt;https://doi.org/10.1016/0160-7383(94)00068-4&gt;</w:t>
      </w:r>
    </w:p>
    <w:p w14:paraId="3A1CA201"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Richardson, Jim, ‘Why Do Stories Matter to Museums and How Can Museums Become Better Storytellers?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proofErr w:type="spellStart"/>
      <w:r w:rsidRPr="005C38AF">
        <w:rPr>
          <w:rFonts w:asciiTheme="majorHAnsi" w:hAnsiTheme="majorHAnsi" w:cstheme="majorHAnsi"/>
          <w:i/>
          <w:iCs/>
        </w:rPr>
        <w:t>MuseumNext</w:t>
      </w:r>
      <w:proofErr w:type="spellEnd"/>
      <w:r w:rsidRPr="005C38AF">
        <w:rPr>
          <w:rFonts w:asciiTheme="majorHAnsi" w:hAnsiTheme="majorHAnsi" w:cstheme="majorHAnsi"/>
        </w:rPr>
        <w:t>, 2023 &lt;https://www.museumnext.com/article/why-do-stories-matter-to-museums-and-how-can-museums-become-better-storytellers/&gt; [accessed 26 January 2023]</w:t>
      </w:r>
    </w:p>
    <w:p w14:paraId="777FCA50"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‘Roundhouses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Past to Present Archaeology</w:t>
      </w:r>
      <w:r w:rsidRPr="005C38AF">
        <w:rPr>
          <w:rFonts w:asciiTheme="majorHAnsi" w:hAnsiTheme="majorHAnsi" w:cstheme="majorHAnsi"/>
        </w:rPr>
        <w:t xml:space="preserve"> &lt;https://pasttopresent.org/2022/02/01/roundhouses/&gt; [accessed 23 January 2023]</w:t>
      </w:r>
    </w:p>
    <w:p w14:paraId="7C8169F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Sjöholm, Jennie, ‘Heritagisation, Re-Heritagisation and De-Heritagisation of Built Environments: The Urban Transformation of Kiruna, Sweden’ &lt;https://www.academia.edu/26396031/Heritagisation_Re_Heritagisation_and_De_Heritagisation_of_Built_Environments_The_Urban_Transformation_of_Kiruna_Sweden&gt; [accessed 27 October 2022]</w:t>
      </w:r>
    </w:p>
    <w:p w14:paraId="0BCB930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‘Soups - Recipes from Scotland - National Library of Scotland’ &lt;https://digital.nls.uk/recipes/themes/baking/index.html&gt; [accessed 4 January 2023]</w:t>
      </w:r>
    </w:p>
    <w:p w14:paraId="1BD4737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Stourton, James, </w:t>
      </w:r>
      <w:r w:rsidRPr="005C38AF">
        <w:rPr>
          <w:rFonts w:asciiTheme="majorHAnsi" w:hAnsiTheme="majorHAnsi" w:cstheme="majorHAnsi"/>
          <w:i/>
          <w:iCs/>
        </w:rPr>
        <w:t>Heritage: A History of How We Conserve Our Past</w:t>
      </w:r>
      <w:r w:rsidRPr="005C38AF">
        <w:rPr>
          <w:rFonts w:asciiTheme="majorHAnsi" w:hAnsiTheme="majorHAnsi" w:cstheme="majorHAnsi"/>
        </w:rPr>
        <w:t xml:space="preserve"> (Apollo, 2022)</w:t>
      </w:r>
    </w:p>
    <w:p w14:paraId="405DB89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Sutcliffe-Braithwaite, Florence, and Natalie Thomlinson, ‘National Women Against Pit Closures: Gender, Trade Unionism and Community Activism in the Miners’ Strike, 1984–5’, </w:t>
      </w:r>
      <w:r w:rsidRPr="005C38AF">
        <w:rPr>
          <w:rFonts w:asciiTheme="majorHAnsi" w:hAnsiTheme="majorHAnsi" w:cstheme="majorHAnsi"/>
          <w:i/>
          <w:iCs/>
        </w:rPr>
        <w:t>Contemporary British History</w:t>
      </w:r>
      <w:r w:rsidRPr="005C38AF">
        <w:rPr>
          <w:rFonts w:asciiTheme="majorHAnsi" w:hAnsiTheme="majorHAnsi" w:cstheme="majorHAnsi"/>
        </w:rPr>
        <w:t>, 32.1 (2018), 78–100 &lt;https://doi.org/10.1080/13619462.2017.1408540&gt;</w:t>
      </w:r>
    </w:p>
    <w:p w14:paraId="667EC94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Sutton, David, ‘The Sensory Experience of Food: Memory as a Sense’, </w:t>
      </w:r>
      <w:r w:rsidRPr="005C38AF">
        <w:rPr>
          <w:rFonts w:asciiTheme="majorHAnsi" w:hAnsiTheme="majorHAnsi" w:cstheme="majorHAnsi"/>
          <w:i/>
          <w:iCs/>
        </w:rPr>
        <w:t>Food, Culture and Society</w:t>
      </w:r>
      <w:r w:rsidRPr="005C38AF">
        <w:rPr>
          <w:rFonts w:asciiTheme="majorHAnsi" w:hAnsiTheme="majorHAnsi" w:cstheme="majorHAnsi"/>
        </w:rPr>
        <w:t xml:space="preserve"> &lt;https://www.academia.edu/2135666/The_Sensory_Experience_of_Food_Memory_as_a_Sense&gt; [accessed 22 August 2022]</w:t>
      </w:r>
    </w:p>
    <w:p w14:paraId="28FC7585"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Sutton, David E., ‘Food and the Senses’, </w:t>
      </w:r>
      <w:r w:rsidRPr="005C38AF">
        <w:rPr>
          <w:rFonts w:asciiTheme="majorHAnsi" w:hAnsiTheme="majorHAnsi" w:cstheme="majorHAnsi"/>
          <w:i/>
          <w:iCs/>
        </w:rPr>
        <w:t>Annual Review of Anthropology</w:t>
      </w:r>
      <w:r w:rsidRPr="005C38AF">
        <w:rPr>
          <w:rFonts w:asciiTheme="majorHAnsi" w:hAnsiTheme="majorHAnsi" w:cstheme="majorHAnsi"/>
        </w:rPr>
        <w:t>, 39.1 (2010), 209–23 &lt;https://doi.org/10.1146/annurev.anthro.012809.104957&gt;</w:t>
      </w:r>
    </w:p>
    <w:p w14:paraId="78354927"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 </w:t>
      </w:r>
      <w:r w:rsidRPr="005C38AF">
        <w:rPr>
          <w:rFonts w:asciiTheme="majorHAnsi" w:hAnsiTheme="majorHAnsi" w:cstheme="majorHAnsi"/>
          <w:i/>
          <w:iCs/>
        </w:rPr>
        <w:t>Remembrance of Repasts: An Anthropology of Food and Memory</w:t>
      </w:r>
      <w:r w:rsidRPr="005C38AF">
        <w:rPr>
          <w:rFonts w:asciiTheme="majorHAnsi" w:hAnsiTheme="majorHAnsi" w:cstheme="majorHAnsi"/>
        </w:rPr>
        <w:t xml:space="preserve"> (Berg Publishers, 2001)</w:t>
      </w:r>
    </w:p>
    <w:p w14:paraId="2F44553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Taheri, Babak, Aliakbar Jafari, and Kevin O’Gorman, ‘Keeping Your Audience: Presenting a Visitor Engagement Scale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Tourism Management</w:t>
      </w:r>
      <w:r w:rsidRPr="005C38AF">
        <w:rPr>
          <w:rFonts w:asciiTheme="majorHAnsi" w:hAnsiTheme="majorHAnsi" w:cstheme="majorHAnsi"/>
        </w:rPr>
        <w:t>, 42 (2014), 321–29 &lt;https://doi.org/10.1016/j.tourman.2013.12.011&gt;</w:t>
      </w:r>
    </w:p>
    <w:p w14:paraId="6B85856D"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Tai, Steph, ‘In Fairness to Future Generations of Eaters’, </w:t>
      </w:r>
      <w:r w:rsidRPr="005C38AF">
        <w:rPr>
          <w:rFonts w:asciiTheme="majorHAnsi" w:hAnsiTheme="majorHAnsi" w:cstheme="majorHAnsi"/>
          <w:i/>
          <w:iCs/>
        </w:rPr>
        <w:t>Georgetown Environmental Law Review</w:t>
      </w:r>
      <w:r w:rsidRPr="005C38AF">
        <w:rPr>
          <w:rFonts w:asciiTheme="majorHAnsi" w:hAnsiTheme="majorHAnsi" w:cstheme="majorHAnsi"/>
        </w:rPr>
        <w:t>, 32 (2019), 515</w:t>
      </w:r>
    </w:p>
    <w:p w14:paraId="7C5CA91F"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i/>
          <w:iCs/>
        </w:rPr>
        <w:t>TEDxTC - Winona LaDuke - Seeds of Our Ancestors, Seeds of Life</w:t>
      </w:r>
      <w:r w:rsidRPr="005C38AF">
        <w:rPr>
          <w:rFonts w:asciiTheme="majorHAnsi" w:hAnsiTheme="majorHAnsi" w:cstheme="majorHAnsi"/>
        </w:rPr>
        <w:t>, dir. by TEDx Talks, 2012 &lt;https://www.youtube.com/watch?v=pHNlel72eQc&gt; [accessed 23 January 2023]</w:t>
      </w:r>
    </w:p>
    <w:p w14:paraId="09D0F44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‘The Cook and the Curator | Eat Your History | Sydney Living Museums’ &lt;https://blogs.sydneylivingmuseums.com.au/cook/&gt; [accessed 5 January 2023]</w:t>
      </w:r>
    </w:p>
    <w:p w14:paraId="30386F4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Tibbott, Sara Minwel, </w:t>
      </w:r>
      <w:r w:rsidRPr="005C38AF">
        <w:rPr>
          <w:rFonts w:asciiTheme="majorHAnsi" w:hAnsiTheme="majorHAnsi" w:cstheme="majorHAnsi"/>
          <w:i/>
          <w:iCs/>
        </w:rPr>
        <w:t>Welsh Fare: Selection of Traditional Recipes</w:t>
      </w:r>
      <w:r w:rsidRPr="005C38AF">
        <w:rPr>
          <w:rFonts w:asciiTheme="majorHAnsi" w:hAnsiTheme="majorHAnsi" w:cstheme="majorHAnsi"/>
        </w:rPr>
        <w:t>, New Edition (Cardiff: National Museums and Galleries of Wales, 1976)</w:t>
      </w:r>
    </w:p>
    <w:p w14:paraId="00110F8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Timothy, Dallen   J., and Amos   S. Ron, ‘Understanding Heritage Cuisines and Tourism: Identity, Image, Authenticity, and Change</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Journal of Heritage Tourism</w:t>
      </w:r>
      <w:r w:rsidRPr="005C38AF">
        <w:rPr>
          <w:rFonts w:asciiTheme="majorHAnsi" w:hAnsiTheme="majorHAnsi" w:cstheme="majorHAnsi"/>
        </w:rPr>
        <w:t>, 8.2–3 (2013), 99–104 &lt;https://doi.org/10.1080/1743873X.2013.767818&gt;</w:t>
      </w:r>
    </w:p>
    <w:p w14:paraId="298E15C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Timothy, Dallen J., and Gyan P. Nyaupane, eds., </w:t>
      </w:r>
      <w:r w:rsidRPr="005C38AF">
        <w:rPr>
          <w:rFonts w:asciiTheme="majorHAnsi" w:hAnsiTheme="majorHAnsi" w:cstheme="majorHAnsi"/>
          <w:i/>
          <w:iCs/>
        </w:rPr>
        <w:t>Cultural Heritage and Tourism in the Developing World: A Regional Perspective</w:t>
      </w:r>
      <w:r w:rsidRPr="005C38AF">
        <w:rPr>
          <w:rFonts w:asciiTheme="majorHAnsi" w:hAnsiTheme="majorHAnsi" w:cstheme="majorHAnsi"/>
        </w:rPr>
        <w:t xml:space="preserve"> (London: Routledge, 2009) &lt;https://doi.org/10.4324/9780203877753&gt;</w:t>
      </w:r>
    </w:p>
    <w:p w14:paraId="4AE705D5" w14:textId="77777777" w:rsidR="005831B4" w:rsidRPr="005C38AF" w:rsidRDefault="005831B4" w:rsidP="005831B4">
      <w:pPr>
        <w:pStyle w:val="Bibliography"/>
        <w:rPr>
          <w:rFonts w:asciiTheme="majorHAnsi" w:hAnsiTheme="majorHAnsi" w:cstheme="majorHAnsi"/>
        </w:rPr>
      </w:pPr>
      <w:proofErr w:type="spellStart"/>
      <w:r w:rsidRPr="005C38AF">
        <w:rPr>
          <w:rFonts w:asciiTheme="majorHAnsi" w:hAnsiTheme="majorHAnsi" w:cstheme="majorHAnsi"/>
        </w:rPr>
        <w:t>Trichopoulou</w:t>
      </w:r>
      <w:proofErr w:type="spellEnd"/>
      <w:r w:rsidRPr="005C38AF">
        <w:rPr>
          <w:rFonts w:asciiTheme="majorHAnsi" w:hAnsiTheme="majorHAnsi" w:cstheme="majorHAnsi"/>
        </w:rPr>
        <w:t xml:space="preserve">, Antonia, and </w:t>
      </w:r>
      <w:proofErr w:type="spellStart"/>
      <w:r w:rsidRPr="005C38AF">
        <w:rPr>
          <w:rFonts w:asciiTheme="majorHAnsi" w:hAnsiTheme="majorHAnsi" w:cstheme="majorHAnsi"/>
        </w:rPr>
        <w:t>Pagona</w:t>
      </w:r>
      <w:proofErr w:type="spellEnd"/>
      <w:r w:rsidRPr="005C38AF">
        <w:rPr>
          <w:rFonts w:asciiTheme="majorHAnsi" w:hAnsiTheme="majorHAnsi" w:cstheme="majorHAnsi"/>
        </w:rPr>
        <w:t xml:space="preserve"> </w:t>
      </w:r>
      <w:proofErr w:type="spellStart"/>
      <w:r w:rsidRPr="005C38AF">
        <w:rPr>
          <w:rFonts w:asciiTheme="majorHAnsi" w:hAnsiTheme="majorHAnsi" w:cstheme="majorHAnsi"/>
        </w:rPr>
        <w:t>Lagiou</w:t>
      </w:r>
      <w:proofErr w:type="spellEnd"/>
      <w:r w:rsidRPr="005C38AF">
        <w:rPr>
          <w:rFonts w:asciiTheme="majorHAnsi" w:hAnsiTheme="majorHAnsi" w:cstheme="majorHAnsi"/>
        </w:rPr>
        <w:t xml:space="preserve">, ‘Healthy Traditional Mediterranean Diet: An Expression of Culture, History, and Lifestyle’, </w:t>
      </w:r>
      <w:r w:rsidRPr="005C38AF">
        <w:rPr>
          <w:rFonts w:asciiTheme="majorHAnsi" w:hAnsiTheme="majorHAnsi" w:cstheme="majorHAnsi"/>
          <w:i/>
          <w:iCs/>
        </w:rPr>
        <w:t>Nutrition Reviews</w:t>
      </w:r>
      <w:r w:rsidRPr="005C38AF">
        <w:rPr>
          <w:rFonts w:asciiTheme="majorHAnsi" w:hAnsiTheme="majorHAnsi" w:cstheme="majorHAnsi"/>
        </w:rPr>
        <w:t>, 55.11 (1997), 383–89 &lt;https://doi.org/10.1111/j.1753-4887.1997.tb01578.x&gt;</w:t>
      </w:r>
    </w:p>
    <w:p w14:paraId="1BD791E0"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‘International Round Table</w:t>
      </w:r>
      <w:proofErr w:type="gramStart"/>
      <w:r w:rsidRPr="005C38AF">
        <w:rPr>
          <w:rFonts w:asciiTheme="majorHAnsi" w:hAnsiTheme="majorHAnsi" w:cstheme="majorHAnsi"/>
        </w:rPr>
        <w:t>:  “</w:t>
      </w:r>
      <w:proofErr w:type="gramEnd"/>
      <w:r w:rsidRPr="005C38AF">
        <w:rPr>
          <w:rFonts w:asciiTheme="majorHAnsi" w:hAnsiTheme="majorHAnsi" w:cstheme="majorHAnsi"/>
        </w:rPr>
        <w:t xml:space="preserve">Intangible Cultural Heritage – Working Definitions”’, in </w:t>
      </w:r>
      <w:r w:rsidRPr="005C38AF">
        <w:rPr>
          <w:rFonts w:asciiTheme="majorHAnsi" w:hAnsiTheme="majorHAnsi" w:cstheme="majorHAnsi"/>
          <w:i/>
          <w:iCs/>
        </w:rPr>
        <w:t>Annotated Agenda</w:t>
      </w:r>
      <w:r w:rsidRPr="005C38AF">
        <w:rPr>
          <w:rFonts w:asciiTheme="majorHAnsi" w:hAnsiTheme="majorHAnsi" w:cstheme="majorHAnsi"/>
        </w:rPr>
        <w:t xml:space="preserve"> (Piedmont, Italy, 2001) &lt;https://ich.unesco.org/doc/src/00075-EN.pdf&gt; [accessed 23 January 2023]</w:t>
      </w:r>
    </w:p>
    <w:p w14:paraId="3803FB8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 ‘Recommendation on the Safeguarding of Traditional Culture and Folklore’, </w:t>
      </w:r>
      <w:r w:rsidRPr="005C38AF">
        <w:rPr>
          <w:rFonts w:asciiTheme="majorHAnsi" w:hAnsiTheme="majorHAnsi" w:cstheme="majorHAnsi"/>
          <w:i/>
          <w:iCs/>
        </w:rPr>
        <w:t>UNESCO</w:t>
      </w:r>
      <w:r w:rsidRPr="005C38AF">
        <w:rPr>
          <w:rFonts w:asciiTheme="majorHAnsi" w:hAnsiTheme="majorHAnsi" w:cstheme="majorHAnsi"/>
        </w:rPr>
        <w:t xml:space="preserve"> &lt;https://en.unesco.org/about-us/legal-affairs/recommendation-safeguarding-traditional-culture-and-folklore&gt; [accessed 2 October 2022]</w:t>
      </w:r>
    </w:p>
    <w:p w14:paraId="0BD4D930"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 Browse the Lists of Intangible Cultural Heritage and the Register of Good Safeguarding Practices’ &lt;https://ich.unesco.org/en/lists&gt; [accessed 23 January 2023]</w:t>
      </w:r>
    </w:p>
    <w:p w14:paraId="7F9CBEEE"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 Mediterranean Diet’ &lt;https://ich.unesco.org/en/RL/mediterranean-diet-00884&gt; [accessed 26 January 2023]</w:t>
      </w:r>
    </w:p>
    <w:p w14:paraId="3B55AF04"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 Proclamation of the Masterpieces of the Oral and Intangible Heritage of Humanity (2001-2005)’ &lt;https://ich.unesco.org/en/proclamation-of-masterpieces-00103&gt; [accessed 23 January 2023]</w:t>
      </w:r>
    </w:p>
    <w:p w14:paraId="6127FE59"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 What Is Intangible Cultural Heritage?’ &lt;https://ich.unesco.org/en/what-is-intangible-heritage-00003&gt; [accessed 23 September 2022]</w:t>
      </w:r>
    </w:p>
    <w:p w14:paraId="56558AA0"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‘UNESCO World Heritage Sites in Wales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Wales</w:t>
      </w:r>
      <w:r w:rsidRPr="005C38AF">
        <w:rPr>
          <w:rFonts w:asciiTheme="majorHAnsi" w:hAnsiTheme="majorHAnsi" w:cstheme="majorHAnsi"/>
        </w:rPr>
        <w:t>, 2022 &lt;https://www.wales.com/visit/unesco-world-heritage-wales&gt; [accessed 2 October 2022]</w:t>
      </w:r>
    </w:p>
    <w:p w14:paraId="2AB4045A"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‘Visiting the Villa at </w:t>
      </w:r>
      <w:proofErr w:type="spellStart"/>
      <w:r w:rsidRPr="005C38AF">
        <w:rPr>
          <w:rFonts w:asciiTheme="majorHAnsi" w:hAnsiTheme="majorHAnsi" w:cstheme="majorHAnsi"/>
        </w:rPr>
        <w:t>Llanerchaeron|Wales</w:t>
      </w:r>
      <w:proofErr w:type="spellEnd"/>
      <w:r w:rsidRPr="005C38AF">
        <w:rPr>
          <w:rFonts w:asciiTheme="majorHAnsi" w:hAnsiTheme="majorHAnsi" w:cstheme="majorHAnsi"/>
        </w:rPr>
        <w:t xml:space="preserve">’, </w:t>
      </w:r>
      <w:r w:rsidRPr="005C38AF">
        <w:rPr>
          <w:rFonts w:asciiTheme="majorHAnsi" w:hAnsiTheme="majorHAnsi" w:cstheme="majorHAnsi"/>
          <w:i/>
          <w:iCs/>
        </w:rPr>
        <w:t>National Trust</w:t>
      </w:r>
      <w:r w:rsidRPr="005C38AF">
        <w:rPr>
          <w:rFonts w:asciiTheme="majorHAnsi" w:hAnsiTheme="majorHAnsi" w:cstheme="majorHAnsi"/>
        </w:rPr>
        <w:t xml:space="preserve"> &lt;https://www.nationaltrust.org.uk/visit/wales/llanerchaeron/visiting-the-john-nash-villa-at-llanerchaeron&gt; [accessed 12 January 2023]</w:t>
      </w:r>
    </w:p>
    <w:p w14:paraId="5717BD92"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Wales, Museum, ‘National Museum of Wales Learning Resources’ &lt;https://museum.wales/media/36220/Primary-School-Visits.pdf&gt; [accessed 23 January 2023]</w:t>
      </w:r>
    </w:p>
    <w:p w14:paraId="44D071D1"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WalesOnline, ‘Women’s Role in the Miners’ Strike, 25 Years On...’, </w:t>
      </w:r>
      <w:r w:rsidRPr="005C38AF">
        <w:rPr>
          <w:rFonts w:asciiTheme="majorHAnsi" w:hAnsiTheme="majorHAnsi" w:cstheme="majorHAnsi"/>
          <w:i/>
          <w:iCs/>
        </w:rPr>
        <w:t>WalesOnline</w:t>
      </w:r>
      <w:r w:rsidRPr="005C38AF">
        <w:rPr>
          <w:rFonts w:asciiTheme="majorHAnsi" w:hAnsiTheme="majorHAnsi" w:cstheme="majorHAnsi"/>
        </w:rPr>
        <w:t>, 2009 &lt;http://www.walesonline.co.uk/lifestyle/showbiz/womens-role-miners-strike-25-2116379&gt; [accessed 4 January 2023]</w:t>
      </w:r>
    </w:p>
    <w:p w14:paraId="0BAB285C"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‘Welsh Food - </w:t>
      </w:r>
      <w:proofErr w:type="spellStart"/>
      <w:r w:rsidRPr="005C38AF">
        <w:rPr>
          <w:rFonts w:asciiTheme="majorHAnsi" w:hAnsiTheme="majorHAnsi" w:cstheme="majorHAnsi"/>
        </w:rPr>
        <w:t>Traditonal</w:t>
      </w:r>
      <w:proofErr w:type="spellEnd"/>
      <w:r w:rsidRPr="005C38AF">
        <w:rPr>
          <w:rFonts w:asciiTheme="majorHAnsi" w:hAnsiTheme="majorHAnsi" w:cstheme="majorHAnsi"/>
        </w:rPr>
        <w:t xml:space="preserve"> Cooking, Food and Recipes from Wales’, </w:t>
      </w:r>
      <w:r w:rsidRPr="005C38AF">
        <w:rPr>
          <w:rFonts w:asciiTheme="majorHAnsi" w:hAnsiTheme="majorHAnsi" w:cstheme="majorHAnsi"/>
          <w:i/>
          <w:iCs/>
        </w:rPr>
        <w:t>Historic UK</w:t>
      </w:r>
      <w:r w:rsidRPr="005C38AF">
        <w:rPr>
          <w:rFonts w:asciiTheme="majorHAnsi" w:hAnsiTheme="majorHAnsi" w:cstheme="majorHAnsi"/>
        </w:rPr>
        <w:t xml:space="preserve"> &lt;https://www.historic-uk.com/CultureUK/Traditional-Welsh-Food/&gt; [accessed 11 November 2022]</w:t>
      </w:r>
    </w:p>
    <w:p w14:paraId="40380533"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‘Welsh Foods</w:t>
      </w:r>
      <w:proofErr w:type="gramStart"/>
      <w:r w:rsidRPr="005C38AF">
        <w:rPr>
          <w:rFonts w:asciiTheme="majorHAnsi" w:hAnsiTheme="majorHAnsi" w:cstheme="majorHAnsi"/>
        </w:rPr>
        <w:t>’,</w:t>
      </w:r>
      <w:proofErr w:type="gramEnd"/>
      <w:r w:rsidRPr="005C38AF">
        <w:rPr>
          <w:rFonts w:asciiTheme="majorHAnsi" w:hAnsiTheme="majorHAnsi" w:cstheme="majorHAnsi"/>
        </w:rPr>
        <w:t xml:space="preserve"> </w:t>
      </w:r>
      <w:r w:rsidRPr="005C38AF">
        <w:rPr>
          <w:rFonts w:asciiTheme="majorHAnsi" w:hAnsiTheme="majorHAnsi" w:cstheme="majorHAnsi"/>
          <w:i/>
          <w:iCs/>
        </w:rPr>
        <w:t>Museum Wales</w:t>
      </w:r>
      <w:r w:rsidRPr="005C38AF">
        <w:rPr>
          <w:rFonts w:asciiTheme="majorHAnsi" w:hAnsiTheme="majorHAnsi" w:cstheme="majorHAnsi"/>
        </w:rPr>
        <w:t xml:space="preserve"> &lt;https://museum.wales/collections/welsh-foods/?id=120&gt; [accessed 4 January 2023]</w:t>
      </w:r>
    </w:p>
    <w:p w14:paraId="402C3CB6"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Wood, Elizabeth, and Kiersten F. Latham, ‘The Thickness of the World: Exploring the Curriculum of Museums through Phenomenological Touch’, </w:t>
      </w:r>
      <w:r w:rsidRPr="005C38AF">
        <w:rPr>
          <w:rFonts w:asciiTheme="majorHAnsi" w:hAnsiTheme="majorHAnsi" w:cstheme="majorHAnsi"/>
          <w:i/>
          <w:iCs/>
        </w:rPr>
        <w:t>Journal of Curriculum Theorizing</w:t>
      </w:r>
      <w:r w:rsidRPr="005C38AF">
        <w:rPr>
          <w:rFonts w:asciiTheme="majorHAnsi" w:hAnsiTheme="majorHAnsi" w:cstheme="majorHAnsi"/>
        </w:rPr>
        <w:t>, 27.2 (2011) &lt;https://journal.jctonline.org/index.php/jct/article/view/347&gt; [accessed 1 January 2023]</w:t>
      </w:r>
    </w:p>
    <w:p w14:paraId="7C21DB05" w14:textId="77777777" w:rsidR="005831B4" w:rsidRPr="005C38AF" w:rsidRDefault="005831B4" w:rsidP="005831B4">
      <w:pPr>
        <w:pStyle w:val="Bibliography"/>
        <w:rPr>
          <w:rFonts w:asciiTheme="majorHAnsi" w:hAnsiTheme="majorHAnsi" w:cstheme="majorHAnsi"/>
        </w:rPr>
      </w:pPr>
      <w:r w:rsidRPr="005C38AF">
        <w:rPr>
          <w:rFonts w:asciiTheme="majorHAnsi" w:hAnsiTheme="majorHAnsi" w:cstheme="majorHAnsi"/>
        </w:rPr>
        <w:t xml:space="preserve">Владимировна, Кульгавова Лариса, ‘History And Mystery Of Welsh Rabbit’, in </w:t>
      </w:r>
      <w:r w:rsidRPr="005C38AF">
        <w:rPr>
          <w:rFonts w:asciiTheme="majorHAnsi" w:hAnsiTheme="majorHAnsi" w:cstheme="majorHAnsi"/>
          <w:i/>
          <w:iCs/>
        </w:rPr>
        <w:t>SCIENTIFIC DEVELOPMENTS: EURASIAN REGION -International scientific conference theoretical and applied developments</w:t>
      </w:r>
      <w:r w:rsidRPr="005C38AF">
        <w:rPr>
          <w:rFonts w:asciiTheme="majorHAnsi" w:hAnsiTheme="majorHAnsi" w:cstheme="majorHAnsi"/>
        </w:rPr>
        <w:t xml:space="preserve"> (presented at the 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 Moscow: Д.Р. Хисматуллин. – Москва: Издательство Инфинити, 2019), pp. 38–41</w:t>
      </w:r>
    </w:p>
    <w:p w14:paraId="5919427B" w14:textId="50BE718F" w:rsidR="00014058" w:rsidRPr="005C38AF" w:rsidRDefault="00D90493" w:rsidP="00BE50E2">
      <w:pPr>
        <w:spacing w:line="360" w:lineRule="auto"/>
        <w:rPr>
          <w:rFonts w:asciiTheme="majorHAnsi" w:hAnsiTheme="majorHAnsi" w:cstheme="majorHAnsi"/>
        </w:rPr>
      </w:pPr>
      <w:r w:rsidRPr="005C38AF">
        <w:rPr>
          <w:rFonts w:asciiTheme="majorHAnsi" w:hAnsiTheme="majorHAnsi" w:cstheme="majorHAnsi"/>
        </w:rPr>
        <w:fldChar w:fldCharType="end"/>
      </w:r>
    </w:p>
    <w:p w14:paraId="630406FE" w14:textId="42CBBA21" w:rsidR="009F4194" w:rsidRDefault="009F4194" w:rsidP="00BE50E2">
      <w:pPr>
        <w:spacing w:line="360" w:lineRule="auto"/>
        <w:rPr>
          <w:rFonts w:asciiTheme="majorHAnsi" w:hAnsiTheme="majorHAnsi" w:cstheme="majorHAnsi"/>
          <w:sz w:val="24"/>
          <w:szCs w:val="24"/>
        </w:rPr>
      </w:pPr>
    </w:p>
    <w:p w14:paraId="1CB068EB" w14:textId="36B5CC8C" w:rsidR="001111BD" w:rsidRDefault="001111BD" w:rsidP="00BE50E2">
      <w:pPr>
        <w:spacing w:line="360" w:lineRule="auto"/>
        <w:rPr>
          <w:rFonts w:asciiTheme="majorHAnsi" w:hAnsiTheme="majorHAnsi" w:cstheme="majorHAnsi"/>
          <w:sz w:val="24"/>
          <w:szCs w:val="24"/>
        </w:rPr>
      </w:pPr>
    </w:p>
    <w:p w14:paraId="7774F424" w14:textId="5CC70EC0" w:rsidR="001111BD" w:rsidRDefault="001111BD" w:rsidP="00BE50E2">
      <w:pPr>
        <w:spacing w:line="360" w:lineRule="auto"/>
        <w:rPr>
          <w:rFonts w:asciiTheme="majorHAnsi" w:hAnsiTheme="majorHAnsi" w:cstheme="majorHAnsi"/>
          <w:sz w:val="24"/>
          <w:szCs w:val="24"/>
        </w:rPr>
      </w:pPr>
    </w:p>
    <w:p w14:paraId="5B8DB763" w14:textId="66C1306C" w:rsidR="001111BD" w:rsidRDefault="001111BD" w:rsidP="00BE50E2">
      <w:pPr>
        <w:spacing w:line="360" w:lineRule="auto"/>
        <w:rPr>
          <w:rFonts w:asciiTheme="majorHAnsi" w:hAnsiTheme="majorHAnsi" w:cstheme="majorHAnsi"/>
          <w:sz w:val="24"/>
          <w:szCs w:val="24"/>
        </w:rPr>
      </w:pPr>
    </w:p>
    <w:p w14:paraId="1C6B88D0" w14:textId="646C446A" w:rsidR="001111BD" w:rsidRDefault="001111BD" w:rsidP="00BE50E2">
      <w:pPr>
        <w:spacing w:line="360" w:lineRule="auto"/>
        <w:rPr>
          <w:rFonts w:asciiTheme="majorHAnsi" w:hAnsiTheme="majorHAnsi" w:cstheme="majorHAnsi"/>
          <w:sz w:val="24"/>
          <w:szCs w:val="24"/>
        </w:rPr>
      </w:pPr>
    </w:p>
    <w:p w14:paraId="7F34257D" w14:textId="4F222ECA" w:rsidR="002508CC" w:rsidRDefault="00A51EE1" w:rsidP="00A51EE1">
      <w:pPr>
        <w:pStyle w:val="Heading1"/>
        <w:jc w:val="center"/>
        <w:rPr>
          <w:sz w:val="36"/>
          <w:szCs w:val="44"/>
        </w:rPr>
      </w:pPr>
      <w:bookmarkStart w:id="66" w:name="_Toc125482496"/>
      <w:r w:rsidRPr="00A51EE1">
        <w:rPr>
          <w:sz w:val="36"/>
          <w:szCs w:val="44"/>
        </w:rPr>
        <w:t>Table of Figures</w:t>
      </w:r>
      <w:bookmarkEnd w:id="66"/>
    </w:p>
    <w:p w14:paraId="6D69C93B" w14:textId="77777777" w:rsidR="00A51EE1" w:rsidRPr="00A51EE1" w:rsidRDefault="00A51EE1" w:rsidP="00A51EE1"/>
    <w:p w14:paraId="2C1BD6C7" w14:textId="5AF0E237" w:rsidR="00A51EE1" w:rsidRPr="0082676B" w:rsidRDefault="00A51EE1" w:rsidP="005C38AF">
      <w:pPr>
        <w:pStyle w:val="TableofFigures"/>
        <w:tabs>
          <w:tab w:val="right" w:leader="dot" w:pos="9016"/>
        </w:tabs>
        <w:spacing w:line="360" w:lineRule="auto"/>
        <w:rPr>
          <w:rFonts w:eastAsiaTheme="minorEastAsia"/>
          <w:noProof/>
          <w:lang w:eastAsia="en-GB"/>
        </w:rPr>
      </w:pPr>
      <w:r w:rsidRPr="0082676B">
        <w:rPr>
          <w:rFonts w:asciiTheme="majorHAnsi" w:hAnsiTheme="majorHAnsi" w:cstheme="majorHAnsi"/>
        </w:rPr>
        <w:fldChar w:fldCharType="begin"/>
      </w:r>
      <w:r w:rsidRPr="0082676B">
        <w:rPr>
          <w:rFonts w:asciiTheme="majorHAnsi" w:hAnsiTheme="majorHAnsi" w:cstheme="majorHAnsi"/>
        </w:rPr>
        <w:instrText xml:space="preserve"> TOC \h \z \c "Figure" </w:instrText>
      </w:r>
      <w:r w:rsidRPr="0082676B">
        <w:rPr>
          <w:rFonts w:asciiTheme="majorHAnsi" w:hAnsiTheme="majorHAnsi" w:cstheme="majorHAnsi"/>
        </w:rPr>
        <w:fldChar w:fldCharType="separate"/>
      </w:r>
      <w:hyperlink r:id="rId29" w:anchor="_Toc125481919" w:history="1">
        <w:r w:rsidRPr="0082676B">
          <w:rPr>
            <w:rStyle w:val="Hyperlink"/>
            <w:noProof/>
          </w:rPr>
          <w:t>Figure 1. Driscoll, Laura Cait. Piacu ar y Maen. 2021. Authors Personal Collection</w:t>
        </w:r>
        <w:r w:rsidRPr="0082676B">
          <w:rPr>
            <w:noProof/>
            <w:webHidden/>
          </w:rPr>
          <w:tab/>
        </w:r>
        <w:r w:rsidRPr="0082676B">
          <w:rPr>
            <w:noProof/>
            <w:webHidden/>
          </w:rPr>
          <w:fldChar w:fldCharType="begin"/>
        </w:r>
        <w:r w:rsidRPr="0082676B">
          <w:rPr>
            <w:noProof/>
            <w:webHidden/>
          </w:rPr>
          <w:instrText xml:space="preserve"> PAGEREF _Toc125481919 \h </w:instrText>
        </w:r>
        <w:r w:rsidRPr="0082676B">
          <w:rPr>
            <w:noProof/>
            <w:webHidden/>
          </w:rPr>
        </w:r>
        <w:r w:rsidRPr="0082676B">
          <w:rPr>
            <w:noProof/>
            <w:webHidden/>
          </w:rPr>
          <w:fldChar w:fldCharType="separate"/>
        </w:r>
        <w:r w:rsidRPr="0082676B">
          <w:rPr>
            <w:noProof/>
            <w:webHidden/>
          </w:rPr>
          <w:t>0</w:t>
        </w:r>
        <w:r w:rsidRPr="0082676B">
          <w:rPr>
            <w:noProof/>
            <w:webHidden/>
          </w:rPr>
          <w:fldChar w:fldCharType="end"/>
        </w:r>
      </w:hyperlink>
    </w:p>
    <w:p w14:paraId="430B5561" w14:textId="59AECFFC"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0" w:history="1">
        <w:r w:rsidRPr="0082676B">
          <w:rPr>
            <w:rStyle w:val="Hyperlink"/>
            <w:rFonts w:asciiTheme="majorHAnsi" w:hAnsiTheme="majorHAnsi" w:cstheme="majorHAnsi"/>
            <w:noProof/>
          </w:rPr>
          <w:t>Figure 2 Driscoll, Laura-Cait. A Modern Meal at St Fagans Living History Museum. 23</w:t>
        </w:r>
        <w:r w:rsidRPr="0082676B">
          <w:rPr>
            <w:rStyle w:val="Hyperlink"/>
            <w:rFonts w:asciiTheme="majorHAnsi" w:hAnsiTheme="majorHAnsi" w:cstheme="majorHAnsi"/>
            <w:noProof/>
            <w:vertAlign w:val="superscript"/>
          </w:rPr>
          <w:t>rd</w:t>
        </w:r>
        <w:r w:rsidRPr="0082676B">
          <w:rPr>
            <w:rStyle w:val="Hyperlink"/>
            <w:rFonts w:asciiTheme="majorHAnsi" w:hAnsiTheme="majorHAnsi" w:cstheme="majorHAnsi"/>
            <w:noProof/>
          </w:rPr>
          <w:t xml:space="preserve">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_Toc125481920 \h </w:instrText>
        </w:r>
        <w:r w:rsidRPr="0082676B">
          <w:rPr>
            <w:noProof/>
            <w:webHidden/>
          </w:rPr>
        </w:r>
        <w:r w:rsidRPr="0082676B">
          <w:rPr>
            <w:noProof/>
            <w:webHidden/>
          </w:rPr>
          <w:fldChar w:fldCharType="separate"/>
        </w:r>
        <w:r w:rsidRPr="0082676B">
          <w:rPr>
            <w:noProof/>
            <w:webHidden/>
          </w:rPr>
          <w:t>36</w:t>
        </w:r>
        <w:r w:rsidRPr="0082676B">
          <w:rPr>
            <w:noProof/>
            <w:webHidden/>
          </w:rPr>
          <w:fldChar w:fldCharType="end"/>
        </w:r>
      </w:hyperlink>
    </w:p>
    <w:p w14:paraId="24D72FD9" w14:textId="7EDF17AB"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1" w:history="1">
        <w:r w:rsidRPr="0082676B">
          <w:rPr>
            <w:rStyle w:val="Hyperlink"/>
            <w:rFonts w:asciiTheme="majorHAnsi" w:hAnsiTheme="majorHAnsi" w:cstheme="majorHAnsi"/>
            <w:noProof/>
          </w:rPr>
          <w:t>Figure 3 Driscoll, Laura-Cait. A Modern Kitchen at St Fagans Living History Museum. 23</w:t>
        </w:r>
        <w:r w:rsidRPr="0082676B">
          <w:rPr>
            <w:rStyle w:val="Hyperlink"/>
            <w:rFonts w:asciiTheme="majorHAnsi" w:hAnsiTheme="majorHAnsi" w:cstheme="majorHAnsi"/>
            <w:noProof/>
            <w:vertAlign w:val="superscript"/>
          </w:rPr>
          <w:t>rd</w:t>
        </w:r>
        <w:r w:rsidRPr="0082676B">
          <w:rPr>
            <w:rStyle w:val="Hyperlink"/>
            <w:rFonts w:asciiTheme="majorHAnsi" w:hAnsiTheme="majorHAnsi" w:cstheme="majorHAnsi"/>
            <w:noProof/>
          </w:rPr>
          <w:t xml:space="preserve">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_Toc125481921 \h </w:instrText>
        </w:r>
        <w:r w:rsidRPr="0082676B">
          <w:rPr>
            <w:noProof/>
            <w:webHidden/>
          </w:rPr>
        </w:r>
        <w:r w:rsidRPr="0082676B">
          <w:rPr>
            <w:noProof/>
            <w:webHidden/>
          </w:rPr>
          <w:fldChar w:fldCharType="separate"/>
        </w:r>
        <w:r w:rsidRPr="0082676B">
          <w:rPr>
            <w:noProof/>
            <w:webHidden/>
          </w:rPr>
          <w:t>36</w:t>
        </w:r>
        <w:r w:rsidRPr="0082676B">
          <w:rPr>
            <w:noProof/>
            <w:webHidden/>
          </w:rPr>
          <w:fldChar w:fldCharType="end"/>
        </w:r>
      </w:hyperlink>
    </w:p>
    <w:p w14:paraId="6E5367DA" w14:textId="7824BB12"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2" w:history="1">
        <w:r w:rsidRPr="0082676B">
          <w:rPr>
            <w:rStyle w:val="Hyperlink"/>
            <w:rFonts w:asciiTheme="majorHAnsi" w:hAnsiTheme="majorHAnsi" w:cstheme="majorHAnsi"/>
            <w:noProof/>
          </w:rPr>
          <w:t>Figure 4. Driscoll, Laura Cait. St Fagans Fireplace Kitchen. 23rd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_Toc125481922 \h </w:instrText>
        </w:r>
        <w:r w:rsidRPr="0082676B">
          <w:rPr>
            <w:noProof/>
            <w:webHidden/>
          </w:rPr>
        </w:r>
        <w:r w:rsidRPr="0082676B">
          <w:rPr>
            <w:noProof/>
            <w:webHidden/>
          </w:rPr>
          <w:fldChar w:fldCharType="separate"/>
        </w:r>
        <w:r w:rsidRPr="0082676B">
          <w:rPr>
            <w:noProof/>
            <w:webHidden/>
          </w:rPr>
          <w:t>36</w:t>
        </w:r>
        <w:r w:rsidRPr="0082676B">
          <w:rPr>
            <w:noProof/>
            <w:webHidden/>
          </w:rPr>
          <w:fldChar w:fldCharType="end"/>
        </w:r>
      </w:hyperlink>
    </w:p>
    <w:p w14:paraId="10C4161A" w14:textId="16E68BAE"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3" w:history="1">
        <w:r w:rsidRPr="0082676B">
          <w:rPr>
            <w:rStyle w:val="Hyperlink"/>
            <w:rFonts w:asciiTheme="majorHAnsi" w:hAnsiTheme="majorHAnsi" w:cstheme="majorHAnsi"/>
            <w:noProof/>
          </w:rPr>
          <w:t>Figure 5. Driscoll, Laura Cait. St Fagans Traditional Bakery. 23rd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_Toc125481923 \h </w:instrText>
        </w:r>
        <w:r w:rsidRPr="0082676B">
          <w:rPr>
            <w:noProof/>
            <w:webHidden/>
          </w:rPr>
        </w:r>
        <w:r w:rsidRPr="0082676B">
          <w:rPr>
            <w:noProof/>
            <w:webHidden/>
          </w:rPr>
          <w:fldChar w:fldCharType="separate"/>
        </w:r>
        <w:r w:rsidRPr="0082676B">
          <w:rPr>
            <w:noProof/>
            <w:webHidden/>
          </w:rPr>
          <w:t>37</w:t>
        </w:r>
        <w:r w:rsidRPr="0082676B">
          <w:rPr>
            <w:noProof/>
            <w:webHidden/>
          </w:rPr>
          <w:fldChar w:fldCharType="end"/>
        </w:r>
      </w:hyperlink>
    </w:p>
    <w:p w14:paraId="4D909951" w14:textId="019F9CC9"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4" w:history="1">
        <w:r w:rsidRPr="0082676B">
          <w:rPr>
            <w:rStyle w:val="Hyperlink"/>
            <w:rFonts w:asciiTheme="majorHAnsi" w:hAnsiTheme="majorHAnsi" w:cstheme="majorHAnsi"/>
            <w:noProof/>
          </w:rPr>
          <w:t>Figure 6. Driscoll, Laura Cait. St Fagans Cakes at Bakery. 23rd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_Toc125481924 \h </w:instrText>
        </w:r>
        <w:r w:rsidRPr="0082676B">
          <w:rPr>
            <w:noProof/>
            <w:webHidden/>
          </w:rPr>
        </w:r>
        <w:r w:rsidRPr="0082676B">
          <w:rPr>
            <w:noProof/>
            <w:webHidden/>
          </w:rPr>
          <w:fldChar w:fldCharType="separate"/>
        </w:r>
        <w:r w:rsidRPr="0082676B">
          <w:rPr>
            <w:noProof/>
            <w:webHidden/>
          </w:rPr>
          <w:t>38</w:t>
        </w:r>
        <w:r w:rsidRPr="0082676B">
          <w:rPr>
            <w:noProof/>
            <w:webHidden/>
          </w:rPr>
          <w:fldChar w:fldCharType="end"/>
        </w:r>
      </w:hyperlink>
    </w:p>
    <w:p w14:paraId="3F56A945" w14:textId="763A9B99"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5" w:history="1">
        <w:r w:rsidRPr="0082676B">
          <w:rPr>
            <w:rStyle w:val="Hyperlink"/>
            <w:rFonts w:asciiTheme="majorHAnsi" w:hAnsiTheme="majorHAnsi" w:cstheme="majorHAnsi"/>
            <w:noProof/>
          </w:rPr>
          <w:t>Figure 7. Driscoll, Laura Cait. Llanerchaeron Dining Room. 5th June 2022. Authors Personal Collection</w:t>
        </w:r>
        <w:r w:rsidRPr="0082676B">
          <w:rPr>
            <w:noProof/>
            <w:webHidden/>
          </w:rPr>
          <w:tab/>
        </w:r>
        <w:r w:rsidRPr="0082676B">
          <w:rPr>
            <w:noProof/>
            <w:webHidden/>
          </w:rPr>
          <w:fldChar w:fldCharType="begin"/>
        </w:r>
        <w:r w:rsidRPr="0082676B">
          <w:rPr>
            <w:noProof/>
            <w:webHidden/>
          </w:rPr>
          <w:instrText xml:space="preserve"> PAGEREF _Toc125481925 \h </w:instrText>
        </w:r>
        <w:r w:rsidRPr="0082676B">
          <w:rPr>
            <w:noProof/>
            <w:webHidden/>
          </w:rPr>
        </w:r>
        <w:r w:rsidRPr="0082676B">
          <w:rPr>
            <w:noProof/>
            <w:webHidden/>
          </w:rPr>
          <w:fldChar w:fldCharType="separate"/>
        </w:r>
        <w:r w:rsidRPr="0082676B">
          <w:rPr>
            <w:noProof/>
            <w:webHidden/>
          </w:rPr>
          <w:t>40</w:t>
        </w:r>
        <w:r w:rsidRPr="0082676B">
          <w:rPr>
            <w:noProof/>
            <w:webHidden/>
          </w:rPr>
          <w:fldChar w:fldCharType="end"/>
        </w:r>
      </w:hyperlink>
    </w:p>
    <w:p w14:paraId="7AA884AB" w14:textId="39DAF512"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6" w:history="1">
        <w:r w:rsidRPr="0082676B">
          <w:rPr>
            <w:rStyle w:val="Hyperlink"/>
            <w:rFonts w:asciiTheme="majorHAnsi" w:hAnsiTheme="majorHAnsi" w:cstheme="majorHAnsi"/>
            <w:noProof/>
          </w:rPr>
          <w:t>Figure 8. . Driscoll, Laura Cait. Llanerchaeron Kitchen Pantry. 5th June 2022. Authors Personal Collection</w:t>
        </w:r>
        <w:r w:rsidRPr="0082676B">
          <w:rPr>
            <w:noProof/>
            <w:webHidden/>
          </w:rPr>
          <w:tab/>
        </w:r>
        <w:r w:rsidRPr="0082676B">
          <w:rPr>
            <w:noProof/>
            <w:webHidden/>
          </w:rPr>
          <w:fldChar w:fldCharType="begin"/>
        </w:r>
        <w:r w:rsidRPr="0082676B">
          <w:rPr>
            <w:noProof/>
            <w:webHidden/>
          </w:rPr>
          <w:instrText xml:space="preserve"> PAGEREF _Toc125481926 \h </w:instrText>
        </w:r>
        <w:r w:rsidRPr="0082676B">
          <w:rPr>
            <w:noProof/>
            <w:webHidden/>
          </w:rPr>
        </w:r>
        <w:r w:rsidRPr="0082676B">
          <w:rPr>
            <w:noProof/>
            <w:webHidden/>
          </w:rPr>
          <w:fldChar w:fldCharType="separate"/>
        </w:r>
        <w:r w:rsidRPr="0082676B">
          <w:rPr>
            <w:noProof/>
            <w:webHidden/>
          </w:rPr>
          <w:t>40</w:t>
        </w:r>
        <w:r w:rsidRPr="0082676B">
          <w:rPr>
            <w:noProof/>
            <w:webHidden/>
          </w:rPr>
          <w:fldChar w:fldCharType="end"/>
        </w:r>
      </w:hyperlink>
    </w:p>
    <w:p w14:paraId="2DF694B3" w14:textId="0DE0D4F1"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7" w:history="1">
        <w:r w:rsidRPr="0082676B">
          <w:rPr>
            <w:rStyle w:val="Hyperlink"/>
            <w:rFonts w:asciiTheme="majorHAnsi" w:hAnsiTheme="majorHAnsi" w:cstheme="majorHAnsi"/>
            <w:noProof/>
          </w:rPr>
          <w:t>Figure 9. . Driscoll, Laura Cait. Llanerchaeron Kitchen Area. 5th June 2022. Authors Personal Collection</w:t>
        </w:r>
        <w:r w:rsidRPr="0082676B">
          <w:rPr>
            <w:noProof/>
            <w:webHidden/>
          </w:rPr>
          <w:tab/>
        </w:r>
        <w:r w:rsidRPr="0082676B">
          <w:rPr>
            <w:noProof/>
            <w:webHidden/>
          </w:rPr>
          <w:fldChar w:fldCharType="begin"/>
        </w:r>
        <w:r w:rsidRPr="0082676B">
          <w:rPr>
            <w:noProof/>
            <w:webHidden/>
          </w:rPr>
          <w:instrText xml:space="preserve"> PAGEREF _Toc125481927 \h </w:instrText>
        </w:r>
        <w:r w:rsidRPr="0082676B">
          <w:rPr>
            <w:noProof/>
            <w:webHidden/>
          </w:rPr>
        </w:r>
        <w:r w:rsidRPr="0082676B">
          <w:rPr>
            <w:noProof/>
            <w:webHidden/>
          </w:rPr>
          <w:fldChar w:fldCharType="separate"/>
        </w:r>
        <w:r w:rsidRPr="0082676B">
          <w:rPr>
            <w:noProof/>
            <w:webHidden/>
          </w:rPr>
          <w:t>40</w:t>
        </w:r>
        <w:r w:rsidRPr="0082676B">
          <w:rPr>
            <w:noProof/>
            <w:webHidden/>
          </w:rPr>
          <w:fldChar w:fldCharType="end"/>
        </w:r>
      </w:hyperlink>
    </w:p>
    <w:p w14:paraId="67B3652D" w14:textId="71A5F6DB"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8" w:history="1">
        <w:r w:rsidRPr="0082676B">
          <w:rPr>
            <w:rStyle w:val="Hyperlink"/>
            <w:rFonts w:asciiTheme="majorHAnsi" w:hAnsiTheme="majorHAnsi" w:cstheme="majorHAnsi"/>
            <w:noProof/>
          </w:rPr>
          <w:t>Figure 10. . Driscoll, Laura Cait. Big Pit Museum Display of a Water Jack and Tommy Box Food Tin. 8th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_Toc125481928 \h </w:instrText>
        </w:r>
        <w:r w:rsidRPr="0082676B">
          <w:rPr>
            <w:noProof/>
            <w:webHidden/>
          </w:rPr>
        </w:r>
        <w:r w:rsidRPr="0082676B">
          <w:rPr>
            <w:noProof/>
            <w:webHidden/>
          </w:rPr>
          <w:fldChar w:fldCharType="separate"/>
        </w:r>
        <w:r w:rsidRPr="0082676B">
          <w:rPr>
            <w:noProof/>
            <w:webHidden/>
          </w:rPr>
          <w:t>43</w:t>
        </w:r>
        <w:r w:rsidRPr="0082676B">
          <w:rPr>
            <w:noProof/>
            <w:webHidden/>
          </w:rPr>
          <w:fldChar w:fldCharType="end"/>
        </w:r>
      </w:hyperlink>
    </w:p>
    <w:p w14:paraId="683D5A7E" w14:textId="02C8ED38"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29" w:history="1">
        <w:r w:rsidRPr="0082676B">
          <w:rPr>
            <w:rStyle w:val="Hyperlink"/>
            <w:rFonts w:asciiTheme="majorHAnsi" w:hAnsiTheme="majorHAnsi" w:cstheme="majorHAnsi"/>
            <w:noProof/>
          </w:rPr>
          <w:t>Figure 11. Driscoll, Laura Cait. Big Pit Museum Display of Miners Eating Their Lunch Underground. 8th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_Toc125481929 \h </w:instrText>
        </w:r>
        <w:r w:rsidRPr="0082676B">
          <w:rPr>
            <w:noProof/>
            <w:webHidden/>
          </w:rPr>
        </w:r>
        <w:r w:rsidRPr="0082676B">
          <w:rPr>
            <w:noProof/>
            <w:webHidden/>
          </w:rPr>
          <w:fldChar w:fldCharType="separate"/>
        </w:r>
        <w:r w:rsidRPr="0082676B">
          <w:rPr>
            <w:noProof/>
            <w:webHidden/>
          </w:rPr>
          <w:t>44</w:t>
        </w:r>
        <w:r w:rsidRPr="0082676B">
          <w:rPr>
            <w:noProof/>
            <w:webHidden/>
          </w:rPr>
          <w:fldChar w:fldCharType="end"/>
        </w:r>
      </w:hyperlink>
    </w:p>
    <w:p w14:paraId="14C58A3D" w14:textId="6B65ACAF"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30" w:history="1">
        <w:r w:rsidRPr="0082676B">
          <w:rPr>
            <w:rStyle w:val="Hyperlink"/>
            <w:rFonts w:asciiTheme="majorHAnsi" w:hAnsiTheme="majorHAnsi" w:cstheme="majorHAnsi"/>
            <w:noProof/>
          </w:rPr>
          <w:t>Figure 12. . Driscoll, Laura Cait. Big Pit Museum Display of a Pig Sty. 8th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_Toc125481930 \h </w:instrText>
        </w:r>
        <w:r w:rsidRPr="0082676B">
          <w:rPr>
            <w:noProof/>
            <w:webHidden/>
          </w:rPr>
        </w:r>
        <w:r w:rsidRPr="0082676B">
          <w:rPr>
            <w:noProof/>
            <w:webHidden/>
          </w:rPr>
          <w:fldChar w:fldCharType="separate"/>
        </w:r>
        <w:r w:rsidRPr="0082676B">
          <w:rPr>
            <w:noProof/>
            <w:webHidden/>
          </w:rPr>
          <w:t>45</w:t>
        </w:r>
        <w:r w:rsidRPr="0082676B">
          <w:rPr>
            <w:noProof/>
            <w:webHidden/>
          </w:rPr>
          <w:fldChar w:fldCharType="end"/>
        </w:r>
      </w:hyperlink>
    </w:p>
    <w:p w14:paraId="7955004D" w14:textId="6FB58A19"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31" w:history="1">
        <w:r w:rsidRPr="0082676B">
          <w:rPr>
            <w:rStyle w:val="Hyperlink"/>
            <w:rFonts w:asciiTheme="majorHAnsi" w:hAnsiTheme="majorHAnsi" w:cstheme="majorHAnsi"/>
            <w:noProof/>
          </w:rPr>
          <w:t>Figure 13. . Driscoll, Laura Cait. Big Pit Museum Display of Plastic Food Behind Glass. 8th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_Toc125481931 \h </w:instrText>
        </w:r>
        <w:r w:rsidRPr="0082676B">
          <w:rPr>
            <w:noProof/>
            <w:webHidden/>
          </w:rPr>
        </w:r>
        <w:r w:rsidRPr="0082676B">
          <w:rPr>
            <w:noProof/>
            <w:webHidden/>
          </w:rPr>
          <w:fldChar w:fldCharType="separate"/>
        </w:r>
        <w:r w:rsidRPr="0082676B">
          <w:rPr>
            <w:noProof/>
            <w:webHidden/>
          </w:rPr>
          <w:t>46</w:t>
        </w:r>
        <w:r w:rsidRPr="0082676B">
          <w:rPr>
            <w:noProof/>
            <w:webHidden/>
          </w:rPr>
          <w:fldChar w:fldCharType="end"/>
        </w:r>
      </w:hyperlink>
    </w:p>
    <w:p w14:paraId="4CF98860" w14:textId="1D08A870"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32" w:history="1">
        <w:r w:rsidRPr="0082676B">
          <w:rPr>
            <w:rStyle w:val="Hyperlink"/>
            <w:rFonts w:asciiTheme="majorHAnsi" w:hAnsiTheme="majorHAnsi" w:cstheme="majorHAnsi"/>
            <w:noProof/>
          </w:rPr>
          <w:t>Figure 14. Driscoll, Laura Cait. A Museum Staff Member Grinding Wheat For Flour at Castell Henllys. 16th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_Toc125481932 \h </w:instrText>
        </w:r>
        <w:r w:rsidRPr="0082676B">
          <w:rPr>
            <w:noProof/>
            <w:webHidden/>
          </w:rPr>
        </w:r>
        <w:r w:rsidRPr="0082676B">
          <w:rPr>
            <w:noProof/>
            <w:webHidden/>
          </w:rPr>
          <w:fldChar w:fldCharType="separate"/>
        </w:r>
        <w:r w:rsidRPr="0082676B">
          <w:rPr>
            <w:noProof/>
            <w:webHidden/>
          </w:rPr>
          <w:t>48</w:t>
        </w:r>
        <w:r w:rsidRPr="0082676B">
          <w:rPr>
            <w:noProof/>
            <w:webHidden/>
          </w:rPr>
          <w:fldChar w:fldCharType="end"/>
        </w:r>
      </w:hyperlink>
    </w:p>
    <w:p w14:paraId="1BF1B533" w14:textId="167584B3"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33" w:history="1">
        <w:r w:rsidRPr="0082676B">
          <w:rPr>
            <w:rStyle w:val="Hyperlink"/>
            <w:rFonts w:asciiTheme="majorHAnsi" w:hAnsiTheme="majorHAnsi" w:cstheme="majorHAnsi"/>
            <w:noProof/>
          </w:rPr>
          <w:t>Figure 15. Driscoll, Laura Cait. Round House Cooking Area at Castell Henllys. 16th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_Toc125481933 \h </w:instrText>
        </w:r>
        <w:r w:rsidRPr="0082676B">
          <w:rPr>
            <w:noProof/>
            <w:webHidden/>
          </w:rPr>
        </w:r>
        <w:r w:rsidRPr="0082676B">
          <w:rPr>
            <w:noProof/>
            <w:webHidden/>
          </w:rPr>
          <w:fldChar w:fldCharType="separate"/>
        </w:r>
        <w:r w:rsidRPr="0082676B">
          <w:rPr>
            <w:noProof/>
            <w:webHidden/>
          </w:rPr>
          <w:t>48</w:t>
        </w:r>
        <w:r w:rsidRPr="0082676B">
          <w:rPr>
            <w:noProof/>
            <w:webHidden/>
          </w:rPr>
          <w:fldChar w:fldCharType="end"/>
        </w:r>
      </w:hyperlink>
    </w:p>
    <w:p w14:paraId="22C135B4" w14:textId="2C79D059" w:rsidR="00A51EE1" w:rsidRPr="0082676B" w:rsidRDefault="00A51EE1" w:rsidP="005C38AF">
      <w:pPr>
        <w:pStyle w:val="TableofFigures"/>
        <w:tabs>
          <w:tab w:val="right" w:leader="dot" w:pos="9016"/>
        </w:tabs>
        <w:spacing w:line="360" w:lineRule="auto"/>
        <w:rPr>
          <w:rFonts w:eastAsiaTheme="minorEastAsia"/>
          <w:noProof/>
          <w:lang w:eastAsia="en-GB"/>
        </w:rPr>
      </w:pPr>
      <w:hyperlink w:anchor="_Toc125481934" w:history="1">
        <w:r w:rsidRPr="0082676B">
          <w:rPr>
            <w:rStyle w:val="Hyperlink"/>
            <w:rFonts w:asciiTheme="majorHAnsi" w:hAnsiTheme="majorHAnsi" w:cstheme="majorHAnsi"/>
            <w:noProof/>
          </w:rPr>
          <w:t>Figure 16. Driscoll, Laura Cait. Clay Bread Oven at Castell Henllys. 16th October 2022. Authors Personal Collection</w:t>
        </w:r>
        <w:r w:rsidRPr="0082676B">
          <w:rPr>
            <w:noProof/>
            <w:webHidden/>
          </w:rPr>
          <w:tab/>
        </w:r>
        <w:r w:rsidRPr="0082676B">
          <w:rPr>
            <w:noProof/>
            <w:webHidden/>
          </w:rPr>
          <w:fldChar w:fldCharType="begin"/>
        </w:r>
        <w:r w:rsidRPr="0082676B">
          <w:rPr>
            <w:noProof/>
            <w:webHidden/>
          </w:rPr>
          <w:instrText xml:space="preserve"> PAGEREF _Toc125481934 \h </w:instrText>
        </w:r>
        <w:r w:rsidRPr="0082676B">
          <w:rPr>
            <w:noProof/>
            <w:webHidden/>
          </w:rPr>
        </w:r>
        <w:r w:rsidRPr="0082676B">
          <w:rPr>
            <w:noProof/>
            <w:webHidden/>
          </w:rPr>
          <w:fldChar w:fldCharType="separate"/>
        </w:r>
        <w:r w:rsidRPr="0082676B">
          <w:rPr>
            <w:noProof/>
            <w:webHidden/>
          </w:rPr>
          <w:t>49</w:t>
        </w:r>
        <w:r w:rsidRPr="0082676B">
          <w:rPr>
            <w:noProof/>
            <w:webHidden/>
          </w:rPr>
          <w:fldChar w:fldCharType="end"/>
        </w:r>
      </w:hyperlink>
    </w:p>
    <w:p w14:paraId="37A46AC9" w14:textId="6935FB80" w:rsidR="00A51EE1" w:rsidRPr="0082676B" w:rsidRDefault="00A51EE1" w:rsidP="005C38AF">
      <w:pPr>
        <w:spacing w:line="360" w:lineRule="auto"/>
        <w:rPr>
          <w:rFonts w:asciiTheme="majorHAnsi" w:hAnsiTheme="majorHAnsi" w:cstheme="majorHAnsi"/>
        </w:rPr>
      </w:pPr>
      <w:r w:rsidRPr="0082676B">
        <w:rPr>
          <w:rFonts w:asciiTheme="majorHAnsi" w:hAnsiTheme="majorHAnsi" w:cstheme="majorHAnsi"/>
        </w:rPr>
        <w:fldChar w:fldCharType="end"/>
      </w:r>
    </w:p>
    <w:sectPr w:rsidR="00A51EE1" w:rsidRPr="0082676B" w:rsidSect="00014058">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C965D" w14:textId="77777777" w:rsidR="00397768" w:rsidRDefault="00397768" w:rsidP="00014058">
      <w:pPr>
        <w:spacing w:after="0" w:line="240" w:lineRule="auto"/>
      </w:pPr>
      <w:r>
        <w:separator/>
      </w:r>
    </w:p>
  </w:endnote>
  <w:endnote w:type="continuationSeparator" w:id="0">
    <w:p w14:paraId="3A1AE050" w14:textId="77777777" w:rsidR="00397768" w:rsidRDefault="00397768" w:rsidP="00014058">
      <w:pPr>
        <w:spacing w:after="0" w:line="240" w:lineRule="auto"/>
      </w:pPr>
      <w:r>
        <w:continuationSeparator/>
      </w:r>
    </w:p>
  </w:endnote>
  <w:endnote w:type="continuationNotice" w:id="1">
    <w:p w14:paraId="366AF082" w14:textId="77777777" w:rsidR="00115CA9" w:rsidRDefault="00115C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614044"/>
      <w:docPartObj>
        <w:docPartGallery w:val="Page Numbers (Bottom of Page)"/>
        <w:docPartUnique/>
      </w:docPartObj>
    </w:sdtPr>
    <w:sdtEndPr/>
    <w:sdtContent>
      <w:p w14:paraId="0C54D32B" w14:textId="0462D538" w:rsidR="00014058" w:rsidRDefault="00014058">
        <w:pPr>
          <w:pStyle w:val="Footer"/>
          <w:jc w:val="right"/>
        </w:pPr>
        <w:r>
          <w:fldChar w:fldCharType="begin"/>
        </w:r>
        <w:r>
          <w:instrText>PAGE   \* MERGEFORMAT</w:instrText>
        </w:r>
        <w:r>
          <w:fldChar w:fldCharType="separate"/>
        </w:r>
        <w:r>
          <w:t>2</w:t>
        </w:r>
        <w:r>
          <w:fldChar w:fldCharType="end"/>
        </w:r>
      </w:p>
    </w:sdtContent>
  </w:sdt>
  <w:p w14:paraId="1B0B5D34" w14:textId="77777777" w:rsidR="00014058" w:rsidRDefault="00014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4125E" w14:textId="77777777" w:rsidR="00397768" w:rsidRDefault="00397768" w:rsidP="00014058">
      <w:pPr>
        <w:spacing w:after="0" w:line="240" w:lineRule="auto"/>
      </w:pPr>
      <w:r>
        <w:separator/>
      </w:r>
    </w:p>
  </w:footnote>
  <w:footnote w:type="continuationSeparator" w:id="0">
    <w:p w14:paraId="460B9FF9" w14:textId="77777777" w:rsidR="00397768" w:rsidRDefault="00397768" w:rsidP="00014058">
      <w:pPr>
        <w:spacing w:after="0" w:line="240" w:lineRule="auto"/>
      </w:pPr>
      <w:r>
        <w:continuationSeparator/>
      </w:r>
    </w:p>
  </w:footnote>
  <w:footnote w:type="continuationNotice" w:id="1">
    <w:p w14:paraId="21BFFD6A" w14:textId="77777777" w:rsidR="00115CA9" w:rsidRDefault="00115CA9">
      <w:pPr>
        <w:spacing w:after="0" w:line="240" w:lineRule="auto"/>
      </w:pPr>
    </w:p>
  </w:footnote>
  <w:footnote w:id="2">
    <w:p w14:paraId="4A12A372" w14:textId="77777777" w:rsidR="000D5C68" w:rsidRDefault="000D5C68" w:rsidP="000D5C68">
      <w:pPr>
        <w:pStyle w:val="FootnoteText"/>
      </w:pPr>
      <w:r w:rsidRPr="001C6C14">
        <w:rPr>
          <w:rStyle w:val="FootnoteReference"/>
        </w:rPr>
        <w:footnoteRef/>
      </w:r>
      <w:r>
        <w:t xml:space="preserve"> </w:t>
      </w:r>
      <w:r>
        <w:fldChar w:fldCharType="begin"/>
      </w:r>
      <w:r>
        <w:instrText xml:space="preserve"> ADDIN ZOTERO_ITEM CSL_CITATION {"citationID":"Tuk6Rrbg","properties":{"formattedCitation":"Carwyn Graves, {\\i{}Welsh Food Stories} (Calon, 2022).","plainCitation":"Carwyn Graves, Welsh Food Stories (Calon, 2022).","noteIndex":1},"citationItems":[{"id":1,"uris":["http://zotero.org/users/6665715/items/Y23ITYPZ"],"itemData":{"id":1,"type":"book","ISBN":"978-1-915279-00-2","language":"English","number-of-pages":"272","publisher":"Calon","source":"Amazon","title":"Welsh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964CAF">
        <w:rPr>
          <w:rFonts w:ascii="Calibri" w:hAnsi="Calibri" w:cs="Calibri"/>
          <w:szCs w:val="24"/>
        </w:rPr>
        <w:t xml:space="preserve">Carwyn Graves, </w:t>
      </w:r>
      <w:r w:rsidRPr="00964CAF">
        <w:rPr>
          <w:rFonts w:ascii="Calibri" w:hAnsi="Calibri" w:cs="Calibri"/>
          <w:i/>
          <w:iCs/>
          <w:szCs w:val="24"/>
        </w:rPr>
        <w:t>Welsh Food Stories</w:t>
      </w:r>
      <w:r w:rsidRPr="00964CAF">
        <w:rPr>
          <w:rFonts w:ascii="Calibri" w:hAnsi="Calibri" w:cs="Calibri"/>
          <w:szCs w:val="24"/>
        </w:rPr>
        <w:t xml:space="preserve"> (Calon, 2022).</w:t>
      </w:r>
      <w:r>
        <w:fldChar w:fldCharType="end"/>
      </w:r>
    </w:p>
  </w:footnote>
  <w:footnote w:id="3">
    <w:p w14:paraId="7E8ABE5C" w14:textId="0E0B24AD" w:rsidR="0033632C" w:rsidRDefault="0033632C">
      <w:pPr>
        <w:pStyle w:val="FootnoteText"/>
      </w:pPr>
      <w:r w:rsidRPr="001C6C14">
        <w:rPr>
          <w:rStyle w:val="FootnoteReference"/>
        </w:rPr>
        <w:footnoteRef/>
      </w:r>
      <w:r>
        <w:t xml:space="preserve"> </w:t>
      </w:r>
      <w:r>
        <w:fldChar w:fldCharType="begin"/>
      </w:r>
      <w:r>
        <w:instrText xml:space="preserve"> ADDIN ZOTERO_ITEM CSL_CITATION {"citationID":"56n8MMY0","properties":{"formattedCitation":"\\uc0\\u8216{}UNESCO - What Is Intangible Cultural Heritage?\\uc0\\u8217{} &lt;https://ich.unesco.org/en/what-is-intangible-heritage-00003&gt; [accessed 23 September 2022].","plainCitation":"‘UNESCO - What Is Intangible Cultural Heritage?’ &lt;https://ich.unesco.org/en/what-is-intangible-heritage-00003&gt; [accessed 23 September 2022].","noteIndex":2},"citationItems":[{"id":39,"uris":["http://zotero.org/users/6665715/items/D4Y5MGHG"],"itemData":{"id":39,"type":"webpage","abstract":"The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Pr="0033632C">
        <w:rPr>
          <w:rFonts w:ascii="Calibri" w:hAnsi="Calibri" w:cs="Calibri"/>
          <w:szCs w:val="24"/>
        </w:rPr>
        <w:t>‘UNESCO - What Is Intangible Cultural Heritage?’ &lt;https://ich.unesco.org/en/what-is-intangible-heritage-00003&gt; [accessed 23 September 2022].</w:t>
      </w:r>
      <w:r>
        <w:fldChar w:fldCharType="end"/>
      </w:r>
    </w:p>
  </w:footnote>
  <w:footnote w:id="4">
    <w:p w14:paraId="3C9273B3" w14:textId="291B8F9D" w:rsidR="00715FDB" w:rsidRDefault="00715FDB">
      <w:pPr>
        <w:pStyle w:val="FootnoteText"/>
      </w:pPr>
      <w:r w:rsidRPr="001C6C14">
        <w:rPr>
          <w:rStyle w:val="FootnoteReference"/>
        </w:rPr>
        <w:footnoteRef/>
      </w:r>
      <w:r>
        <w:t xml:space="preserve"> </w:t>
      </w:r>
      <w:r>
        <w:fldChar w:fldCharType="begin"/>
      </w:r>
      <w:r>
        <w:instrText xml:space="preserve"> ADDIN ZOTERO_ITEM CSL_CITATION {"citationID":"BMLYGmwK","properties":{"formattedCitation":"\\uc0\\u8216{}UNESCO - What Is Intangible Cultural Heritage?\\uc0\\u8217{}","plainCitation":"‘UNESCO - What Is Intangible Cultural Heritage?’","noteIndex":3},"citationItems":[{"id":39,"uris":["http://zotero.org/users/6665715/items/D4Y5MGHG"],"itemData":{"id":39,"type":"webpage","abstract":"The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Pr="00715FDB">
        <w:rPr>
          <w:rFonts w:ascii="Calibri" w:hAnsi="Calibri" w:cs="Calibri"/>
          <w:szCs w:val="24"/>
        </w:rPr>
        <w:t>‘UNESCO - What Is Intangible Cultural Heritage?’</w:t>
      </w:r>
      <w:r>
        <w:fldChar w:fldCharType="end"/>
      </w:r>
    </w:p>
  </w:footnote>
  <w:footnote w:id="5">
    <w:p w14:paraId="68233D89" w14:textId="5A8A5E0B" w:rsidR="00B51273" w:rsidRDefault="00B51273">
      <w:pPr>
        <w:pStyle w:val="FootnoteText"/>
      </w:pPr>
      <w:r w:rsidRPr="001C6C14">
        <w:rPr>
          <w:rStyle w:val="FootnoteReference"/>
        </w:rPr>
        <w:footnoteRef/>
      </w:r>
      <w:r>
        <w:t xml:space="preserve"> </w:t>
      </w:r>
      <w:r>
        <w:fldChar w:fldCharType="begin"/>
      </w:r>
      <w:r>
        <w:instrText xml:space="preserve"> ADDIN ZOTERO_ITEM CSL_CITATION {"citationID":"E3VeoOc2","properties":{"formattedCitation":"\\uc0\\u8216{}UNESCO - What Is Intangible Cultural Heritage?\\uc0\\u8217{}","plainCitation":"‘UNESCO - What Is Intangible Cultural Heritage?’","noteIndex":4},"citationItems":[{"id":39,"uris":["http://zotero.org/users/6665715/items/D4Y5MGHG"],"itemData":{"id":39,"type":"webpage","abstract":"The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Pr="00B51273">
        <w:rPr>
          <w:rFonts w:ascii="Calibri" w:hAnsi="Calibri" w:cs="Calibri"/>
          <w:szCs w:val="24"/>
        </w:rPr>
        <w:t>‘UNESCO - What Is Intangible Cultural Heritage?’</w:t>
      </w:r>
      <w:r>
        <w:fldChar w:fldCharType="end"/>
      </w:r>
    </w:p>
  </w:footnote>
  <w:footnote w:id="6">
    <w:p w14:paraId="2A70C547" w14:textId="0DF99ECC" w:rsidR="00C11A54" w:rsidRDefault="00C11A54">
      <w:pPr>
        <w:pStyle w:val="FootnoteText"/>
      </w:pPr>
      <w:r w:rsidRPr="001C6C14">
        <w:rPr>
          <w:rStyle w:val="FootnoteReference"/>
        </w:rPr>
        <w:footnoteRef/>
      </w:r>
      <w:r>
        <w:t xml:space="preserve"> </w:t>
      </w:r>
      <w:r>
        <w:fldChar w:fldCharType="begin"/>
      </w:r>
      <w:r>
        <w:instrText xml:space="preserve"> ADDIN ZOTERO_ITEM CSL_CITATION {"citationID":"3tXWWxGr","properties":{"formattedCitation":"\\uc0\\u8216{}UNESCO - What Is Intangible Cultural Heritage?\\uc0\\u8217{}","plainCitation":"‘UNESCO - What Is Intangible Cultural Heritage?’","noteIndex":5},"citationItems":[{"id":39,"uris":["http://zotero.org/users/6665715/items/D4Y5MGHG"],"itemData":{"id":39,"type":"webpage","abstract":"The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Pr="00C11A54">
        <w:rPr>
          <w:rFonts w:ascii="Calibri" w:hAnsi="Calibri" w:cs="Calibri"/>
          <w:szCs w:val="24"/>
        </w:rPr>
        <w:t>‘UNESCO - What Is Intangible Cultural Heritage?’</w:t>
      </w:r>
      <w:r>
        <w:fldChar w:fldCharType="end"/>
      </w:r>
    </w:p>
  </w:footnote>
  <w:footnote w:id="7">
    <w:p w14:paraId="186B3D9D" w14:textId="4DFC592F" w:rsidR="00C01CD9" w:rsidRDefault="00C01CD9">
      <w:pPr>
        <w:pStyle w:val="FootnoteText"/>
      </w:pPr>
      <w:r w:rsidRPr="001C6C14">
        <w:rPr>
          <w:rStyle w:val="FootnoteReference"/>
        </w:rPr>
        <w:footnoteRef/>
      </w:r>
      <w:r>
        <w:t xml:space="preserve"> </w:t>
      </w:r>
      <w:r>
        <w:fldChar w:fldCharType="begin"/>
      </w:r>
      <w:r w:rsidR="00D90493">
        <w:instrText xml:space="preserve"> ADDIN ZOTERO_ITEM CSL_CITATION {"citationID":"KDdbc1cE","properties":{"formattedCitation":"Laura Di Fiore, \\uc0\\u8216{}Chapter 2 Heritage and Food History\\uc0\\u8239{}: A Critical Assessment\\uc0\\u8217{}, 2020 &lt;https://directory.doabooks.org/handle/20.500.12854/30400&gt; [accessed 21 August 2022].","plainCitation":"Laura Di Fiore, ‘Chapter 2 Heritage and Food History : A Critical Assessment’, 2020 &lt;https://directory.doabooks.org/handle/20.500.12854/30400&gt; [accessed 21 August 2022].","dontUpdate":true,"noteIndex":6},"citationItems":[{"id":12,"uris":["http://zotero.org/users/6665715/items/BJATI6Q5"],"itemData":{"id":12,"type":"article-journal","abstract":"Food Heritage and Nationalism in Europe contends that food is a fundamental element of heritage, and a particularly important one in times of crisis. Arguing that food, taste, cuisine and gastronomy are crucial markers of identity that are inherently connected to constructions of place, tradition and the past, the book demonstrates how they play a role in intangible, as well as tangible, heritage. Featuring contributions from experts working across Europe and beyond, and adopting a strong historical and transnational perspective, the book examines the various ways in which food can be understood and used as heritage. Including explorations of imperial spaces, migrations and diasporas; the role of commercialisation processes, and institutional practices within political and cultural domains, this volume considers all aspects of this complex issue.</w:instrText>
      </w:r>
      <w:r w:rsidR="00D90493">
        <w:rPr>
          <w:rFonts w:ascii="MS Gothic" w:eastAsia="MS Gothic" w:hAnsi="MS Gothic" w:cs="MS Gothic" w:hint="eastAsia"/>
        </w:rPr>
        <w:instrText xml:space="preserve">　</w:instrText>
      </w:r>
      <w:r w:rsidR="00D90493">
        <w:instrText xml:space="preserve">Arguing that the various European cuisines are the result of exchanges, hybridities and complex historical processes, Porciani and the chapter authors offer up a new way of deconstructing banal nationalism and of moving away from the idea of static identities. Suggesting a new and different approach to the idea of so-called national cuisines, Food Heritage and Nationalism in Europe will be a compelling read for academic audiences in museum and heritage studies, cultural and food studies, anthropology and history. Chapters 1,2,4,6 and 12 of this book are available for free in PDF format as Open Access from the individual product page at www.routledge.com. They have been made available under a Creative Commons Attribution-Non Commercial-No Derivatives 4.0 license","journalAbbreviation":"A critical assessment","language":"English","license":"open access","note":"Accepted: 2021-02-10T13:41:12Z\npublisher: Taylor &amp; Francis","source":"directory.doabooks.org","title":"Chapter 2 Heritage and food history : A critical assessment","title-short":"Chapter 2 Heritage and food history","URL":"https://directory.doabooks.org/handle/20.500.12854/30400","author":[{"family":"Di Fiore","given":"Laura"}],"accessed":{"date-parts":[["2022",8,21]]},"issued":{"date-parts":[["2020"]]}}}],"schema":"https://github.com/citation-style-language/schema/raw/master/csl-citation.json"} </w:instrText>
      </w:r>
      <w:r>
        <w:fldChar w:fldCharType="separate"/>
      </w:r>
      <w:r w:rsidRPr="00C01CD9">
        <w:rPr>
          <w:rFonts w:ascii="Calibri" w:hAnsi="Calibri" w:cs="Calibri"/>
          <w:szCs w:val="24"/>
        </w:rPr>
        <w:t xml:space="preserve">Laura Di Fiore, ‘Chapter 2 Heritage and Food </w:t>
      </w:r>
      <w:r w:rsidR="00694609" w:rsidRPr="00C01CD9">
        <w:rPr>
          <w:rFonts w:ascii="Calibri" w:hAnsi="Calibri" w:cs="Calibri"/>
          <w:szCs w:val="24"/>
        </w:rPr>
        <w:t>History:</w:t>
      </w:r>
      <w:r w:rsidRPr="00C01CD9">
        <w:rPr>
          <w:rFonts w:ascii="Calibri" w:hAnsi="Calibri" w:cs="Calibri"/>
          <w:szCs w:val="24"/>
        </w:rPr>
        <w:t xml:space="preserve"> A Critical Assessment’, 2020 &lt;https://directory.doabooks.org/handle/20.500.12854/30400&gt; [accessed 21 August 2022].</w:t>
      </w:r>
      <w:r>
        <w:fldChar w:fldCharType="end"/>
      </w:r>
      <w:proofErr w:type="gramStart"/>
      <w:r>
        <w:t>p35</w:t>
      </w:r>
      <w:proofErr w:type="gramEnd"/>
    </w:p>
  </w:footnote>
  <w:footnote w:id="8">
    <w:p w14:paraId="5E124EA2" w14:textId="595084EB" w:rsidR="000B6B05" w:rsidRPr="00FC713B" w:rsidRDefault="000B6B05">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{"citationID":"sKXhnKJW","properties":{"formattedCitation":"Di Fiore.","plainCitation":"Di Fiore.","noteIndex":7},"citationItems":[{"id":12,"uris":["http://zotero.org/users/6665715/items/BJATI6Q5"],"itemData":{"id":12,"type":"article-journal","abstract":"Food Heritage and Nationalism in Europe contends that food is a fundamental element of heritage, and a particularly important one in times of crisis. Arguing that food, taste, cuisine and gastronomy are crucial markers of identity that are inherently connected to constructions of place, tradition and the past, the book demonstrates how they play a role in intangible, as well as tangible, heritage. Featuring contributions from experts working across Europe and beyond, and adopting a strong historical and transnational perspective, the book examines the various ways in which food can be understood and used as heritage. Including explorations of imperial spaces, migrations and diasporas; the role of commercialisation processes, and institutional practices within political and cultural domains, this volume considers all aspects of this complex issue.</w:instrText>
      </w:r>
      <w:r>
        <w:rPr>
          <w:rFonts w:ascii="MS Gothic" w:eastAsia="MS Gothic" w:hAnsi="MS Gothic" w:cs="MS Gothic" w:hint="eastAsia"/>
        </w:rPr>
        <w:instrText xml:space="preserve">　</w:instrText>
      </w:r>
      <w:r w:rsidRPr="00FC713B">
        <w:rPr>
          <w:lang w:val="it-IT"/>
        </w:rPr>
        <w:instrText xml:space="preserve">Arguing that the various European cuisines are the result of exchanges, hybridities and complex historical processes, Porciani and the chapter authors offer up a new way of deconstructing banal nationalism and of moving away from the idea of static identities. Suggesting a new and different approach to the idea of so-called national cuisines, Food Heritage and Nationalism in Europe will be a compelling read for academic audiences in museum and heritage studies, cultural and food studies, anthropology and history. Chapters 1,2,4,6 and 12 of this book are available for free in PDF format as Open Access from the individual product page at www.routledge.com. They have been made available under a Creative Commons Attribution-Non Commercial-No Derivatives 4.0 license","journalAbbreviation":"A critical assessment","language":"English","license":"open access","note":"Accepted: 2021-02-10T13:41:12Z\npublisher: Taylor &amp; Francis","source":"directory.doabooks.org","title":"Chapter 2 Heritage and food history : A critical assessment","title-short":"Chapter 2 Heritage and food history","URL":"https://directory.doabooks.org/handle/20.500.12854/30400","author":[{"family":"Di Fiore","given":"Laura"}],"accessed":{"date-parts":[["2022",8,21]]},"issued":{"date-parts":[["2020"]]}}}],"schema":"https://github.com/citation-style-language/schema/raw/master/csl-citation.json"} </w:instrText>
      </w:r>
      <w:r>
        <w:fldChar w:fldCharType="separate"/>
      </w:r>
      <w:r w:rsidRPr="00FC713B">
        <w:rPr>
          <w:rFonts w:ascii="Calibri" w:hAnsi="Calibri" w:cs="Calibri"/>
          <w:lang w:val="it-IT"/>
        </w:rPr>
        <w:t>Di Fiore.</w:t>
      </w:r>
      <w:r>
        <w:fldChar w:fldCharType="end"/>
      </w:r>
    </w:p>
  </w:footnote>
  <w:footnote w:id="9">
    <w:p w14:paraId="6FCBEA0D" w14:textId="0FA3E26D" w:rsidR="00652CD5" w:rsidRPr="00FC713B" w:rsidRDefault="00652CD5">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{"citationID":"a9wVHBSW","properties":{"formattedCitation":"Zella Llerena, \\uc0\\u8216{}Food Conjures Memory: Making Memory in the Museum\\uc0\\u8217{}, 2009 &lt;https://tspace.library.utoronto.ca/handle/1807/78750&gt; [accessed 21 August 2022].","plainCitation":"Zella Llerena, ‘Food Conjures Memory: Making Memory in the Museum’, 2009 &lt;https://tspace.library.utoronto.ca/handle/1807/78750&gt; [accessed 21 August 2022].","noteIndex":8},"citationItems":[{"id":3,"uris":["http://zotero.org/users/6665715/items/GIFGLXNM"],"itemData":{"id":3,"type":"article-journal","abstract":"Food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FC713B">
        <w:rPr>
          <w:rFonts w:ascii="Calibri" w:hAnsi="Calibri" w:cs="Calibri"/>
          <w:szCs w:val="24"/>
          <w:lang w:val="it-IT"/>
        </w:rPr>
        <w:t>Zella Llerena, ‘Food Conjures Memory: Making Memory in the Museum’, 2009 &lt;https://tspace.library.utoronto.ca/handle/1807/78750&gt; [accessed 21 August 2022].</w:t>
      </w:r>
      <w:r>
        <w:fldChar w:fldCharType="end"/>
      </w:r>
      <w:r w:rsidR="001252FB" w:rsidRPr="00FC713B">
        <w:rPr>
          <w:lang w:val="it-IT"/>
        </w:rPr>
        <w:t>p.1</w:t>
      </w:r>
    </w:p>
  </w:footnote>
  <w:footnote w:id="10">
    <w:p w14:paraId="1C0AAA46" w14:textId="1303BDFC" w:rsidR="001252FB" w:rsidRPr="00FC713B" w:rsidRDefault="001252FB">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{"citationID":"t7FcEO09","properties":{"formattedCitation":"Llerena.","plainCitation":"Llerena.","noteIndex":9},"citationItems":[{"id":3,"uris":["http://zotero.org/users/6665715/items/GIFGLXNM"],"itemData":{"id":3,"type":"article-journal","abstract":"Food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FC713B">
        <w:rPr>
          <w:rFonts w:ascii="Calibri" w:hAnsi="Calibri" w:cs="Calibri"/>
          <w:lang w:val="it-IT"/>
        </w:rPr>
        <w:t>Llerena.</w:t>
      </w:r>
      <w:r>
        <w:fldChar w:fldCharType="end"/>
      </w:r>
      <w:r w:rsidRPr="00FC713B">
        <w:rPr>
          <w:lang w:val="it-IT"/>
        </w:rPr>
        <w:t xml:space="preserve"> p.2</w:t>
      </w:r>
    </w:p>
  </w:footnote>
  <w:footnote w:id="11">
    <w:p w14:paraId="7B66522C" w14:textId="1F85AAFF" w:rsidR="00BB6086" w:rsidRPr="00FC713B" w:rsidRDefault="00BB6086">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{"citationID":"wAZMNoXz","properties":{"formattedCitation":"Llerena.","plainCitation":"Llerena.","noteIndex":10},"citationItems":[{"id":3,"uris":["http://zotero.org/users/6665715/items/GIFGLXNM"],"itemData":{"id":3,"type":"article-journal","abstract":"Food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FC713B">
        <w:rPr>
          <w:rFonts w:ascii="Calibri" w:hAnsi="Calibri" w:cs="Calibri"/>
          <w:lang w:val="it-IT"/>
        </w:rPr>
        <w:t>Llerena.</w:t>
      </w:r>
      <w:r>
        <w:fldChar w:fldCharType="end"/>
      </w:r>
      <w:r w:rsidR="0027056B" w:rsidRPr="00FC713B">
        <w:rPr>
          <w:lang w:val="it-IT"/>
        </w:rPr>
        <w:t>p.7</w:t>
      </w:r>
    </w:p>
  </w:footnote>
  <w:footnote w:id="12">
    <w:p w14:paraId="44DEB970" w14:textId="42AAD8AC" w:rsidR="00DC0104" w:rsidRPr="00FC713B" w:rsidRDefault="00DC0104">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{"citationID":"zy14uFc7","properties":{"formattedCitation":"Llerena.","plainCitation":"Llerena.","noteIndex":11},"citationItems":[{"id":3,"uris":["http://zotero.org/users/6665715/items/GIFGLXNM"],"itemData":{"id":3,"type":"article-journal","abstract":"Food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FC713B">
        <w:rPr>
          <w:rFonts w:ascii="Calibri" w:hAnsi="Calibri" w:cs="Calibri"/>
          <w:lang w:val="it-IT"/>
        </w:rPr>
        <w:t>Llerena.</w:t>
      </w:r>
      <w:r>
        <w:fldChar w:fldCharType="end"/>
      </w:r>
      <w:r w:rsidR="00556D08" w:rsidRPr="00FC713B">
        <w:rPr>
          <w:lang w:val="it-IT"/>
        </w:rPr>
        <w:t xml:space="preserve"> p.7</w:t>
      </w:r>
    </w:p>
  </w:footnote>
  <w:footnote w:id="13">
    <w:p w14:paraId="05B11D66" w14:textId="20FBCA3C" w:rsidR="004745C1" w:rsidRPr="00FC713B" w:rsidRDefault="004745C1">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{"citationID":"z71yBiZ8","properties":{"formattedCitation":"Llerena.","plainCitation":"Llerena.","noteIndex":12},"citationItems":[{"id":3,"uris":["http://zotero.org/users/6665715/items/GIFGLXNM"],"itemData":{"id":3,"type":"article-journal","abstract":"Food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FC713B">
        <w:rPr>
          <w:rFonts w:ascii="Calibri" w:hAnsi="Calibri" w:cs="Calibri"/>
          <w:lang w:val="it-IT"/>
        </w:rPr>
        <w:t>Llerena.</w:t>
      </w:r>
      <w:r>
        <w:fldChar w:fldCharType="end"/>
      </w:r>
      <w:r w:rsidR="0016294E" w:rsidRPr="00FC713B">
        <w:rPr>
          <w:lang w:val="it-IT"/>
        </w:rPr>
        <w:t xml:space="preserve"> p.8</w:t>
      </w:r>
    </w:p>
  </w:footnote>
  <w:footnote w:id="14">
    <w:p w14:paraId="00FE8852" w14:textId="59D64E8A" w:rsidR="00F7027C" w:rsidRPr="00FC713B" w:rsidRDefault="00F7027C">
      <w:pPr>
        <w:pStyle w:val="FootnoteText"/>
        <w:rPr>
          <w:lang w:val="it-IT"/>
        </w:rPr>
      </w:pPr>
      <w:r w:rsidRPr="001C6C14">
        <w:rPr>
          <w:rStyle w:val="FootnoteReference"/>
        </w:rPr>
        <w:footnoteRef/>
      </w:r>
      <w:r w:rsidRPr="00FC713B">
        <w:rPr>
          <w:lang w:val="it-IT"/>
        </w:rPr>
        <w:t xml:space="preserve"> </w:t>
      </w:r>
      <w:r>
        <w:fldChar w:fldCharType="begin"/>
      </w:r>
      <w:r w:rsidRPr="00FC713B">
        <w:rPr>
          <w:lang w:val="it-IT"/>
        </w:rPr>
        <w:instrText xml:space="preserve"> ADDIN ZOTERO_ITEM CSL_CITATION {"citationID":"pW9a1YPD","properties":{"formattedCitation":"M\\uc0\\u225{}irt\\uc0\\u237{}n Mac Con Iomaire, \\uc0\\u8216{}Recognizing Food as Part of Ireland\\uc0\\u8217{}s Intangible Cultural Heritage\\uc0\\u8217{}, {\\i{}Folk Life}, 56.2 (2018), 93\\uc0\\u8211{}115 &lt;https://doi.org/10.1080/04308778.2018.1502402&gt;.","plainCitation":"Máirtín Mac Con Iomaire, ‘Recognizing Food as Part of Ireland’s Intangible Cultural Heritage’, Folk Life, 56.2 (2018), 93–115 &lt;https://doi.org/10.1080/04308778.2018.1502402&gt;.","noteIndex":13},"citationItems":[{"id":41,"uris":["http://zotero.org/users/6665715/items/PJF7VEFA"],"itemData":{"id":41,"type":"article-journal","abstract":"Drawing on evidence from across a range of disciplines (literature, folklore, history, sociology, etc.), this paper explores the lack of an iconic link between Ireland and food, explaining the reasons why Ireland and food are not immediately linked in the popular imagination. It argues for recognition of foodways as a significant element in Ireland’s intangible cultural heritage. It highlights and interrogates constructs, such as ‘national’ and ‘regional’ cuisines, charting the growing scholarship around Irish food history from the ground breaking work of A.T. Lucas and Louis Cullen to a recent emerging cluster of doctoral researchers. The paper identifies the potential in ideas of the Annales School for the study of Irish food history. Finally, it argues for a serious engagement with Irish language sources claiming that this Gaelic heritage can provide a competitive advantage in a new age of innovation and creativity.","container-title":"Folk Life","DOI":"10.1080/04308778.2018.1502402","ISSN":"0430-8778","issue":"2","note":"publisher: Routledge\n_eprint: https://doi.org/10.1080/04308778.2018.1502402","page":"93-115","source":"Taylor and Francis+NEJM","title":"Recognizing food as part of Ireland’s intangible cultural heritage","volume":"56","author":[{"family":"Mac Con Iomaire","given":"Máirtín"}],"issued":{"date-parts":[["2018",7,3]]}}}],"schema":"https://github.com/citation-style-language/schema/raw/master/csl-citation.json"} </w:instrText>
      </w:r>
      <w:r>
        <w:fldChar w:fldCharType="separate"/>
      </w:r>
      <w:r w:rsidRPr="00FC713B">
        <w:rPr>
          <w:rFonts w:ascii="Calibri" w:hAnsi="Calibri" w:cs="Calibri"/>
          <w:szCs w:val="24"/>
          <w:lang w:val="it-IT"/>
        </w:rPr>
        <w:t xml:space="preserve">Máirtín Mac Con Iomaire, ‘Recognizing Food as Part of Ireland’s Intangible Cultural Heritage’, </w:t>
      </w:r>
      <w:r w:rsidRPr="00FC713B">
        <w:rPr>
          <w:rFonts w:ascii="Calibri" w:hAnsi="Calibri" w:cs="Calibri"/>
          <w:i/>
          <w:szCs w:val="24"/>
          <w:lang w:val="it-IT"/>
        </w:rPr>
        <w:t>Folk Life</w:t>
      </w:r>
      <w:r w:rsidRPr="00FC713B">
        <w:rPr>
          <w:rFonts w:ascii="Calibri" w:hAnsi="Calibri" w:cs="Calibri"/>
          <w:szCs w:val="24"/>
          <w:lang w:val="it-IT"/>
        </w:rPr>
        <w:t>, 56.2 (2018), 93–115 &lt;https://doi.org/10.1080/04308778.2018.1502402&gt;.</w:t>
      </w:r>
      <w:r>
        <w:fldChar w:fldCharType="end"/>
      </w:r>
      <w:r w:rsidR="00E567DD" w:rsidRPr="00FC713B">
        <w:rPr>
          <w:lang w:val="it-IT"/>
        </w:rPr>
        <w:t xml:space="preserve">p.2 </w:t>
      </w:r>
    </w:p>
  </w:footnote>
  <w:footnote w:id="15">
    <w:p w14:paraId="0E182FEC" w14:textId="4606FF44" w:rsidR="005A171B" w:rsidRPr="00FC713B" w:rsidRDefault="005A171B">
      <w:pPr>
        <w:pStyle w:val="FootnoteText"/>
        <w:rPr>
          <w:lang w:val="it-IT"/>
        </w:rPr>
      </w:pPr>
      <w:r>
        <w:rPr>
          <w:rStyle w:val="FootnoteReference"/>
        </w:rPr>
        <w:footnoteRef/>
      </w:r>
      <w:r w:rsidRPr="00FC713B">
        <w:rPr>
          <w:lang w:val="it-IT"/>
        </w:rPr>
        <w:t xml:space="preserve"> </w:t>
      </w:r>
      <w:r>
        <w:fldChar w:fldCharType="begin"/>
      </w:r>
      <w:r w:rsidRPr="00FC713B">
        <w:rPr>
          <w:lang w:val="it-IT"/>
        </w:rPr>
        <w:instrText xml:space="preserve"> ADDIN ZOTERO_ITEM CSL_CITATION {"citationID":"TtqKKbIo","properties":{"formattedCitation":"Graves.","plainCitation":"Graves.","noteIndex":14},"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FC713B">
        <w:rPr>
          <w:rFonts w:ascii="Calibri" w:hAnsi="Calibri" w:cs="Calibri"/>
          <w:lang w:val="it-IT"/>
        </w:rPr>
        <w:t>Graves.</w:t>
      </w:r>
      <w:r>
        <w:fldChar w:fldCharType="end"/>
      </w:r>
    </w:p>
  </w:footnote>
  <w:footnote w:id="16">
    <w:p w14:paraId="6394EBA0" w14:textId="6157B203" w:rsidR="006608FD" w:rsidRPr="00FC713B" w:rsidRDefault="006608FD">
      <w:pPr>
        <w:pStyle w:val="FootnoteText"/>
        <w:rPr>
          <w:lang w:val="it-IT"/>
        </w:rPr>
      </w:pPr>
      <w:r>
        <w:rPr>
          <w:rStyle w:val="FootnoteReference"/>
        </w:rPr>
        <w:footnoteRef/>
      </w:r>
      <w:r w:rsidRPr="00FC713B">
        <w:rPr>
          <w:lang w:val="it-IT"/>
        </w:rPr>
        <w:t xml:space="preserve"> </w:t>
      </w:r>
      <w:r>
        <w:fldChar w:fldCharType="begin"/>
      </w:r>
      <w:r w:rsidRPr="00FC713B">
        <w:rPr>
          <w:lang w:val="it-IT"/>
        </w:rPr>
        <w:instrText xml:space="preserve"> ADDIN ZOTERO_ITEM CSL_CITATION {"citationID":"VCszZekM","properties":{"formattedCitation":"Babak Taheri, Aliakbar Jafari, and Kevin O\\uc0\\u8217{}Gorman, \\uc0\\u8216{}Keeping Your Audience: Presenting a Visitor Engagement Scale\\uc0\\u8217{}, {\\i{}Tourism Management}, 42 (2014), 321\\uc0\\u8211{}29 &lt;https://doi.org/10.1016/j.tourman.2013.12.011&gt;.","plainCitation":"Babak Taheri, Aliakbar Jafari, and Kevin O’Gorman, ‘Keeping Your Audience: Presenting a Visitor Engagement Scale’, Tourism Management, 42 (2014), 321–29 &lt;https://doi.org/10.1016/j.tourman.2013.12.011&gt;.","noteIndex":15},"citationItems":[{"id":244,"uris":["http://zotero.org/users/6665715/items/FYWH8D56"],"itemData":{"id":244,"type":"article-journal","abstract":"Understanding visitors' level of engagement with tourist attractions is vital for successful heritage management and marketing. This paper develops a scale to measure visitors' level of engagement with tourist attractions. It also establishes a relationship between the drivers of engagement and level of engagement using Partial Least Square, whereby both formative and reflective scales are included. The structural model is tested with a sample of 625 visitors at Kelvingrove Museum in Glasgow, UK. The empirical validation of the conceptual model supports the research hypotheses. Whilst prior knowledge, recreational motivation and omnivore-univore cultural capital positively affect visitors' level of engagement, there is no significant relationship between reflective motivation and level of engagement. These findings contribute to a better understanding of visitor engagement in tourist attractions and a series of managerial implications are proposed.","container-title":"Tourism Management","DOI":"10.1016/j.tourman.2013.12.011","ISSN":"0261-5177","journalAbbreviation":"Tourism Management","language":"en","page":"321-329","source":"ScienceDirect","title":"Keeping your audience: Presenting a visitor engagement scale","title-short":"Keeping your audience","volume":"42","author":[{"family":"Taheri","given":"Babak"},{"family":"Jafari","given":"Aliakbar"},{"family":"O'Gorman","given":"Kevin"}],"issued":{"date-parts":[["2014",6,1]]}}}],"schema":"https://github.com/citation-style-language/schema/raw/master/csl-citation.json"} </w:instrText>
      </w:r>
      <w:r>
        <w:fldChar w:fldCharType="separate"/>
      </w:r>
      <w:r w:rsidRPr="00FC713B">
        <w:rPr>
          <w:rFonts w:ascii="Calibri" w:hAnsi="Calibri" w:cs="Calibri"/>
          <w:szCs w:val="24"/>
          <w:lang w:val="it-IT"/>
        </w:rPr>
        <w:t xml:space="preserve">Babak Taheri, Aliakbar Jafari, and Kevin O’Gorman, ‘Keeping Your Audience: Presenting a Visitor Engagement Scale’, </w:t>
      </w:r>
      <w:r w:rsidRPr="00FC713B">
        <w:rPr>
          <w:rFonts w:ascii="Calibri" w:hAnsi="Calibri" w:cs="Calibri"/>
          <w:i/>
          <w:szCs w:val="24"/>
          <w:lang w:val="it-IT"/>
        </w:rPr>
        <w:t>Tourism Management</w:t>
      </w:r>
      <w:r w:rsidRPr="00FC713B">
        <w:rPr>
          <w:rFonts w:ascii="Calibri" w:hAnsi="Calibri" w:cs="Calibri"/>
          <w:szCs w:val="24"/>
          <w:lang w:val="it-IT"/>
        </w:rPr>
        <w:t>, 42 (2014), 321–29 &lt;https://doi.org/10.1016/j.tourman.2013.12.011&gt;.</w:t>
      </w:r>
      <w:r>
        <w:fldChar w:fldCharType="end"/>
      </w:r>
      <w:r w:rsidRPr="00FC713B">
        <w:rPr>
          <w:lang w:val="it-IT"/>
        </w:rPr>
        <w:t>p.1</w:t>
      </w:r>
    </w:p>
  </w:footnote>
  <w:footnote w:id="17">
    <w:p w14:paraId="4EBF8E7F" w14:textId="3B6C7A43" w:rsidR="005914BF" w:rsidRDefault="005914BF" w:rsidP="005914BF">
      <w:pPr>
        <w:pStyle w:val="FootnoteText"/>
      </w:pPr>
      <w:r>
        <w:rPr>
          <w:rStyle w:val="FootnoteReference"/>
        </w:rPr>
        <w:footnoteRef/>
      </w:r>
      <w:r>
        <w:t xml:space="preserve"> </w:t>
      </w:r>
      <w:r>
        <w:fldChar w:fldCharType="begin"/>
      </w:r>
      <w:r w:rsidR="00D90493">
        <w:instrText xml:space="preserve"> ADDIN ZOTERO_ITEM CSL_CITATION {"citationID":"4SWbvI9P","properties":{"formattedCitation":"{\\i{}TEDxTC - Winona LaDuke - Seeds of Our Ancestors, Seeds of Life}, dir. by TEDx Talks, 2012 &lt;https://www.youtube.com/watch?v=pHNlel72eQc&gt; [accessed 23 January 2023].","plainCitation":"TEDxTC - Winona LaDuke - Seeds of Our Ancestors, Seeds of Life, dir. by TEDx Talks, 2012 &lt;https://www.youtube.com/watch?v=pHNlel72eQc&gt; [accessed 23 January 2023].","noteIndex":16},"citationItems":[{"id":279,"uris":["http://zotero.org/users/6665715/items/FGMDW5SE"],"itemData":{"id":279,"type":"motion_picture","dimensions":"1:34","source":"YouTube","title":"TEDxTC - Winona LaDuke - Seeds of Our Ancestors, Seeds of Life","URL":"https://www.youtube.com/watch?v=pHNlel72eQc","director":[{"literal":"TEDx Talks"}],"accessed":{"date-parts":[["2023",1,23]]},"issued":{"date-parts":[["2012",3,4]]}}}],"schema":"https://github.com/citation-style-language/schema/raw/master/csl-citation.json"} </w:instrText>
      </w:r>
      <w:r>
        <w:fldChar w:fldCharType="separate"/>
      </w:r>
      <w:r w:rsidRPr="00C0655E">
        <w:rPr>
          <w:rFonts w:ascii="Calibri" w:hAnsi="Calibri" w:cs="Calibri"/>
          <w:i/>
          <w:iCs/>
          <w:szCs w:val="24"/>
        </w:rPr>
        <w:t>TEDxTC - Winona LaDuke - Seeds of Our Ancestors, Seeds of Life</w:t>
      </w:r>
      <w:r w:rsidRPr="00C0655E">
        <w:rPr>
          <w:rFonts w:ascii="Calibri" w:hAnsi="Calibri" w:cs="Calibri"/>
          <w:szCs w:val="24"/>
        </w:rPr>
        <w:t>, dir. by TEDx Talks, 2012 &lt;https://www.youtube.com/watch?v=pHNlel72eQc&gt; [accessed 23 January 2023].</w:t>
      </w:r>
      <w:r>
        <w:fldChar w:fldCharType="end"/>
      </w:r>
    </w:p>
  </w:footnote>
  <w:footnote w:id="18">
    <w:p w14:paraId="77A7480F" w14:textId="510379AC" w:rsidR="00051028" w:rsidRDefault="00051028">
      <w:pPr>
        <w:pStyle w:val="FootnoteText"/>
      </w:pPr>
      <w:r>
        <w:rPr>
          <w:rStyle w:val="FootnoteReference"/>
        </w:rPr>
        <w:footnoteRef/>
      </w:r>
      <w:r>
        <w:t xml:space="preserve"> </w:t>
      </w:r>
      <w:r>
        <w:fldChar w:fldCharType="begin"/>
      </w:r>
      <w:r>
        <w:instrText xml:space="preserve"> ADDIN ZOTERO_ITEM CSL_CITATION {"citationID":"GCw6m475","properties":{"formattedCitation":"Gena Philibert Ortega, {\\i{}From the Family Kitchen: Discover Your Food Heritage and Preserve Favorite Recipes} (Penguin, 2012).","plainCitation":"Gena Philibert Ortega, From the Family Kitchen: Discover Your Food Heritage and Preserve Favorite Recipes (Penguin, 2012).","noteIndex":17},"citationItems":[{"id":285,"uris":["http://zotero.org/users/6665715/items/S8KESJJI"],"itemData":{"id":285,"type":"book","abstract":"Celebrate Your Family Recipes and HeritageFrom Great-grandma's apple pie to Mom's secret-recipe stuffing, food is an important ingredient in every family's history. This three-part keepsake recipe journal will help you celebrate your family recipes and record the precious memories those recipes hold for you--whether they're hilarious anecdotes about a disastrous dish or tender reflections about time spent cooking with a loved one.The foods we eat tell us so much about who we are, where we live and the era we live in. The same is true for the foods our ancestors ate. This book will show you how to uncover historical recipes and food traditions, offering insight into your ancestors' everyday lives and clues to your genealogy. Inside you'll find:   • Methods for gathering family recipes   • Interview questions to help loved ones record their food memories   • Places to search for historical recipes   • An explanation of how immigrants influenced the American diet   • A look at how technology changed the way people eat   • A glossary of historical cooking terms   • Modern equivalents to historical units of measure   • Actual recipes from late nineteenth- and early twentieth-century cookbooks","ISBN":"978-1-4403-1833-7","language":"en","note":"Google-Books-ID: 5hdjDwAAQBAJ","number-of-pages":"350","publisher":"Penguin","source":"Google Books","title":"From the Family Kitchen: Discover Your Food Heritage and Preserve Favorite Recipes","title-short":"From the Family Kitchen","author":[{"family":"Ortega","given":"Gena Philibert"}],"issued":{"date-parts":[["2012",4,12]]}}}],"schema":"https://github.com/citation-style-language/schema/raw/master/csl-citation.json"} </w:instrText>
      </w:r>
      <w:r>
        <w:fldChar w:fldCharType="separate"/>
      </w:r>
      <w:r w:rsidRPr="00051028">
        <w:rPr>
          <w:rFonts w:ascii="Calibri" w:hAnsi="Calibri" w:cs="Calibri"/>
          <w:szCs w:val="24"/>
        </w:rPr>
        <w:t xml:space="preserve">Gena Philibert Ortega, </w:t>
      </w:r>
      <w:r w:rsidRPr="00051028">
        <w:rPr>
          <w:rFonts w:ascii="Calibri" w:hAnsi="Calibri" w:cs="Calibri"/>
          <w:i/>
          <w:iCs/>
          <w:szCs w:val="24"/>
        </w:rPr>
        <w:t xml:space="preserve">From the Family Kitchen: Discover Your Food Heritage and Preserve </w:t>
      </w:r>
      <w:proofErr w:type="spellStart"/>
      <w:r w:rsidRPr="00051028">
        <w:rPr>
          <w:rFonts w:ascii="Calibri" w:hAnsi="Calibri" w:cs="Calibri"/>
          <w:i/>
          <w:iCs/>
          <w:szCs w:val="24"/>
        </w:rPr>
        <w:t>Favorite</w:t>
      </w:r>
      <w:proofErr w:type="spellEnd"/>
      <w:r w:rsidRPr="00051028">
        <w:rPr>
          <w:rFonts w:ascii="Calibri" w:hAnsi="Calibri" w:cs="Calibri"/>
          <w:i/>
          <w:iCs/>
          <w:szCs w:val="24"/>
        </w:rPr>
        <w:t xml:space="preserve"> Recipes</w:t>
      </w:r>
      <w:r w:rsidRPr="00051028">
        <w:rPr>
          <w:rFonts w:ascii="Calibri" w:hAnsi="Calibri" w:cs="Calibri"/>
          <w:szCs w:val="24"/>
        </w:rPr>
        <w:t xml:space="preserve"> (Penguin, 2012).</w:t>
      </w:r>
      <w:r>
        <w:fldChar w:fldCharType="end"/>
      </w:r>
      <w:r>
        <w:t>p.</w:t>
      </w:r>
      <w:proofErr w:type="gramStart"/>
      <w:r>
        <w:t>1</w:t>
      </w:r>
      <w:proofErr w:type="gramEnd"/>
    </w:p>
  </w:footnote>
  <w:footnote w:id="19">
    <w:p w14:paraId="07B60DD7" w14:textId="74A43CC2" w:rsidR="00C25B74" w:rsidRDefault="00C25B74">
      <w:pPr>
        <w:pStyle w:val="FootnoteText"/>
      </w:pPr>
      <w:r>
        <w:rPr>
          <w:rStyle w:val="FootnoteReference"/>
        </w:rPr>
        <w:footnoteRef/>
      </w:r>
      <w:r>
        <w:t xml:space="preserve"> </w:t>
      </w:r>
      <w:r>
        <w:fldChar w:fldCharType="begin"/>
      </w:r>
      <w:r>
        <w:instrText xml:space="preserve"> ADDIN ZOTERO_ITEM CSL_CITATION {"citationID":"887cgzq9","properties":{"formattedCitation":"David E. Sutton, {\\i{}Remembrance of Repasts: An Anthropology of Food and Memory} (Berg Publishers, 2001).","plainCitation":"David E. Sutton, Remembrance of Repasts: An Anthropology of Food and Memory (Berg Publishers, 2001).","noteIndex":18},"citationItems":[{"id":287,"uris":["http://zotero.org/users/6665715/items/IXCAF7HK"],"itemData":{"id":287,"type":"book","abstract":"Prousts famous madeleine captures the power of food to evoke some of our deepest memories. Why does food hold such power? What does the growing commodification and globalization of food mean for our capacity to store the past in our meals in the smell of olive oil or the taste of a fresh-cut fig? This book offers a theoretical account of the interrelationship of culture, food and memory. Sutton challenges and expands anthropologys current focus on issues of embodiment, memory and material culture, especially in relation to transnational migration and the flow of culture across borders and boundaries. The Greek island of Kalymnos in the eastern Aegean, where Islanders claim to remember meals long past -- both humble and spectacular provides the main setting for these issues, as well as comparative materials drawn from England and the United States. Despite the growing interest in anthropological accounts of food and in the cultural construction of memory, the intersection of food with memory has not been accorded sustained examination. Cultural practices of feasting and fasting, global flows of food as both gifts and commodities, the rise of processed food and the relationship of orally transmitted recipes to the vast market in speciality cookbooks tie traditional anthropological mainstays such as ritual, exchange and death to more current concerns with structure and history, cognition and the anthropology of the senses. Arguing for the crucial role of a simultaneous consideration of food and memory, this book significantly advances our understanding of cultural processes and reformulates current theoretical preoccupations.","ISBN":"978-1-85973-474-2","language":"en","note":"Google-Books-ID: AeTu5Vtlu5MC","number-of-pages":"240","publisher":"Berg Publishers","source":"Google Books","title":"Remembrance of Repasts: An Anthropology of Food and Memory","title-short":"Remembrance of Repasts","author":[{"family":"Sutton","given":"David E."}],"issued":{"date-parts":[["2001",1,9]]}}}],"schema":"https://github.com/citation-style-language/schema/raw/master/csl-citation.json"} </w:instrText>
      </w:r>
      <w:r>
        <w:fldChar w:fldCharType="separate"/>
      </w:r>
      <w:r w:rsidRPr="00C25B74">
        <w:rPr>
          <w:rFonts w:ascii="Calibri" w:hAnsi="Calibri" w:cs="Calibri"/>
          <w:szCs w:val="24"/>
        </w:rPr>
        <w:t xml:space="preserve">David E. Sutton, </w:t>
      </w:r>
      <w:r w:rsidRPr="00C25B74">
        <w:rPr>
          <w:rFonts w:ascii="Calibri" w:hAnsi="Calibri" w:cs="Calibri"/>
          <w:i/>
          <w:iCs/>
          <w:szCs w:val="24"/>
        </w:rPr>
        <w:t>Remembrance of Repasts: An Anthropology of Food and Memory</w:t>
      </w:r>
      <w:r w:rsidRPr="00C25B74">
        <w:rPr>
          <w:rFonts w:ascii="Calibri" w:hAnsi="Calibri" w:cs="Calibri"/>
          <w:szCs w:val="24"/>
        </w:rPr>
        <w:t xml:space="preserve"> (Berg Publishers, 2001).</w:t>
      </w:r>
      <w:r>
        <w:fldChar w:fldCharType="end"/>
      </w:r>
    </w:p>
  </w:footnote>
  <w:footnote w:id="20">
    <w:p w14:paraId="25CA7A3A" w14:textId="0A58D2E7"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{"citationID":"muF7FWWN","properties":{"formattedCitation":"Llerena.","plainCitation":"Llerena.","noteIndex":19},"citationItems":[{"id":3,"uris":["http://zotero.org/users/6665715/items/GIFGLXNM"],"itemData":{"id":3,"type":"article-journal","abstract":"Food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00D90493" w:rsidRPr="00D90493">
        <w:rPr>
          <w:rFonts w:ascii="Calibri" w:hAnsi="Calibri" w:cs="Calibri"/>
        </w:rPr>
        <w:t>Llerena.</w:t>
      </w:r>
      <w:r>
        <w:fldChar w:fldCharType="end"/>
      </w:r>
      <w:r w:rsidR="009C5C06">
        <w:t>p.1</w:t>
      </w:r>
    </w:p>
  </w:footnote>
  <w:footnote w:id="21">
    <w:p w14:paraId="4FEC71E3" w14:textId="7DFDD3C5" w:rsidR="00D37C62" w:rsidRDefault="00D37C62">
      <w:pPr>
        <w:pStyle w:val="FootnoteText"/>
      </w:pPr>
      <w:r>
        <w:rPr>
          <w:rStyle w:val="FootnoteReference"/>
        </w:rPr>
        <w:footnoteRef/>
      </w:r>
      <w:r>
        <w:t xml:space="preserve"> </w:t>
      </w:r>
      <w:r>
        <w:fldChar w:fldCharType="begin"/>
      </w:r>
      <w:r>
        <w:instrText xml:space="preserve"> ADDIN ZOTERO_ITEM CSL_CITATION {"citationID":"eLVpO6yc","properties":{"formattedCitation":"Richard C. (Richard Charles) Hoffmann, \\uc0\\u8216{}Remembrance of Repasts. An Anthropology of Food and Memory (Review)\\uc0\\u8217{}, {\\i{}Journal of Modern Greek Studies}, 24.2 (2006), 472\\uc0\\u8211{}74 &lt;https://doi.org/10.1353/mgs.2006.0023&gt;.","plainCitation":"Richard C. (Richard Charles) Hoffmann, ‘Remembrance of Repasts. An Anthropology of Food and Memory (Review)’, Journal of Modern Greek Studies, 24.2 (2006), 472–74 &lt;https://doi.org/10.1353/mgs.2006.0023&gt;.","noteIndex":20},"citationItems":[{"id":289,"uris":["http://zotero.org/users/6665715/items/AMM85T2N"],"itemData":{"id":289,"type":"article-journal","container-title":"Journal of Modern Greek Studies","DOI":"10.1353/mgs.2006.0023","ISSN":"1086-3265","issue":"2","note":"publisher: Johns Hopkins University Press","page":"472-474","source":"Project MUSE","title":"Remembrance of Repasts. An Anthropology of Food and Memory (review)","volume":"24","author":[{"family":"Hoffmann","given":"Richard C. (Richard Charles)"}],"issued":{"date-parts":[["2006"]]}}}],"schema":"https://github.com/citation-style-language/schema/raw/master/csl-citation.json"} </w:instrText>
      </w:r>
      <w:r>
        <w:fldChar w:fldCharType="separate"/>
      </w:r>
      <w:r w:rsidRPr="00D37C62">
        <w:rPr>
          <w:rFonts w:ascii="Calibri" w:hAnsi="Calibri" w:cs="Calibri"/>
          <w:szCs w:val="24"/>
        </w:rPr>
        <w:t>Richard C. (Richard Charles) Hoffmann, ‘Remembrance of Repasts. An Anthropology of Food and Memory (Review)</w:t>
      </w:r>
      <w:proofErr w:type="gramStart"/>
      <w:r w:rsidRPr="00D37C62">
        <w:rPr>
          <w:rFonts w:ascii="Calibri" w:hAnsi="Calibri" w:cs="Calibri"/>
          <w:szCs w:val="24"/>
        </w:rPr>
        <w:t>’,</w:t>
      </w:r>
      <w:proofErr w:type="gramEnd"/>
      <w:r w:rsidRPr="00D37C62">
        <w:rPr>
          <w:rFonts w:ascii="Calibri" w:hAnsi="Calibri" w:cs="Calibri"/>
          <w:szCs w:val="24"/>
        </w:rPr>
        <w:t xml:space="preserve"> </w:t>
      </w:r>
      <w:r w:rsidRPr="00D37C62">
        <w:rPr>
          <w:rFonts w:ascii="Calibri" w:hAnsi="Calibri" w:cs="Calibri"/>
          <w:i/>
          <w:iCs/>
          <w:szCs w:val="24"/>
        </w:rPr>
        <w:t>Journal of Modern Greek Studies</w:t>
      </w:r>
      <w:r w:rsidRPr="00D37C62">
        <w:rPr>
          <w:rFonts w:ascii="Calibri" w:hAnsi="Calibri" w:cs="Calibri"/>
          <w:szCs w:val="24"/>
        </w:rPr>
        <w:t>, 24.2 (2006), 472–74 &lt;https://doi.org/10.1353/mgs.2006.0023&gt;.</w:t>
      </w:r>
      <w:r>
        <w:fldChar w:fldCharType="end"/>
      </w:r>
      <w:r w:rsidR="008A4746">
        <w:t>p.472</w:t>
      </w:r>
    </w:p>
  </w:footnote>
  <w:footnote w:id="22">
    <w:p w14:paraId="63BFBF9C" w14:textId="15CFCCD2"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{"citationID":"fubhTBPV","properties":{"formattedCitation":"Jennie Sj\\uc0\\u246{}holm, \\uc0\\u8216{}Heritagisation, Re-Heritagisation and De-Heritagisation of Built Environments: The Urban Transformation of Kiruna, Sweden\\uc0\\u8217{} &lt;https://www.academia.edu/26396031/Heritagisation_Re_Heritagisation_and_De_Heritagisation_of_Built_Environments_The_Urban_Transformation_of_Kiruna_Sweden&gt; [accessed 27 October 2022].","plainCitation":"Jennie Sjöholm, ‘Heritagisation, Re-Heritagisation and De-Heritagisation of Built Environments: The Urban Transformation of Kiruna, Sweden’ &lt;https://www.academia.edu/26396031/Heritagisation_Re_Heritagisation_and_De_Heritagisation_of_Built_Environments_The_Urban_Transformation_of_Kiruna_Sweden&gt; [accessed 27 October 2022].","noteIndex":21},"citationItems":[{"id":62,"uris":["http://zotero.org/users/6665715/items/MFLR5FL8"],"itemData":{"id":62,"type":"article-journal","abstract":"This doctoral thesis presents research that aimed to contribute to the understanding of heritagisation in built environments and how heritagisation interacts with structural changes to an environment. The theoretical framework of the research was","language":"en","source":"www.academia.edu","title":"Heritagisation, Re-Heritagisation and De-Heritagisation of Built Environments: The Urban Transformation of Kiruna, Sweden","title-short":"Heritagisation, Re-Heritagisation and De-Heritagisation of Built Environments","URL":"https://www.academia.edu/26396031/Heritagisation_Re_Heritagisation_and_De_Heritagisation_of_Built_Environments_The_Urban_Transformation_of_Kiruna_Sweden","author":[{"family":"Sjöholm","given":"Jennie"}],"accessed":{"date-parts":[["2022",10,27]]}}}],"schema":"https://github.com/citation-style-language/schema/raw/master/csl-citation.json"} </w:instrText>
      </w:r>
      <w:r>
        <w:fldChar w:fldCharType="separate"/>
      </w:r>
      <w:r w:rsidRPr="005C4C1F">
        <w:rPr>
          <w:rFonts w:ascii="Calibri" w:hAnsi="Calibri" w:cs="Calibri"/>
          <w:szCs w:val="24"/>
        </w:rPr>
        <w:t xml:space="preserve">Jennie </w:t>
      </w:r>
      <w:bookmarkStart w:id="10" w:name="_Hlk118372660"/>
      <w:r w:rsidRPr="005C4C1F">
        <w:rPr>
          <w:rFonts w:ascii="Calibri" w:hAnsi="Calibri" w:cs="Calibri"/>
          <w:szCs w:val="24"/>
        </w:rPr>
        <w:t>Sjöholm</w:t>
      </w:r>
      <w:bookmarkEnd w:id="10"/>
      <w:r w:rsidRPr="005C4C1F">
        <w:rPr>
          <w:rFonts w:ascii="Calibri" w:hAnsi="Calibri" w:cs="Calibri"/>
          <w:szCs w:val="24"/>
        </w:rPr>
        <w:t>, ‘Heritagisation, Re-Heritagisation and De-Heritagisation of Built Environments: The Urban Transformation of Kiruna, Sweden’ &lt;https://www.academia.edu/26396031/Heritagisation_Re_Heritagisation_and_De_Heritagisation_of_Built_Environments_The_Urban_Transformation_of_Kiruna_Sweden&gt; [accessed 27 October 2022].</w:t>
      </w:r>
      <w:r>
        <w:fldChar w:fldCharType="end"/>
      </w:r>
      <w:r>
        <w:t xml:space="preserve"> P.26 </w:t>
      </w:r>
    </w:p>
  </w:footnote>
  <w:footnote w:id="23">
    <w:p w14:paraId="4E26BAE2" w14:textId="5867F88A"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{"citationID":"u1bnKTCt","properties":{"formattedCitation":"Julia Brauch and Anna Lipphardt, \\uc0\\u8216{}Foodscapes: The Culinary Landscapes of Russian-Jewish New York\\uc0\\u8217{}, in {\\i{}Jewish Topographies} (Routledge, 2008).","plainCitation":"Julia Brauch and Anna Lipphardt, ‘Foodscapes: The Culinary Landscapes of Russian-Jewish New York’, in Jewish Topographies (Routledge, 2008).","noteIndex":22},"citationItems":[{"id":75,"uris":["http://zotero.org/users/6665715/items/YNHCNS9P"],"itemData":{"id":75,"type":"chapter","abstract":"The inﬂuence of landscape on cuisine has long been a subject of study forethnographers, food scholars, and ideologues of every stripe. The","container-title":"Jewish Topographies","ISBN":"978-1-315-59044-8","note":"number-of-pages: 16","publisher":"Routledge","title":"Foodscapes: The Culinary Landscapes of Russian-Jewish New York","title-short":"Foodscapes","author":[{"family":"Brauch","given":"Julia"},{"family":"Lipphardt","given":"Anna"}],"issued":{"date-parts":[["2008"]]}}}],"schema":"https://github.com/citation-style-language/schema/raw/master/csl-citation.json"} </w:instrText>
      </w:r>
      <w:r>
        <w:fldChar w:fldCharType="separate"/>
      </w:r>
      <w:r w:rsidRPr="00B10A16">
        <w:rPr>
          <w:rFonts w:ascii="Calibri" w:hAnsi="Calibri" w:cs="Calibri"/>
          <w:szCs w:val="24"/>
        </w:rPr>
        <w:t>Julia Brauch and Anna Lipphardt, ‘Foodscapes: The Culinary Landscapes of Russian-Jewish New York</w:t>
      </w:r>
      <w:proofErr w:type="gramStart"/>
      <w:r w:rsidRPr="00B10A16">
        <w:rPr>
          <w:rFonts w:ascii="Calibri" w:hAnsi="Calibri" w:cs="Calibri"/>
          <w:szCs w:val="24"/>
        </w:rPr>
        <w:t>’,</w:t>
      </w:r>
      <w:proofErr w:type="gramEnd"/>
      <w:r w:rsidRPr="00B10A16">
        <w:rPr>
          <w:rFonts w:ascii="Calibri" w:hAnsi="Calibri" w:cs="Calibri"/>
          <w:szCs w:val="24"/>
        </w:rPr>
        <w:t xml:space="preserve"> in </w:t>
      </w:r>
      <w:r w:rsidRPr="00B10A16">
        <w:rPr>
          <w:rFonts w:ascii="Calibri" w:hAnsi="Calibri" w:cs="Calibri"/>
          <w:i/>
          <w:iCs/>
          <w:szCs w:val="24"/>
        </w:rPr>
        <w:t>Jewish Topographies</w:t>
      </w:r>
      <w:r w:rsidRPr="00B10A16">
        <w:rPr>
          <w:rFonts w:ascii="Calibri" w:hAnsi="Calibri" w:cs="Calibri"/>
          <w:szCs w:val="24"/>
        </w:rPr>
        <w:t xml:space="preserve"> (Routledge, 2008).</w:t>
      </w:r>
      <w:r>
        <w:fldChar w:fldCharType="end"/>
      </w:r>
    </w:p>
  </w:footnote>
  <w:footnote w:id="24">
    <w:p w14:paraId="3EDC4991" w14:textId="1C0B56DC"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{"citationID":"Ski7fqZU","properties":{"formattedCitation":"Jos\\uc0\\u233{}e Johnston and Michael Goodman, \\uc0\\u8216{}Spectacular Foodscapes: Food Celebrities and the Politics of Lifestyle Mediation in an Age of Inequality\\uc0\\u8217{}, {\\i{}Food Culture and Society An International Journal of Multidisciplinary Research}, 18 (2015) &lt;https://doi.org/10.2752/175174415X14180391604369&gt;.","plainCitation":"Josée Johnston and Michael Goodman, ‘Spectacular Foodscapes: Food Celebrities and the Politics of Lifestyle Mediation in an Age of Inequality’, Food Culture and Society An International Journal of Multidisciplinary Research, 18 (2015) &lt;https://doi.org/10.2752/175174415X14180391604369&gt;.","noteIndex":23},"citationItems":[{"id":76,"uris":["http://zotero.org/users/6665715/items/7VQDGLPG"],"itemData":{"id":76,"type":"article-journal","abstract":"Food celebrities can feel like trusted friends; fans often refer to them on a first-name basis, and take their advice very seriously. This special issue explores the peculiar kind of mass-market intimacy achieved by food celebrities. In this introduction, we add a parallel, substantive take on the phenomenon of the food celebrity and the mediated, everyday cultural politics they create. First, we offer an exploration of the concept of the foodscape. Specifically, we stake a claim that media and food celebrities form a fundamental component to what contemporary foodscapes consist of, how they ‘perform’ and function and the socio-material means by which they are produced. Second, we explore key roles and privileges of food celebrity, and stake another claim: Parallel to the figure of the celebrity chef, there are other, equally high-profile, mediating figures at work on the foodscape, reflecting a general tendency of ‘celebritization’. Key food celebrity paradoxes are identified and discussed: food celebrities must work to be authentic and aspirational, accessible yet exclusive, responsibilizing but also empowering. We conclude with a short contextualization of the papers in the special issue, and argue for the rich potential of food celebrity scholarship as a way to better understand food inequalities.","container-title":"Food Culture and Society An International Journal of Multidisciplinary Research","DOI":"10.2752/175174415X14180391604369","journalAbbreviation":"Food Culture and Society An International Journal of Multidisciplinary Research","source":"ResearchGate","title":"Spectacular Foodscapes: Food Celebrities and the Politics of Lifestyle Mediation in an Age of Inequality","title-short":"Spectacular Foodscapes","volume":"18","author":[{"family":"Johnston","given":"Josée"},{"family":"Goodman","given":"Michael"}],"issued":{"date-parts":[["2015",4,1]]}}}],"schema":"https://github.com/citation-style-language/schema/raw/master/csl-citation.json"} </w:instrText>
      </w:r>
      <w:r>
        <w:fldChar w:fldCharType="separate"/>
      </w:r>
      <w:r w:rsidRPr="005E5ECC">
        <w:rPr>
          <w:rFonts w:ascii="Calibri" w:hAnsi="Calibri" w:cs="Calibri"/>
          <w:szCs w:val="24"/>
        </w:rPr>
        <w:t xml:space="preserve">Josée Johnston and Michael Goodman, ‘Spectacular Foodscapes: Food Celebrities and the Politics of Lifestyle Mediation in an Age of Inequality’, </w:t>
      </w:r>
      <w:r w:rsidRPr="005E5ECC">
        <w:rPr>
          <w:rFonts w:ascii="Calibri" w:hAnsi="Calibri" w:cs="Calibri"/>
          <w:i/>
          <w:iCs/>
          <w:szCs w:val="24"/>
        </w:rPr>
        <w:t>Food Culture and Society An International Journal of Multidisciplinary Research</w:t>
      </w:r>
      <w:r w:rsidRPr="005E5ECC">
        <w:rPr>
          <w:rFonts w:ascii="Calibri" w:hAnsi="Calibri" w:cs="Calibri"/>
          <w:szCs w:val="24"/>
        </w:rPr>
        <w:t>, 18 (2015) &lt;https://doi.org/10.2752/175174415X14180391604369&gt;.</w:t>
      </w:r>
      <w:r>
        <w:fldChar w:fldCharType="end"/>
      </w:r>
    </w:p>
  </w:footnote>
  <w:footnote w:id="25">
    <w:p w14:paraId="23FF14DF" w14:textId="6B978004"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{"citationID":"YNSFV0nK","properties":{"formattedCitation":"J. Kwik, \\uc0\\u8216{}Traditional Food Knowledge: A Case Study of an Immigrant Canadian \\uc0\\u8220{}Foodscape\\uc0\\u8221{}\\uc0\\u8217{}, {\\i{}Environments}, 36 (2008), 59\\uc0\\u8211{}74.","plainCitation":"J. Kwik, ‘Traditional Food Knowledge: A Case Study of an Immigrant Canadian “Foodscape”’, Environments, 36 (2008), 59–74.","noteIndex":24},"citationItems":[{"id":79,"uris":["http://zotero.org/users/6665715/items/AQ5FF7S3"],"itemData":{"id":79,"type":"article-journal","abstract":"Traditional food knowledge (TFK) refers to the cultural tradition of sharing food provisioning skills, techniques and cultural beliefs from generation to generation. Traditional food knowledge can be a means of asserting cultural identity, particularly for minority cultural groups; transmitting this knowledge may contribute to personal skills that relate to food security and personal nutrition and enhanced community capacity. Furthermore, this knowledge can connect cultural diasporas and fortify cultural identity for post-migration generations. As an intergeneratlonal activity, TFK transmission also plays a role in socialization. Traditional food knowledge can fade within households and communities as regional food systems and cultures change with pressures from global industrialization, urbanization and cultural homogenization. The distinct expressions of taste and place face a continuity gap when traditional food knowledge Is not passed forward and, instead, is reframed as the domain of industrial production. The losses in cultural heritage, as a result, have only recently reached academic and policy attention. Defining traditional food knowledge (TFK) is a first step in asserting space for its recovery and renewal. TFK practitioners will need to be recognized for their skills and community space - in terms of time and facilities - may be required to encourage such social and informal cultural education to be shared. The qualitative case study described in this paper combined knowledge from the literature with the lived experience of immigrant first-generation IndonesianChinese Canadians and their families. The literature contextualized the social practice of traditional food knowledge transmission and provided the theoretical background. The concept of TFK was grounded in the experiences of a specific group of settled immigrants through a focus group and interviews. The study results include a definition of TFK, description of its significance to a sample of first-generation Canadians and recommendations for supporting TFK transmission.","container-title":"Environments","journalAbbreviation":"Environments","page":"59-74","source":"ResearchGate","title":"Traditional food knowledge: A case study of an Immigrant Canadian \"foodscape\"","title-short":"Traditional food knowledge","volume":"36","author":[{"family":"Kwik","given":"J."}],"issued":{"date-parts":[["2008",1,1]]}}}],"schema":"https://github.com/citation-style-language/schema/raw/master/csl-citation.json"} </w:instrText>
      </w:r>
      <w:r>
        <w:fldChar w:fldCharType="separate"/>
      </w:r>
      <w:r w:rsidRPr="00503198">
        <w:rPr>
          <w:rFonts w:ascii="Calibri" w:hAnsi="Calibri" w:cs="Calibri"/>
          <w:szCs w:val="24"/>
        </w:rPr>
        <w:t xml:space="preserve">J. Kwik, ‘Traditional Food Knowledge: A Case Study of an Immigrant Canadian “Foodscape”’, </w:t>
      </w:r>
      <w:r w:rsidRPr="00503198">
        <w:rPr>
          <w:rFonts w:ascii="Calibri" w:hAnsi="Calibri" w:cs="Calibri"/>
          <w:i/>
          <w:iCs/>
          <w:szCs w:val="24"/>
        </w:rPr>
        <w:t>Environments</w:t>
      </w:r>
      <w:r w:rsidRPr="00503198">
        <w:rPr>
          <w:rFonts w:ascii="Calibri" w:hAnsi="Calibri" w:cs="Calibri"/>
          <w:szCs w:val="24"/>
        </w:rPr>
        <w:t>, 36 (2008), 59–74.</w:t>
      </w:r>
      <w:r>
        <w:fldChar w:fldCharType="end"/>
      </w:r>
    </w:p>
  </w:footnote>
  <w:footnote w:id="26">
    <w:p w14:paraId="0BD076A6" w14:textId="101F408B"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{"citationID":"FziX7xEi","properties":{"formattedCitation":"Julia Csergo, \\uc0\\u8216{}Food As a Collective Heritage Brand in the Era of Globalization\\uc0\\u8217{}, {\\i{}International Journal of Cultural Property}, 25.4 (2018), 449\\uc0\\u8211{}68 &lt;https://doi.org/10.1017/S0940739118000322&gt;.","plainCitation":"Julia Csergo, ‘Food As a Collective Heritage Brand in the Era of Globalization’, International Journal of Cultural Property, 25.4 (2018), 449–68 &lt;https://doi.org/10.1017/S0940739118000322&gt;.","dontUpdate":true,"noteIndex":25},"citationItems":[{"id":64,"uris":["http://zotero.org/users/6665715/items/BIJEAS9R"],"itemData":{"id":64,"type":"article-journal","abstract":"Following debate surrounding nominations of food practices for the United Nations Educational, Scientific and Cultural Organization’s lists of intangible cultural heritage (ICH), 10 years after the entry into force of the Convention for the Safeguarding of Intangible Cultural Heritage, we observe that the ICH lists count a growing number of food-related heritage elements. Yet food, or even gastronomy, as a cultural domain within ICH has yet to be officially recognized. However, given the trade policies arising from the new globalization, which subject peoples and the planet to imported, globalized, and standardized models and which generate an impoverishment of agricultures and food cultures, major geo-economic issues will play out around this recognition. Thus, along with identification labels of quality and origin that protect certain products and know-how from counterfeiting, other forms of protection could be put into place for the benefit of intangible food heritage inscribed on national lists and of the products, goods, services, industries, and cultural spaces in which they are embedded. From the perspective of safeguarding cultural diversity, which any inscription of ICH should lead to, these protections could operate not only through the cultural policies within safeguarding plans but also through the creation of a new binding legal instrument—“the heritage brand”—which could become an important facet of international trade law.","container-title":"International Journal of Cultural Property","DOI":"10.1017/S0940739118000322","ISSN":"0940-7391, 1465-7317","issue":"4","language":"en","note":"publisher: Cambridge University Press","page":"449-468","source":"Cambridge University Press","title":"Food As a Collective Heritage Brand in the Era of Globalization","volume":"25","author":[{"family":"Csergo","given":"Julia"}],"issued":{"date-parts":[["2018",11]]}}}],"schema":"https://github.com/citation-style-language/schema/raw/master/csl-citation.json"} </w:instrText>
      </w:r>
      <w:r>
        <w:fldChar w:fldCharType="separate"/>
      </w:r>
      <w:r w:rsidRPr="002F6D97">
        <w:rPr>
          <w:rFonts w:ascii="Calibri" w:hAnsi="Calibri" w:cs="Calibri"/>
          <w:szCs w:val="24"/>
        </w:rPr>
        <w:t xml:space="preserve">Julia Csergo, ‘Food </w:t>
      </w:r>
      <w:r w:rsidR="00694609" w:rsidRPr="002F6D97">
        <w:rPr>
          <w:rFonts w:ascii="Calibri" w:hAnsi="Calibri" w:cs="Calibri"/>
          <w:szCs w:val="24"/>
        </w:rPr>
        <w:t>as</w:t>
      </w:r>
      <w:r w:rsidRPr="002F6D97">
        <w:rPr>
          <w:rFonts w:ascii="Calibri" w:hAnsi="Calibri" w:cs="Calibri"/>
          <w:szCs w:val="24"/>
        </w:rPr>
        <w:t xml:space="preserve"> a Collective Heritage Brand in the Era of Globalization</w:t>
      </w:r>
      <w:r w:rsidR="00694609" w:rsidRPr="002F6D97">
        <w:rPr>
          <w:rFonts w:ascii="Calibri" w:hAnsi="Calibri" w:cs="Calibri"/>
          <w:szCs w:val="24"/>
        </w:rPr>
        <w:t>,’</w:t>
      </w:r>
      <w:r w:rsidRPr="002F6D97">
        <w:rPr>
          <w:rFonts w:ascii="Calibri" w:hAnsi="Calibri" w:cs="Calibri"/>
          <w:szCs w:val="24"/>
        </w:rPr>
        <w:t xml:space="preserve"> </w:t>
      </w:r>
      <w:r w:rsidRPr="002F6D97">
        <w:rPr>
          <w:rFonts w:ascii="Calibri" w:hAnsi="Calibri" w:cs="Calibri"/>
          <w:i/>
          <w:iCs/>
          <w:szCs w:val="24"/>
        </w:rPr>
        <w:t>International Journal of Cultural Property</w:t>
      </w:r>
      <w:r w:rsidRPr="002F6D97">
        <w:rPr>
          <w:rFonts w:ascii="Calibri" w:hAnsi="Calibri" w:cs="Calibri"/>
          <w:szCs w:val="24"/>
        </w:rPr>
        <w:t>, 25.4 (2018), 449–68 &lt;https://doi.org/10.1017/S0940739118000322&gt;.</w:t>
      </w:r>
      <w:r>
        <w:fldChar w:fldCharType="end"/>
      </w:r>
    </w:p>
  </w:footnote>
  <w:footnote w:id="27">
    <w:p w14:paraId="5764644B" w14:textId="65F0E3EE"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{"citationID":"brVpJvb2","properties":{"formattedCitation":"Anneke Geyzen, \\uc0\\u8216{}Food Studies and the Heritage Turn: A Conceptual Repertoire\\uc0\\u8217{}, {\\i{}Food and History}, 12.2 (2014), 67\\uc0\\u8211{}96 &lt;https://doi.org/10.1484/J.FOOD.5.108963&gt;.","plainCitation":"Anneke Geyzen, ‘Food Studies and the Heritage Turn: A Conceptual Repertoire’, Food and History, 12.2 (2014), 67–96 &lt;https://doi.org/10.1484/J.FOOD.5.108963&gt;.","dontUpdate":true,"noteIndex":26},"citationItems":[{"id":66,"uris":["http://zotero.org/users/6665715/items/VM589MLR"],"itemData":{"id":66,"type":"article-journal","abstract":"Recent attention to food heritage has been accompanied by new angles and questions within the field of Food Studies. This paper examines these new angles and questions, while aiming to distinguish the various research visions that influence the publications within the framework of what could be called the heritage turn. The historiographical overview proposes a conceptual repertoire that can be used as a frame of reference for future research; it considers the relationship between food, identity, and so-called attempts at re-identification in terms of heritage claims on the one hand, while scrutinising the concepts of patrimonialisation or heritagisation, heritage, food memory, nostalgia, authenticity, tradition, grandmother’s cooking, terroir, and geographical indications on the other.","container-title":"Food and History","DOI":"10.1484/J.FOOD.5.108963","ISSN":"1780-3187","issue":"2","note":"publisher: Brepols Publishers","page":"67-96","source":"brepolsonline.net (Atypon)","title":"Food Studies and the Heritage Turn: a Conceptual Repertoire","title-short":"Food Studies and the Heritage Turn","volume":"12","author":[{"family":"Geyzen","given":"Anneke"}],"issued":{"date-parts":[["2014",7]]}}}],"schema":"https://github.com/citation-style-language/schema/raw/master/csl-citation.json"} </w:instrText>
      </w:r>
      <w:r>
        <w:fldChar w:fldCharType="separate"/>
      </w:r>
      <w:r w:rsidRPr="00936199">
        <w:rPr>
          <w:rFonts w:ascii="Calibri" w:hAnsi="Calibri" w:cs="Calibri"/>
          <w:szCs w:val="24"/>
        </w:rPr>
        <w:t>Anneke Geyzen, ‘Food Studies and the Heritage Turn: A Conceptual Repertoire</w:t>
      </w:r>
      <w:r w:rsidR="00694609" w:rsidRPr="00936199">
        <w:rPr>
          <w:rFonts w:ascii="Calibri" w:hAnsi="Calibri" w:cs="Calibri"/>
          <w:szCs w:val="24"/>
        </w:rPr>
        <w:t>,’</w:t>
      </w:r>
      <w:r w:rsidRPr="00936199">
        <w:rPr>
          <w:rFonts w:ascii="Calibri" w:hAnsi="Calibri" w:cs="Calibri"/>
          <w:szCs w:val="24"/>
        </w:rPr>
        <w:t xml:space="preserve"> </w:t>
      </w:r>
      <w:r w:rsidRPr="00936199">
        <w:rPr>
          <w:rFonts w:ascii="Calibri" w:hAnsi="Calibri" w:cs="Calibri"/>
          <w:i/>
          <w:iCs/>
          <w:szCs w:val="24"/>
        </w:rPr>
        <w:t>Food and History</w:t>
      </w:r>
      <w:r w:rsidRPr="00936199">
        <w:rPr>
          <w:rFonts w:ascii="Calibri" w:hAnsi="Calibri" w:cs="Calibri"/>
          <w:szCs w:val="24"/>
        </w:rPr>
        <w:t>, 12.2 (2014), 67–96 &lt;https://doi.org/10.1484/J.FOOD.5.108963&gt;.</w:t>
      </w:r>
      <w:r>
        <w:fldChar w:fldCharType="end"/>
      </w:r>
    </w:p>
  </w:footnote>
  <w:footnote w:id="28">
    <w:p w14:paraId="41686E9B" w14:textId="6C995D81" w:rsidR="005914BF" w:rsidRDefault="005914BF" w:rsidP="005914BF">
      <w:pPr>
        <w:pStyle w:val="FootnoteText"/>
      </w:pPr>
      <w:r w:rsidRPr="004F1478">
        <w:rPr>
          <w:rStyle w:val="FootnoteReference"/>
        </w:rPr>
        <w:footnoteRef/>
      </w:r>
      <w:r>
        <w:t xml:space="preserve"> </w:t>
      </w:r>
      <w:r>
        <w:fldChar w:fldCharType="begin"/>
      </w:r>
      <w:r w:rsidR="00D37C62">
        <w:instrText xml:space="preserve"> ADDIN ZOTERO_ITEM CSL_CITATION {"citationID":"xYRvECP8","properties":{"formattedCitation":"{\\i{}Cultural Heritage and Tourism in the Developing World: A Regional Perspective}, ed. by Dallen J. Timothy and Gyan P. Nyaupane (London: Routledge, 2009) &lt;https://doi.org/10.4324/9780203877753&gt;.","plainCitation":"Cultural Heritage and Tourism in the Developing World: A Regional Perspective, ed. by Dallen J. Timothy and Gyan P. Nyaupane (London: Routledge, 2009) &lt;https://doi.org/10.4324/9780203877753&gt;.","noteIndex":27},"citationItems":[{"id":68,"uris":["http://zotero.org/users/6665715/items/RPBLXHJ8"],"itemData":{"id":68,"type":"book","abstract":"Cultural Heritage and Tourism in the Developing World is the first book of its kind to synthesize global and regional issues, challenges, and","event-place":"London","ISBN":"978-0-203-87775-3","note":"DOI: 10.4324/9780203877753","number-of-pages":"280","publisher":"Routledge","publisher-place":"London","title":"Cultural Heritage and Tourism in the Developing World: A Regional Perspective","title-short":"Cultural Heritage and Tourism in the Developing World","editor":[{"family":"Timothy","given":"Dallen J."},{"family":"Nyaupane","given":"Gyan P."}],"issued":{"date-parts":[["2009",5,18]]}}}],"schema":"https://github.com/citation-style-language/schema/raw/master/csl-citation.json"} </w:instrText>
      </w:r>
      <w:r>
        <w:fldChar w:fldCharType="separate"/>
      </w:r>
      <w:r w:rsidRPr="00BE61E0">
        <w:rPr>
          <w:rFonts w:ascii="Calibri" w:hAnsi="Calibri" w:cs="Calibri"/>
          <w:i/>
          <w:iCs/>
          <w:szCs w:val="24"/>
        </w:rPr>
        <w:t>Cultural Heritage and Tourism in the Developing World: A Regional Perspective</w:t>
      </w:r>
      <w:r w:rsidRPr="00BE61E0">
        <w:rPr>
          <w:rFonts w:ascii="Calibri" w:hAnsi="Calibri" w:cs="Calibri"/>
          <w:szCs w:val="24"/>
        </w:rPr>
        <w:t>, ed. by Dallen J. Timothy and Gyan P. Nyaupane (London: Routledge, 2009) &lt;https://doi.org/10.4324/9780203877753&gt;.</w:t>
      </w:r>
      <w:r>
        <w:fldChar w:fldCharType="end"/>
      </w:r>
      <w:r>
        <w:t>p.42</w:t>
      </w:r>
    </w:p>
  </w:footnote>
  <w:footnote w:id="29">
    <w:p w14:paraId="1A084608" w14:textId="5174BF7E" w:rsidR="005D2C3A" w:rsidRDefault="005D2C3A">
      <w:pPr>
        <w:pStyle w:val="FootnoteText"/>
      </w:pPr>
      <w:r>
        <w:rPr>
          <w:rStyle w:val="FootnoteReference"/>
        </w:rPr>
        <w:footnoteRef/>
      </w:r>
      <w:r>
        <w:t xml:space="preserve"> </w:t>
      </w:r>
      <w:r>
        <w:fldChar w:fldCharType="begin"/>
      </w:r>
      <w:r>
        <w:instrText xml:space="preserve"> ADDIN ZOTERO_ITEM CSL_CITATION {"citationID":"JtWC6yNY","properties":{"formattedCitation":"Benedict Richard O\\uc0\\u8217{}Gorman Anderson, {\\i{}Imagined Communities: Reflections on the Origin and Spread of Nationalism} (Verso, 1991).","plainCitation":"Benedict Richard O’Gorman Anderson, Imagined Communities: Reflections on the Origin and Spread of Nationalism (Verso, 1991).","noteIndex":28},"citationItems":[{"id":292,"uris":["http://zotero.org/users/6665715/items/UWSY22WD"],"itemData":{"id":292,"type":"book","abstract":"What makes people love and die for nations, as well as hate and kill in their name? While many studies have been written on nationalist political movements, the sense of nationality—the personal and cultural feeling of belonging to the nation—has not received proportionate attention. In this widely acclaimed work, Benedict Anderson examines the creation and global spread of the 'imagined communities' of nationality.  Anderson explores the processes that created these communities: the territorialisation of religious faiths, the decline of antique kingship, the interaction between capitalism and print, the development of vernacular languages-of-state, and changing conceptions of time. He shows how an originary nationalism born in the Americas was modularly adopted by popular movements in Europe, by the imperialist powers, and by the anti-imperialist resistances in Asia and Africa.  This revised edition includes two new chapters, one of which discusses the complex role of the colonialist state's mindset in the development of Third World nationalism, while the other analyses the processes by which all over the world, nations came to imagine themselves as old.","ISBN":"978-0-86091-546-1","language":"en","note":"Google-Books-ID: 4mmoZFtCpuoC","number-of-pages":"244","publisher":"Verso","source":"Google Books","title":"Imagined Communities: Reflections on the Origin and Spread of Nationalism","title-short":"Imagined Communities","author":[{"family":"Anderson","given":"Benedict Richard O'Gorman"}],"issued":{"date-parts":[["1991"]]}}}],"schema":"https://github.com/citation-style-language/schema/raw/master/csl-citation.json"} </w:instrText>
      </w:r>
      <w:r>
        <w:fldChar w:fldCharType="separate"/>
      </w:r>
      <w:r w:rsidRPr="005D2C3A">
        <w:rPr>
          <w:rFonts w:ascii="Calibri" w:hAnsi="Calibri" w:cs="Calibri"/>
          <w:szCs w:val="24"/>
        </w:rPr>
        <w:t xml:space="preserve">Benedict Richard O’Gorman Anderson, </w:t>
      </w:r>
      <w:r w:rsidRPr="005D2C3A">
        <w:rPr>
          <w:rFonts w:ascii="Calibri" w:hAnsi="Calibri" w:cs="Calibri"/>
          <w:i/>
          <w:iCs/>
          <w:szCs w:val="24"/>
        </w:rPr>
        <w:t>Imagined Communities: Reflections on the Origin and Spread of Nationalism</w:t>
      </w:r>
      <w:r w:rsidRPr="005D2C3A">
        <w:rPr>
          <w:rFonts w:ascii="Calibri" w:hAnsi="Calibri" w:cs="Calibri"/>
          <w:szCs w:val="24"/>
        </w:rPr>
        <w:t xml:space="preserve"> (Verso, 1991).</w:t>
      </w:r>
      <w:r>
        <w:fldChar w:fldCharType="end"/>
      </w:r>
    </w:p>
  </w:footnote>
  <w:footnote w:id="30">
    <w:p w14:paraId="6083A659" w14:textId="2A40DFBB" w:rsidR="00863840" w:rsidRDefault="00863840">
      <w:pPr>
        <w:pStyle w:val="FootnoteText"/>
      </w:pPr>
      <w:r>
        <w:rPr>
          <w:rStyle w:val="FootnoteReference"/>
        </w:rPr>
        <w:footnoteRef/>
      </w:r>
      <w:r>
        <w:t xml:space="preserve"> </w:t>
      </w:r>
      <w:r>
        <w:fldChar w:fldCharType="begin"/>
      </w:r>
      <w:r>
        <w:instrText xml:space="preserve"> ADDIN ZOTERO_ITEM CSL_CITATION {"citationID":"zto1nHgs","properties":{"formattedCitation":"Daniel John Evans, \\uc0\\u8216{}Welshness in \\uc0\\u8220{}British Wales\\uc0\\u8221{}: Negotiating National Identity at the Margins\\uc0\\u8217{}, {\\i{}Nations and Nationalism}, 25.1 (2019), 167\\uc0\\u8211{}90 &lt;https://doi.org/10.1111/nana.12390&gt;.","plainCitation":"Daniel John Evans, ‘Welshness in “British Wales”: Negotiating National Identity at the Margins’, Nations and Nationalism, 25.1 (2019), 167–90 &lt;https://doi.org/10.1111/nana.12390&gt;.","noteIndex":29},"citationItems":[{"id":290,"uris":["http://zotero.org/users/6665715/items/GH6NYFDA"],"itemData":{"id":290,"type":"article-journal","abstract":"Popular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Pr="00863840">
        <w:rPr>
          <w:rFonts w:ascii="Calibri" w:hAnsi="Calibri" w:cs="Calibri"/>
          <w:szCs w:val="24"/>
        </w:rPr>
        <w:t xml:space="preserve">Daniel John Evans, ‘Welshness in “British Wales”: Negotiating National Identity at the Margins’, </w:t>
      </w:r>
      <w:r w:rsidRPr="00863840">
        <w:rPr>
          <w:rFonts w:ascii="Calibri" w:hAnsi="Calibri" w:cs="Calibri"/>
          <w:i/>
          <w:iCs/>
          <w:szCs w:val="24"/>
        </w:rPr>
        <w:t>Nations and Nationalism</w:t>
      </w:r>
      <w:r w:rsidRPr="00863840">
        <w:rPr>
          <w:rFonts w:ascii="Calibri" w:hAnsi="Calibri" w:cs="Calibri"/>
          <w:szCs w:val="24"/>
        </w:rPr>
        <w:t>, 25.1 (2019), 167–90 &lt;https://doi.org/10.1111/nana.12390&gt;.</w:t>
      </w:r>
      <w:r>
        <w:fldChar w:fldCharType="end"/>
      </w:r>
      <w:r w:rsidR="00FA4255">
        <w:t>p.</w:t>
      </w:r>
      <w:proofErr w:type="gramStart"/>
      <w:r w:rsidR="00FA4255">
        <w:t>167</w:t>
      </w:r>
      <w:proofErr w:type="gramEnd"/>
    </w:p>
  </w:footnote>
  <w:footnote w:id="31">
    <w:p w14:paraId="67CF3863" w14:textId="6FC81C2B" w:rsidR="00A77FBC" w:rsidRDefault="00A77FBC">
      <w:pPr>
        <w:pStyle w:val="FootnoteText"/>
      </w:pPr>
      <w:r>
        <w:rPr>
          <w:rStyle w:val="FootnoteReference"/>
        </w:rPr>
        <w:footnoteRef/>
      </w:r>
      <w:r>
        <w:t xml:space="preserve"> </w:t>
      </w:r>
      <w:r>
        <w:fldChar w:fldCharType="begin"/>
      </w:r>
      <w:r w:rsidR="00927C81">
        <w:instrText xml:space="preserve"> ADDIN ZOTERO_ITEM CSL_CITATION {"citationID":"lrqN7X9r","properties":{"formattedCitation":"Daniel John Evans.","plainCitation":"Daniel John Evans.","noteIndex":30},"citationItems":[{"id":290,"uris":["http://zotero.org/users/6665715/items/GH6NYFDA"],"itemData":{"id":290,"type":"article-journal","abstract":"Popular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00927C81" w:rsidRPr="00927C81">
        <w:rPr>
          <w:rFonts w:ascii="Calibri" w:hAnsi="Calibri" w:cs="Calibri"/>
        </w:rPr>
        <w:t>Daniel John Evans.</w:t>
      </w:r>
      <w:r>
        <w:fldChar w:fldCharType="end"/>
      </w:r>
      <w:r w:rsidR="00CC0817">
        <w:t>p.168</w:t>
      </w:r>
    </w:p>
  </w:footnote>
  <w:footnote w:id="32">
    <w:p w14:paraId="710EA02B" w14:textId="75BF8458" w:rsidR="00CC0817" w:rsidRDefault="00CC0817">
      <w:pPr>
        <w:pStyle w:val="FootnoteText"/>
      </w:pPr>
      <w:r>
        <w:rPr>
          <w:rStyle w:val="FootnoteReference"/>
        </w:rPr>
        <w:footnoteRef/>
      </w:r>
      <w:r>
        <w:t xml:space="preserve"> </w:t>
      </w:r>
      <w:r>
        <w:fldChar w:fldCharType="begin"/>
      </w:r>
      <w:r>
        <w:instrText xml:space="preserve"> ADDIN ZOTERO_ITEM CSL_CITATION {"citationID":"TdB42Vds","properties":{"formattedCitation":"Pyrs Gruffudd, \\uc0\\u8216{}Remaking Wales: Nation-Building and the Geographical Imagination, 1925\\uc0\\u8211{}1950\\uc0\\u8217{}, {\\i{}Political Geography}, 14.3 (1995), 219\\uc0\\u8211{}39 &lt;https://doi.org/10.1016/0962-6298(95)93185-L&gt;.","plainCitation":"Pyrs Gruffudd, ‘Remaking Wales: Nation-Building and the Geographical Imagination, 1925–1950’, Political Geography, 14.3 (1995), 219–39 &lt;https://doi.org/10.1016/0962-6298(95)93185-L&gt;.","noteIndex":31},"citationItems":[{"id":294,"uris":["http://zotero.org/users/6665715/items/I5K96QYL"],"itemData":{"id":294,"type":"article-journal","abstract":"Despite the fact that many nationalist movements have the interpretation and control of social space at their core, studies of nationalism have tended to ignore the cultural dimensions of land and territory. There are, however, moves towards a historically and culturally sensitive reading of the role of geography in nationalism. This paper applies such a reading to the ideology of Plaid Cymru, the Welsh Nationalist Party, in the interwar period. It begins by outlining the significance of the geographical and cultural imagination in Welsh politics and then traces the emergence of geographical discourses of Welshness. The territorially rooted sense of national identity was threatened by the policies of the British state and this paper focuses on the geographical discourses mobilized during campaigns of resistance to military land requisitioning. Territory was also important in the integrative sense of nation-building and this paper considers one such scheme—the construction of a North-South road to unite Wales. It ends by arguing for an imaginative reading of the nation.","container-title":"Political Geography","DOI":"10.1016/0962-6298(95)93185-L","ISSN":"0962-6298","issue":"3","journalAbbreviation":"Political Geography","language":"en","page":"219-239","source":"ScienceDirect","title":"Remaking Wales: nation-building and the geographical imagination, 1925–1950","title-short":"Remaking Wales","volume":"14","author":[{"family":"Gruffudd","given":"Pyrs"}],"issued":{"date-parts":[["1995",4,1]]}}}],"schema":"https://github.com/citation-style-language/schema/raw/master/csl-citation.json"} </w:instrText>
      </w:r>
      <w:r>
        <w:fldChar w:fldCharType="separate"/>
      </w:r>
      <w:proofErr w:type="spellStart"/>
      <w:r w:rsidRPr="00CC0817">
        <w:rPr>
          <w:rFonts w:ascii="Calibri" w:hAnsi="Calibri" w:cs="Calibri"/>
          <w:szCs w:val="24"/>
        </w:rPr>
        <w:t>Pyrs</w:t>
      </w:r>
      <w:proofErr w:type="spellEnd"/>
      <w:r w:rsidRPr="00CC0817">
        <w:rPr>
          <w:rFonts w:ascii="Calibri" w:hAnsi="Calibri" w:cs="Calibri"/>
          <w:szCs w:val="24"/>
        </w:rPr>
        <w:t xml:space="preserve"> </w:t>
      </w:r>
      <w:proofErr w:type="spellStart"/>
      <w:r w:rsidRPr="00CC0817">
        <w:rPr>
          <w:rFonts w:ascii="Calibri" w:hAnsi="Calibri" w:cs="Calibri"/>
          <w:szCs w:val="24"/>
        </w:rPr>
        <w:t>Gruffudd</w:t>
      </w:r>
      <w:proofErr w:type="spellEnd"/>
      <w:r w:rsidRPr="00CC0817">
        <w:rPr>
          <w:rFonts w:ascii="Calibri" w:hAnsi="Calibri" w:cs="Calibri"/>
          <w:szCs w:val="24"/>
        </w:rPr>
        <w:t xml:space="preserve">, ‘Remaking Wales: Nation-Building and the Geographical Imagination, 1925–1950’, </w:t>
      </w:r>
      <w:r w:rsidRPr="00CC0817">
        <w:rPr>
          <w:rFonts w:ascii="Calibri" w:hAnsi="Calibri" w:cs="Calibri"/>
          <w:i/>
          <w:iCs/>
          <w:szCs w:val="24"/>
        </w:rPr>
        <w:t>Political Geography</w:t>
      </w:r>
      <w:r w:rsidRPr="00CC0817">
        <w:rPr>
          <w:rFonts w:ascii="Calibri" w:hAnsi="Calibri" w:cs="Calibri"/>
          <w:szCs w:val="24"/>
        </w:rPr>
        <w:t>, 14.3 (1995), 219–39 &lt;https://doi.org/10.1016/0962-6298(95)93185-L&gt;.</w:t>
      </w:r>
      <w:r>
        <w:fldChar w:fldCharType="end"/>
      </w:r>
      <w:r>
        <w:t>p.220</w:t>
      </w:r>
    </w:p>
  </w:footnote>
  <w:footnote w:id="33">
    <w:p w14:paraId="7171AAB2" w14:textId="0DA5F4D5" w:rsidR="00927C81" w:rsidRDefault="00927C81">
      <w:pPr>
        <w:pStyle w:val="FootnoteText"/>
      </w:pPr>
      <w:r>
        <w:rPr>
          <w:rStyle w:val="FootnoteReference"/>
        </w:rPr>
        <w:footnoteRef/>
      </w:r>
      <w:r>
        <w:t xml:space="preserve"> </w:t>
      </w:r>
      <w:r>
        <w:fldChar w:fldCharType="begin"/>
      </w:r>
      <w:r>
        <w:instrText xml:space="preserve"> ADDIN ZOTERO_ITEM CSL_CITATION {"citationID":"i8mOJ1vT","properties":{"formattedCitation":"Neil Evans, \\uc0\\u8216{}Writing Regional History\\uc0\\u8217{} &lt;https://www.academia.edu/25559921/Writing_Regional_history&gt; [accessed 26 January 2023].","plainCitation":"Neil Evans, ‘Writing Regional History’ &lt;https://www.academia.edu/25559921/Writing_Regional_history&gt; [accessed 26 January 2023].","noteIndex":32},"citationItems":[{"id":296,"uris":["http://zotero.org/users/6665715/items/9KHCSG7U"],"itemData":{"id":296,"type":"article-journal","abstract":"This is a personal reflection on my work in regional history as well as a discussion of the field as I see it","source":"www.academia.edu","title":"Writing Regional history","URL":"https://www.academia.edu/25559921/Writing_Regional_history","author":[{"family":"Evans","given":"Neil"}],"accessed":{"date-parts":[["2023",1,26]]}}}],"schema":"https://github.com/citation-style-language/schema/raw/master/csl-citation.json"} </w:instrText>
      </w:r>
      <w:r>
        <w:fldChar w:fldCharType="separate"/>
      </w:r>
      <w:r w:rsidRPr="00927C81">
        <w:rPr>
          <w:rFonts w:ascii="Calibri" w:hAnsi="Calibri" w:cs="Calibri"/>
          <w:szCs w:val="24"/>
        </w:rPr>
        <w:t>Neil Evans, ‘Writing Regional History’ &lt;https://www.academia.edu/25559921/Writing_Regional_history&gt; [accessed 26 January 2023].</w:t>
      </w:r>
      <w:r>
        <w:fldChar w:fldCharType="end"/>
      </w:r>
    </w:p>
  </w:footnote>
  <w:footnote w:id="34">
    <w:p w14:paraId="7BFBC645" w14:textId="7BEE89F8" w:rsidR="009A096B" w:rsidRDefault="009A096B">
      <w:pPr>
        <w:pStyle w:val="FootnoteText"/>
      </w:pPr>
      <w:r>
        <w:rPr>
          <w:rStyle w:val="FootnoteReference"/>
        </w:rPr>
        <w:footnoteRef/>
      </w:r>
      <w:r>
        <w:t xml:space="preserve"> </w:t>
      </w:r>
      <w:r>
        <w:fldChar w:fldCharType="begin"/>
      </w:r>
      <w:r w:rsidR="00927C81">
        <w:instrText xml:space="preserve"> ADDIN ZOTERO_ITEM CSL_CITATION {"citationID":"kn9uyh2V","properties":{"formattedCitation":"Daniel John Evans.","plainCitation":"Daniel John Evans.","noteIndex":33},"citationItems":[{"id":290,"uris":["http://zotero.org/users/6665715/items/GH6NYFDA"],"itemData":{"id":290,"type":"article-journal","abstract":"Popular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00927C81" w:rsidRPr="00927C81">
        <w:rPr>
          <w:rFonts w:ascii="Calibri" w:hAnsi="Calibri" w:cs="Calibri"/>
        </w:rPr>
        <w:t>Daniel John Evans.</w:t>
      </w:r>
      <w:r>
        <w:fldChar w:fldCharType="end"/>
      </w:r>
      <w:r w:rsidR="00927C81">
        <w:t>p.168</w:t>
      </w:r>
    </w:p>
  </w:footnote>
  <w:footnote w:id="35">
    <w:p w14:paraId="3A535DF2" w14:textId="36E197CB" w:rsidR="002D6EA4" w:rsidRDefault="002D6EA4">
      <w:pPr>
        <w:pStyle w:val="FootnoteText"/>
      </w:pPr>
      <w:r>
        <w:rPr>
          <w:rStyle w:val="FootnoteReference"/>
        </w:rPr>
        <w:footnoteRef/>
      </w:r>
      <w:r>
        <w:t xml:space="preserve"> </w:t>
      </w:r>
      <w:r>
        <w:fldChar w:fldCharType="begin"/>
      </w:r>
      <w:r>
        <w:instrText xml:space="preserve"> ADDIN ZOTERO_ITEM CSL_CITATION {"citationID":"OXCwyJrv","properties":{"formattedCitation":"Daniel John Evans.","plainCitation":"Daniel John Evans.","noteIndex":34},"citationItems":[{"id":290,"uris":["http://zotero.org/users/6665715/items/GH6NYFDA"],"itemData":{"id":290,"type":"article-journal","abstract":"Popular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Pr="002D6EA4">
        <w:rPr>
          <w:rFonts w:ascii="Calibri" w:hAnsi="Calibri" w:cs="Calibri"/>
        </w:rPr>
        <w:t>Daniel John Evans.</w:t>
      </w:r>
      <w:r>
        <w:fldChar w:fldCharType="end"/>
      </w:r>
      <w:r>
        <w:t>p.168</w:t>
      </w:r>
    </w:p>
  </w:footnote>
  <w:footnote w:id="36">
    <w:p w14:paraId="27596BC3" w14:textId="01B2773C" w:rsidR="000C4EF4" w:rsidRDefault="000C4EF4">
      <w:pPr>
        <w:pStyle w:val="FootnoteText"/>
      </w:pPr>
      <w:r>
        <w:rPr>
          <w:rStyle w:val="FootnoteReference"/>
        </w:rPr>
        <w:footnoteRef/>
      </w:r>
      <w:r>
        <w:t xml:space="preserve"> </w:t>
      </w:r>
      <w:r>
        <w:fldChar w:fldCharType="begin"/>
      </w:r>
      <w:r>
        <w:instrText xml:space="preserve"> ADDIN ZOTERO_ITEM CSL_CITATION {"citationID":"tSUcLCNL","properties":{"formattedCitation":"Daniel John Evans.","plainCitation":"Daniel John Evans.","noteIndex":35},"citationItems":[{"id":290,"uris":["http://zotero.org/users/6665715/items/GH6NYFDA"],"itemData":{"id":290,"type":"article-journal","abstract":"Popular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Pr="000C4EF4">
        <w:rPr>
          <w:rFonts w:ascii="Calibri" w:hAnsi="Calibri" w:cs="Calibri"/>
        </w:rPr>
        <w:t>Daniel John Evans.</w:t>
      </w:r>
      <w:r>
        <w:fldChar w:fldCharType="end"/>
      </w:r>
    </w:p>
  </w:footnote>
  <w:footnote w:id="37">
    <w:p w14:paraId="6C5414FF" w14:textId="2A927812" w:rsidR="002D176D" w:rsidRDefault="002D176D">
      <w:pPr>
        <w:pStyle w:val="FootnoteText"/>
      </w:pPr>
      <w:r>
        <w:rPr>
          <w:rStyle w:val="FootnoteReference"/>
        </w:rPr>
        <w:footnoteRef/>
      </w:r>
      <w:r>
        <w:t xml:space="preserve"> </w:t>
      </w:r>
      <w:r>
        <w:fldChar w:fldCharType="begin"/>
      </w:r>
      <w:r>
        <w:instrText xml:space="preserve"> ADDIN ZOTERO_ITEM CSL_CITATION {"citationID":"tKB9sGSd","properties":{"formattedCitation":"G. A. Day and H. Mackay, \\uc0\\u8216{}Place and Belonging.\\uc0\\u8217{}, {\\i{}Understanding Comtemporary Wales.}, 2010, 26\\uc0\\u8211{}57.","plainCitation":"G. A. Day and H. Mackay, ‘Place and Belonging.’, Understanding Comtemporary Wales., 2010, 26–57.","noteIndex":36},"citationItems":[{"id":297,"uris":["http://zotero.org/users/6665715/items/PPQXJG9Y"],"itemData":{"id":297,"type":"article-journal","container-title":"Understanding Comtemporary Wales.","language":"English","note":"publisher: University of Wales Press","page":"26-57","source":"research.bangor.ac.uk","title":"Place and Belonging.","author":[{"family":"Day","given":"G. A."},{"family":"Mackay","given":"H."}],"issued":{"date-parts":[["2010",1,1]]}}}],"schema":"https://github.com/citation-style-language/schema/raw/master/csl-citation.json"} </w:instrText>
      </w:r>
      <w:r>
        <w:fldChar w:fldCharType="separate"/>
      </w:r>
      <w:r w:rsidRPr="002D176D">
        <w:rPr>
          <w:rFonts w:ascii="Calibri" w:hAnsi="Calibri" w:cs="Calibri"/>
          <w:szCs w:val="24"/>
        </w:rPr>
        <w:t>G. A. Day and H. Mackay, ‘Place and Belonging.</w:t>
      </w:r>
      <w:proofErr w:type="gramStart"/>
      <w:r w:rsidRPr="002D176D">
        <w:rPr>
          <w:rFonts w:ascii="Calibri" w:hAnsi="Calibri" w:cs="Calibri"/>
          <w:szCs w:val="24"/>
        </w:rPr>
        <w:t>’,</w:t>
      </w:r>
      <w:proofErr w:type="gramEnd"/>
      <w:r w:rsidRPr="002D176D">
        <w:rPr>
          <w:rFonts w:ascii="Calibri" w:hAnsi="Calibri" w:cs="Calibri"/>
          <w:szCs w:val="24"/>
        </w:rPr>
        <w:t xml:space="preserve"> </w:t>
      </w:r>
      <w:r w:rsidRPr="002D176D">
        <w:rPr>
          <w:rFonts w:ascii="Calibri" w:hAnsi="Calibri" w:cs="Calibri"/>
          <w:i/>
          <w:iCs/>
          <w:szCs w:val="24"/>
        </w:rPr>
        <w:t xml:space="preserve">Understanding </w:t>
      </w:r>
      <w:proofErr w:type="spellStart"/>
      <w:r w:rsidRPr="002D176D">
        <w:rPr>
          <w:rFonts w:ascii="Calibri" w:hAnsi="Calibri" w:cs="Calibri"/>
          <w:i/>
          <w:iCs/>
          <w:szCs w:val="24"/>
        </w:rPr>
        <w:t>Comtemporary</w:t>
      </w:r>
      <w:proofErr w:type="spellEnd"/>
      <w:r w:rsidRPr="002D176D">
        <w:rPr>
          <w:rFonts w:ascii="Calibri" w:hAnsi="Calibri" w:cs="Calibri"/>
          <w:i/>
          <w:iCs/>
          <w:szCs w:val="24"/>
        </w:rPr>
        <w:t xml:space="preserve"> Wales.</w:t>
      </w:r>
      <w:r w:rsidRPr="002D176D">
        <w:rPr>
          <w:rFonts w:ascii="Calibri" w:hAnsi="Calibri" w:cs="Calibri"/>
          <w:szCs w:val="24"/>
        </w:rPr>
        <w:t>, 2010, 26–57.</w:t>
      </w:r>
      <w:r>
        <w:fldChar w:fldCharType="end"/>
      </w:r>
    </w:p>
  </w:footnote>
  <w:footnote w:id="38">
    <w:p w14:paraId="5E681696" w14:textId="6B5DBE6D"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{"citationID":"S5pKQ0eU","properties":{"formattedCitation":"\\uc0\\u8216{}UNESCO - What Is Intangible Cultural Heritage?\\uc0\\u8217{}","plainCitation":"‘UNESCO - What Is Intangible Cultural Heritage?’","noteIndex":37},"citationItems":[{"id":39,"uris":["http://zotero.org/users/6665715/items/D4Y5MGHG"],"itemData":{"id":39,"type":"webpage","abstract":"The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00D90493" w:rsidRPr="00D90493">
        <w:rPr>
          <w:rFonts w:ascii="Calibri" w:hAnsi="Calibri" w:cs="Calibri"/>
          <w:szCs w:val="24"/>
        </w:rPr>
        <w:t>‘UNESCO - What Is Intangible Cultural Heritage?’</w:t>
      </w:r>
      <w:r>
        <w:fldChar w:fldCharType="end"/>
      </w:r>
    </w:p>
  </w:footnote>
  <w:footnote w:id="39">
    <w:p w14:paraId="61ABB67D" w14:textId="40AFF3BC" w:rsidR="005831B4" w:rsidRDefault="005831B4">
      <w:pPr>
        <w:pStyle w:val="FootnoteText"/>
      </w:pPr>
      <w:r>
        <w:rPr>
          <w:rStyle w:val="FootnoteReference"/>
        </w:rPr>
        <w:footnoteRef/>
      </w:r>
      <w:r>
        <w:t xml:space="preserve"> </w:t>
      </w:r>
      <w:r>
        <w:fldChar w:fldCharType="begin"/>
      </w:r>
      <w:r>
        <w:instrText xml:space="preserve"> ADDIN ZOTERO_ITEM CSL_CITATION {"citationID":"GpqMHydL","properties":{"formattedCitation":"Dallen   J. Timothy and Amos   S. Ron, \\uc0\\u8216{}Understanding Heritage Cuisines and Tourism: Identity, Image, Authenticity, and Change\\uc0\\u8217{}, {\\i{}Journal of Heritage Tourism}, 8.2\\uc0\\u8211{}3 (2013), 99\\uc0\\u8211{}104 &lt;https://doi.org/10.1080/1743873X.2013.767818&gt;.","plainCitation":"Dallen   J. Timothy and Amos   S. Ron, ‘Understanding Heritage Cuisines and Tourism: Identity, Image, Authenticity, and Change’, Journal of Heritage Tourism, 8.2–3 (2013), 99–104 &lt;https://doi.org/10.1080/1743873X.2013.767818&gt;.","noteIndex":38},"citationItems":[{"id":88,"uris":["http://zotero.org/users/6665715/items/8IEU67WT"],"itemData":{"id":88,"type":"article-journal","container-title":"Journal of Heritage Tourism","DOI":"10.1080/1743873X.2013.767818","ISSN":"1743-873X","issue":"2-3","note":"publisher: Routledge\n_eprint: https://doi.org/10.1080/1743873X.2013.767818","page":"99-104","source":"Taylor and Francis+NEJM","title":"Understanding heritage cuisines and tourism: identity, image, authenticity, and change","title-short":"Understanding heritage cuisines and tourism","volume":"8","author":[{"family":"Timothy","given":"Dallen   J."},{"family":"Ron","given":"Amos   S."}],"issued":{"date-parts":[["2013",8,1]]}}}],"schema":"https://github.com/citation-style-language/schema/raw/master/csl-citation.json"} </w:instrText>
      </w:r>
      <w:r>
        <w:fldChar w:fldCharType="separate"/>
      </w:r>
      <w:r w:rsidRPr="005831B4">
        <w:rPr>
          <w:rFonts w:ascii="Calibri" w:hAnsi="Calibri" w:cs="Calibri"/>
          <w:szCs w:val="24"/>
        </w:rPr>
        <w:t xml:space="preserve">Dallen   J. Timothy and Amos   S. Ron, ‘Understanding Heritage Cuisines and Tourism: Identity, Image, Authenticity, and Change’, </w:t>
      </w:r>
      <w:r w:rsidRPr="005831B4">
        <w:rPr>
          <w:rFonts w:ascii="Calibri" w:hAnsi="Calibri" w:cs="Calibri"/>
          <w:i/>
          <w:iCs/>
          <w:szCs w:val="24"/>
        </w:rPr>
        <w:t>Journal of Heritage Tourism</w:t>
      </w:r>
      <w:r w:rsidRPr="005831B4">
        <w:rPr>
          <w:rFonts w:ascii="Calibri" w:hAnsi="Calibri" w:cs="Calibri"/>
          <w:szCs w:val="24"/>
        </w:rPr>
        <w:t>, 8.2–3 (2013), 99–</w:t>
      </w:r>
      <w:r w:rsidR="003A6266">
        <w:rPr>
          <w:rFonts w:ascii="Calibri" w:hAnsi="Calibri" w:cs="Calibri"/>
          <w:szCs w:val="24"/>
        </w:rPr>
        <w:t>104</w:t>
      </w:r>
      <w:r w:rsidRPr="005831B4">
        <w:rPr>
          <w:rFonts w:ascii="Calibri" w:hAnsi="Calibri" w:cs="Calibri"/>
          <w:szCs w:val="24"/>
        </w:rPr>
        <w:t xml:space="preserve"> &lt;https://doi.org/10.1080/1743873X.2013.767818&gt;.</w:t>
      </w:r>
      <w:r>
        <w:fldChar w:fldCharType="end"/>
      </w:r>
      <w:r w:rsidR="003A6266">
        <w:t>p.</w:t>
      </w:r>
      <w:proofErr w:type="gramStart"/>
      <w:r w:rsidR="003A6266">
        <w:t>99</w:t>
      </w:r>
      <w:proofErr w:type="gramEnd"/>
    </w:p>
  </w:footnote>
  <w:footnote w:id="40">
    <w:p w14:paraId="55CDCEFA" w14:textId="27D3B765" w:rsidR="000B4D66" w:rsidRDefault="000B4D66">
      <w:pPr>
        <w:pStyle w:val="FootnoteText"/>
      </w:pPr>
      <w:r>
        <w:rPr>
          <w:rStyle w:val="FootnoteReference"/>
        </w:rPr>
        <w:footnoteRef/>
      </w:r>
      <w:r>
        <w:t xml:space="preserve"> </w:t>
      </w:r>
      <w:r>
        <w:fldChar w:fldCharType="begin"/>
      </w:r>
      <w:r w:rsidR="003E0AD9">
        <w:instrText xml:space="preserve"> ADDIN ZOTERO_ITEM CSL_CITATION {"citationID":"9IjfK0To","properties":{"formattedCitation":"Di Fiore.","plainCitation":"Di Fiore.","noteIndex":38},"citationItems":[{"id":12,"uris":["http://zotero.org/users/6665715/items/BJATI6Q5"],"itemData":{"id":12,"type":"article-journal","abstract":"Food Heritage and Nationalism in Europe contends that food is a fundamental element of heritage, and a particularly important one in times of crisis. Arguing that food, taste, cuisine and gastronomy are crucial markers of identity that are inherently connected to constructions of place, tradition and the past, the book demonstrates how they play a role in intangible, as well as tangible, heritage. Featuring contributions from experts working across Europe and beyond, and adopting a strong historical and transnational perspective, the book examines the various ways in which food can be understood and used as heritage. Including explorations of imperial spaces, migrations and diasporas; the role of commercialisation processes, and institutional practices within political and cultural domains, this volume considers all aspects of this complex issue.</w:instrText>
      </w:r>
      <w:r w:rsidR="003E0AD9">
        <w:rPr>
          <w:rFonts w:ascii="MS Gothic" w:eastAsia="MS Gothic" w:hAnsi="MS Gothic" w:cs="MS Gothic" w:hint="eastAsia"/>
        </w:rPr>
        <w:instrText xml:space="preserve">　</w:instrText>
      </w:r>
      <w:r w:rsidR="003E0AD9">
        <w:instrText xml:space="preserve">Arguing that the various European cuisines are the result of exchanges, hybridities and complex historical processes, Porciani and the chapter authors offer up a new way of deconstructing banal nationalism and of moving away from the idea of static identities. Suggesting a new and different approach to the idea of so-called national cuisines, Food Heritage and Nationalism in Europe will be a compelling read for academic audiences in museum and heritage studies, cultural and food studies, anthropology and history. Chapters 1,2,4,6 and 12 of this book are available for free in PDF format as Open Access from the individual product page at www.routledge.com. They have been made available under a Creative Commons Attribution-Non Commercial-No Derivatives 4.0 license","journalAbbreviation":"A critical assessment","language":"English","license":"open access","note":"Accepted: 2021-02-10T13:41:12Z\npublisher: Taylor &amp; Francis","source":"directory.doabooks.org","title":"Chapter 2 Heritage and food history : A critical assessment","title-short":"Chapter 2 Heritage and food history","URL":"https://directory.doabooks.org/handle/20.500.12854/30400","author":[{"family":"Di Fiore","given":"Laura"}],"accessed":{"date-parts":[["2022",8,21]]},"issued":{"date-parts":[["2020"]]}}}],"schema":"https://github.com/citation-style-language/schema/raw/master/csl-citation.json"} </w:instrText>
      </w:r>
      <w:r>
        <w:fldChar w:fldCharType="separate"/>
      </w:r>
      <w:r w:rsidRPr="000B4D66">
        <w:rPr>
          <w:rFonts w:ascii="Calibri" w:hAnsi="Calibri" w:cs="Calibri"/>
        </w:rPr>
        <w:t>Di Fiore.</w:t>
      </w:r>
      <w:r>
        <w:fldChar w:fldCharType="end"/>
      </w:r>
    </w:p>
  </w:footnote>
  <w:footnote w:id="41">
    <w:p w14:paraId="616B050C" w14:textId="08CE3B22" w:rsidR="000B4D66" w:rsidRDefault="000B4D66">
      <w:pPr>
        <w:pStyle w:val="FootnoteText"/>
      </w:pPr>
      <w:r>
        <w:rPr>
          <w:rStyle w:val="FootnoteReference"/>
        </w:rPr>
        <w:footnoteRef/>
      </w:r>
      <w:r>
        <w:t xml:space="preserve"> </w:t>
      </w:r>
      <w:r>
        <w:fldChar w:fldCharType="begin"/>
      </w:r>
      <w:r w:rsidR="003E0AD9">
        <w:instrText xml:space="preserve"> ADDIN ZOTERO_ITEM CSL_CITATION {"citationID":"cPNb2V0E","properties":{"formattedCitation":"Daniel John Evans.","plainCitation":"Daniel John Evans.","noteIndex":39},"citationItems":[{"id":290,"uris":["http://zotero.org/users/6665715/items/GH6NYFDA"],"itemData":{"id":290,"type":"article-journal","abstract":"Popular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00927C81" w:rsidRPr="00927C81">
        <w:rPr>
          <w:rFonts w:ascii="Calibri" w:hAnsi="Calibri" w:cs="Calibri"/>
        </w:rPr>
        <w:t>Daniel John Evans.</w:t>
      </w:r>
      <w:r>
        <w:fldChar w:fldCharType="end"/>
      </w:r>
      <w:r>
        <w:t>p.168</w:t>
      </w:r>
    </w:p>
  </w:footnote>
  <w:footnote w:id="42">
    <w:p w14:paraId="3B6C93C1" w14:textId="559DF448" w:rsidR="00521BA3" w:rsidRDefault="00521BA3">
      <w:pPr>
        <w:pStyle w:val="FootnoteText"/>
      </w:pPr>
      <w:r>
        <w:rPr>
          <w:rStyle w:val="FootnoteReference"/>
        </w:rPr>
        <w:footnoteRef/>
      </w:r>
      <w:r>
        <w:t xml:space="preserve"> </w:t>
      </w:r>
      <w:r>
        <w:fldChar w:fldCharType="begin"/>
      </w:r>
      <w:r>
        <w:instrText xml:space="preserve"> ADDIN ZOTERO_ITEM CSL_CITATION {"citationID":"Kfhywvun","properties":{"formattedCitation":"\\uc0\\u8216{}UNESCO - Browse the Lists of Intangible Cultural Heritage and the Register of Good Safeguarding Practices\\uc0\\u8217{} &lt;https://ich.unesco.org/en/lists&gt; [accessed 23 January 2023].","plainCitation":"‘UNESCO - Browse the Lists of Intangible Cultural Heritage and the Register of Good Safeguarding Practices’ &lt;https://ich.unesco.org/en/lists&gt; [accessed 23 January 2023].","noteIndex":40},"citationItems":[{"id":274,"uris":["http://zotero.org/users/6665715/items/STSXLD6R"],"itemData":{"id":274,"type":"webpage","abstract":"The Committee meets annually to evaluate nominations proposed by States Parties to the 2003 Convention and decide whether or not to inscribe those cultural practices and expressions of intangible heritage on the Convention’s Lists. By clicking on the inscribed elements listed below, you can discover the nominations, photos and videos, together with Committee decisions and evidence of communi...","language":"en","title":"UNESCO - Browse the Lists of Intangible Cultural Heritage and the Register of good safeguarding practices","URL":"https://ich.unesco.org/en/lists","accessed":{"date-parts":[["2023",1,23]]}}}],"schema":"https://github.com/citation-style-language/schema/raw/master/csl-citation.json"} </w:instrText>
      </w:r>
      <w:r>
        <w:fldChar w:fldCharType="separate"/>
      </w:r>
      <w:r w:rsidRPr="00521BA3">
        <w:rPr>
          <w:rFonts w:ascii="Calibri" w:hAnsi="Calibri" w:cs="Calibri"/>
          <w:szCs w:val="24"/>
        </w:rPr>
        <w:t>‘UNESCO - Browse the Lists of Intangible Cultural Heritage and the Register of Good Safeguarding Practices’ &lt;https://ich.unesco.org/en/lists&gt; [accessed 23 January 2023].</w:t>
      </w:r>
      <w:r>
        <w:fldChar w:fldCharType="end"/>
      </w:r>
    </w:p>
  </w:footnote>
  <w:footnote w:id="43">
    <w:p w14:paraId="66FB6902" w14:textId="3743D391" w:rsidR="005D38C5" w:rsidRDefault="005D38C5">
      <w:pPr>
        <w:pStyle w:val="FootnoteText"/>
      </w:pPr>
      <w:r>
        <w:rPr>
          <w:rStyle w:val="FootnoteReference"/>
        </w:rPr>
        <w:footnoteRef/>
      </w:r>
      <w:r>
        <w:t xml:space="preserve"> </w:t>
      </w:r>
      <w:r>
        <w:fldChar w:fldCharType="begin"/>
      </w:r>
      <w:r>
        <w:instrText xml:space="preserve"> ADDIN ZOTERO_ITEM CSL_CITATION {"citationID":"hkExRg6U","properties":{"formattedCitation":"\\uc0\\u8216{}UNESCO - Mediterranean Diet\\uc0\\u8217{} &lt;https://ich.unesco.org/en/RL/mediterranean-diet-00884&gt; [accessed 26 January 2023].","plainCitation":"‘UNESCO - Mediterranean Diet’ &lt;https://ich.unesco.org/en/RL/mediterranean-diet-00884&gt; [accessed 26 January 2023].","noteIndex":41},"citationItems":[{"id":310,"uris":["http://zotero.org/users/6665715/items/LU4A4PDN"],"itemData":{"id":310,"type":"webpage","abstract":"The Mediterranean diet involves a set of skills, knowledge, rituals, symbols and traditions concerning crops, harvesting, fishing, animal husbandry, conservation, processing, cooking, and particularly the sharing and consumption of food. Eating together is the foundation of the cultural identity and continuity of communities throughout the Mediterranean basin. It is a moment of social exchange and...","language":"en","title":"UNESCO - Mediterranean diet","URL":"https://ich.unesco.org/en/RL/mediterranean-diet-00884","accessed":{"date-parts":[["2023",1,26]]}}}],"schema":"https://github.com/citation-style-language/schema/raw/master/csl-citation.json"} </w:instrText>
      </w:r>
      <w:r>
        <w:fldChar w:fldCharType="separate"/>
      </w:r>
      <w:r w:rsidRPr="005D38C5">
        <w:rPr>
          <w:rFonts w:ascii="Calibri" w:hAnsi="Calibri" w:cs="Calibri"/>
          <w:szCs w:val="24"/>
        </w:rPr>
        <w:t>‘UNESCO - Mediterranean Diet’ &lt;https://ich.unesco.org/en/RL/mediterranean-diet-00884&gt; [accessed 26 January 2023].</w:t>
      </w:r>
      <w:r>
        <w:fldChar w:fldCharType="end"/>
      </w:r>
    </w:p>
  </w:footnote>
  <w:footnote w:id="44">
    <w:p w14:paraId="6A30659C" w14:textId="2E7904D0" w:rsidR="00EC2837" w:rsidRDefault="00EC2837">
      <w:pPr>
        <w:pStyle w:val="FootnoteText"/>
      </w:pPr>
      <w:r>
        <w:rPr>
          <w:rStyle w:val="FootnoteReference"/>
        </w:rPr>
        <w:footnoteRef/>
      </w:r>
      <w:r>
        <w:t xml:space="preserve"> </w:t>
      </w:r>
      <w:r>
        <w:fldChar w:fldCharType="begin"/>
      </w:r>
      <w:r>
        <w:instrText xml:space="preserve"> ADDIN ZOTERO_ITEM CSL_CITATION {"citationID":"kXi0R7DR","properties":{"formattedCitation":"Antonia Trichopoulou and Pagona Lagiou, \\uc0\\u8216{}Healthy Traditional Mediterranean Diet: An Expression of Culture, History, and Lifestyle\\uc0\\u8217{}, {\\i{}Nutrition Reviews}, 55.11 (1997), 383\\uc0\\u8211{}89 &lt;https://doi.org/10.1111/j.1753-4887.1997.tb01578.x&gt;.","plainCitation":"Antonia Trichopoulou and Pagona Lagiou, ‘Healthy Traditional Mediterranean Diet: An Expression of Culture, History, and Lifestyle’, Nutrition Reviews, 55.11 (1997), 383–89 &lt;https://doi.org/10.1111/j.1753-4887.1997.tb01578.x&gt;.","noteIndex":42},"citationItems":[{"id":312,"uris":["http://zotero.org/users/6665715/items/IX88JXHM"],"itemData":{"id":312,"type":"article-journal","abstract":"The term Mediterranean diet refers to dietary patterns found in olive-growing areas of the Mediterranean region and described in the 1960s and beyond. There are several variants of the Mediterranean diet, but some common components can be identified: high monounsaturated/saturated fat ratio; ethanol consumption at moderate levels and mainly in the form of wine; high consumption of vegetables, fruits, legumes, and grains; moderate consumption of milk and dairy products, mostly in the form of cheese; and low consumption of meat and meat products. Growing evidence demonstrates that the Mediterranean diet is beneficial to health; the evidence is stronger for coronary heart disease, but it also applies to some forms of cancer. Results from recent investigations provide a strong biomedical foundation for the beneficial effects of the Mediterranean diet.","container-title":"Nutrition Reviews","DOI":"10.1111/j.1753-4887.1997.tb01578.x","ISSN":"0029-6643","issue":"11","journalAbbreviation":"Nutrition Reviews","page":"383-389","source":"Silverchair","title":"Healthy Traditional Mediterranean Diet: an Expression of Culture, History, and Lifestyle","title-short":"Healthy Traditional Mediterranean Diet","volume":"55","author":[{"family":"Trichopoulou","given":"Antonia"},{"family":"Lagiou","given":"Pagona"}],"issued":{"date-parts":[["1997",11,1]]}}}],"schema":"https://github.com/citation-style-language/schema/raw/master/csl-citation.json"} </w:instrText>
      </w:r>
      <w:r>
        <w:fldChar w:fldCharType="separate"/>
      </w:r>
      <w:r w:rsidRPr="00EC2837">
        <w:rPr>
          <w:rFonts w:ascii="Calibri" w:hAnsi="Calibri" w:cs="Calibri"/>
          <w:szCs w:val="24"/>
        </w:rPr>
        <w:t xml:space="preserve">Antonia </w:t>
      </w:r>
      <w:proofErr w:type="spellStart"/>
      <w:r w:rsidRPr="00EC2837">
        <w:rPr>
          <w:rFonts w:ascii="Calibri" w:hAnsi="Calibri" w:cs="Calibri"/>
          <w:szCs w:val="24"/>
        </w:rPr>
        <w:t>Trichopoulou</w:t>
      </w:r>
      <w:proofErr w:type="spellEnd"/>
      <w:r w:rsidRPr="00EC2837">
        <w:rPr>
          <w:rFonts w:ascii="Calibri" w:hAnsi="Calibri" w:cs="Calibri"/>
          <w:szCs w:val="24"/>
        </w:rPr>
        <w:t xml:space="preserve"> and </w:t>
      </w:r>
      <w:proofErr w:type="spellStart"/>
      <w:r w:rsidRPr="00EC2837">
        <w:rPr>
          <w:rFonts w:ascii="Calibri" w:hAnsi="Calibri" w:cs="Calibri"/>
          <w:szCs w:val="24"/>
        </w:rPr>
        <w:t>Pagona</w:t>
      </w:r>
      <w:proofErr w:type="spellEnd"/>
      <w:r w:rsidRPr="00EC2837">
        <w:rPr>
          <w:rFonts w:ascii="Calibri" w:hAnsi="Calibri" w:cs="Calibri"/>
          <w:szCs w:val="24"/>
        </w:rPr>
        <w:t xml:space="preserve"> </w:t>
      </w:r>
      <w:proofErr w:type="spellStart"/>
      <w:r w:rsidRPr="00EC2837">
        <w:rPr>
          <w:rFonts w:ascii="Calibri" w:hAnsi="Calibri" w:cs="Calibri"/>
          <w:szCs w:val="24"/>
        </w:rPr>
        <w:t>Lagiou</w:t>
      </w:r>
      <w:proofErr w:type="spellEnd"/>
      <w:r w:rsidRPr="00EC2837">
        <w:rPr>
          <w:rFonts w:ascii="Calibri" w:hAnsi="Calibri" w:cs="Calibri"/>
          <w:szCs w:val="24"/>
        </w:rPr>
        <w:t>, ‘Healthy Traditional Mediterranean Diet: An Expression of Culture, History, and Lifestyle</w:t>
      </w:r>
      <w:proofErr w:type="gramStart"/>
      <w:r w:rsidRPr="00EC2837">
        <w:rPr>
          <w:rFonts w:ascii="Calibri" w:hAnsi="Calibri" w:cs="Calibri"/>
          <w:szCs w:val="24"/>
        </w:rPr>
        <w:t>’,</w:t>
      </w:r>
      <w:proofErr w:type="gramEnd"/>
      <w:r w:rsidRPr="00EC2837">
        <w:rPr>
          <w:rFonts w:ascii="Calibri" w:hAnsi="Calibri" w:cs="Calibri"/>
          <w:szCs w:val="24"/>
        </w:rPr>
        <w:t xml:space="preserve"> </w:t>
      </w:r>
      <w:r w:rsidRPr="00EC2837">
        <w:rPr>
          <w:rFonts w:ascii="Calibri" w:hAnsi="Calibri" w:cs="Calibri"/>
          <w:i/>
          <w:iCs/>
          <w:szCs w:val="24"/>
        </w:rPr>
        <w:t>Nutrition Reviews</w:t>
      </w:r>
      <w:r w:rsidRPr="00EC2837">
        <w:rPr>
          <w:rFonts w:ascii="Calibri" w:hAnsi="Calibri" w:cs="Calibri"/>
          <w:szCs w:val="24"/>
        </w:rPr>
        <w:t>, 55.11 (1997), 383–89 &lt;https://doi.org/10.1111/j.1753-4887.1997.tb01578.x&gt;.</w:t>
      </w:r>
      <w:r>
        <w:fldChar w:fldCharType="end"/>
      </w:r>
      <w:r>
        <w:t>p.387</w:t>
      </w:r>
    </w:p>
  </w:footnote>
  <w:footnote w:id="45">
    <w:p w14:paraId="7CBBF604" w14:textId="1AEAA6A8" w:rsidR="00B13CA2" w:rsidRDefault="00B13CA2">
      <w:pPr>
        <w:pStyle w:val="FootnoteText"/>
      </w:pPr>
      <w:r>
        <w:rPr>
          <w:rStyle w:val="FootnoteReference"/>
        </w:rPr>
        <w:footnoteRef/>
      </w:r>
      <w:r>
        <w:t xml:space="preserve"> </w:t>
      </w:r>
      <w:r>
        <w:fldChar w:fldCharType="begin"/>
      </w:r>
      <w:r>
        <w:instrText xml:space="preserve"> ADDIN ZOTERO_ITEM CSL_CITATION {"citationID":"A11M4qkK","properties":{"formattedCitation":"Daniel John Evans.","plainCitation":"Daniel John Evans.","noteIndex":43},"citationItems":[{"id":290,"uris":["http://zotero.org/users/6665715/items/GH6NYFDA"],"itemData":{"id":290,"type":"article-journal","abstract":"Popular interpretations of national identity often focus on the unifying qualities of nationhood. However, societies frequently draw hierarchical distinctions between the people and places who are ‘most national’, and those who are ‘least national’. Little attention is paid to these marginal places within the nation and the experiences of their inhabitants. This article helps to address this by analysing the ‘less Welsh’ British Wales region of Wales, a country that has traditionally possessed a hierarchical, regionally constituted nationhood. The article studies the British Wales region both ‘from above’ – considering how some areas develop as ‘less national’ – and ‘from below’, introducing empirical ethnographic work into ‘everyday Welshness’ in this area. Whilst previous work on hierarchical nationhood focuses on how hierarchies are institutionalized by the state, this article demonstrates how people at the margins of the nation actively negotiate their place in the nation. Whilst people in this area expressed a strong Welshness, they also struggled to place themselves in the nation because they had internalized their lowly place within the national hierarchy. The article demonstrates the importance of place and social class for national identity construction and draws attention to the role of power in the discursive construction of hierarchical nationhood.","container-title":"Nations and Nationalism","DOI":"10.1111/nana.12390","ISSN":"1469-8129","issue":"1","language":"en","note":"_eprint: https://onlinelibrary.wiley.com/doi/pdf/10.1111/nana.12390","page":"167-190","source":"Wiley Online Library","title":"Welshness in ‘British Wales’: negotiating national identity at the margins","title-short":"Welshness in ‘British Wales’","volume":"25","author":[{"family":"Evans","given":"Daniel John"}],"issued":{"date-parts":[["2019"]]}}}],"schema":"https://github.com/citation-style-language/schema/raw/master/csl-citation.json"} </w:instrText>
      </w:r>
      <w:r>
        <w:fldChar w:fldCharType="separate"/>
      </w:r>
      <w:r w:rsidRPr="00B13CA2">
        <w:rPr>
          <w:rFonts w:ascii="Calibri" w:hAnsi="Calibri" w:cs="Calibri"/>
        </w:rPr>
        <w:t>Daniel John Evans.</w:t>
      </w:r>
      <w:r>
        <w:fldChar w:fldCharType="end"/>
      </w:r>
    </w:p>
  </w:footnote>
  <w:footnote w:id="46">
    <w:p w14:paraId="17053C90" w14:textId="55A37F2E" w:rsidR="005914BF" w:rsidRPr="00FC713B" w:rsidRDefault="005914BF" w:rsidP="005914BF">
      <w:pPr>
        <w:pStyle w:val="FootnoteText"/>
        <w:rPr>
          <w:lang w:val="it-IT"/>
        </w:rPr>
      </w:pPr>
      <w:r w:rsidRPr="004F1478">
        <w:rPr>
          <w:rStyle w:val="FootnoteReference"/>
        </w:rPr>
        <w:footnoteRef/>
      </w:r>
      <w:r w:rsidRPr="00FC713B">
        <w:rPr>
          <w:lang w:val="it-IT"/>
        </w:rPr>
        <w:t xml:space="preserve"> </w:t>
      </w:r>
      <w:r>
        <w:fldChar w:fldCharType="begin"/>
      </w:r>
      <w:r w:rsidR="003E0AD9">
        <w:rPr>
          <w:lang w:val="it-IT"/>
        </w:rPr>
        <w:instrText xml:space="preserve"> ADDIN ZOTERO_ITEM CSL_CITATION {"citationID":"EcoLwTrO","properties":{"formattedCitation":"Florence Sutcliffe-Braithwaite and Natalie Thomlinson, \\uc0\\u8216{}National Women Against Pit Closures: Gender, Trade Unionism and Community Activism in the Miners\\uc0\\u8217{} Strike, 1984\\uc0\\u8211{}5\\uc0\\u8217{}, {\\i{}Contemporary British History}, 32.1 (2018), 78\\uc0\\u8211{}100 &lt;https://doi.org/10.1080/13619462.2017.1408540&gt;.","plainCitation":"Florence Sutcliffe-Braithwaite and Natalie Thomlinson, ‘National Women Against Pit Closures: Gender, Trade Unionism and Community Activism in the Miners’ Strike, 1984–5’, Contemporary British History, 32.1 (2018), 78–100 &lt;https://doi.org/10.1080/13619462.2017.1408540&gt;.","noteIndex":44},"citationItems":[{"id":258,"uris":["http://zotero.org/users/6665715/items/2HI9F7ZM"],"itemData":{"id":258,"type":"article-journal","abstract":"This article will offer the first historical assessment of the National Women Against Pit Closures movement. It shows that it was not a spontaneous formation but the result of work by a network of committed, long-time activists with strong connections to the left, including the Communist Party and the Women’s Liberation Movement. It will show how key questions caused divisions within the national organisation as it grew. In particular, activists were divided over whether the movement should aim solely to support the strike, or whether it should have broader aims relating to women’s lives, gender and feminism. Related to this, the movement divided over relationships with Arthur Scargill and the National Union of Mineworkers, and the question of which women should be allowed to be members. Finally, the article examines how these questions grew more pressing after the end of the strike, and how and why the national movement had largely disappeared three years after the strike.","container-title":"Contemporary British History","DOI":"10.1080/13619462.2017.1408540","ISSN":"1361-9462","issue":"1","note":"publisher: Routledge\n_eprint: https://doi.org/10.1080/13619462.2017.1408540","page":"78-100","source":"Taylor and Francis+NEJM","title":"National Women Against Pit Closures: gender, trade unionism and community activism in the miners’ strike, 1984–5","title-short":"National Women Against Pit Closures","volume":"32","author":[{"family":"Sutcliffe-Braithwaite","given":"Florence"},{"family":"Thomlinson","given":"Natalie"}],"issued":{"date-parts":[["2018",1,2]]}}}],"schema":"https://github.com/citation-style-language/schema/raw/master/csl-citation.json"} </w:instrText>
      </w:r>
      <w:r>
        <w:fldChar w:fldCharType="separate"/>
      </w:r>
      <w:r w:rsidRPr="00FC713B">
        <w:rPr>
          <w:rFonts w:ascii="Calibri" w:hAnsi="Calibri" w:cs="Calibri"/>
          <w:szCs w:val="24"/>
          <w:lang w:val="it-IT"/>
        </w:rPr>
        <w:t xml:space="preserve">Florence Sutcliffe-Braithwaite and Natalie Thomlinson, ‘National Women Against Pit Closures: Gender, Trade Unionism and Community Activism in the Miners’ Strike, 1984–5’, </w:t>
      </w:r>
      <w:r w:rsidRPr="00FC713B">
        <w:rPr>
          <w:rFonts w:ascii="Calibri" w:hAnsi="Calibri" w:cs="Calibri"/>
          <w:i/>
          <w:szCs w:val="24"/>
          <w:lang w:val="it-IT"/>
        </w:rPr>
        <w:t>Contemporary British History</w:t>
      </w:r>
      <w:r w:rsidRPr="00FC713B">
        <w:rPr>
          <w:rFonts w:ascii="Calibri" w:hAnsi="Calibri" w:cs="Calibri"/>
          <w:szCs w:val="24"/>
          <w:lang w:val="it-IT"/>
        </w:rPr>
        <w:t>, 32.1 (2018), 78–100 &lt;https://doi.org/10.1080/13619462.2017.1408540&gt;.</w:t>
      </w:r>
      <w:r>
        <w:fldChar w:fldCharType="end"/>
      </w:r>
      <w:r w:rsidRPr="00FC713B">
        <w:rPr>
          <w:lang w:val="it-IT"/>
        </w:rPr>
        <w:t>p.93</w:t>
      </w:r>
    </w:p>
  </w:footnote>
  <w:footnote w:id="47">
    <w:p w14:paraId="3EF12000" w14:textId="4C53AEB2"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{"citationID":"JP5qb5GM","properties":{"formattedCitation":"PodBean Development, \\uc0\\u8216{}The Sensory Heirloom of Food &amp; Memory\\uc0\\u8217{} &lt;https://asavouredlife.podbean.com/e/the-sensory-heirloom-of-food-memory/&gt; [accessed 22 August 2022].","plainCitation":"PodBean Development, ‘The Sensory Heirloom of Food &amp; Memory’ &lt;https://asavouredlife.podbean.com/e/the-sensory-heirloom-of-food-memory/&gt; [accessed 22 August 2022].","noteIndex":45},"citationItems":[{"id":23,"uris":["http://zotero.org/users/6665715/items/YI3C5BMM"],"itemData":{"id":23,"type":"broadcast","abstract":"In this episode I talk about the way food and memories are intertwined and how they can shape us and make us a who we are.\nMusic credit: Simple Melody by Blue Dot Sessions is licensed under a Attribution-NonCommercial License.\nFor more information on Sumay...","language":"en","title":"The Sensory Heirloom of food &amp; memory","URL":"https://asavouredlife.podbean.com/e/the-sensory-heirloom-of-food-memory/","author":[{"family":"Development","given":"PodBean"}],"accessed":{"date-parts":[["2022",8,22]]}}}],"schema":"https://github.com/citation-style-language/schema/raw/master/csl-citation.json"} </w:instrText>
      </w:r>
      <w:r>
        <w:fldChar w:fldCharType="separate"/>
      </w:r>
      <w:r w:rsidRPr="006E1944">
        <w:rPr>
          <w:rFonts w:ascii="Calibri" w:hAnsi="Calibri" w:cs="Calibri"/>
          <w:szCs w:val="24"/>
        </w:rPr>
        <w:t>PodBean Development, ‘The Sensory Heirloom of Food &amp; Memory’ &lt;https://asavouredlife.podbean.com/e/the-sensory-heirloom-of-food-memory/&gt; [accessed 22 August 2022].</w:t>
      </w:r>
      <w:r>
        <w:fldChar w:fldCharType="end"/>
      </w:r>
    </w:p>
  </w:footnote>
  <w:footnote w:id="48">
    <w:p w14:paraId="6E39E833" w14:textId="47F7E398" w:rsidR="00991EE4" w:rsidRDefault="00991EE4">
      <w:pPr>
        <w:pStyle w:val="FootnoteText"/>
      </w:pPr>
      <w:r>
        <w:rPr>
          <w:rStyle w:val="FootnoteReference"/>
        </w:rPr>
        <w:footnoteRef/>
      </w:r>
      <w:r>
        <w:t xml:space="preserve"> </w:t>
      </w:r>
      <w:r>
        <w:fldChar w:fldCharType="begin"/>
      </w:r>
      <w:r>
        <w:instrText xml:space="preserve"> ADDIN ZOTERO_ITEM CSL_CITATION {"citationID":"ZD0Duv66","properties":{"formattedCitation":"Kirsti Bohata, {\\i{}Postcolonialism Revisited: Writing Wales in English} (University of Wales Press, 2009).","plainCitation":"Kirsti Bohata, Postcolonialism Revisited: Writing Wales in English (University of Wales Press, 2009).","noteIndex":46},"citationItems":[{"id":317,"uris":["http://zotero.org/users/6665715/items/YLGKXLK7"],"itemData":{"id":317,"type":"book","abstract":"Postcolonialism Revisited is a ground-breaking book, the first to explore and analyse Anglophone Welsh writing, both literary and otherwise, in the context of contemporary thinking about colonial and post-colonial cultures. Kirsti Bohata considers how far the paradigms of postcolonial theory may be usefully adopted and adapted to provide an illuminating exploration of Welsh writing in English, while simultaneously considering the challenges that such writing might offer to the field of postcolonial theory.","ISBN":"978-0-7083-2236-9","language":"en","note":"Google-Books-ID: mkKuBwAAQBAJ","number-of-pages":"223","publisher":"University of Wales Press","source":"Google Books","title":"Postcolonialism Revisited: Writing Wales in English","title-short":"Postcolonialism Revisited","author":[{"family":"Bohata","given":"Kirsti"}],"issued":{"date-parts":[["2009",6,1]]}}}],"schema":"https://github.com/citation-style-language/schema/raw/master/csl-citation.json"} </w:instrText>
      </w:r>
      <w:r>
        <w:fldChar w:fldCharType="separate"/>
      </w:r>
      <w:r w:rsidRPr="00991EE4">
        <w:rPr>
          <w:rFonts w:ascii="Calibri" w:hAnsi="Calibri" w:cs="Calibri"/>
          <w:szCs w:val="24"/>
        </w:rPr>
        <w:t xml:space="preserve">Kirsti </w:t>
      </w:r>
      <w:proofErr w:type="spellStart"/>
      <w:r w:rsidRPr="00991EE4">
        <w:rPr>
          <w:rFonts w:ascii="Calibri" w:hAnsi="Calibri" w:cs="Calibri"/>
          <w:szCs w:val="24"/>
        </w:rPr>
        <w:t>Bohata</w:t>
      </w:r>
      <w:proofErr w:type="spellEnd"/>
      <w:r w:rsidRPr="00991EE4">
        <w:rPr>
          <w:rFonts w:ascii="Calibri" w:hAnsi="Calibri" w:cs="Calibri"/>
          <w:szCs w:val="24"/>
        </w:rPr>
        <w:t xml:space="preserve">, </w:t>
      </w:r>
      <w:r w:rsidRPr="00991EE4">
        <w:rPr>
          <w:rFonts w:ascii="Calibri" w:hAnsi="Calibri" w:cs="Calibri"/>
          <w:i/>
          <w:iCs/>
          <w:szCs w:val="24"/>
        </w:rPr>
        <w:t>Postcolonialism Revisited: Writing Wales in English</w:t>
      </w:r>
      <w:r w:rsidRPr="00991EE4">
        <w:rPr>
          <w:rFonts w:ascii="Calibri" w:hAnsi="Calibri" w:cs="Calibri"/>
          <w:szCs w:val="24"/>
        </w:rPr>
        <w:t xml:space="preserve"> (University of Wales Press, 2009).</w:t>
      </w:r>
      <w:r>
        <w:fldChar w:fldCharType="end"/>
      </w:r>
    </w:p>
  </w:footnote>
  <w:footnote w:id="49">
    <w:p w14:paraId="436588FA" w14:textId="04681559"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zRVorprG","properties":{"formattedCitation":"Graves.","plainCitation":"Graves.","noteIndex":47},"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00D90493" w:rsidRPr="00D90493">
        <w:rPr>
          <w:rFonts w:ascii="Calibri" w:hAnsi="Calibri" w:cs="Calibri"/>
        </w:rPr>
        <w:t>Graves.</w:t>
      </w:r>
      <w:r>
        <w:fldChar w:fldCharType="end"/>
      </w:r>
    </w:p>
  </w:footnote>
  <w:footnote w:id="50">
    <w:p w14:paraId="2944A4A8" w14:textId="622B2F78"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{"citationID":"easoEG4z","properties":{"formattedCitation":"Gerald of Wales Giraldus Cambrensis, {\\i{}The Journey Through Wales and the Description of Wales}, ed. by Betty Radice, trans. by L. Thorpe, Annotated edition (Harmondsworth\\uc0\\u8239{}; New York etc.: Penguin Classics, 1978).","plainCitation":"Gerald of Wales Giraldus Cambrensis, The Journey Through Wales and the Description of Wales, ed. by Betty Radice, trans. by L. Thorpe, Annotated edition (Harmondsworth ; New York etc.: Penguin Classics, 1978).","noteIndex":48},"citationItems":[{"id":150,"uris":["http://zotero.org/users/6665715/items/FB3W6ZYZ"],"itemData":{"id":150,"type":"book","edition":"Annotated edition","event-place":"Harmondsworth ; New York etc.","ISBN":"978-0-14-044339-4","language":"English","number-of-pages":"336","publisher":"Penguin Classics","publisher-place":"Harmondsworth ; New York etc.","title":"The Journey Through Wales and the Description of Wales","author":[{"family":"Cambrensis","given":"Gerald of Wales Giraldus"}],"editor":[{"family":"Radice","given":"Betty"}],"translator":[{"family":"Thorpe","given":"L."}],"issued":{"date-parts":[["1978",9,28]]}}}],"schema":"https://github.com/citation-style-language/schema/raw/master/csl-citation.json"} </w:instrText>
      </w:r>
      <w:r>
        <w:fldChar w:fldCharType="separate"/>
      </w:r>
      <w:r w:rsidRPr="005F1874">
        <w:rPr>
          <w:rFonts w:ascii="Calibri" w:hAnsi="Calibri" w:cs="Calibri"/>
          <w:szCs w:val="24"/>
        </w:rPr>
        <w:t xml:space="preserve">Gerald of Wales Giraldus Cambrensis, </w:t>
      </w:r>
      <w:r w:rsidRPr="005F1874">
        <w:rPr>
          <w:rFonts w:ascii="Calibri" w:hAnsi="Calibri" w:cs="Calibri"/>
          <w:i/>
          <w:iCs/>
          <w:szCs w:val="24"/>
        </w:rPr>
        <w:t>The Journey Through Wales and the Description of Wales</w:t>
      </w:r>
      <w:r w:rsidRPr="005F1874">
        <w:rPr>
          <w:rFonts w:ascii="Calibri" w:hAnsi="Calibri" w:cs="Calibri"/>
          <w:szCs w:val="24"/>
        </w:rPr>
        <w:t>, ed. by Betty Radice, trans. by L. Thorpe, Annotated edition (</w:t>
      </w:r>
      <w:proofErr w:type="gramStart"/>
      <w:r w:rsidRPr="005F1874">
        <w:rPr>
          <w:rFonts w:ascii="Calibri" w:hAnsi="Calibri" w:cs="Calibri"/>
          <w:szCs w:val="24"/>
        </w:rPr>
        <w:t>Harmondsworth ;</w:t>
      </w:r>
      <w:proofErr w:type="gramEnd"/>
      <w:r w:rsidRPr="005F1874">
        <w:rPr>
          <w:rFonts w:ascii="Calibri" w:hAnsi="Calibri" w:cs="Calibri"/>
          <w:szCs w:val="24"/>
        </w:rPr>
        <w:t xml:space="preserve"> New York etc.: Penguin Classics, 1978).</w:t>
      </w:r>
      <w:r>
        <w:fldChar w:fldCharType="end"/>
      </w:r>
    </w:p>
  </w:footnote>
  <w:footnote w:id="51">
    <w:p w14:paraId="496D7F99" w14:textId="54C7162E"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{"citationID":"336vCfyG","properties":{"formattedCitation":"Sara Minwel Tibbott, {\\i{}Welsh Fare: Selection of Traditional Recipes}, New Edition (Cardiff: National Museums and Galleries of Wales, 1976).","plainCitation":"Sara Minwel Tibbott, Welsh Fare: Selection of Traditional Recipes, New Edition (Cardiff: National Museums and Galleries of Wales, 1976).","noteIndex":49},"citationItems":[{"id":152,"uris":["http://zotero.org/users/6665715/items/D8K5WFBB"],"itemData":{"id":152,"type":"book","edition":"New Edition","event-place":"Cardiff","ISBN":"978-0-85485-040-2","language":"English","number-of-pages":"86","publisher":"National Museums and Galleries of Wales","publisher-place":"Cardiff","title":"Welsh Fare: Selection of Traditional Recipes","title-short":"Welsh Fare","author":[{"family":"Tibbott","given":"Sara Minwel"}],"issued":{"date-parts":[["1976",3,1]]}}}],"schema":"https://github.com/citation-style-language/schema/raw/master/csl-citation.json"} </w:instrText>
      </w:r>
      <w:r>
        <w:fldChar w:fldCharType="separate"/>
      </w:r>
      <w:r w:rsidRPr="0094794A">
        <w:rPr>
          <w:rFonts w:ascii="Calibri" w:hAnsi="Calibri" w:cs="Calibri"/>
          <w:szCs w:val="24"/>
        </w:rPr>
        <w:t xml:space="preserve">Sara Minwel Tibbott, </w:t>
      </w:r>
      <w:r w:rsidRPr="0094794A">
        <w:rPr>
          <w:rFonts w:ascii="Calibri" w:hAnsi="Calibri" w:cs="Calibri"/>
          <w:i/>
          <w:iCs/>
          <w:szCs w:val="24"/>
        </w:rPr>
        <w:t>Welsh Fare: Selection of Traditional Recipes</w:t>
      </w:r>
      <w:r w:rsidRPr="0094794A">
        <w:rPr>
          <w:rFonts w:ascii="Calibri" w:hAnsi="Calibri" w:cs="Calibri"/>
          <w:szCs w:val="24"/>
        </w:rPr>
        <w:t>, New Edition (Cardiff: National Museums and Galleries of Wales, 1976).</w:t>
      </w:r>
      <w:r>
        <w:fldChar w:fldCharType="end"/>
      </w:r>
    </w:p>
  </w:footnote>
  <w:footnote w:id="52">
    <w:p w14:paraId="08C4DDC3" w14:textId="08DBB510"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{"citationID":"Ap4QgrOY","properties":{"formattedCitation":"\\uc0\\u8216{}BBC Radio 4 - The Food Programme, A Taste of Britain Revisited - Wales\\uc0\\u8217{}, {\\i{}BBC} &lt;https://www.bbc.co.uk/programmes/b04fy2bl&gt; [accessed 4 January 2023].","plainCitation":"‘BBC Radio 4 - The Food Programme, A Taste of Britain Revisited - Wales’, BBC &lt;https://www.bbc.co.uk/programmes/b04fy2bl&gt; [accessed 4 January 2023].","noteIndex":51},"citationItems":[{"id":154,"uris":["http://zotero.org/users/6665715/items/47X4Y5HU"],"itemData":{"id":154,"type":"broadcast","abstract":"Dan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491735">
        <w:rPr>
          <w:rFonts w:ascii="Calibri" w:hAnsi="Calibri" w:cs="Calibri"/>
          <w:szCs w:val="24"/>
        </w:rPr>
        <w:t xml:space="preserve">‘BBC Radio 4 - The Food Programme, A Taste of Britain Revisited - Wales’, </w:t>
      </w:r>
      <w:r w:rsidRPr="00491735">
        <w:rPr>
          <w:rFonts w:ascii="Calibri" w:hAnsi="Calibri" w:cs="Calibri"/>
          <w:i/>
          <w:iCs/>
          <w:szCs w:val="24"/>
        </w:rPr>
        <w:t>BBC</w:t>
      </w:r>
      <w:r w:rsidRPr="00491735">
        <w:rPr>
          <w:rFonts w:ascii="Calibri" w:hAnsi="Calibri" w:cs="Calibri"/>
          <w:szCs w:val="24"/>
        </w:rPr>
        <w:t xml:space="preserve"> &lt;https://www.bbc.co.uk/programmes/b04fy2bl&gt; [accessed 4 January 2023].</w:t>
      </w:r>
      <w:r>
        <w:fldChar w:fldCharType="end"/>
      </w:r>
    </w:p>
  </w:footnote>
  <w:footnote w:id="53">
    <w:p w14:paraId="037C38C4" w14:textId="72747472"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{"citationID":"C11ae1l0","properties":{"formattedCitation":"\\uc0\\u8216{}BBC Radio 4 - The Food Programme, A Taste of Britain Revisited - Wales\\uc0\\u8217{}.","plainCitation":"‘BBC Radio 4 - The Food Programme, A Taste of Britain Revisited - Wales’.","noteIndex":52},"citationItems":[{"id":154,"uris":["http://zotero.org/users/6665715/items/47X4Y5HU"],"itemData":{"id":154,"type":"broadcast","abstract":"Dan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365981">
        <w:rPr>
          <w:rFonts w:ascii="Calibri" w:hAnsi="Calibri" w:cs="Calibri"/>
          <w:szCs w:val="24"/>
        </w:rPr>
        <w:t>‘BBC Radio 4 - The Food Programme, A Taste of Britain Revisited - Wales’.</w:t>
      </w:r>
      <w:r>
        <w:fldChar w:fldCharType="end"/>
      </w:r>
    </w:p>
  </w:footnote>
  <w:footnote w:id="54">
    <w:p w14:paraId="4F9A7026" w14:textId="106D9031"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{"citationID":"JXrfD3lu","properties":{"formattedCitation":"\\uc0\\u8216{}BBC Radio 4 - The Food Programme, A Taste of Britain Revisited - Wales\\uc0\\u8217{}.","plainCitation":"‘BBC Radio 4 - The Food Programme, A Taste of Britain Revisited - Wales’.","noteIndex":53},"citationItems":[{"id":154,"uris":["http://zotero.org/users/6665715/items/47X4Y5HU"],"itemData":{"id":154,"type":"broadcast","abstract":"Dan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CC0B48">
        <w:rPr>
          <w:rFonts w:ascii="Calibri" w:hAnsi="Calibri" w:cs="Calibri"/>
          <w:szCs w:val="24"/>
        </w:rPr>
        <w:t>‘BBC Radio 4 - The Food Programme, A Taste of Britain Revisited - Wales’.</w:t>
      </w:r>
      <w:r>
        <w:fldChar w:fldCharType="end"/>
      </w:r>
    </w:p>
  </w:footnote>
  <w:footnote w:id="55">
    <w:p w14:paraId="72CD3D70" w14:textId="20B74E2F"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UgeRdk0D","properties":{"formattedCitation":"Graves.","plainCitation":"Graves.","noteIndex":53},"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271263">
        <w:rPr>
          <w:rFonts w:ascii="Calibri" w:hAnsi="Calibri" w:cs="Calibri"/>
        </w:rPr>
        <w:t>Graves.</w:t>
      </w:r>
      <w:r>
        <w:fldChar w:fldCharType="end"/>
      </w:r>
      <w:r>
        <w:t>p.77</w:t>
      </w:r>
    </w:p>
  </w:footnote>
  <w:footnote w:id="56">
    <w:p w14:paraId="46BAF782" w14:textId="1BD71DD6"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dBztiNCk","properties":{"formattedCitation":"Graves.","plainCitation":"Graves.","noteIndex":54},"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DD5321">
        <w:rPr>
          <w:rFonts w:ascii="Calibri" w:hAnsi="Calibri" w:cs="Calibri"/>
        </w:rPr>
        <w:t>Graves.</w:t>
      </w:r>
      <w:r>
        <w:fldChar w:fldCharType="end"/>
      </w:r>
      <w:r>
        <w:t>p.79</w:t>
      </w:r>
    </w:p>
  </w:footnote>
  <w:footnote w:id="57">
    <w:p w14:paraId="0DB61FF4" w14:textId="79F79254"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{"citationID":"7pw9wul5","properties":{"formattedCitation":"David N. Carss and others, \\uc0\\u8216{}Ecosystem Services Provided by a Non-Cultured Shellfish Species: The Common Cockle Cerastoderma Edule\\uc0\\u8217{}, {\\i{}Marine Environmental Research}, 158 (2020), 104931 &lt;https://doi.org/10.1016/j.marenvres.2020.104931&gt;.","plainCitation":"David N. Carss and others, ‘Ecosystem Services Provided by a Non-Cultured Shellfish Species: The Common Cockle Cerastoderma Edule’, Marine Environmental Research, 158 (2020), 104931 &lt;https://doi.org/10.1016/j.marenvres.2020.104931&gt;.","noteIndex":55},"citationItems":[{"id":156,"uris":["http://zotero.org/users/6665715/items/VTG8HHNL"],"itemData":{"id":156,"type":"article-journal","abstract":"Coastal habitats provide many important ecosystem services. The substantial role of shellfish in delivering ecosystem services is increasingly recognised, usually with a focus on cultured species, but wild-harvested bivalve species have largely been ignored. This study aimed to collate evidence and data to demonstrate the substantial role played by Europe's main wild-harvested bivalve species, the common cockle Cerastoderma edule, and to assess the ecosystem services that cockles provide. Data and information are synthesised from five countries along the Atlantic European coast with a long history of cockle fisheries. The cockle helps to modify habitat and support biodiversity, and plays a key role in the supporting services on which many of the other services depend. As well as providing food for people, cockles remove nitrogen, phosphorus and carbon from the marine environment, and have a strong cultural influence in these countries along the Atlantic coast. Preliminary economic valuation of some of these services in a European context is provided, and key knowledge gaps identified. It is concluded that the cockle has the potential to become (i) an important focus of conservation and improved sustainable management practices in coastal areas and communities, and (ii) a suitable model species to study the integration of cultural ecosystem services within the broader application of ‘ecosystem services’.","container-title":"Marine Environmental Research","DOI":"10.1016/j.marenvres.2020.104931","ISSN":"0141-1136","journalAbbreviation":"Marine Environmental Research","language":"en","page":"104931","source":"ScienceDirect","title":"Ecosystem services provided by a non-cultured shellfish species: The common cockle Cerastoderma edule","title-short":"Ecosystem services provided by a non-cultured shellfish species","volume":"158","author":[{"family":"Carss","given":"David N."},{"family":"Brito","given":"Ana C."},{"family":"Chainho","given":"Paula"},{"family":"Ciutat","given":"Aurélie"},{"family":"Montaudouin","given":"Xavier","non-dropping-particle":"de"},{"family":"Fernández Otero","given":"Rosa M."},{"family":"Filgueira","given":"Mónica Incera"},{"family":"Garbutt","given":"Angus"},{"family":"Goedknegt","given":"M. Anouk"},{"family":"Lynch","given":"Sharon A."},{"family":"Mahony","given":"Kate E."},{"family":"Maire","given":"Olivier"},{"family":"Malham","given":"Shelagh K."},{"family":"Orvain","given":"Francis"},{"family":"Schatte Olivier","given":"Andrew","non-dropping-particle":"van der"},{"family":"Jones","given":"Laurence"}],"issued":{"date-parts":[["2020",6,1]]}}}],"schema":"https://github.com/citation-style-language/schema/raw/master/csl-citation.json"} </w:instrText>
      </w:r>
      <w:r>
        <w:fldChar w:fldCharType="separate"/>
      </w:r>
      <w:r w:rsidRPr="00F11A35">
        <w:rPr>
          <w:rFonts w:ascii="Calibri" w:hAnsi="Calibri" w:cs="Calibri"/>
          <w:szCs w:val="24"/>
        </w:rPr>
        <w:t xml:space="preserve">David N. Carss and others, ‘Ecosystem Services Provided by a Non-Cultured Shellfish Species: The Common Cockle Cerastoderma Edule’, </w:t>
      </w:r>
      <w:r w:rsidRPr="00F11A35">
        <w:rPr>
          <w:rFonts w:ascii="Calibri" w:hAnsi="Calibri" w:cs="Calibri"/>
          <w:i/>
          <w:iCs/>
          <w:szCs w:val="24"/>
        </w:rPr>
        <w:t>Marine Environmental Research</w:t>
      </w:r>
      <w:r w:rsidRPr="00F11A35">
        <w:rPr>
          <w:rFonts w:ascii="Calibri" w:hAnsi="Calibri" w:cs="Calibri"/>
          <w:szCs w:val="24"/>
        </w:rPr>
        <w:t>, 158 (2020), 104931 &lt;https://doi.org/10.1016/j.marenvres.2020.104931&gt;.</w:t>
      </w:r>
      <w:r>
        <w:fldChar w:fldCharType="end"/>
      </w:r>
      <w:r>
        <w:t>p.</w:t>
      </w:r>
      <w:proofErr w:type="gramStart"/>
      <w:r>
        <w:t>5</w:t>
      </w:r>
      <w:proofErr w:type="gramEnd"/>
    </w:p>
  </w:footnote>
  <w:footnote w:id="58">
    <w:p w14:paraId="1EF4926F" w14:textId="633A0B44"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84J0aoZG","properties":{"formattedCitation":"Graves.","plainCitation":"Graves.","noteIndex":56},"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3F393C">
        <w:rPr>
          <w:rFonts w:ascii="Calibri" w:hAnsi="Calibri" w:cs="Calibri"/>
        </w:rPr>
        <w:t>Graves.</w:t>
      </w:r>
      <w:r>
        <w:fldChar w:fldCharType="end"/>
      </w:r>
    </w:p>
  </w:footnote>
  <w:footnote w:id="59">
    <w:p w14:paraId="27A2680B" w14:textId="0B9A2223"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{"citationID":"nHHB4dvC","properties":{"formattedCitation":"\\uc0\\u8216{}BBC Radio 4 - The Food Programme, A Taste of Britain Revisited - Wales\\uc0\\u8217{}.","plainCitation":"‘BBC Radio 4 - The Food Programme, A Taste of Britain Revisited - Wales’.","noteIndex":58},"citationItems":[{"id":154,"uris":["http://zotero.org/users/6665715/items/47X4Y5HU"],"itemData":{"id":154,"type":"broadcast","abstract":"Dan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0F05ED">
        <w:rPr>
          <w:rFonts w:ascii="Calibri" w:hAnsi="Calibri" w:cs="Calibri"/>
          <w:szCs w:val="24"/>
        </w:rPr>
        <w:t>‘BBC Radio 4 - The Food Programme, A Taste of Britain Revisited - Wales’.</w:t>
      </w:r>
      <w:r>
        <w:fldChar w:fldCharType="end"/>
      </w:r>
    </w:p>
  </w:footnote>
  <w:footnote w:id="60">
    <w:p w14:paraId="1C7E3EEC" w14:textId="765AA1EE"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{"citationID":"FJPUVpf2","properties":{"formattedCitation":"\\uc0\\u8216{}BBC Radio 4 - The Food Programme, A Taste of Britain Revisited - Wales\\uc0\\u8217{}.","plainCitation":"‘BBC Radio 4 - The Food Programme, A Taste of Britain Revisited - Wales’.","noteIndex":59},"citationItems":[{"id":154,"uris":["http://zotero.org/users/6665715/items/47X4Y5HU"],"itemData":{"id":154,"type":"broadcast","abstract":"Dan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354338">
        <w:rPr>
          <w:rFonts w:ascii="Calibri" w:hAnsi="Calibri" w:cs="Calibri"/>
          <w:szCs w:val="24"/>
        </w:rPr>
        <w:t>‘BBC Radio 4 - The Food Programme, A Taste of Britain Revisited - Wales’.</w:t>
      </w:r>
      <w:r>
        <w:fldChar w:fldCharType="end"/>
      </w:r>
    </w:p>
  </w:footnote>
  <w:footnote w:id="61">
    <w:p w14:paraId="32409DCE" w14:textId="346D54F8"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{"citationID":"FRPQyIfa","properties":{"formattedCitation":"\\uc0\\u8216{}BBC Radio 4 - The Food Programme, A Taste of Britain Revisited - Wales\\uc0\\u8217{}.","plainCitation":"‘BBC Radio 4 - The Food Programme, A Taste of Britain Revisited - Wales’.","noteIndex":60},"citationItems":[{"id":154,"uris":["http://zotero.org/users/6665715/items/47X4Y5HU"],"itemData":{"id":154,"type":"broadcast","abstract":"Dan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DD34BD">
        <w:rPr>
          <w:rFonts w:ascii="Calibri" w:hAnsi="Calibri" w:cs="Calibri"/>
          <w:szCs w:val="24"/>
        </w:rPr>
        <w:t>‘BBC Radio 4 - The Food Programme, A Taste of Britain Revisited - Wales’.</w:t>
      </w:r>
      <w:r>
        <w:fldChar w:fldCharType="end"/>
      </w:r>
    </w:p>
  </w:footnote>
  <w:footnote w:id="62">
    <w:p w14:paraId="73F2B8E8" w14:textId="7C375999"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{"citationID":"lsUSu6yX","properties":{"formattedCitation":"\\uc0\\u8216{}Welsh Foods\\uc0\\u8217{}, {\\i{}Museum Wales} &lt;https://museum.wales/collections/welsh-foods/?id=120&gt; [accessed 4 January 2023].","plainCitation":"‘Welsh Foods’, Museum Wales &lt;https://museum.wales/collections/welsh-foods/?id=120&gt; [accessed 4 January 2023].","noteIndex":61},"citationItems":[{"id":159,"uris":["http://zotero.org/users/6665715/items/DXYAS4A6"],"itemData":{"id":159,"type":"webpage","container-title":"Museum Wales","language":"en","title":"Welsh Foods","URL":"https://museum.wales/collections/welsh-foods/?id=120","accessed":{"date-parts":[["2023",1,4]]}}}],"schema":"https://github.com/citation-style-language/schema/raw/master/csl-citation.json"} </w:instrText>
      </w:r>
      <w:r>
        <w:fldChar w:fldCharType="separate"/>
      </w:r>
      <w:r w:rsidRPr="00012293">
        <w:rPr>
          <w:rFonts w:ascii="Calibri" w:hAnsi="Calibri" w:cs="Calibri"/>
          <w:szCs w:val="24"/>
        </w:rPr>
        <w:t xml:space="preserve">‘Welsh Foods’, </w:t>
      </w:r>
      <w:r w:rsidRPr="00012293">
        <w:rPr>
          <w:rFonts w:ascii="Calibri" w:hAnsi="Calibri" w:cs="Calibri"/>
          <w:i/>
          <w:iCs/>
          <w:szCs w:val="24"/>
        </w:rPr>
        <w:t>Museum Wales</w:t>
      </w:r>
      <w:r w:rsidRPr="00012293">
        <w:rPr>
          <w:rFonts w:ascii="Calibri" w:hAnsi="Calibri" w:cs="Calibri"/>
          <w:szCs w:val="24"/>
        </w:rPr>
        <w:t xml:space="preserve"> &lt;https://museum.wales/collections/welsh-foods/?id=120&gt; [accessed 4 January 2023].</w:t>
      </w:r>
      <w:r>
        <w:fldChar w:fldCharType="end"/>
      </w:r>
    </w:p>
  </w:footnote>
  <w:footnote w:id="63">
    <w:p w14:paraId="41AC8AA7" w14:textId="37D77875"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{"citationID":"fCOZBmsJ","properties":{"formattedCitation":"\\uc0\\u8216{}Welsh Foods\\uc0\\u8217{}.","plainCitation":"‘Welsh Foods’.","noteIndex":62},"citationItems":[{"id":159,"uris":["http://zotero.org/users/6665715/items/DXYAS4A6"],"itemData":{"id":159,"type":"webpage","container-title":"Museum Wales","language":"en","title":"Welsh Foods","URL":"https://museum.wales/collections/welsh-foods/?id=120","accessed":{"date-parts":[["2023",1,4]]}}}],"schema":"https://github.com/citation-style-language/schema/raw/master/csl-citation.json"} </w:instrText>
      </w:r>
      <w:r>
        <w:fldChar w:fldCharType="separate"/>
      </w:r>
      <w:r w:rsidRPr="00012293">
        <w:rPr>
          <w:rFonts w:ascii="Calibri" w:hAnsi="Calibri" w:cs="Calibri"/>
          <w:szCs w:val="24"/>
        </w:rPr>
        <w:t>‘Welsh Foods</w:t>
      </w:r>
      <w:proofErr w:type="gramStart"/>
      <w:r w:rsidRPr="00012293">
        <w:rPr>
          <w:rFonts w:ascii="Calibri" w:hAnsi="Calibri" w:cs="Calibri"/>
          <w:szCs w:val="24"/>
        </w:rPr>
        <w:t>’.</w:t>
      </w:r>
      <w:proofErr w:type="gramEnd"/>
      <w:r>
        <w:fldChar w:fldCharType="end"/>
      </w:r>
    </w:p>
  </w:footnote>
  <w:footnote w:id="64">
    <w:p w14:paraId="134FF194" w14:textId="70449EAB"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{"citationID":"VQ54KGmw","properties":{"formattedCitation":"Terry Breverton, {\\i{}Physicians of Myddfai: Cures and Remedies of the Mediaeval World} (Cambria Books, 2012).","plainCitation":"Terry Breverton, Physicians of Myddfai: Cures and Remedies of the Mediaeval World (Cambria Books, 2012).","noteIndex":62},"citationItems":[{"id":161,"uris":["http://zotero.org/users/6665715/items/HKWXAIH3"],"itemData":{"id":161,"type":"book","ISBN":"978-0-9572459-9-0","language":"English","number-of-pages":"292","publisher":"Cambria Books","title":"Physicians of Myddfai: Cures and Remedies of the Mediaeval World","title-short":"Physicians of Myddfai","author":[{"family":"Breverton","given":"Terry"}],"issued":{"date-parts":[["2012",11,1]]}}}],"schema":"https://github.com/citation-style-language/schema/raw/master/csl-citation.json"} </w:instrText>
      </w:r>
      <w:r>
        <w:fldChar w:fldCharType="separate"/>
      </w:r>
      <w:r w:rsidRPr="00EC0799">
        <w:rPr>
          <w:rFonts w:ascii="Calibri" w:hAnsi="Calibri" w:cs="Calibri"/>
          <w:szCs w:val="24"/>
        </w:rPr>
        <w:t xml:space="preserve">Terry Breverton, </w:t>
      </w:r>
      <w:r w:rsidRPr="00EC0799">
        <w:rPr>
          <w:rFonts w:ascii="Calibri" w:hAnsi="Calibri" w:cs="Calibri"/>
          <w:i/>
          <w:iCs/>
          <w:szCs w:val="24"/>
        </w:rPr>
        <w:t>Physicians of Myddfai: Cures and Remedies of the Mediaeval World</w:t>
      </w:r>
      <w:r w:rsidRPr="00EC0799">
        <w:rPr>
          <w:rFonts w:ascii="Calibri" w:hAnsi="Calibri" w:cs="Calibri"/>
          <w:szCs w:val="24"/>
        </w:rPr>
        <w:t xml:space="preserve"> (Cambria Books, 2012).</w:t>
      </w:r>
      <w:r>
        <w:fldChar w:fldCharType="end"/>
      </w:r>
    </w:p>
  </w:footnote>
  <w:footnote w:id="65">
    <w:p w14:paraId="7CF3641F" w14:textId="29AC8EA6"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yPfTHPAb","properties":{"formattedCitation":"Graves.","plainCitation":"Graves.","noteIndex":63},"citationItems":[{"id":1,"uris":["http://zotero.org/users/6665715/items/Y23ITYPZ"],"itemData":{"id":1,"type":"book","ISBN":"978-1-915279-00-2","language":"English","number-of-pages":"272","publisher":"Calon","source":"Amazon","title":"Welsh Food Stories","author":[{"family":"Graves","given":"Carwyn"}],"issued":{"date-parts":[["2022",5,26]]}}}],"schema":"https://github.com/citation-style-language/schema/raw/master/csl-citation.json"} </w:instrText>
      </w:r>
      <w:r>
        <w:fldChar w:fldCharType="separate"/>
      </w:r>
      <w:r w:rsidRPr="006D1B6F">
        <w:rPr>
          <w:rFonts w:ascii="Calibri" w:hAnsi="Calibri" w:cs="Calibri"/>
        </w:rPr>
        <w:t>Graves.</w:t>
      </w:r>
      <w:r>
        <w:fldChar w:fldCharType="end"/>
      </w:r>
      <w:r>
        <w:t>p.202</w:t>
      </w:r>
    </w:p>
  </w:footnote>
  <w:footnote w:id="66">
    <w:p w14:paraId="4279EEFE" w14:textId="540C8454" w:rsidR="00C4228E" w:rsidRDefault="00C4228E">
      <w:pPr>
        <w:pStyle w:val="FootnoteText"/>
      </w:pPr>
      <w:r>
        <w:rPr>
          <w:rStyle w:val="FootnoteReference"/>
        </w:rPr>
        <w:footnoteRef/>
      </w:r>
      <w:r>
        <w:t xml:space="preserve"> </w:t>
      </w:r>
      <w:r>
        <w:fldChar w:fldCharType="begin"/>
      </w:r>
      <w:r w:rsidR="005831B4">
        <w:instrText xml:space="preserve"> ADDIN ZOTERO_ITEM CSL_CITATION {"citationID":"XIsy2O1V","properties":{"formattedCitation":"Sue Bruley, \\uc0\\u8216{}The Politics of Food: Gender, Family, Community and Collective Feeding in South Wales in the General Strike and Miners\\uc0\\u8217{} Lockout of 1926\\uc0\\u8217{}, {\\i{}Twentieth Century British History}, 18.1 (2007), 54\\uc0\\u8211{}77 &lt;https://doi.org/10.1093/tcbh/hwl045&gt;.","plainCitation":"Sue Bruley, ‘The Politics of Food: Gender, Family, Community and Collective Feeding in South Wales in the General Strike and Miners’ Lockout of 1926’, Twentieth Century British History, 18.1 (2007), 54–77 &lt;https://doi.org/10.1093/tcbh/hwl045&gt;.","noteIndex":65},"citationItems":[{"id":108,"uris":["http://zotero.org/users/6665715/items/WNQENUVB"],"itemData":{"id":108,"type":"article-journal","abstract":"This article features the General Strike and Miners’ Lockout in South Wales in 1926. It examines the Lockout from the perspective of social and gender history, focusing on communal eating which was a central feature of community survival and resistance. It documents the extensive network of soup kitchens for miners, which was established across the South Wales coal field during the seven months of the Lockout. In addition school feeding and the involvement of both central and local authorities is analysed. The article highlights the opportunities that arose from the Lockout, particularly through communal eating, for a reduction in gender segregation and a challenge to male dominance. It concludes that overall, women in these mining communities were concerned to maintain class solidarity with their men rather than to make advances for women. Maintaining the masculine identity of the militant miner, which necessarily incorporated male bonding and women's subordination, was regarded as an essential feature of the class struggle.","container-title":"Twentieth Century British History","DOI":"10.1093/tcbh/hwl045","ISSN":"0955-2359","issue":"1","journalAbbreviation":"Twentieth Century British History","page":"54-77","source":"Silverchair","title":"The Politics of Food: Gender, Family, Community and Collective Feeding in South Wales in the General Strike and Miners’ Lockout of 1926","title-short":"The Politics of Food","volume":"18","author":[{"family":"Bruley","given":"Sue"}],"issued":{"date-parts":[["2007",1,1]]}}}],"schema":"https://github.com/citation-style-language/schema/raw/master/csl-citation.json"} </w:instrText>
      </w:r>
      <w:r>
        <w:fldChar w:fldCharType="separate"/>
      </w:r>
      <w:r w:rsidRPr="00C4228E">
        <w:rPr>
          <w:rFonts w:ascii="Calibri" w:hAnsi="Calibri" w:cs="Calibri"/>
          <w:szCs w:val="24"/>
        </w:rPr>
        <w:t xml:space="preserve">Sue Bruley, ‘The Politics of Food: Gender, Family, Community and Collective Feeding in South Wales in the General Strike and Miners’ Lockout of 1926’, </w:t>
      </w:r>
      <w:r w:rsidRPr="00C4228E">
        <w:rPr>
          <w:rFonts w:ascii="Calibri" w:hAnsi="Calibri" w:cs="Calibri"/>
          <w:i/>
          <w:iCs/>
          <w:szCs w:val="24"/>
        </w:rPr>
        <w:t>Twentieth Century British History</w:t>
      </w:r>
      <w:r w:rsidRPr="00C4228E">
        <w:rPr>
          <w:rFonts w:ascii="Calibri" w:hAnsi="Calibri" w:cs="Calibri"/>
          <w:szCs w:val="24"/>
        </w:rPr>
        <w:t>, 18.1 (2007), 54–77 &lt;https://doi.org/10.1093/tcbh/hwl045&gt;.</w:t>
      </w:r>
      <w:r>
        <w:fldChar w:fldCharType="end"/>
      </w:r>
    </w:p>
  </w:footnote>
  <w:footnote w:id="67">
    <w:p w14:paraId="787A0A63" w14:textId="51C92803"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{"citationID":"ZNzpoR7O","properties":{"formattedCitation":"WalesOnline, \\uc0\\u8216{}Women\\uc0\\u8217{}s Role in the Miners\\uc0\\u8217{} Strike, 25 Years On...\\uc0\\u8217{}, {\\i{}WalesOnline}, 2009 &lt;http://www.walesonline.co.uk/lifestyle/showbiz/womens-role-miners-strike-25-2116379&gt; [accessed 4 January 2023].","plainCitation":"WalesOnline, ‘Women’s Role in the Miners’ Strike, 25 Years On...’, WalesOnline, 2009 &lt;http://www.walesonline.co.uk/lifestyle/showbiz/womens-role-miners-strike-25-2116379&gt; [accessed 4 January 2023].","noteIndex":65},"citationItems":[{"id":163,"uris":["http://zotero.org/users/6665715/items/3P4J84HB"],"itemData":{"id":163,"type":"webpage","abstract":"Twenty five years ago this month, one event changed the lives of many women from Wales: the 1984 miners’ strike.","container-title":"WalesOnline","language":"en","note":"section: Showbiz","title":"Women’s role in the miners’ strike, 25 years on...","URL":"http://www.walesonline.co.uk/lifestyle/showbiz/womens-role-miners-strike-25-2116379","author":[{"family":"WalesOnline","given":""}],"accessed":{"date-parts":[["2023",1,4]]},"issued":{"date-parts":[["2009",3,6]]}}}],"schema":"https://github.com/citation-style-language/schema/raw/master/csl-citation.json"} </w:instrText>
      </w:r>
      <w:r>
        <w:fldChar w:fldCharType="separate"/>
      </w:r>
      <w:r w:rsidRPr="00255CD6">
        <w:rPr>
          <w:rFonts w:ascii="Calibri" w:hAnsi="Calibri" w:cs="Calibri"/>
          <w:szCs w:val="24"/>
        </w:rPr>
        <w:t xml:space="preserve">WalesOnline, ‘Women’s Role in the Miners’ Strike, 25 Years On...’, </w:t>
      </w:r>
      <w:r w:rsidRPr="00255CD6">
        <w:rPr>
          <w:rFonts w:ascii="Calibri" w:hAnsi="Calibri" w:cs="Calibri"/>
          <w:i/>
          <w:iCs/>
          <w:szCs w:val="24"/>
        </w:rPr>
        <w:t>WalesOnline</w:t>
      </w:r>
      <w:r w:rsidRPr="00255CD6">
        <w:rPr>
          <w:rFonts w:ascii="Calibri" w:hAnsi="Calibri" w:cs="Calibri"/>
          <w:szCs w:val="24"/>
        </w:rPr>
        <w:t>, 2009 &lt;http://www.walesonline.co.uk/lifestyle/showbiz/womens-role-miners-strike-25-2116379&gt; [accessed 4 January 2023].</w:t>
      </w:r>
      <w:r>
        <w:fldChar w:fldCharType="end"/>
      </w:r>
    </w:p>
  </w:footnote>
  <w:footnote w:id="68">
    <w:p w14:paraId="7CED674E" w14:textId="57D9B262"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{"citationID":"FkWFVD2X","properties":{"formattedCitation":"Christian Isobel Johnstone, {\\i{}The Cook and Housewife\\uc0\\u8217{}s Manual, by Margaret Dods}, 1826.","plainCitation":"Christian Isobel Johnstone, The Cook and Housewife’s Manual, by Margaret Dods, 1826.","noteIndex":66},"citationItems":[{"id":169,"uris":["http://zotero.org/users/6665715/items/6476NT6N"],"itemData":{"id":169,"type":"book","language":"en","note":"Google-Books-ID: c_AGx2L5UPEC","number-of-pages":"462","source":"Google Books","title":"The cook and housewife's manual, by Margaret Dods","author":[{"family":"Johnstone","given":"Christian Isobel"}],"issued":{"date-parts":[["1826"]]}}}],"schema":"https://github.com/citation-style-language/schema/raw/master/csl-citation.json"} </w:instrText>
      </w:r>
      <w:r>
        <w:fldChar w:fldCharType="separate"/>
      </w:r>
      <w:r w:rsidRPr="00486B41">
        <w:rPr>
          <w:rFonts w:ascii="Calibri" w:hAnsi="Calibri" w:cs="Calibri"/>
          <w:szCs w:val="24"/>
        </w:rPr>
        <w:t xml:space="preserve">Christian Isobel Johnstone, </w:t>
      </w:r>
      <w:r w:rsidRPr="00486B41">
        <w:rPr>
          <w:rFonts w:ascii="Calibri" w:hAnsi="Calibri" w:cs="Calibri"/>
          <w:i/>
          <w:iCs/>
          <w:szCs w:val="24"/>
        </w:rPr>
        <w:t>The Cook and Housewife’s Manual, by Margaret Dods</w:t>
      </w:r>
      <w:r w:rsidRPr="00486B41">
        <w:rPr>
          <w:rFonts w:ascii="Calibri" w:hAnsi="Calibri" w:cs="Calibri"/>
          <w:szCs w:val="24"/>
        </w:rPr>
        <w:t>, 1826.</w:t>
      </w:r>
      <w:r>
        <w:fldChar w:fldCharType="end"/>
      </w:r>
    </w:p>
  </w:footnote>
  <w:footnote w:id="69">
    <w:p w14:paraId="3AA1188B" w14:textId="0EF44238"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{"citationID":"Mjgtdbr7","properties":{"formattedCitation":"\\uc0\\u8216{}Soups - Recipes from Scotland - National Library of Scotland\\uc0\\u8217{} &lt;https://digital.nls.uk/recipes/themes/baking/index.html&gt; [accessed 4 January 2023].","plainCitation":"‘Soups - Recipes from Scotland - National Library of Scotland’ &lt;https://digital.nls.uk/recipes/themes/baking/index.html&gt; [accessed 4 January 2023].","noteIndex":67},"citationItems":[{"id":165,"uris":["http://zotero.org/users/6665715/items/PANZJAJS"],"itemData":{"id":165,"type":"webpage","title":"Soups - Recipes from Scotland - National Library of Scotland","URL":"https://digital.nls.uk/recipes/themes/baking/index.html","accessed":{"date-parts":[["2023",1,4]]}}}],"schema":"https://github.com/citation-style-language/schema/raw/master/csl-citation.json"} </w:instrText>
      </w:r>
      <w:r>
        <w:fldChar w:fldCharType="separate"/>
      </w:r>
      <w:r w:rsidRPr="004B2C36">
        <w:rPr>
          <w:rFonts w:ascii="Calibri" w:hAnsi="Calibri" w:cs="Calibri"/>
          <w:szCs w:val="24"/>
        </w:rPr>
        <w:t>‘Soups - Recipes from Scotland - National Library of Scotland’ &lt;https://digital.nls.uk/recipes/themes/baking/index.html&gt; [accessed 4 January 2023].</w:t>
      </w:r>
      <w:r>
        <w:fldChar w:fldCharType="end"/>
      </w:r>
    </w:p>
  </w:footnote>
  <w:footnote w:id="70">
    <w:p w14:paraId="5137540D" w14:textId="5FD8D211"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{"citationID":"hWNxFcdn","properties":{"formattedCitation":"Hannah Glasse, {\\i{}The Art Of Cookery}, 1747 &lt;http://archive.org/details/TheArtOfCookery&gt; [accessed 7 January 2023].","plainCitation":"Hannah Glasse, The Art Of Cookery, 1747 &lt;http://archive.org/details/TheArtOfCookery&gt; [accessed 7 January 2023].","noteIndex":68},"citationItems":[{"id":189,"uris":["http://zotero.org/users/6665715/items/GHRLU9P6"],"itemData":{"id":189,"type":"book","abstract":"Written in 1747, Hannah Glasse's (1708–1770) The Art of Cookery made Plain and Easy represents one of the most important references for culinary practice in England and the American colonies during the latter half of the 18th century and the beginning of the 19th. It was the dominant reference for home cooks in much of the English-speaking world during its original publication run, and it is still available (in somewhat limited quantity) and used as a reference by those doing food research and historical reconstruction. As is the case in modern times for The Joy of Cooking, the book was updated significantly both during her life and after her death, before finally passing out of print in the mid-19th century.\n\nGlasse wrote mostly for domestic servants (the \"lower sort\", as she referred to them), writing in a conversational style familiar to anyone who has learned a recipe at the elbow of a parent or grandparent. The food is surprisingly recognizable, with staples such as Yorkshire pudding and gooseberry fool still known and eaten today, and there are even early traces of the Indian food that eventually became naturalized in the UK. She showed marked disapproval of French cooking styles and in general avoided French culinary terminology.\n\nSome of the recipes in Glasse's book were plagiarised, even reproduced verbatim from recipes published in earlier books by other writers. Jennifer Stead writes in the introduction to the Prospect Books facsimile of the book that Glasse lifted extensively.\n\nSeveral facsimile editions are still in print, though primarily as a historical work rather than a modern cooking reference.","language":"eng","license":"http://creativecommons.org/publicdomain/mark/1.0/","source":"Internet Archive","title":"The Art Of Cookery","URL":"http://archive.org/details/TheArtOfCookery","author":[{"literal":"Hannah Glasse"}],"accessed":{"date-parts":[["2023",1,7]]},"issued":{"date-parts":[["1747"]]}}}],"schema":"https://github.com/citation-style-language/schema/raw/master/csl-citation.json"} </w:instrText>
      </w:r>
      <w:r>
        <w:fldChar w:fldCharType="separate"/>
      </w:r>
      <w:r w:rsidRPr="00226737">
        <w:rPr>
          <w:rFonts w:ascii="Calibri" w:hAnsi="Calibri" w:cs="Calibri"/>
          <w:szCs w:val="24"/>
        </w:rPr>
        <w:t xml:space="preserve">Hannah Glasse, </w:t>
      </w:r>
      <w:r w:rsidRPr="00226737">
        <w:rPr>
          <w:rFonts w:ascii="Calibri" w:hAnsi="Calibri" w:cs="Calibri"/>
          <w:i/>
          <w:iCs/>
          <w:szCs w:val="24"/>
        </w:rPr>
        <w:t xml:space="preserve">The Art </w:t>
      </w:r>
      <w:proofErr w:type="gramStart"/>
      <w:r w:rsidRPr="00226737">
        <w:rPr>
          <w:rFonts w:ascii="Calibri" w:hAnsi="Calibri" w:cs="Calibri"/>
          <w:i/>
          <w:iCs/>
          <w:szCs w:val="24"/>
        </w:rPr>
        <w:t>Of</w:t>
      </w:r>
      <w:proofErr w:type="gramEnd"/>
      <w:r w:rsidRPr="00226737">
        <w:rPr>
          <w:rFonts w:ascii="Calibri" w:hAnsi="Calibri" w:cs="Calibri"/>
          <w:i/>
          <w:iCs/>
          <w:szCs w:val="24"/>
        </w:rPr>
        <w:t xml:space="preserve"> Cookery</w:t>
      </w:r>
      <w:r w:rsidRPr="00226737">
        <w:rPr>
          <w:rFonts w:ascii="Calibri" w:hAnsi="Calibri" w:cs="Calibri"/>
          <w:szCs w:val="24"/>
        </w:rPr>
        <w:t>, 1747 &lt;http://archive.org/details/TheArtOfCookery&gt; [accessed 7 January 2023].</w:t>
      </w:r>
      <w:r>
        <w:fldChar w:fldCharType="end"/>
      </w:r>
      <w:r>
        <w:t>p.146</w:t>
      </w:r>
    </w:p>
  </w:footnote>
  <w:footnote w:id="71">
    <w:p w14:paraId="52A06278" w14:textId="4BA51610"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{"citationID":"kbJhAdcq","properties":{"formattedCitation":"David A. Bender, \\uc0\\u8216{}Welsh Rarebit\\uc0\\u8217{}, in {\\i{}A Dictionary of Food and Nutrition} (Oxford University Press, 2014) &lt;https://www.oxfordreference.com/display/10.1093/acref/9780191752391.001.0001/acref-9780191752391-e-5779&gt; [accessed 7 January 2023].","plainCitation":"David A. Bender, ‘Welsh Rarebit’, in A Dictionary of Food and Nutrition (Oxford University Press, 2014) &lt;https://www.oxfordreference.com/display/10.1093/acref/9780191752391.001.0001/acref-9780191752391-e-5779&gt; [accessed 7 January 2023].","noteIndex":69},"citationItems":[{"id":193,"uris":["http://zotero.org/users/6665715/items/UQCIKJIK"],"itemData":{"id":193,"type":"chapter","abstract":"\"Welsh rarebit\" published on  by Oxford University Press.","container-title":"A Dictionary of Food and Nutrition","ISBN":"978-0-19-175239-1","language":"en","publisher":"Oxford University Press","source":"www.oxfordreference.com","title":"Welsh rarebit","URL":"https://www.oxfordreference.com/display/10.1093/acref/9780191752391.001.0001/acref-9780191752391-e-5779","author":[{"family":"Bender","given":"David A."}],"accessed":{"date-parts":[["2023",1,7]]},"issued":{"date-parts":[["2014"]]}}}],"schema":"https://github.com/citation-style-language/schema/raw/master/csl-citation.json"} </w:instrText>
      </w:r>
      <w:r>
        <w:fldChar w:fldCharType="separate"/>
      </w:r>
      <w:r w:rsidRPr="00040D26">
        <w:rPr>
          <w:rFonts w:ascii="Calibri" w:hAnsi="Calibri" w:cs="Calibri"/>
          <w:szCs w:val="24"/>
        </w:rPr>
        <w:t>David A. Bender, ‘Welsh Rarebit</w:t>
      </w:r>
      <w:proofErr w:type="gramStart"/>
      <w:r w:rsidRPr="00040D26">
        <w:rPr>
          <w:rFonts w:ascii="Calibri" w:hAnsi="Calibri" w:cs="Calibri"/>
          <w:szCs w:val="24"/>
        </w:rPr>
        <w:t>’,</w:t>
      </w:r>
      <w:proofErr w:type="gramEnd"/>
      <w:r w:rsidRPr="00040D26">
        <w:rPr>
          <w:rFonts w:ascii="Calibri" w:hAnsi="Calibri" w:cs="Calibri"/>
          <w:szCs w:val="24"/>
        </w:rPr>
        <w:t xml:space="preserve"> in </w:t>
      </w:r>
      <w:r w:rsidRPr="00040D26">
        <w:rPr>
          <w:rFonts w:ascii="Calibri" w:hAnsi="Calibri" w:cs="Calibri"/>
          <w:i/>
          <w:iCs/>
          <w:szCs w:val="24"/>
        </w:rPr>
        <w:t>A Dictionary of Food and Nutrition</w:t>
      </w:r>
      <w:r w:rsidRPr="00040D26">
        <w:rPr>
          <w:rFonts w:ascii="Calibri" w:hAnsi="Calibri" w:cs="Calibri"/>
          <w:szCs w:val="24"/>
        </w:rPr>
        <w:t xml:space="preserve"> (Oxford University Press, 2014) &lt;https://www.oxfordreference.com/display/10.1093/acref/9780191752391.001.0001/acref-9780191752391-e-5779&gt; [accessed 7 January 2023].</w:t>
      </w:r>
      <w:r>
        <w:fldChar w:fldCharType="end"/>
      </w:r>
    </w:p>
  </w:footnote>
  <w:footnote w:id="72">
    <w:p w14:paraId="6DEE7713" w14:textId="58E12ED2"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{"citationID":"ng7ejFZj","properties":{"formattedCitation":"\\uc0\\u1050{}\\uc0\\u1091{}\\uc0\\u1083{}\\uc0\\u1100{}\\uc0\\u1075{}\\uc0\\u1072{}\\uc0\\u1074{}\\uc0\\u1086{}\\uc0\\u1074{}\\uc0\\u1072{} \\uc0\\u1051{}\\uc0\\u1072{}\\uc0\\u1088{}\\uc0\\u1080{}\\uc0\\u1089{}\\uc0\\u1072{} \\uc0\\u1042{}\\uc0\\u1083{}\\uc0\\u1072{}\\uc0\\u1076{}\\uc0\\u1080{}\\uc0\\u1084{}\\uc0\\u1080{}\\uc0\\u1088{}\\uc0\\u1086{}\\uc0\\u1074{}\\uc0\\u1085{}\\uc0\\u1072{}, \\uc0\\u8216{}History And Mystery Of Welsh Rabbit\\uc0\\u8217{}, in {\\i{}SCIENTIFIC DEVELOPMENTS: EURASIAN REGION -International scientific conference theoretical and applied developments} (presented at the \\uc0\\u1052{}\\uc0\\u1077{}\\uc0\\u1078{}\\uc0\\u1076{}\\uc0\\u1091{}\\uc0\\u1085{}\\uc0\\u1072{}\\uc0\\u1088{}\\uc0\\u1086{}\\uc0\\u1076{}\\uc0\\u1085{}\\uc0\\u1072{}\\uc0\\u1103{}  \\uc0\\u1085{}\\uc0\\u1072{}\\uc0\\u1091{}\\uc0\\u1095{}\\uc0\\u1085{}\\uc0\\u1072{}\\uc0\\u1103{} \\uc0\\u1082{}\\uc0\\u1086{}\\uc0\\u1085{}\\uc0\\u1092{}\\uc0\\u1077{}\\uc0\\u1088{}\\uc0\\u1077{}\\uc0\\u1085{}\\uc0\\u1094{}\\uc0\\u1080{}\\uc0\\u1103{} \\uc0\\u1090{}\\uc0\\u1077{}\\uc0\\u1086{}\\uc0\\u1088{}\\uc0\\u1077{}\\uc0\\u1090{}\\uc0\\u1080{}\\uc0\\u1095{}\\uc0\\u1077{}\\uc0\\u1089{}\\uc0\\u1082{}\\uc0\\u1080{}\\uc0\\u1093{} \\uc0\\u1080{}  \\uc0\\u1087{}\\uc0\\u1088{}\\uc0\\u1080{}\\uc0\\u1082{}\\uc0\\u1083{}\\uc0\\u1072{}\\uc0\\u1076{}\\uc0\\u1085{}\\uc0\\u1099{}\\uc0\\u1093{} \\uc0\\u1088{}\\uc0\\u1072{}\\uc0\\u1079{}\\uc0\\u1088{}\\uc0\\u1072{}\\uc0\\u1073{}\\uc0\\u1086{}\\uc0\\u1090{}\\uc0\\u1086{}\\uc0\\u1082{} \\uc0\\u171{}\\uc0\\u1053{}\\uc0\\u1072{}\\uc0\\u1091{}\\uc0\\u1095{}\\uc0\\u1085{}\\uc0\\u1099{}\\uc0\\u1077{} \\uc0\\u1088{}\\uc0\\u1072{}\\uc0\\u1079{}\\uc0\\u1088{}\\uc0\\u1072{}\\uc0\\u1073{}\\uc0\\u1086{}\\uc0\\u1090{}\\uc0\\u1082{}\\uc0\\u1080{}: \\uc0\\u1077{}\\uc0\\u1074{}\\uc0\\u1088{}\\uc0\\u1072{}\\uc0\\u1079{}\\uc0\\u1080{}\\uc0\\u1081{}\\uc0\\u1089{}\\uc0\\u1082{}\\uc0\\u1080{}\\uc0\\u1081{} \\uc0\\u1088{}\\uc0\\u1077{}\\uc0\\u1075{}\\uc0\\u1080{}\\uc0\\u1086{}\\uc0\\u1085{}\\uc0\\u187{} (International scientific conference of theoretical and applied developments \\uc0\\u8216{}Scientific developments: the Eurasian region\\uc0\\u8217{}), Moscow: \\uc0\\u1044{}.\\uc0\\u1056{}. \\uc0\\u1061{}\\uc0\\u1080{}\\uc0\\u1089{}\\uc0\\u1084{}\\uc0\\u1072{}\\uc0\\u1090{}\\uc0\\u1091{}\\uc0\\u1083{}\\uc0\\u1083{}\\uc0\\u1080{}\\uc0\\u1085{}. \\uc0\\u8211{} \\uc0\\u1052{}\\uc0\\u1086{}\\uc0\\u1089{}\\uc0\\u1082{}\\uc0\\u1074{}\\uc0\\u1072{}: \\uc0\\u1048{}\\uc0\\u1079{}\\uc0\\u1076{}\\uc0\\u1072{}\\uc0\\u1090{}\\uc0\\u1077{}\\uc0\\u1083{}\\uc0\\u1100{}\\uc0\\u1089{}\\uc0\\u1090{}\\uc0\\u1074{}\\uc0\\u1086{} \\uc0\\u1048{}\\uc0\\u1085{}\\uc0\\u1092{}\\uc0\\u1080{}\\uc0\\u1085{}\\uc0\\u1080{}\\uc0\\u1090{}\\uc0\\u1080{}, 2019), pp. 38\\uc0\\u8211{}41.","plainCitation":"Кульгавова Лариса Владимировна, ‘History And Mystery Of Welsh Rabbit’, in SCIENTIFIC DEVELOPMENTS: EURASIAN REGION -International scientific conference theoretical and applied developments (presented at the 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 Moscow: Д.Р. Хисматуллин. – Москва: Издательство Инфинити, 2019), pp. 38–41.","noteIndex":71},"citationItems":[{"id":192,"uris":["http://zotero.org/users/6665715/items/2FX2RNQ3"],"itemData":{"id":192,"type":"paper-conference","container-title":"SCIENTIFIC DEVELOPMENTS: EURASIAN REGION -International scientific conference theoretical and applied developments","event-place":"Moscow","event-title":"Международная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region\")","ISBN":"ISBN 978-5-905695-47-6","language":"Russian, English","page":"38-41","publisher":"Д.Р. Хисматуллин. – Москва: Издательство Инфинити","publisher-place":"Moscow","title":"History And Mystery Of Welsh Rabbit","author":[{"family":"Владимировна","given":"Кульгавова Лариса"}],"accessed":{"date-parts":[["2023",1,7]]},"issued":{"date-parts":[["2019",8,16]]}}}],"schema":"https://github.com/citation-style-language/schema/raw/master/csl-citation.json"} </w:instrText>
      </w:r>
      <w:r>
        <w:fldChar w:fldCharType="separate"/>
      </w:r>
      <w:r w:rsidRPr="00115661">
        <w:rPr>
          <w:rFonts w:ascii="Calibri" w:hAnsi="Calibri" w:cs="Calibri"/>
          <w:szCs w:val="24"/>
        </w:rPr>
        <w:t xml:space="preserve">Кульгавова Лариса Владимировна, ‘History And Mystery Of Welsh Rabbit’, in </w:t>
      </w:r>
      <w:r w:rsidRPr="00115661">
        <w:rPr>
          <w:rFonts w:ascii="Calibri" w:hAnsi="Calibri" w:cs="Calibri"/>
          <w:i/>
          <w:iCs/>
          <w:szCs w:val="24"/>
        </w:rPr>
        <w:t>SCIENTIFIC DEVELOPMENTS: EURASIAN REGION -International scientific conference theoretical and applied developments</w:t>
      </w:r>
      <w:r w:rsidRPr="00115661">
        <w:rPr>
          <w:rFonts w:ascii="Calibri" w:hAnsi="Calibri" w:cs="Calibri"/>
          <w:szCs w:val="24"/>
        </w:rPr>
        <w:t xml:space="preserve"> (presented at the 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 Moscow: Д.Р. Хисматуллин. – Москва: Издательство Инфинити, 2019), pp. 38–41.</w:t>
      </w:r>
      <w:r>
        <w:fldChar w:fldCharType="end"/>
      </w:r>
      <w:r>
        <w:t>p.38</w:t>
      </w:r>
    </w:p>
  </w:footnote>
  <w:footnote w:id="73">
    <w:p w14:paraId="705AF9CD" w14:textId="350FCBD3"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holfyPPW","properties":{"formattedCitation":"\\uc0\\u1042{}\\uc0\\u1083{}\\uc0\\u1072{}\\uc0\\u1076{}\\uc0\\u1080{}\\uc0\\u1084{}\\uc0\\u1080{}\\uc0\\u1088{}\\uc0\\u1086{}\\uc0\\u1074{}\\uc0\\u1085{}\\uc0\\u1072{}.","plainCitation":"Владимировна.","noteIndex":72},"citationItems":[{"id":192,"uris":["http://zotero.org/users/6665715/items/2FX2RNQ3"],"itemData":{"id":192,"type":"paper-conference","container-title":"SCIENTIFIC DEVELOPMENTS: EURASIAN REGION -International scientific conference theoretical and applied developments","event-place":"Moscow","event-title":"Международная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region\")","ISBN":"ISBN 978-5-905695-47-6","language":"Russian, English","page":"38-41","publisher":"Д.Р. Хисматуллин. – Москва: Издательство Инфинити","publisher-place":"Moscow","title":"History And Mystery Of Welsh Rabbit","author":[{"family":"Владимировна","given":"Кульгавова Лариса"}],"accessed":{"date-parts":[["2023",1,7]]},"issued":{"date-parts":[["2019",8,16]]}}}],"schema":"https://github.com/citation-style-language/schema/raw/master/csl-citation.json"} </w:instrText>
      </w:r>
      <w:r>
        <w:fldChar w:fldCharType="separate"/>
      </w:r>
      <w:r w:rsidRPr="003237E5">
        <w:rPr>
          <w:rFonts w:ascii="Calibri" w:hAnsi="Calibri" w:cs="Calibri"/>
          <w:szCs w:val="24"/>
        </w:rPr>
        <w:t>Владимировна.</w:t>
      </w:r>
      <w:r>
        <w:fldChar w:fldCharType="end"/>
      </w:r>
      <w:r>
        <w:t xml:space="preserve"> P.38</w:t>
      </w:r>
    </w:p>
  </w:footnote>
  <w:footnote w:id="74">
    <w:p w14:paraId="6D2E2EDF" w14:textId="59580A7C"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AxOw5jI2","properties":{"formattedCitation":"\\uc0\\u1042{}\\uc0\\u1083{}\\uc0\\u1072{}\\uc0\\u1076{}\\uc0\\u1080{}\\uc0\\u1084{}\\uc0\\u1080{}\\uc0\\u1088{}\\uc0\\u1086{}\\uc0\\u1074{}\\uc0\\u1085{}\\uc0\\u1072{}.","plainCitation":"Владимировна.","noteIndex":73},"citationItems":[{"id":192,"uris":["http://zotero.org/users/6665715/items/2FX2RNQ3"],"itemData":{"id":192,"type":"paper-conference","container-title":"SCIENTIFIC DEVELOPMENTS: EURASIAN REGION -International scientific conference theoretical and applied developments","event-place":"Moscow","event-title":"Международная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region\")","ISBN":"ISBN 978-5-905695-47-6","language":"Russian, English","page":"38-41","publisher":"Д.Р. Хисматуллин. – Москва: Издательство Инфинити","publisher-place":"Moscow","title":"History And Mystery Of Welsh Rabbit","author":[{"family":"Владимировна","given":"Кульгавова Лариса"}],"accessed":{"date-parts":[["2023",1,7]]},"issued":{"date-parts":[["2019",8,16]]}}}],"schema":"https://github.com/citation-style-language/schema/raw/master/csl-citation.json"} </w:instrText>
      </w:r>
      <w:r>
        <w:fldChar w:fldCharType="separate"/>
      </w:r>
      <w:r w:rsidRPr="007C3D82">
        <w:rPr>
          <w:rFonts w:ascii="Calibri" w:hAnsi="Calibri" w:cs="Calibri"/>
          <w:szCs w:val="24"/>
        </w:rPr>
        <w:t>Владимировна.</w:t>
      </w:r>
      <w:r>
        <w:fldChar w:fldCharType="end"/>
      </w:r>
      <w:r>
        <w:t>p.38</w:t>
      </w:r>
    </w:p>
  </w:footnote>
  <w:footnote w:id="75">
    <w:p w14:paraId="1FC91587" w14:textId="27048A1D"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cFlFx6iM","properties":{"formattedCitation":"\\uc0\\u1042{}\\uc0\\u1083{}\\uc0\\u1072{}\\uc0\\u1076{}\\uc0\\u1080{}\\uc0\\u1084{}\\uc0\\u1080{}\\uc0\\u1088{}\\uc0\\u1086{}\\uc0\\u1074{}\\uc0\\u1085{}\\uc0\\u1072{}.","plainCitation":"Владимировна.","noteIndex":74},"citationItems":[{"id":192,"uris":["http://zotero.org/users/6665715/items/2FX2RNQ3"],"itemData":{"id":192,"type":"paper-conference","container-title":"SCIENTIFIC DEVELOPMENTS: EURASIAN REGION -International scientific conference theoretical and applied developments","event-place":"Moscow","event-title":"Международная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region\")","ISBN":"ISBN 978-5-905695-47-6","language":"Russian, English","page":"38-41","publisher":"Д.Р. Хисматуллин. – Москва: Издательство Инфинити","publisher-place":"Moscow","title":"History And Mystery Of Welsh Rabbit","author":[{"family":"Владимировна","given":"Кульгавова Лариса"}],"accessed":{"date-parts":[["2023",1,7]]},"issued":{"date-parts":[["2019",8,16]]}}}],"schema":"https://github.com/citation-style-language/schema/raw/master/csl-citation.json"} </w:instrText>
      </w:r>
      <w:r>
        <w:fldChar w:fldCharType="separate"/>
      </w:r>
      <w:r w:rsidRPr="00CB1FE5">
        <w:rPr>
          <w:rFonts w:ascii="Calibri" w:hAnsi="Calibri" w:cs="Calibri"/>
          <w:szCs w:val="24"/>
        </w:rPr>
        <w:t>Владимировна.</w:t>
      </w:r>
      <w:r>
        <w:fldChar w:fldCharType="end"/>
      </w:r>
      <w:r>
        <w:t>p.39</w:t>
      </w:r>
    </w:p>
  </w:footnote>
  <w:footnote w:id="76">
    <w:p w14:paraId="004BA0E8" w14:textId="58BAA9FA"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cIFUz87e","properties":{"formattedCitation":"\\uc0\\u1042{}\\uc0\\u1083{}\\uc0\\u1072{}\\uc0\\u1076{}\\uc0\\u1080{}\\uc0\\u1084{}\\uc0\\u1080{}\\uc0\\u1088{}\\uc0\\u1086{}\\uc0\\u1074{}\\uc0\\u1085{}\\uc0\\u1072{}.","plainCitation":"Владимировна.","noteIndex":75},"citationItems":[{"id":192,"uris":["http://zotero.org/users/6665715/items/2FX2RNQ3"],"itemData":{"id":192,"type":"paper-conference","container-title":"SCIENTIFIC DEVELOPMENTS: EURASIAN REGION -International scientific conference theoretical and applied developments","event-place":"Moscow","event-title":"Международная  научная конференция теоретических и  прикладных разработок «Научные разработки: евразийский регион» (International scientific conference of theoretical and applied developments \"Scientific developments: the Eurasian region\")","ISBN":"ISBN 978-5-905695-47-6","language":"Russian, English","page":"38-41","publisher":"Д.Р. Хисматуллин. – Москва: Издательство Инфинити","publisher-place":"Moscow","title":"History And Mystery Of Welsh Rabbit","author":[{"family":"Владимировна","given":"Кульгавова Лариса"}],"accessed":{"date-parts":[["2023",1,7]]},"issued":{"date-parts":[["2019",8,16]]}}}],"schema":"https://github.com/citation-style-language/schema/raw/master/csl-citation.json"} </w:instrText>
      </w:r>
      <w:r>
        <w:fldChar w:fldCharType="separate"/>
      </w:r>
      <w:r w:rsidRPr="00B0173D">
        <w:rPr>
          <w:rFonts w:ascii="Calibri" w:hAnsi="Calibri" w:cs="Calibri"/>
          <w:szCs w:val="24"/>
        </w:rPr>
        <w:t>Владимировна.</w:t>
      </w:r>
      <w:r>
        <w:fldChar w:fldCharType="end"/>
      </w:r>
      <w:r>
        <w:t>p.39</w:t>
      </w:r>
    </w:p>
  </w:footnote>
  <w:footnote w:id="77">
    <w:p w14:paraId="706894FB" w14:textId="5DAF3747"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{"citationID":"gaofNf8k","properties":{"formattedCitation":"Tecwyn Vaughan Jones, \\uc0\\u8216{}Welsh Nots, Welsh Notes and Welsh Nuts: A Dictionary of Phrases with the Word \\uc0\\u8220{}Welsh\\uc0\\u8221{}\\uc0\\u8217{}, {\\i{}Folklore}, 112.2 (2001), 230\\uc0\\u8211{}31.","plainCitation":"Tecwyn Vaughan Jones, ‘Welsh Nots, Welsh Notes and Welsh Nuts: A Dictionary of Phrases with the Word “Welsh”’, Folklore, 112.2 (2001), 230–31.","noteIndex":75},"citationItems":[{"id":197,"uris":["http://zotero.org/users/6665715/items/SK3C2H4H"],"itemData":{"id":197,"type":"article-journal","abstract":"\"Welsh Nots, Welsh Notes and Welsh Nuts: A Dictionary of Phrases with the Word 'Welsh'\" by T. B. Edwards is reviewed.","container-title":"Folklore","ISSN":"0015587X","issue":"2","language":"English","license":"Copyright The Folklore Society Oct 2001","note":"number-of-pages: 2\npublisher-place: Abingdon, United Kingdom\npublisher: Taylor &amp; Francis Ltd.","page":"230-231","source":"ProQuest","title":"Welsh Nots, Welsh Notes and Welsh Nuts: A Dictionary of Phrases with the Word \"Welsh\"","title-short":"Welsh Nots, Welsh Notes and Welsh Nuts","volume":"112","author":[{"family":"Jones","given":"Tecwyn Vaughan"}],"issued":{"date-parts":[["2001",10]]}}}],"schema":"https://github.com/citation-style-language/schema/raw/master/csl-citation.json"} </w:instrText>
      </w:r>
      <w:r>
        <w:fldChar w:fldCharType="separate"/>
      </w:r>
      <w:r w:rsidRPr="00553E2A">
        <w:rPr>
          <w:rFonts w:ascii="Calibri" w:hAnsi="Calibri" w:cs="Calibri"/>
          <w:szCs w:val="24"/>
        </w:rPr>
        <w:t xml:space="preserve">Tecwyn Vaughan Jones, ‘Welsh Nots, Welsh Notes and Welsh Nuts: A Dictionary of Phrases with the Word “Welsh”’, </w:t>
      </w:r>
      <w:r w:rsidRPr="00553E2A">
        <w:rPr>
          <w:rFonts w:ascii="Calibri" w:hAnsi="Calibri" w:cs="Calibri"/>
          <w:i/>
          <w:iCs/>
          <w:szCs w:val="24"/>
        </w:rPr>
        <w:t>Folklore</w:t>
      </w:r>
      <w:r w:rsidRPr="00553E2A">
        <w:rPr>
          <w:rFonts w:ascii="Calibri" w:hAnsi="Calibri" w:cs="Calibri"/>
          <w:szCs w:val="24"/>
        </w:rPr>
        <w:t>, 112.2 (2001), 230–31.</w:t>
      </w:r>
      <w:r>
        <w:fldChar w:fldCharType="end"/>
      </w:r>
      <w:r>
        <w:t>p.230</w:t>
      </w:r>
    </w:p>
  </w:footnote>
  <w:footnote w:id="78">
    <w:p w14:paraId="772863EF" w14:textId="023148C9"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{"citationID":"Og6P4wSn","properties":{"formattedCitation":"Robert Hendrickson, {\\i{}Animal Crackers: A Bestial Lexicon}, Open market ed edition (New York: Penguin, 1983).","plainCitation":"Robert Hendrickson, Animal Crackers: A Bestial Lexicon, Open market ed edition (New York: Penguin, 1983).","noteIndex":76},"citationItems":[{"id":199,"uris":["http://zotero.org/users/6665715/items/FFY52LWM"],"itemData":{"id":199,"type":"book","edition":"Open market ed edition","event-place":"New York","ISBN":"978-0-14-006487-2","language":"English","number-of-pages":"252","publisher":"Penguin","publisher-place":"New York","source":"Amazon","title":"Animal Crackers: A Bestial Lexicon","title-short":"Animal Crackers","author":[{"family":"Hendrickson","given":"Robert"}],"issued":{"date-parts":[["1983",5,26]]}}}],"schema":"https://github.com/citation-style-language/schema/raw/master/csl-citation.json"} </w:instrText>
      </w:r>
      <w:r>
        <w:fldChar w:fldCharType="separate"/>
      </w:r>
      <w:r w:rsidRPr="002F4304">
        <w:rPr>
          <w:rFonts w:ascii="Calibri" w:hAnsi="Calibri" w:cs="Calibri"/>
          <w:szCs w:val="24"/>
        </w:rPr>
        <w:t xml:space="preserve">Robert Hendrickson, </w:t>
      </w:r>
      <w:r w:rsidRPr="002F4304">
        <w:rPr>
          <w:rFonts w:ascii="Calibri" w:hAnsi="Calibri" w:cs="Calibri"/>
          <w:i/>
          <w:iCs/>
          <w:szCs w:val="24"/>
        </w:rPr>
        <w:t>Animal Crackers: A Bestial Lexicon</w:t>
      </w:r>
      <w:r w:rsidRPr="002F4304">
        <w:rPr>
          <w:rFonts w:ascii="Calibri" w:hAnsi="Calibri" w:cs="Calibri"/>
          <w:szCs w:val="24"/>
        </w:rPr>
        <w:t>, Open market ed edition (New York: Penguin, 1983).</w:t>
      </w:r>
      <w:r>
        <w:fldChar w:fldCharType="end"/>
      </w:r>
    </w:p>
  </w:footnote>
  <w:footnote w:id="79">
    <w:p w14:paraId="638EAEB3" w14:textId="2E6D12E5"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{"citationID":"fLCctppD","properties":{"formattedCitation":"Geraldine Lublin, \\uc0\\u8216{}The War of the Tea Houses, or How Welsh Heritage in Patagonia Became a Valuable Commodity\\uc0\\u8217{}, {\\i{}E-Keltoi: Journal of Interdisciplinary Celtic Studies}, 1.1 (2009) &lt;https://dc.uwm.edu/ekeltoi/vol1/iss1/3&gt;.","plainCitation":"Geraldine Lublin, ‘The War of the Tea Houses, or How Welsh Heritage in Patagonia Became a Valuable Commodity’, E-Keltoi: Journal of Interdisciplinary Celtic Studies, 1.1 (2009) &lt;https://dc.uwm.edu/ekeltoi/vol1/iss1/3&gt;.","noteIndex":78},"citationItems":[{"id":203,"uris":["http://zotero.org/users/6665715/items/LCASZT4X"],"itemData":{"id":203,"type":"article-journal","container-title":"e-Keltoi: Journal of Interdisciplinary Celtic Studies","ISSN":"1540-4889","issue":"1","title":"The War of the Tea Houses, or How Welsh Heritage in Patagonia Became a Valuable Commodity","URL":"https://dc.uwm.edu/ekeltoi/vol1/iss1/3","volume":"1","author":[{"family":"Lublin","given":"Geraldine"}],"issued":{"date-parts":[["2009",7,9]]}}}],"schema":"https://github.com/citation-style-language/schema/raw/master/csl-citation.json"} </w:instrText>
      </w:r>
      <w:r>
        <w:fldChar w:fldCharType="separate"/>
      </w:r>
      <w:r w:rsidRPr="00CD69D1">
        <w:rPr>
          <w:rFonts w:ascii="Calibri" w:hAnsi="Calibri" w:cs="Calibri"/>
          <w:szCs w:val="24"/>
        </w:rPr>
        <w:t xml:space="preserve">Geraldine Lublin, ‘The War of the Tea Houses, or How Welsh Heritage in Patagonia Became a Valuable Commodity’, </w:t>
      </w:r>
      <w:r w:rsidRPr="00CD69D1">
        <w:rPr>
          <w:rFonts w:ascii="Calibri" w:hAnsi="Calibri" w:cs="Calibri"/>
          <w:i/>
          <w:iCs/>
          <w:szCs w:val="24"/>
        </w:rPr>
        <w:t>E-Keltoi: Journal of Interdisciplinary Celtic Studies</w:t>
      </w:r>
      <w:r w:rsidRPr="00CD69D1">
        <w:rPr>
          <w:rFonts w:ascii="Calibri" w:hAnsi="Calibri" w:cs="Calibri"/>
          <w:szCs w:val="24"/>
        </w:rPr>
        <w:t>, 1.1 (2009) &lt;https://dc.uwm.edu/ekeltoi/vol1/iss1/3&gt;.</w:t>
      </w:r>
      <w:r>
        <w:fldChar w:fldCharType="end"/>
      </w:r>
      <w:r>
        <w:t>p.</w:t>
      </w:r>
      <w:proofErr w:type="gramStart"/>
      <w:r>
        <w:t>77</w:t>
      </w:r>
      <w:proofErr w:type="gramEnd"/>
    </w:p>
  </w:footnote>
  <w:footnote w:id="80">
    <w:p w14:paraId="73D0F200" w14:textId="2A76AAE6" w:rsidR="005914BF" w:rsidRPr="00FC713B" w:rsidRDefault="005914BF" w:rsidP="005914BF">
      <w:pPr>
        <w:pStyle w:val="FootnoteText"/>
        <w:rPr>
          <w:lang w:val="es-ES"/>
        </w:rPr>
      </w:pPr>
      <w:r w:rsidRPr="004F1478">
        <w:rPr>
          <w:rStyle w:val="FootnoteReference"/>
        </w:rPr>
        <w:footnoteRef/>
      </w:r>
      <w:r w:rsidRPr="00FC713B">
        <w:rPr>
          <w:lang w:val="es-ES"/>
        </w:rPr>
        <w:t xml:space="preserve"> </w:t>
      </w:r>
      <w:r>
        <w:fldChar w:fldCharType="begin"/>
      </w:r>
      <w:r w:rsidR="003E0AD9">
        <w:rPr>
          <w:lang w:val="es-ES"/>
        </w:rPr>
        <w:instrText xml:space="preserve"> ADDIN ZOTERO_ITEM CSL_CITATION {"citationID":"YD4O3GaU","properties":{"formattedCitation":"Vilma Nancy Jones and Claudia Monica Sager, \\uc0\\u8216{}Convergencia multiling\\uc0\\u252{}\\uc0\\u237{}stica en un campo lexical. El habla en una provincia de la Patagonia argentina: Chubut (Multilingual convergence in a lexical field.  Speech in a province of Argentine  Patagonia: Chubut)\\uc0\\u8217{}, {\\i{}Revista del Centro de Ciencias del Lenguaje}, 24, 2001, 85\\uc0\\u8211{}97.","plainCitation":"Vilma Nancy Jones and Claudia Monica Sager, ‘Convergencia multilingüística en un campo lexical. El habla en una provincia de la Patagonia argentina: Chubut (Multilingual convergence in a lexical field.  Speech in a province of Argentine  Patagonia: Chubut)’, Revista del Centro de Ciencias del Lenguaje, 24, 2001, 85–97.","noteIndex":78},"citationItems":[{"id":202,"uris":["http://zotero.org/users/6665715/items/T4KDHEQM"],"itemData":{"id":202,"type":"article-journal","container-title":"Revista del Centro de Ciencias del Lenguaje","issue":"24","language":"spanish","page":"85-97","title":"Convergencia multilingüística en un campo lexical. El habla en una provincia de la Patagonia argentina: Chubut (Multilingual convergence in a lexical field.  Speech in a province of Argentine  Patagonia: Chubut)","author":[{"family":"Jones","given":"Vilma Nancy"},{"family":"Sager","given":"Claudia Monica"}],"issued":{"date-parts":[["2001",7]]}}}],"schema":"https://github.com/citation-style-language/schema/raw/master/csl-citation.json"} </w:instrText>
      </w:r>
      <w:r>
        <w:fldChar w:fldCharType="separate"/>
      </w:r>
      <w:r w:rsidRPr="00FC713B">
        <w:rPr>
          <w:rFonts w:ascii="Calibri" w:hAnsi="Calibri" w:cs="Calibri"/>
          <w:szCs w:val="24"/>
          <w:lang w:val="es-ES"/>
        </w:rPr>
        <w:t>Vilma Nancy Jones and Claudia Monica Sager, ‘Convergencia multilingüística en un campo lexical. El habla en una provincia de la Patagonia argentina: Chubut (Multilingual convergence in a lexical field</w:t>
      </w:r>
      <w:proofErr w:type="gramStart"/>
      <w:r w:rsidRPr="00FC713B">
        <w:rPr>
          <w:rFonts w:ascii="Calibri" w:hAnsi="Calibri" w:cs="Calibri"/>
          <w:szCs w:val="24"/>
          <w:lang w:val="es-ES"/>
        </w:rPr>
        <w:t xml:space="preserve">.  </w:t>
      </w:r>
      <w:proofErr w:type="gramEnd"/>
      <w:r w:rsidRPr="00FC713B">
        <w:rPr>
          <w:rFonts w:ascii="Calibri" w:hAnsi="Calibri" w:cs="Calibri"/>
          <w:szCs w:val="24"/>
          <w:lang w:val="es-ES"/>
        </w:rPr>
        <w:t xml:space="preserve">Speech in a province of </w:t>
      </w:r>
      <w:proofErr w:type="gramStart"/>
      <w:r w:rsidRPr="00FC713B">
        <w:rPr>
          <w:rFonts w:ascii="Calibri" w:hAnsi="Calibri" w:cs="Calibri"/>
          <w:szCs w:val="24"/>
          <w:lang w:val="es-ES"/>
        </w:rPr>
        <w:t>Argentine  Patagonia</w:t>
      </w:r>
      <w:proofErr w:type="gramEnd"/>
      <w:r w:rsidRPr="00FC713B">
        <w:rPr>
          <w:rFonts w:ascii="Calibri" w:hAnsi="Calibri" w:cs="Calibri"/>
          <w:szCs w:val="24"/>
          <w:lang w:val="es-ES"/>
        </w:rPr>
        <w:t xml:space="preserve">: Chubut)’, </w:t>
      </w:r>
      <w:r w:rsidRPr="00FC713B">
        <w:rPr>
          <w:rFonts w:ascii="Calibri" w:hAnsi="Calibri" w:cs="Calibri"/>
          <w:i/>
          <w:szCs w:val="24"/>
          <w:lang w:val="es-ES"/>
        </w:rPr>
        <w:t>Revista del Centro de Ciencias del Lenguaje</w:t>
      </w:r>
      <w:r w:rsidRPr="00FC713B">
        <w:rPr>
          <w:rFonts w:ascii="Calibri" w:hAnsi="Calibri" w:cs="Calibri"/>
          <w:szCs w:val="24"/>
          <w:lang w:val="es-ES"/>
        </w:rPr>
        <w:t>, 24, 2001, 85–97.</w:t>
      </w:r>
      <w:r>
        <w:fldChar w:fldCharType="end"/>
      </w:r>
    </w:p>
  </w:footnote>
  <w:footnote w:id="81">
    <w:p w14:paraId="31E0D633" w14:textId="01480DB1" w:rsidR="005914BF" w:rsidRPr="00FC713B" w:rsidRDefault="005914BF" w:rsidP="005914BF">
      <w:pPr>
        <w:pStyle w:val="FootnoteText"/>
        <w:rPr>
          <w:lang w:val="es-ES"/>
        </w:rPr>
      </w:pPr>
      <w:r w:rsidRPr="004F1478">
        <w:rPr>
          <w:rStyle w:val="FootnoteReference"/>
        </w:rPr>
        <w:footnoteRef/>
      </w:r>
      <w:r w:rsidRPr="00FC713B">
        <w:rPr>
          <w:lang w:val="es-ES"/>
        </w:rPr>
        <w:t xml:space="preserve"> </w:t>
      </w:r>
      <w:r>
        <w:fldChar w:fldCharType="begin"/>
      </w:r>
      <w:r w:rsidR="005831B4">
        <w:rPr>
          <w:lang w:val="es-ES"/>
        </w:rPr>
        <w:instrText xml:space="preserve"> ADDIN ZOTERO_ITEM CSL_CITATION {"citationID":"noENYB6Z","properties":{"formattedCitation":"Lublin.","plainCitation":"Lublin.","noteIndex":80},"citationItems":[{"id":203,"uris":["http://zotero.org/users/6665715/items/LCASZT4X"],"itemData":{"id":203,"type":"article-journal","container-title":"e-Keltoi: Journal of Interdisciplinary Celtic Studies","ISSN":"1540-4889","issue":"1","title":"The War of the Tea Houses, or How Welsh Heritage in Patagonia Became a Valuable Commodity","URL":"https://dc.uwm.edu/ekeltoi/vol1/iss1/3","volume":"1","author":[{"family":"Lublin","given":"Geraldine"}],"issued":{"date-parts":[["2009",7,9]]}}}],"schema":"https://github.com/citation-style-language/schema/raw/master/csl-citation.json"} </w:instrText>
      </w:r>
      <w:r>
        <w:fldChar w:fldCharType="separate"/>
      </w:r>
      <w:r w:rsidRPr="00FC713B">
        <w:rPr>
          <w:rFonts w:ascii="Calibri" w:hAnsi="Calibri" w:cs="Calibri"/>
          <w:lang w:val="es-ES"/>
        </w:rPr>
        <w:t>Lublin.</w:t>
      </w:r>
      <w:r>
        <w:fldChar w:fldCharType="end"/>
      </w:r>
      <w:r w:rsidRPr="00FC713B">
        <w:rPr>
          <w:lang w:val="es-ES"/>
        </w:rPr>
        <w:t>p.72</w:t>
      </w:r>
    </w:p>
  </w:footnote>
  <w:footnote w:id="82">
    <w:p w14:paraId="19862118" w14:textId="7A2074D6" w:rsidR="005914BF" w:rsidRPr="00FC713B" w:rsidRDefault="005914BF" w:rsidP="005914BF">
      <w:pPr>
        <w:pStyle w:val="FootnoteText"/>
        <w:rPr>
          <w:lang w:val="es-ES"/>
        </w:rPr>
      </w:pPr>
      <w:r w:rsidRPr="004F1478">
        <w:rPr>
          <w:rStyle w:val="FootnoteReference"/>
        </w:rPr>
        <w:footnoteRef/>
      </w:r>
      <w:r w:rsidRPr="00FC713B">
        <w:rPr>
          <w:lang w:val="es-ES"/>
        </w:rPr>
        <w:t xml:space="preserve"> </w:t>
      </w:r>
      <w:r>
        <w:fldChar w:fldCharType="begin"/>
      </w:r>
      <w:r w:rsidR="005831B4">
        <w:rPr>
          <w:lang w:val="es-ES"/>
        </w:rPr>
        <w:instrText xml:space="preserve"> ADDIN ZOTERO_ITEM CSL_CITATION {"citationID":"3TEhtDGj","properties":{"formattedCitation":"Lublin.","plainCitation":"Lublin.","noteIndex":81},"citationItems":[{"id":203,"uris":["http://zotero.org/users/6665715/items/LCASZT4X"],"itemData":{"id":203,"type":"article-journal","container-title":"e-Keltoi: Journal of Interdisciplinary Celtic Studies","ISSN":"1540-4889","issue":"1","title":"The War of the Tea Houses, or How Welsh Heritage in Patagonia Became a Valuable Commodity","URL":"https://dc.uwm.edu/ekeltoi/vol1/iss1/3","volume":"1","author":[{"family":"Lublin","given":"Geraldine"}],"issued":{"date-parts":[["2009",7,9]]}}}],"schema":"https://github.com/citation-style-language/schema/raw/master/csl-citation.json"} </w:instrText>
      </w:r>
      <w:r>
        <w:fldChar w:fldCharType="separate"/>
      </w:r>
      <w:r w:rsidRPr="00FC713B">
        <w:rPr>
          <w:rFonts w:ascii="Calibri" w:hAnsi="Calibri" w:cs="Calibri"/>
          <w:lang w:val="es-ES"/>
        </w:rPr>
        <w:t>Lublin.</w:t>
      </w:r>
      <w:r>
        <w:fldChar w:fldCharType="end"/>
      </w:r>
      <w:r w:rsidRPr="00FC713B">
        <w:rPr>
          <w:lang w:val="es-ES"/>
        </w:rPr>
        <w:t>p.77</w:t>
      </w:r>
    </w:p>
  </w:footnote>
  <w:footnote w:id="83">
    <w:p w14:paraId="49B062E5" w14:textId="62E8ADDC"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{"citationID":"ojNCyJXq","properties":{"formattedCitation":"Homi K. Bhabha, {\\i{}The Location of Culture}, 2nd edn (London: Routledge, 2004) &lt;https://doi.org/10.4324/9780203820551&gt;.","plainCitation":"Homi K. Bhabha, The Location of Culture, 2nd edn (London: Routledge, 2004) &lt;https://doi.org/10.4324/9780203820551&gt;.","noteIndex":82},"citationItems":[{"id":89,"uris":["http://zotero.org/users/6665715/items/ENEU4N7D"],"itemData":{"id":89,"type":"book","abstract":"Rethinking questions of identity, social agency and national affiliation, Bhabha provides a working, if controversial, theory of cultural hybridity - one","edition":"2","event-place":"London","ISBN":"978-0-203-82055-1","note":"DOI: 10.4324/9780203820551","number-of-pages":"440","publisher":"Routledge","publisher-place":"London","title":"The Location of Culture","author":[{"family":"Bhabha","given":"Homi K."}],"issued":{"date-parts":[["2004",9,1]]}}}],"schema":"https://github.com/citation-style-language/schema/raw/master/csl-citation.json"} </w:instrText>
      </w:r>
      <w:r>
        <w:fldChar w:fldCharType="separate"/>
      </w:r>
      <w:r w:rsidRPr="00EA4003">
        <w:rPr>
          <w:rFonts w:ascii="Calibri" w:hAnsi="Calibri" w:cs="Calibri"/>
          <w:szCs w:val="24"/>
        </w:rPr>
        <w:t xml:space="preserve">Homi K. Bhabha, </w:t>
      </w:r>
      <w:r w:rsidRPr="00EA4003">
        <w:rPr>
          <w:rFonts w:ascii="Calibri" w:hAnsi="Calibri" w:cs="Calibri"/>
          <w:i/>
          <w:iCs/>
          <w:szCs w:val="24"/>
        </w:rPr>
        <w:t>The Location of Culture</w:t>
      </w:r>
      <w:r w:rsidRPr="00EA4003">
        <w:rPr>
          <w:rFonts w:ascii="Calibri" w:hAnsi="Calibri" w:cs="Calibri"/>
          <w:szCs w:val="24"/>
        </w:rPr>
        <w:t>, 2nd edn (London: Routledge, 2004) &lt;https://doi.org/10.4324/9780203820551&gt;.</w:t>
      </w:r>
      <w:r>
        <w:fldChar w:fldCharType="end"/>
      </w:r>
    </w:p>
  </w:footnote>
  <w:footnote w:id="84">
    <w:p w14:paraId="0ECEC87B" w14:textId="1C069DA4"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{"citationID":"Fh4KxId2","properties":{"formattedCitation":"Noriza Ishak and others, \\uc0\\u8216{}Acculturation, Foodways and Malaysian Food Identity\\uc0\\u8217{}, in {\\i{}Current Issues in Hospitality and Tourism Research and Innovations}, 2012, pp. 359\\uc0\\u8211{}63 &lt;https://doi.org/10.1201/b12752-71&gt;.","plainCitation":"Noriza Ishak and others, ‘Acculturation, Foodways and Malaysian Food Identity’, in Current Issues in Hospitality and Tourism Research and Innovations, 2012, pp. 359–63 &lt;https://doi.org/10.1201/b12752-71&gt;.","noteIndex":82},"citationItems":[{"id":96,"uris":["http://zotero.org/users/6665715/items/ZIQV8AKJ"],"itemData":{"id":96,"type":"chapter","abstract":"The consumption and preparation of food popularly known as foodways give valuable insights into the community that performs the acts. Foodways through their preparation and consumption are work like a sign system that transcend time and space. They bring meaning from one reality (the past) into another and signal an individual’s ethnic connections and competence. Foodways act as the connection between membership in a cultural community, group and significant for identity formation not only for the society but also for the nation. Many scholars claim that foodways of the various ethnic groups in multiracial countries play the biggest role in the country’s food identity formation. Scholars also believed that acculturation through food knowledge/language, media and social interaction not only contributes to food culture adaptation among different ethnic groups but gradually creates a food identity.Through acculturation (food knowledge/language, media and social interaction), some of the Malaysian major ethnic foods like Chinese and Indian are believed to be adjusted and adapted by Malay ethnic through the foodways (preparation and consumption) and in turn moderates the Malaysian food identity. Thus, this paper conceptually discusses the links between acculturation, foodways and Malaysian food identity.","container-title":"Current Issues in Hospitality and Tourism Research and Innovations","ISBN":"978-0-415-62133-5","note":"journalAbbreviation: Current Issues in Hospitality and Tourism Research and Innovations\nDOI: 10.1201/b12752-71","page":"359-363","source":"ResearchGate","title":"Acculturation, foodways and Malaysian food identity","author":[{"family":"Ishak","given":"Noriza"},{"family":"Mohd Zahari","given":"Mohd Salehuddin"},{"family":"Shazali","given":"M.S."},{"family":"Muhammad","given":"Rosmaliza"},{"family":"Hannita","given":"S"}],"issued":{"date-parts":[["2012",8,22]]}}}],"schema":"https://github.com/citation-style-language/schema/raw/master/csl-citation.json"} </w:instrText>
      </w:r>
      <w:r>
        <w:fldChar w:fldCharType="separate"/>
      </w:r>
      <w:r w:rsidRPr="00803195">
        <w:rPr>
          <w:rFonts w:ascii="Calibri" w:hAnsi="Calibri" w:cs="Calibri"/>
          <w:szCs w:val="24"/>
        </w:rPr>
        <w:t>Noriza Ishak and others, ‘Acculturation, Foodways and Malaysian Food Identity</w:t>
      </w:r>
      <w:proofErr w:type="gramStart"/>
      <w:r w:rsidRPr="00803195">
        <w:rPr>
          <w:rFonts w:ascii="Calibri" w:hAnsi="Calibri" w:cs="Calibri"/>
          <w:szCs w:val="24"/>
        </w:rPr>
        <w:t>’,</w:t>
      </w:r>
      <w:proofErr w:type="gramEnd"/>
      <w:r w:rsidRPr="00803195">
        <w:rPr>
          <w:rFonts w:ascii="Calibri" w:hAnsi="Calibri" w:cs="Calibri"/>
          <w:szCs w:val="24"/>
        </w:rPr>
        <w:t xml:space="preserve"> in </w:t>
      </w:r>
      <w:r w:rsidRPr="00803195">
        <w:rPr>
          <w:rFonts w:ascii="Calibri" w:hAnsi="Calibri" w:cs="Calibri"/>
          <w:i/>
          <w:iCs/>
          <w:szCs w:val="24"/>
        </w:rPr>
        <w:t>Current Issues in Hospitality and Tourism Research and Innovations</w:t>
      </w:r>
      <w:r w:rsidRPr="00803195">
        <w:rPr>
          <w:rFonts w:ascii="Calibri" w:hAnsi="Calibri" w:cs="Calibri"/>
          <w:szCs w:val="24"/>
        </w:rPr>
        <w:t>, 2012, pp. 359–63 &lt;https://doi.org/10.1201/b12752-71&gt;.</w:t>
      </w:r>
      <w:r>
        <w:fldChar w:fldCharType="end"/>
      </w:r>
    </w:p>
  </w:footnote>
  <w:footnote w:id="85">
    <w:p w14:paraId="2DEDCFA1" w14:textId="0CDE48E9"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{"citationID":"Yb83X6U4","properties":{"formattedCitation":"Keith Hollinshead, \\uc0\\u8216{}Touirsm and the Restless Peoples: A Dialectical Inspection of Bhabha\\uc0\\u8217{}s Halfway Populations\\uc0\\u8217{}, {\\i{}Tourism Culture &amp; Communication}, 1.1 (1998), 49\\uc0\\u8211{}77.","plainCitation":"Keith Hollinshead, ‘Touirsm and the Restless Peoples: A Dialectical Inspection of Bhabha’s Halfway Populations’, Tourism Culture &amp; Communication, 1.1 (1998), 49–77.","noteIndex":83},"citationItems":[{"id":102,"uris":["http://zotero.org/users/6665715/items/75DGKMQ4"],"itemData":{"id":102,"type":"article-journal","abstract":"Recently, Hall has condemned the heavy reliance in tourism studies of value-free, one-dimensional, approaches to tourism research, which he suggests are insufficient to investigate in depth the sociocultural, transnational, and globalizing contextualizations that are routinely embedded\nwithin international tourism. This synthesis of Bhabha’s landmark work The Location of Culture is an attempt (following Hall) to explore the dialectics of tourism as a force of cultural production. It inspects the projection of cultural difference in tourism, particularly in terms\nof the sheer numbers of the world’s people, whom Bhabha suggests are living—for a welter of reasons—within interstitial spaces, as “halfway populations\" existing “inbetween\" cultures! Thus, this article attempts to inspect Bhabha’s impressive examination\nof the difficult psychic condition faced by such “restless,\" interstitial people (particularly under the predicament of postcoloniality), so as to shed light on the large role that tourism plays in the othering of such peoples and in the ethnocentric positioning of places and pasts.\nIn noting the inventive and essentializing force of so much representational activity within tourism—as “the industry of differerence,\" par excellence—the article provides dialectical insight into the fashions by which the discourse and praxis of tourism management (and\nthat of tourism research!) frequently helps significantly misinterpret the hybridity, the ambiguity, and the temporal pluridimensionality of so much postcolonial/postmodern life.","container-title":"Tourism Culture &amp; Communication","issue":"1","journalAbbreviation":"Tourism Culture &amp; Communication","page":"49-77","source":"IngentaConnect","title":"Touirsm and the restless peoples: A dialectical inspection of Bhabha's halfway populations","title-short":"TOURISM AND THE RESTLESS PEOPLES","volume":"1","author":[{"family":"Hollinshead","given":"Keith"}],"issued":{"date-parts":[["1998",1,1]]}}}],"schema":"https://github.com/citation-style-language/schema/raw/master/csl-citation.json"} </w:instrText>
      </w:r>
      <w:r>
        <w:fldChar w:fldCharType="separate"/>
      </w:r>
      <w:r w:rsidRPr="001A6736">
        <w:rPr>
          <w:rFonts w:ascii="Calibri" w:hAnsi="Calibri" w:cs="Calibri"/>
          <w:szCs w:val="24"/>
        </w:rPr>
        <w:t>Keith Hollinshead, ‘Touirsm and the Restless Peoples: A Dialectical Inspection of Bhabha’s Halfway Populations</w:t>
      </w:r>
      <w:proofErr w:type="gramStart"/>
      <w:r w:rsidRPr="001A6736">
        <w:rPr>
          <w:rFonts w:ascii="Calibri" w:hAnsi="Calibri" w:cs="Calibri"/>
          <w:szCs w:val="24"/>
        </w:rPr>
        <w:t>’,</w:t>
      </w:r>
      <w:proofErr w:type="gramEnd"/>
      <w:r w:rsidRPr="001A6736">
        <w:rPr>
          <w:rFonts w:ascii="Calibri" w:hAnsi="Calibri" w:cs="Calibri"/>
          <w:szCs w:val="24"/>
        </w:rPr>
        <w:t xml:space="preserve"> </w:t>
      </w:r>
      <w:r w:rsidRPr="001A6736">
        <w:rPr>
          <w:rFonts w:ascii="Calibri" w:hAnsi="Calibri" w:cs="Calibri"/>
          <w:i/>
          <w:iCs/>
          <w:szCs w:val="24"/>
        </w:rPr>
        <w:t>Tourism Culture &amp; Communication</w:t>
      </w:r>
      <w:r w:rsidRPr="001A6736">
        <w:rPr>
          <w:rFonts w:ascii="Calibri" w:hAnsi="Calibri" w:cs="Calibri"/>
          <w:szCs w:val="24"/>
        </w:rPr>
        <w:t>, 1.1 (1998), 49–77.</w:t>
      </w:r>
      <w:r>
        <w:fldChar w:fldCharType="end"/>
      </w:r>
    </w:p>
  </w:footnote>
  <w:footnote w:id="86">
    <w:p w14:paraId="17432F21" w14:textId="2726E16B"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{"citationID":"nIMjp9Rc","properties":{"formattedCitation":"Bhabha, {\\i{}The Location of Culture}.","plainCitation":"Bhabha, The Location of Culture.","noteIndex":85},"citationItems":[{"id":89,"uris":["http://zotero.org/users/6665715/items/ENEU4N7D"],"itemData":{"id":89,"type":"book","abstract":"Rethinking questions of identity, social agency and national affiliation, Bhabha provides a working, if controversial, theory of cultural hybridity - one","edition":"2","event-place":"London","ISBN":"978-0-203-82055-1","note":"DOI: 10.4324/9780203820551","number-of-pages":"440","publisher":"Routledge","publisher-place":"London","title":"The Location of Culture","author":[{"family":"Bhabha","given":"Homi K."}],"issued":{"date-parts":[["2004",9,1]]}}}],"schema":"https://github.com/citation-style-language/schema/raw/master/csl-citation.json"} </w:instrText>
      </w:r>
      <w:r>
        <w:fldChar w:fldCharType="separate"/>
      </w:r>
      <w:r w:rsidR="005831B4" w:rsidRPr="005831B4">
        <w:rPr>
          <w:rFonts w:ascii="Calibri" w:hAnsi="Calibri" w:cs="Calibri"/>
          <w:szCs w:val="24"/>
        </w:rPr>
        <w:t xml:space="preserve">Bhabha, </w:t>
      </w:r>
      <w:r w:rsidR="005831B4" w:rsidRPr="005831B4">
        <w:rPr>
          <w:rFonts w:ascii="Calibri" w:hAnsi="Calibri" w:cs="Calibri"/>
          <w:i/>
          <w:iCs/>
          <w:szCs w:val="24"/>
        </w:rPr>
        <w:t>The Location of Culture</w:t>
      </w:r>
      <w:r w:rsidR="005831B4" w:rsidRPr="005831B4">
        <w:rPr>
          <w:rFonts w:ascii="Calibri" w:hAnsi="Calibri" w:cs="Calibri"/>
          <w:szCs w:val="24"/>
        </w:rPr>
        <w:t>.</w:t>
      </w:r>
      <w:r>
        <w:fldChar w:fldCharType="end"/>
      </w:r>
    </w:p>
  </w:footnote>
  <w:footnote w:id="87">
    <w:p w14:paraId="0773BE16" w14:textId="77E8FF38"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{"citationID":"prEUXNay","properties":{"formattedCitation":"\\uc0\\u8216{}UNESCO - What Is Intangible Cultural Heritage?\\uc0\\u8217{}","plainCitation":"‘UNESCO - What Is Intangible Cultural Heritage?’","noteIndex":85},"citationItems":[{"id":39,"uris":["http://zotero.org/users/6665715/items/D4Y5MGHG"],"itemData":{"id":39,"type":"webpage","abstract":"The term ‘cultural heritage’ has changed content considerably in recent decades, partially owing to the instruments developed by UNESCO. Cultural heritage does not end at monuments and collections of objects. It also includes traditions or living expressions inherited from our ancestors and passed on to our descendants, such as oral traditions, performing arts, social practices, rituals, festi...","language":"en","title":"UNESCO - What is Intangible Cultural Heritage?","URL":"https://ich.unesco.org/en/what-is-intangible-heritage-00003","accessed":{"date-parts":[["2022",9,23]]}}}],"schema":"https://github.com/citation-style-language/schema/raw/master/csl-citation.json"} </w:instrText>
      </w:r>
      <w:r>
        <w:fldChar w:fldCharType="separate"/>
      </w:r>
      <w:r w:rsidRPr="001458A0">
        <w:rPr>
          <w:rFonts w:ascii="Calibri" w:hAnsi="Calibri" w:cs="Calibri"/>
          <w:szCs w:val="24"/>
        </w:rPr>
        <w:t>‘UNESCO - What Is Intangible Cultural Heritage?’</w:t>
      </w:r>
      <w:r>
        <w:fldChar w:fldCharType="end"/>
      </w:r>
      <w:r>
        <w:t>p.</w:t>
      </w:r>
      <w:proofErr w:type="gramStart"/>
      <w:r>
        <w:t>95</w:t>
      </w:r>
      <w:proofErr w:type="gramEnd"/>
    </w:p>
  </w:footnote>
  <w:footnote w:id="88">
    <w:p w14:paraId="7E501533" w14:textId="4BFCA5E4"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{"citationID":"OGkRP4Mp","properties":{"formattedCitation":"\\uc0\\u8216{}BBC Radio 4 - The Food Programme, A Taste of Britain Revisited - Wales\\uc0\\u8217{}.","plainCitation":"‘BBC Radio 4 - The Food Programme, A Taste of Britain Revisited - Wales’.","noteIndex":87},"citationItems":[{"id":154,"uris":["http://zotero.org/users/6665715/items/47X4Y5HU"],"itemData":{"id":154,"type":"broadcast","abstract":"Dan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D31D51">
        <w:rPr>
          <w:rFonts w:ascii="Calibri" w:hAnsi="Calibri" w:cs="Calibri"/>
          <w:szCs w:val="24"/>
        </w:rPr>
        <w:t>‘BBC Radio 4 - The Food Programme, A Taste of Britain Revisited - Wales’.</w:t>
      </w:r>
      <w:r>
        <w:fldChar w:fldCharType="end"/>
      </w:r>
    </w:p>
  </w:footnote>
  <w:footnote w:id="89">
    <w:p w14:paraId="614A431B" w14:textId="3AAB1879"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{"citationID":"hm0XKYpk","properties":{"formattedCitation":"\\uc0\\u8216{}BBC Radio 4 - The Food Programme, A Taste of Britain Revisited - Wales\\uc0\\u8217{}.","plainCitation":"‘BBC Radio 4 - The Food Programme, A Taste of Britain Revisited - Wales’.","noteIndex":88},"citationItems":[{"id":154,"uris":["http://zotero.org/users/6665715/items/47X4Y5HU"],"itemData":{"id":154,"type":"broadcast","abstract":"Dan Saladino revisits Derek Cooper's hunt for British regional foods, 40 years on.","container-title":"BBC","language":"en-GB","title":"BBC Radio 4 - The Food Programme, A Taste of Britain Revisited - Wales","URL":"https://www.bbc.co.uk/programmes/b04fy2bl","accessed":{"date-parts":[["2023",1,4]]}}}],"schema":"https://github.com/citation-style-language/schema/raw/master/csl-citation.json"} </w:instrText>
      </w:r>
      <w:r>
        <w:fldChar w:fldCharType="separate"/>
      </w:r>
      <w:r w:rsidRPr="0004537E">
        <w:rPr>
          <w:rFonts w:ascii="Calibri" w:hAnsi="Calibri" w:cs="Calibri"/>
          <w:szCs w:val="24"/>
        </w:rPr>
        <w:t>‘BBC Radio 4 - The Food Programme, A Taste of Britain Revisited - Wales’.</w:t>
      </w:r>
      <w:r>
        <w:fldChar w:fldCharType="end"/>
      </w:r>
    </w:p>
  </w:footnote>
  <w:footnote w:id="90">
    <w:p w14:paraId="78FD4D21" w14:textId="1E443181"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{"citationID":"lW70yoaw","properties":{"formattedCitation":"Michael Dietler, \\uc0\\u8216{}Culinary Encounters: Food, Identity, and Colonialism. In The Archaeology of Food and Identity, Edited by Katheryn Twiss, Pp. 218-242. Carbondale: Center for Archaeological Investigations Press, University of Southern Illinois. 2007\\uc0\\u8217{}, {\\i{}The Archaeology of Food and Identity}, 2007 &lt;https://www.academia.edu/273518/Culinary_encounters_food_identity_and_colonialism_In_The_Archaeology_of_Food_and_Identity_edited_by_Katheryn_Twiss_pp_218_242_Carbondale_Center_for_Archaeological_Investigations_Press_University_of_Southern_Illinois_2007&gt; [accessed 14 November 2022].","plainCitation":"Michael Dietler, ‘Culinary Encounters: Food, Identity, and Colonialism. In The Archaeology of Food and Identity, Edited by Katheryn Twiss, Pp. 218-242. Carbondale: Center for Archaeological Investigations Press, University of Southern Illinois. 2007’, The Archaeology of Food and Identity, 2007 &lt;https://www.academia.edu/273518/Culinary_encounters_food_identity_and_colonialism_In_The_Archaeology_of_Food_and_Identity_edited_by_Katheryn_Twiss_pp_218_242_Carbondale_Center_for_Archaeological_Investigations_Press_University_of_Southern_Illinois_2007&gt; [accessed 14 November 2022].","noteIndex":88},"citationItems":[{"id":93,"uris":["http://zotero.org/users/6665715/items/PQ8GBWN2"],"itemData":{"id":93,"type":"article-journal","abstract":"Culinary encounters: food, identity, and colonialism. In The Archaeology of Food and Identity, edited by Katheryn Twiss, pp. 218-242. Carbondale: Center for Archaeological Investigations Press, University of Southern Illinois. 2007","container-title":"The archaeology of food and identity","language":"en","source":"www.academia.edu","title":"Culinary encounters: food, identity, and colonialism. In The Archaeology of Food and Identity, edited by Katheryn Twiss, pp. 218-242. Carbondale: Center for Archaeological Investigations Press, University of Southern Illinois. 2007","title-short":"Culinary encounters","URL":"https://www.academia.edu/273518/Culinary_encounters_food_identity_and_colonialism_In_The_Archaeology_of_Food_and_Identity_edited_by_Katheryn_Twiss_pp_218_242_Carbondale_Center_for_Archaeological_Investigations_Press_University_of_Southern_Illinois_2007","author":[{"family":"Dietler","given":"Michael"}],"accessed":{"date-parts":[["2022",11,14]]},"issued":{"date-parts":[["2007",1,1]]}}}],"schema":"https://github.com/citation-style-language/schema/raw/master/csl-citation.json"} </w:instrText>
      </w:r>
      <w:r>
        <w:fldChar w:fldCharType="separate"/>
      </w:r>
      <w:r w:rsidRPr="00042C1E">
        <w:rPr>
          <w:rFonts w:ascii="Calibri" w:hAnsi="Calibri" w:cs="Calibri"/>
          <w:szCs w:val="24"/>
        </w:rPr>
        <w:t xml:space="preserve">Michael Dietler, ‘Culinary Encounters: Food, Identity, and Colonialism. In The Archaeology of Food and Identity, Edited by Katheryn Twiss, Pp. 218-242. Carbondale: Center for Archaeological Investigations Press, University of Southern Illinois. 2007’, </w:t>
      </w:r>
      <w:r w:rsidRPr="00042C1E">
        <w:rPr>
          <w:rFonts w:ascii="Calibri" w:hAnsi="Calibri" w:cs="Calibri"/>
          <w:i/>
          <w:iCs/>
          <w:szCs w:val="24"/>
        </w:rPr>
        <w:t>The Archaeology of Food and Identity</w:t>
      </w:r>
      <w:r w:rsidRPr="00042C1E">
        <w:rPr>
          <w:rFonts w:ascii="Calibri" w:hAnsi="Calibri" w:cs="Calibri"/>
          <w:szCs w:val="24"/>
        </w:rPr>
        <w:t>, 2007 &lt;https://www.academia.edu/273518/Culinary_encounters_food_identity_and_colonialism_In_The_Archaeology_of_Food_and_Identity_edited_by_Katheryn_Twiss_pp_218_242_Carbondale_Center_for_Archaeological_Investigations_Press_University_of_Southern_Illinois_2007&gt; [accessed 14 November 2022].</w:t>
      </w:r>
      <w:r>
        <w:fldChar w:fldCharType="end"/>
      </w:r>
    </w:p>
  </w:footnote>
  <w:footnote w:id="91">
    <w:p w14:paraId="2884E187" w14:textId="4A5A092E"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{"citationID":"HeZ8iaES","properties":{"formattedCitation":"Susan R Pitchford, \\uc0\\u8216{}Ethnic Tourism and Nationalism in Wales\\uc0\\u8217{}, {\\i{}Annals of Tourism Research}, 22.1 (1995), 35\\uc0\\u8211{}52 &lt;https://doi.org/10.1016/0160-7383(94)00068-4&gt;.","plainCitation":"Susan R Pitchford, ‘Ethnic Tourism and Nationalism in Wales’, Annals of Tourism Research, 22.1 (1995), 35–52 &lt;https://doi.org/10.1016/0160-7383(94)00068-4&gt;.","noteIndex":90},"citationItems":[{"id":83,"uris":["http://zotero.org/users/6665715/items/73HLG2CL"],"itemData":{"id":83,"type":"article-journal","abstract":"This paper examines the role of ethnic tourism in nationalist movements. The colonial experience is a double victimization in that cultural devaluation often accompanies material conquest and exploitation. Nationalist rhetoric reflects this experience, projecting a dual message of historical injustice and cultural revaluation. This study focuses on the potential of ethnic tourism in Wales to serve as a medium for the nationalist message, by projecting an image of the Welsh both as victims of injustice and as bearers of a distinctive culture. Analysis of Welsh attractions suggests that tourism provides a resource for the nationalist movement, by furnishing yet another outlet for its message.\nRésumé\nTourisme ethnique et nationalisme au pays de Galles. Le présent article examine le rôle du tourisme ethnique dans les mouvements nationalistes. L'expérience coloniale est une double victimisation étant donné que la dévaluation culturelle accompagne souvent la conquête et l'exploitation materielles. La rhétorique nationaliste reflète cette expérience en projetant un double message d'injustice historique et de réévaluation culturelle. Cet article se concentre sur les possibilités du tourisme ethnique au pays de Galles pour servir de véhicule pour le message nationaliste, en projetant une image des Gallois comme victimes d'injustice et comme porteurs d'un culture distinctive. Une analyse des attractions galloises suggère que le tourisme constitue une ressource pour le mouvement nationaliste en créant encore un débouché pour son message.","container-title":"Annals of Tourism Research","DOI":"10.1016/0160-7383(94)00068-4","ISSN":"0160-7383","issue":"1","journalAbbreviation":"Annals of Tourism Research","language":"en","page":"35-52","source":"ScienceDirect","title":"Ethnic tourism and nationalism in wales","volume":"22","author":[{"family":"Pitchford","given":"Susan R"}],"issued":{"date-parts":[["1995",1,1]]}}}],"schema":"https://github.com/citation-style-language/schema/raw/master/csl-citation.json"} </w:instrText>
      </w:r>
      <w:r>
        <w:fldChar w:fldCharType="separate"/>
      </w:r>
      <w:r w:rsidRPr="006E1944">
        <w:rPr>
          <w:rFonts w:ascii="Calibri" w:hAnsi="Calibri" w:cs="Calibri"/>
          <w:szCs w:val="24"/>
        </w:rPr>
        <w:t>Susan R Pitchford, ‘Ethnic Tourism and Nationalism in Wales</w:t>
      </w:r>
      <w:proofErr w:type="gramStart"/>
      <w:r w:rsidRPr="006E1944">
        <w:rPr>
          <w:rFonts w:ascii="Calibri" w:hAnsi="Calibri" w:cs="Calibri"/>
          <w:szCs w:val="24"/>
        </w:rPr>
        <w:t>’,</w:t>
      </w:r>
      <w:proofErr w:type="gramEnd"/>
      <w:r w:rsidRPr="006E1944">
        <w:rPr>
          <w:rFonts w:ascii="Calibri" w:hAnsi="Calibri" w:cs="Calibri"/>
          <w:szCs w:val="24"/>
        </w:rPr>
        <w:t xml:space="preserve"> </w:t>
      </w:r>
      <w:r w:rsidRPr="006E1944">
        <w:rPr>
          <w:rFonts w:ascii="Calibri" w:hAnsi="Calibri" w:cs="Calibri"/>
          <w:i/>
          <w:iCs/>
          <w:szCs w:val="24"/>
        </w:rPr>
        <w:t>Annals of Tourism Research</w:t>
      </w:r>
      <w:r w:rsidRPr="006E1944">
        <w:rPr>
          <w:rFonts w:ascii="Calibri" w:hAnsi="Calibri" w:cs="Calibri"/>
          <w:szCs w:val="24"/>
        </w:rPr>
        <w:t>, 22.1 (1995), 35–52 &lt;https://doi.org/10.1016/0160-7383(94)00068-4&gt;.</w:t>
      </w:r>
      <w:r>
        <w:fldChar w:fldCharType="end"/>
      </w:r>
    </w:p>
  </w:footnote>
  <w:footnote w:id="92">
    <w:p w14:paraId="0CCCB94F" w14:textId="0A7613A3" w:rsidR="005914BF" w:rsidRDefault="005914BF" w:rsidP="005914BF">
      <w:pPr>
        <w:pStyle w:val="FootnoteText"/>
      </w:pPr>
      <w:r w:rsidRPr="004F1478">
        <w:rPr>
          <w:rStyle w:val="FootnoteReference"/>
        </w:rPr>
        <w:footnoteRef/>
      </w:r>
      <w:r>
        <w:t xml:space="preserve"> </w:t>
      </w:r>
      <w:r>
        <w:fldChar w:fldCharType="begin"/>
      </w:r>
      <w:r w:rsidR="005831B4">
        <w:instrText xml:space="preserve"> ADDIN ZOTERO_ITEM CSL_CITATION {"citationID":"TymLapw7","properties":{"formattedCitation":"Pitchford.","plainCitation":"Pitchford.","noteIndex":91},"citationItems":[{"id":83,"uris":["http://zotero.org/users/6665715/items/73HLG2CL"],"itemData":{"id":83,"type":"article-journal","abstract":"This paper examines the role of ethnic tourism in nationalist movements. The colonial experience is a double victimization in that cultural devaluation often accompanies material conquest and exploitation. Nationalist rhetoric reflects this experience, projecting a dual message of historical injustice and cultural revaluation. This study focuses on the potential of ethnic tourism in Wales to serve as a medium for the nationalist message, by projecting an image of the Welsh both as victims of injustice and as bearers of a distinctive culture. Analysis of Welsh attractions suggests that tourism provides a resource for the nationalist movement, by furnishing yet another outlet for its message.\nRésumé\nTourisme ethnique et nationalisme au pays de Galles. Le présent article examine le rôle du tourisme ethnique dans les mouvements nationalistes. L'expérience coloniale est une double victimisation étant donné que la dévaluation culturelle accompagne souvent la conquête et l'exploitation materielles. La rhétorique nationaliste reflète cette expérience en projetant un double message d'injustice historique et de réévaluation culturelle. Cet article se concentre sur les possibilités du tourisme ethnique au pays de Galles pour servir de véhicule pour le message nationaliste, en projetant une image des Gallois comme victimes d'injustice et comme porteurs d'un culture distinctive. Une analyse des attractions galloises suggère que le tourisme constitue une ressource pour le mouvement nationaliste en créant encore un débouché pour son message.","container-title":"Annals of Tourism Research","DOI":"10.1016/0160-7383(94)00068-4","ISSN":"0160-7383","issue":"1","journalAbbreviation":"Annals of Tourism Research","language":"en","page":"35-52","source":"ScienceDirect","title":"Ethnic tourism and nationalism in wales","volume":"22","author":[{"family":"Pitchford","given":"Susan R"}],"issued":{"date-parts":[["1995",1,1]]}}}],"schema":"https://github.com/citation-style-language/schema/raw/master/csl-citation.json"} </w:instrText>
      </w:r>
      <w:r>
        <w:fldChar w:fldCharType="separate"/>
      </w:r>
      <w:r w:rsidRPr="00C86931">
        <w:rPr>
          <w:rFonts w:ascii="Calibri" w:hAnsi="Calibri" w:cs="Calibri"/>
        </w:rPr>
        <w:t>Pitchford.</w:t>
      </w:r>
      <w:r>
        <w:fldChar w:fldCharType="end"/>
      </w:r>
    </w:p>
  </w:footnote>
  <w:footnote w:id="93">
    <w:p w14:paraId="24EDC732" w14:textId="57ACA016" w:rsidR="005914BF" w:rsidRDefault="005914BF" w:rsidP="005914BF">
      <w:pPr>
        <w:pStyle w:val="FootnoteText"/>
      </w:pPr>
      <w:r>
        <w:rPr>
          <w:rStyle w:val="FootnoteReference"/>
        </w:rPr>
        <w:footnoteRef/>
      </w:r>
      <w:r>
        <w:t xml:space="preserve"> </w:t>
      </w:r>
      <w:r>
        <w:fldChar w:fldCharType="begin"/>
      </w:r>
      <w:r w:rsidR="003E0AD9">
        <w:instrText xml:space="preserve"> ADDIN ZOTERO_ITEM CSL_CITATION {"citationID":"DYjjyZSx","properties":{"formattedCitation":"Ralph Alan Griffiths, \\uc0\\u8216{}Union, Act of (Wales)\\uc0\\u8217{}, in {\\i{}The Oxford Companion to British History} (Oxford University Press, 2009) &lt;https://www.oxfordreference.com/display/10.1093/acref/9780199567638.001.0001/acref-9780199567638-e-4321&gt; [accessed 23 January 2023].","plainCitation":"Ralph Alan Griffiths, ‘Union, Act of (Wales)’, in The Oxford Companion to British History (Oxford University Press, 2009) &lt;https://www.oxfordreference.com/display/10.1093/acref/9780199567638.001.0001/acref-9780199567638-e-4321&gt; [accessed 23 January 2023].","noteIndex":91},"citationItems":[{"id":268,"uris":["http://zotero.org/users/6665715/items/SUMM87VV"],"itemData":{"id":268,"type":"chapter","abstract":"\"Union, Act of (Wales)\" published on  by Oxford University Press....","container-title":"The Oxford Companion to British History","ISBN":"978-0-19-956763-8","language":"en","publisher":"Oxford University Press","source":"www.oxfordreference.com","title":"Union, Act of (Wales)","URL":"https://www.oxfordreference.com/display/10.1093/acref/9780199567638.001.0001/acref-9780199567638-e-4321","author":[{"family":"Griffiths","given":"Ralph Alan"}],"accessed":{"date-parts":[["2023",1,23]]},"issued":{"date-parts":[["2009"]]}}}],"schema":"https://github.com/citation-style-language/schema/raw/master/csl-citation.json"} </w:instrText>
      </w:r>
      <w:r>
        <w:fldChar w:fldCharType="separate"/>
      </w:r>
      <w:r w:rsidRPr="00761EEE">
        <w:rPr>
          <w:rFonts w:ascii="Calibri" w:hAnsi="Calibri" w:cs="Calibri"/>
          <w:szCs w:val="24"/>
        </w:rPr>
        <w:t>Ralph Alan Griffiths, ‘Union, Act of (Wales)</w:t>
      </w:r>
      <w:proofErr w:type="gramStart"/>
      <w:r w:rsidRPr="00761EEE">
        <w:rPr>
          <w:rFonts w:ascii="Calibri" w:hAnsi="Calibri" w:cs="Calibri"/>
          <w:szCs w:val="24"/>
        </w:rPr>
        <w:t>’,</w:t>
      </w:r>
      <w:proofErr w:type="gramEnd"/>
      <w:r w:rsidRPr="00761EEE">
        <w:rPr>
          <w:rFonts w:ascii="Calibri" w:hAnsi="Calibri" w:cs="Calibri"/>
          <w:szCs w:val="24"/>
        </w:rPr>
        <w:t xml:space="preserve"> in </w:t>
      </w:r>
      <w:r w:rsidRPr="00761EEE">
        <w:rPr>
          <w:rFonts w:ascii="Calibri" w:hAnsi="Calibri" w:cs="Calibri"/>
          <w:i/>
          <w:iCs/>
          <w:szCs w:val="24"/>
        </w:rPr>
        <w:t>The Oxford Companion to British History</w:t>
      </w:r>
      <w:r w:rsidRPr="00761EEE">
        <w:rPr>
          <w:rFonts w:ascii="Calibri" w:hAnsi="Calibri" w:cs="Calibri"/>
          <w:szCs w:val="24"/>
        </w:rPr>
        <w:t xml:space="preserve"> (Oxford University Press, 2009) &lt;https://www.oxfordreference.com/display/10.1093/acref/9780199567638.001.0001/acref-9780199567638-e-4321&gt; [accessed 23 January 2023].</w:t>
      </w:r>
      <w:r>
        <w:fldChar w:fldCharType="end"/>
      </w:r>
    </w:p>
  </w:footnote>
  <w:footnote w:id="94">
    <w:p w14:paraId="50FF852E" w14:textId="6A1C74CF" w:rsidR="005914BF" w:rsidRDefault="005914BF" w:rsidP="005914BF">
      <w:pPr>
        <w:pStyle w:val="FootnoteText"/>
      </w:pPr>
      <w:r>
        <w:rPr>
          <w:rStyle w:val="FootnoteReference"/>
        </w:rPr>
        <w:footnoteRef/>
      </w:r>
      <w:r>
        <w:t xml:space="preserve"> </w:t>
      </w:r>
      <w:r>
        <w:fldChar w:fldCharType="begin"/>
      </w:r>
      <w:r w:rsidR="003E0AD9">
        <w:instrText xml:space="preserve"> ADDIN ZOTERO_ITEM CSL_CITATION {"citationID":"mxQCjQhu","properties":{"formattedCitation":"UK Parliament, {\\i{}Act of Uniformity 1949} &lt;http://archives.parliament.uk/index.php?&gt; [accessed 23 January 2023].","plainCitation":"UK Parliament, Act of Uniformity 1949 &lt;http://archives.parliament.uk/index.php?&gt; [accessed 23 January 2023].","noteIndex":92},"citationItems":[{"id":272,"uris":["http://zotero.org/users/6665715/items/AB4WS27W"],"itemData":{"id":272,"type":"bill","abstract":"Links to information about the five major collecting areas of the Parliamentary Archives: Commons and Lords, Palace of Westminster, Societies and Staff, Private Papers, UK Parliament Web Archive","language":"en-GB","title":"Act of Uniformity 1949","URL":"http://archives.parliament.uk/index.php?","author":[{"family":"Parliament","given":"UK"}],"accessed":{"date-parts":[["2023",1,23]]}}}],"schema":"https://github.com/citation-style-language/schema/raw/master/csl-citation.json"} </w:instrText>
      </w:r>
      <w:r>
        <w:fldChar w:fldCharType="separate"/>
      </w:r>
      <w:r w:rsidRPr="002314D3">
        <w:rPr>
          <w:rFonts w:ascii="Calibri" w:hAnsi="Calibri" w:cs="Calibri"/>
          <w:szCs w:val="24"/>
        </w:rPr>
        <w:t xml:space="preserve">UK Parliament, </w:t>
      </w:r>
      <w:r w:rsidRPr="002314D3">
        <w:rPr>
          <w:rFonts w:ascii="Calibri" w:hAnsi="Calibri" w:cs="Calibri"/>
          <w:i/>
          <w:iCs/>
          <w:szCs w:val="24"/>
        </w:rPr>
        <w:t>Act of Uniformity 1949</w:t>
      </w:r>
      <w:r w:rsidRPr="002314D3">
        <w:rPr>
          <w:rFonts w:ascii="Calibri" w:hAnsi="Calibri" w:cs="Calibri"/>
          <w:szCs w:val="24"/>
        </w:rPr>
        <w:t xml:space="preserve"> &lt;http://archives.parliament.uk/index.php?&gt; [accessed 23 January 2023].</w:t>
      </w:r>
      <w:r>
        <w:fldChar w:fldCharType="end"/>
      </w:r>
    </w:p>
  </w:footnote>
  <w:footnote w:id="95">
    <w:p w14:paraId="75A52281" w14:textId="2623DE9B" w:rsidR="005914BF" w:rsidRDefault="005914BF" w:rsidP="005914BF">
      <w:pPr>
        <w:pStyle w:val="FootnoteText"/>
      </w:pPr>
      <w:r w:rsidRPr="004F1478">
        <w:rPr>
          <w:rStyle w:val="FootnoteReference"/>
        </w:rPr>
        <w:footnoteRef/>
      </w:r>
      <w:r>
        <w:t xml:space="preserve"> </w:t>
      </w:r>
      <w:r>
        <w:fldChar w:fldCharType="begin"/>
      </w:r>
      <w:r w:rsidR="003E0AD9">
        <w:instrText xml:space="preserve"> ADDIN ZOTERO_ITEM CSL_CITATION {"citationID":"YS5oSayP","properties":{"formattedCitation":"John R. Edwards, {\\i{}Talk Tidy - the Art of Speaking Wenglish} (D.Brown &amp; Sons Ltd, 1985).","plainCitation":"John R. Edwards, Talk Tidy - the Art of Speaking Wenglish (D.Brown &amp; Sons Ltd, 1985).","noteIndex":93},"citationItems":[{"id":262,"uris":["http://zotero.org/users/6665715/items/ZU9K568H"],"itemData":{"id":262,"type":"book","abstract":"How to speak Wenglish - a remarkable blend of residual Welsh and local patterns of English with a lilt of its own.","ISBN":"978-0-905928-45-6","language":"English","number-of-pages":"48","publisher":"D.Brown &amp; Sons Ltd","title":"Talk Tidy - the Art of Speaking Wenglish","author":[{"family":"Edwards","given":"John R."}],"issued":{"date-parts":[["1985",11,1]]}}}],"schema":"https://github.com/citation-style-language/schema/raw/master/csl-citation.json"} </w:instrText>
      </w:r>
      <w:r>
        <w:fldChar w:fldCharType="separate"/>
      </w:r>
      <w:r w:rsidRPr="00E14A8D">
        <w:rPr>
          <w:rFonts w:ascii="Calibri" w:hAnsi="Calibri" w:cs="Calibri"/>
          <w:szCs w:val="24"/>
        </w:rPr>
        <w:t xml:space="preserve">John R. Edwards, </w:t>
      </w:r>
      <w:r w:rsidRPr="00E14A8D">
        <w:rPr>
          <w:rFonts w:ascii="Calibri" w:hAnsi="Calibri" w:cs="Calibri"/>
          <w:i/>
          <w:iCs/>
          <w:szCs w:val="24"/>
        </w:rPr>
        <w:t>Talk Tidy - the Art of Speaking Wenglish</w:t>
      </w:r>
      <w:r w:rsidRPr="00E14A8D">
        <w:rPr>
          <w:rFonts w:ascii="Calibri" w:hAnsi="Calibri" w:cs="Calibri"/>
          <w:szCs w:val="24"/>
        </w:rPr>
        <w:t xml:space="preserve"> (</w:t>
      </w:r>
      <w:proofErr w:type="gramStart"/>
      <w:r w:rsidRPr="00E14A8D">
        <w:rPr>
          <w:rFonts w:ascii="Calibri" w:hAnsi="Calibri" w:cs="Calibri"/>
          <w:szCs w:val="24"/>
        </w:rPr>
        <w:t>D.Brown</w:t>
      </w:r>
      <w:proofErr w:type="gramEnd"/>
      <w:r w:rsidRPr="00E14A8D">
        <w:rPr>
          <w:rFonts w:ascii="Calibri" w:hAnsi="Calibri" w:cs="Calibri"/>
          <w:szCs w:val="24"/>
        </w:rPr>
        <w:t xml:space="preserve"> &amp; Sons Ltd, 1985).</w:t>
      </w:r>
      <w:r>
        <w:fldChar w:fldCharType="end"/>
      </w:r>
      <w:r>
        <w:t>p.11</w:t>
      </w:r>
    </w:p>
  </w:footnote>
  <w:footnote w:id="96">
    <w:p w14:paraId="5B29A52C" w14:textId="480099E2" w:rsidR="005914BF" w:rsidRDefault="005914BF" w:rsidP="005914BF">
      <w:pPr>
        <w:pStyle w:val="FootnoteText"/>
      </w:pPr>
      <w:r>
        <w:rPr>
          <w:rStyle w:val="FootnoteReference"/>
        </w:rPr>
        <w:footnoteRef/>
      </w:r>
      <w:r>
        <w:t xml:space="preserve"> </w:t>
      </w:r>
      <w:r>
        <w:fldChar w:fldCharType="begin"/>
      </w:r>
      <w:r w:rsidR="003E0AD9">
        <w:instrText xml:space="preserve"> ADDIN ZOTERO_ITEM CSL_CITATION {"citationID":"SPgrIXzg","properties":{"formattedCitation":"UNESCO, \\uc0\\u8216{}International Round Table:  \\uc0\\u8220{}Intangible Cultural Heritage \\uc0\\u8211{} Working Definitions\\uc0\\u8221{}\\uc0\\u8217{}, in {\\i{}Annotated Agenda} (Piedmont, Italy, 2001) &lt;https://ich.unesco.org/doc/src/00075-EN.pdf&gt; [accessed 23 January 2023].","plainCitation":"UNESCO, ‘International Round Table:  “Intangible Cultural Heritage – Working Definitions”’, in Annotated Agenda (Piedmont, Italy, 2001) &lt;https://ich.unesco.org/doc/src/00075-EN.pdf&gt; [accessed 23 January 2023].","noteIndex":94},"citationItems":[{"id":278,"uris":["http://zotero.org/users/6665715/items/2R6QNQAT"],"itemData":{"id":278,"type":"paper-conference","container-title":"Annotated Agenda","event-place":"Piedmont, Italy","publisher-place":"Piedmont, Italy","title":"International Round Table:  “Intangible Cultural Heritage – Working Definitions”","URL":"https://ich.unesco.org/doc/src/00075-EN.pdf","author":[{"family":"UNESCO","given":""}],"accessed":{"date-parts":[["2023",1,23]]},"issued":{"date-parts":[["2001",3,14]]}}}],"schema":"https://github.com/citation-style-language/schema/raw/master/csl-citation.json"} </w:instrText>
      </w:r>
      <w:r>
        <w:fldChar w:fldCharType="separate"/>
      </w:r>
      <w:r w:rsidRPr="002314D3">
        <w:rPr>
          <w:rFonts w:ascii="Calibri" w:hAnsi="Calibri" w:cs="Calibri"/>
          <w:szCs w:val="24"/>
        </w:rPr>
        <w:t>UNESCO, ‘International Round Table</w:t>
      </w:r>
      <w:proofErr w:type="gramStart"/>
      <w:r w:rsidRPr="002314D3">
        <w:rPr>
          <w:rFonts w:ascii="Calibri" w:hAnsi="Calibri" w:cs="Calibri"/>
          <w:szCs w:val="24"/>
        </w:rPr>
        <w:t>:  “</w:t>
      </w:r>
      <w:proofErr w:type="gramEnd"/>
      <w:r w:rsidRPr="002314D3">
        <w:rPr>
          <w:rFonts w:ascii="Calibri" w:hAnsi="Calibri" w:cs="Calibri"/>
          <w:szCs w:val="24"/>
        </w:rPr>
        <w:t xml:space="preserve">Intangible Cultural Heritage – Working Definitions”’, in </w:t>
      </w:r>
      <w:r w:rsidRPr="002314D3">
        <w:rPr>
          <w:rFonts w:ascii="Calibri" w:hAnsi="Calibri" w:cs="Calibri"/>
          <w:i/>
          <w:iCs/>
          <w:szCs w:val="24"/>
        </w:rPr>
        <w:t>Annotated Agenda</w:t>
      </w:r>
      <w:r w:rsidRPr="002314D3">
        <w:rPr>
          <w:rFonts w:ascii="Calibri" w:hAnsi="Calibri" w:cs="Calibri"/>
          <w:szCs w:val="24"/>
        </w:rPr>
        <w:t xml:space="preserve"> (Piedmont, Italy, 2001) &lt;https://ich.unesco.org/doc/src/00075-EN.pdf&gt; [accessed 23 January 2023].</w:t>
      </w:r>
      <w:r>
        <w:fldChar w:fldCharType="end"/>
      </w:r>
    </w:p>
  </w:footnote>
  <w:footnote w:id="97">
    <w:p w14:paraId="67B281FE" w14:textId="03CA61EF" w:rsidR="005914BF" w:rsidRDefault="005914BF" w:rsidP="005914BF">
      <w:pPr>
        <w:pStyle w:val="FootnoteText"/>
      </w:pPr>
      <w:r w:rsidRPr="001C6C14">
        <w:rPr>
          <w:rStyle w:val="FootnoteReference"/>
        </w:rPr>
        <w:footnoteRef/>
      </w:r>
      <w:r>
        <w:t xml:space="preserve"> </w:t>
      </w:r>
      <w:r>
        <w:fldChar w:fldCharType="begin"/>
      </w:r>
      <w:r w:rsidR="003E0AD9">
        <w:instrText xml:space="preserve"> ADDIN ZOTERO_ITEM CSL_CITATION {"citationID":"gTFW4zxX","properties":{"formattedCitation":"\\uc0\\u8216{}UNESCO World Heritage Sites in Wales\\uc0\\u8217{}, {\\i{}Wales}, 2022 &lt;https://www.wales.com/visit/unesco-world-heritage-wales&gt; [accessed 2 October 2022].","plainCitation":"‘UNESCO World Heritage Sites in Wales’, Wales, 2022 &lt;https://www.wales.com/visit/unesco-world-heritage-wales&gt; [accessed 2 October 2022].","noteIndex":95},"citationItems":[{"id":48,"uris":["http://zotero.org/users/6665715/items/5QT7I8GJ"],"itemData":{"id":48,"type":"webpage","abstract":"Wales now boasts four UNESCO World Heritage Sites. Here’s an intro to all four, with details about why each is so important to the history of Wales, and the wider world.","container-title":"Wales","language":"en","title":"UNESCO World Heritage Sites in Wales","URL":"https://www.wales.com/visit/unesco-world-heritage-wales","accessed":{"date-parts":[["2022",10,2]]},"issued":{"date-parts":[["2022",3,21]]}}}],"schema":"https://github.com/citation-style-language/schema/raw/master/csl-citation.json"} </w:instrText>
      </w:r>
      <w:r>
        <w:fldChar w:fldCharType="separate"/>
      </w:r>
      <w:r w:rsidRPr="008212C1">
        <w:rPr>
          <w:rFonts w:ascii="Calibri" w:hAnsi="Calibri" w:cs="Calibri"/>
          <w:szCs w:val="24"/>
        </w:rPr>
        <w:t>‘UNESCO World Heritage Sites in Wales</w:t>
      </w:r>
      <w:proofErr w:type="gramStart"/>
      <w:r w:rsidRPr="008212C1">
        <w:rPr>
          <w:rFonts w:ascii="Calibri" w:hAnsi="Calibri" w:cs="Calibri"/>
          <w:szCs w:val="24"/>
        </w:rPr>
        <w:t>’,</w:t>
      </w:r>
      <w:proofErr w:type="gramEnd"/>
      <w:r w:rsidRPr="008212C1">
        <w:rPr>
          <w:rFonts w:ascii="Calibri" w:hAnsi="Calibri" w:cs="Calibri"/>
          <w:szCs w:val="24"/>
        </w:rPr>
        <w:t xml:space="preserve"> </w:t>
      </w:r>
      <w:r w:rsidRPr="008212C1">
        <w:rPr>
          <w:rFonts w:ascii="Calibri" w:hAnsi="Calibri" w:cs="Calibri"/>
          <w:i/>
          <w:iCs/>
          <w:szCs w:val="24"/>
        </w:rPr>
        <w:t>Wales</w:t>
      </w:r>
      <w:r w:rsidRPr="008212C1">
        <w:rPr>
          <w:rFonts w:ascii="Calibri" w:hAnsi="Calibri" w:cs="Calibri"/>
          <w:szCs w:val="24"/>
        </w:rPr>
        <w:t>, 2022 &lt;https://www.wales.com/visit/unesco-world-heritage-wales&gt; [accessed 2 October 2022].</w:t>
      </w:r>
      <w:r>
        <w:fldChar w:fldCharType="end"/>
      </w:r>
    </w:p>
  </w:footnote>
  <w:footnote w:id="98">
    <w:p w14:paraId="4631D486" w14:textId="1508451B" w:rsidR="005914BF" w:rsidRDefault="005914BF" w:rsidP="005914BF">
      <w:pPr>
        <w:pStyle w:val="FootnoteText"/>
      </w:pPr>
      <w:r w:rsidRPr="001C6C14">
        <w:rPr>
          <w:rStyle w:val="FootnoteReference"/>
        </w:rPr>
        <w:footnoteRef/>
      </w:r>
      <w:r>
        <w:t xml:space="preserve"> </w:t>
      </w:r>
      <w:r>
        <w:fldChar w:fldCharType="begin"/>
      </w:r>
      <w:r w:rsidR="005831B4">
        <w:instrText xml:space="preserve"> ADDIN ZOTERO_ITEM CSL_CITATION {"citationID":"RQQAu6wk","properties":{"formattedCitation":"UNESCO, \\uc0\\u8216{}Recommendation on the Safeguarding of Traditional Culture and Folklore\\uc0\\u8217{}, {\\i{}UNESCO} &lt;https://en.unesco.org/about-us/legal-affairs/recommendation-safeguarding-traditional-culture-and-folklore&gt; [accessed 2 October 2022].","plainCitation":"UNESCO, ‘Recommendation on the Safeguarding of Traditional Culture and Folklore’, UNESCO &lt;https://en.unesco.org/about-us/legal-affairs/recommendation-safeguarding-traditional-culture-and-folklore&gt; [accessed 2 October 2022].","noteIndex":97},"citationItems":[{"id":50,"uris":["http://zotero.org/users/6665715/items/D3AB9YE2"],"itemData":{"id":50,"type":"webpage","abstract":"UNESCO is the United Nations Educational, Scientific and Cultural Organization. It seeks to build peace through international cooperation in education, the sciences, culture and communication. UNESCO’s programmes contribute to the achievement of the Sustainable Development Goals defined in Agenda 2030, adopted by the UN General Assembly in 2015. Serving as a laboratory of ideas, UNESCO helps countries adopt international standards and manages programmes that foster the free flow of ideas and knowledge sharing. In this spirit, it develops educational tools to help people live as global citizens free of hate and intolerance. UNESCO works so that each child and citizen has access to quality education. By promoting cultural heritage and the equal dignity of all cultures, it strengthens bonds among nations. UNESCO fosters scientific programmes and policies that support development and cooperation. UNESCO stands up for freedom of expression, as a fundamental right and a key condition for democracy and development.","container-title":"UNESCO","language":"en","title":"Recommendation on the Safeguarding of Traditional Culture and Folklore","URL":"https://en.unesco.org/about-us/legal-affairs/recommendation-safeguarding-traditional-culture-and-folklore","author":[{"family":"UNESCO","given":""}],"accessed":{"date-parts":[["2022",10,2]]}}}],"schema":"https://github.com/citation-style-language/schema/raw/master/csl-citation.json"} </w:instrText>
      </w:r>
      <w:r>
        <w:fldChar w:fldCharType="separate"/>
      </w:r>
      <w:r w:rsidRPr="00C0466C">
        <w:rPr>
          <w:rFonts w:ascii="Calibri" w:hAnsi="Calibri" w:cs="Calibri"/>
          <w:szCs w:val="24"/>
        </w:rPr>
        <w:t>UNESCO, ‘Recommendation on the Safeguarding of Traditional Culture and Folklore</w:t>
      </w:r>
      <w:proofErr w:type="gramStart"/>
      <w:r w:rsidRPr="00C0466C">
        <w:rPr>
          <w:rFonts w:ascii="Calibri" w:hAnsi="Calibri" w:cs="Calibri"/>
          <w:szCs w:val="24"/>
        </w:rPr>
        <w:t>’,</w:t>
      </w:r>
      <w:proofErr w:type="gramEnd"/>
      <w:r w:rsidRPr="00C0466C">
        <w:rPr>
          <w:rFonts w:ascii="Calibri" w:hAnsi="Calibri" w:cs="Calibri"/>
          <w:szCs w:val="24"/>
        </w:rPr>
        <w:t xml:space="preserve"> </w:t>
      </w:r>
      <w:r w:rsidRPr="00C0466C">
        <w:rPr>
          <w:rFonts w:ascii="Calibri" w:hAnsi="Calibri" w:cs="Calibri"/>
          <w:i/>
          <w:iCs/>
          <w:szCs w:val="24"/>
        </w:rPr>
        <w:t>UNESCO</w:t>
      </w:r>
      <w:r w:rsidRPr="00C0466C">
        <w:rPr>
          <w:rFonts w:ascii="Calibri" w:hAnsi="Calibri" w:cs="Calibri"/>
          <w:szCs w:val="24"/>
        </w:rPr>
        <w:t xml:space="preserve"> &lt;https://en.unesco.org/about-us/legal-affairs/recommendation-safeguarding-traditional-culture-and-folklore&gt; [accessed 2 October 2022].</w:t>
      </w:r>
      <w:r>
        <w:fldChar w:fldCharType="end"/>
      </w:r>
    </w:p>
  </w:footnote>
  <w:footnote w:id="99">
    <w:p w14:paraId="00B2FE10" w14:textId="7B161E95" w:rsidR="005914BF" w:rsidRDefault="005914BF" w:rsidP="005914BF">
      <w:pPr>
        <w:pStyle w:val="FootnoteText"/>
      </w:pPr>
      <w:r w:rsidRPr="001C6C14">
        <w:rPr>
          <w:rStyle w:val="FootnoteReference"/>
        </w:rPr>
        <w:footnoteRef/>
      </w:r>
      <w:r>
        <w:t xml:space="preserve"> </w:t>
      </w:r>
      <w:r>
        <w:fldChar w:fldCharType="begin"/>
      </w:r>
      <w:r w:rsidR="005831B4">
        <w:instrText xml:space="preserve"> ADDIN ZOTERO_ITEM CSL_CITATION {"citationID":"8LsTMzmV","properties":{"formattedCitation":"UNESCO, \\uc0\\u8216{}Recommendation on the Safeguarding of Traditional Culture and Folklore\\uc0\\u8217{}.","plainCitation":"UNESCO, ‘Recommendation on the Safeguarding of Traditional Culture and Folklore’.","noteIndex":98},"citationItems":[{"id":50,"uris":["http://zotero.org/users/6665715/items/D3AB9YE2"],"itemData":{"id":50,"type":"webpage","abstract":"UNESCO is the United Nations Educational, Scientific and Cultural Organization. It seeks to build peace through international cooperation in education, the sciences, culture and communication. UNESCO’s programmes contribute to the achievement of the Sustainable Development Goals defined in Agenda 2030, adopted by the UN General Assembly in 2015. Serving as a laboratory of ideas, UNESCO helps countries adopt international standards and manages programmes that foster the free flow of ideas and knowledge sharing. In this spirit, it develops educational tools to help people live as global citizens free of hate and intolerance. UNESCO works so that each child and citizen has access to quality education. By promoting cultural heritage and the equal dignity of all cultures, it strengthens bonds among nations. UNESCO fosters scientific programmes and policies that support development and cooperation. UNESCO stands up for freedom of expression, as a fundamental right and a key condition for democracy and development.","container-title":"UNESCO","language":"en","title":"Recommendation on the Safeguarding of Traditional Culture and Folklore","URL":"https://en.unesco.org/about-us/legal-affairs/recommendation-safeguarding-traditional-culture-and-folklore","author":[{"family":"UNESCO","given":""}],"accessed":{"date-parts":[["2022",10,2]]}}}],"schema":"https://github.com/citation-style-language/schema/raw/master/csl-citation.json"} </w:instrText>
      </w:r>
      <w:r>
        <w:fldChar w:fldCharType="separate"/>
      </w:r>
      <w:r w:rsidR="00D90493" w:rsidRPr="00D90493">
        <w:rPr>
          <w:rFonts w:ascii="Calibri" w:hAnsi="Calibri" w:cs="Calibri"/>
          <w:szCs w:val="24"/>
        </w:rPr>
        <w:t>UNESCO, ‘Recommendation on the Safeguarding of Traditional Culture and Folklore</w:t>
      </w:r>
      <w:proofErr w:type="gramStart"/>
      <w:r w:rsidR="00D90493" w:rsidRPr="00D90493">
        <w:rPr>
          <w:rFonts w:ascii="Calibri" w:hAnsi="Calibri" w:cs="Calibri"/>
          <w:szCs w:val="24"/>
        </w:rPr>
        <w:t>’.</w:t>
      </w:r>
      <w:proofErr w:type="gramEnd"/>
      <w:r>
        <w:fldChar w:fldCharType="end"/>
      </w:r>
    </w:p>
  </w:footnote>
  <w:footnote w:id="100">
    <w:p w14:paraId="1A2565AA" w14:textId="5434E94C"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{"citationID":"m1Vle35q","properties":{"formattedCitation":"Steph Tai, \\uc0\\u8216{}In Fairness to Future Generations of Eaters\\uc0\\u8217{}, {\\i{}Georgetown Environmental Law Review}, 32 (2019), 515.","plainCitation":"Steph Tai, ‘In Fairness to Future Generations of Eaters’, Georgetown Environmental Law Review, 32 (2019), 515.","noteIndex":98},"citationItems":[{"id":219,"uris":["http://zotero.org/users/6665715/items/JTJAWMV2"],"itemData":{"id":219,"type":"article-journal","container-title":"Georgetown Environmental Law Review","journalAbbreviation":"Geo. Envtl. L. Rev.","page":"515","title":"In Fairness to Future Generations of Eaters","volume":"32","author":[{"family":"Tai","given":"Steph"}],"issued":{"date-parts":[["2019"]],"season":"2020"}}}],"schema":"https://github.com/citation-style-language/schema/raw/master/csl-citation.json"} </w:instrText>
      </w:r>
      <w:r>
        <w:fldChar w:fldCharType="separate"/>
      </w:r>
      <w:r w:rsidRPr="00A44F9A">
        <w:rPr>
          <w:rFonts w:ascii="Calibri" w:hAnsi="Calibri" w:cs="Calibri"/>
          <w:szCs w:val="24"/>
        </w:rPr>
        <w:t>Steph Tai, ‘In Fairness to Future Generations of Eaters</w:t>
      </w:r>
      <w:proofErr w:type="gramStart"/>
      <w:r w:rsidRPr="00A44F9A">
        <w:rPr>
          <w:rFonts w:ascii="Calibri" w:hAnsi="Calibri" w:cs="Calibri"/>
          <w:szCs w:val="24"/>
        </w:rPr>
        <w:t>’,</w:t>
      </w:r>
      <w:proofErr w:type="gramEnd"/>
      <w:r w:rsidRPr="00A44F9A">
        <w:rPr>
          <w:rFonts w:ascii="Calibri" w:hAnsi="Calibri" w:cs="Calibri"/>
          <w:szCs w:val="24"/>
        </w:rPr>
        <w:t xml:space="preserve"> </w:t>
      </w:r>
      <w:r w:rsidRPr="00A44F9A">
        <w:rPr>
          <w:rFonts w:ascii="Calibri" w:hAnsi="Calibri" w:cs="Calibri"/>
          <w:i/>
          <w:iCs/>
          <w:szCs w:val="24"/>
        </w:rPr>
        <w:t>Georgetown Environmental Law Review</w:t>
      </w:r>
      <w:r w:rsidRPr="00A44F9A">
        <w:rPr>
          <w:rFonts w:ascii="Calibri" w:hAnsi="Calibri" w:cs="Calibri"/>
          <w:szCs w:val="24"/>
        </w:rPr>
        <w:t>, 32 (2019), 515.</w:t>
      </w:r>
      <w:r>
        <w:fldChar w:fldCharType="end"/>
      </w:r>
      <w:r>
        <w:t>p.21</w:t>
      </w:r>
    </w:p>
  </w:footnote>
  <w:footnote w:id="101">
    <w:p w14:paraId="19ADB7B0" w14:textId="30518DD9" w:rsidR="00BF13E8" w:rsidRDefault="00BF13E8">
      <w:pPr>
        <w:pStyle w:val="FootnoteText"/>
      </w:pPr>
      <w:r>
        <w:rPr>
          <w:rStyle w:val="FootnoteReference"/>
        </w:rPr>
        <w:footnoteRef/>
      </w:r>
      <w:r>
        <w:t xml:space="preserve"> </w:t>
      </w:r>
      <w:r>
        <w:fldChar w:fldCharType="begin"/>
      </w:r>
      <w:r w:rsidR="005831B4">
        <w:instrText xml:space="preserve"> ADDIN ZOTERO_ITEM CSL_CITATION {"citationID":"G3cmSSLV","properties":{"formattedCitation":"David E. Sutton, {\\i{}Remembrance of Repasts}.","plainCitation":"David E. Sutton, Remembrance of Repasts.","noteIndex":100},"citationItems":[{"id":287,"uris":["http://zotero.org/users/6665715/items/IXCAF7HK"],"itemData":{"id":287,"type":"book","abstract":"Prousts famous madeleine captures the power of food to evoke some of our deepest memories. Why does food hold such power? What does the growing commodification and globalization of food mean for our capacity to store the past in our meals in the smell of olive oil or the taste of a fresh-cut fig? This book offers a theoretical account of the interrelationship of culture, food and memory. Sutton challenges and expands anthropologys current focus on issues of embodiment, memory and material culture, especially in relation to transnational migration and the flow of culture across borders and boundaries. The Greek island of Kalymnos in the eastern Aegean, where Islanders claim to remember meals long past -- both humble and spectacular provides the main setting for these issues, as well as comparative materials drawn from England and the United States. Despite the growing interest in anthropological accounts of food and in the cultural construction of memory, the intersection of food with memory has not been accorded sustained examination. Cultural practices of feasting and fasting, global flows of food as both gifts and commodities, the rise of processed food and the relationship of orally transmitted recipes to the vast market in speciality cookbooks tie traditional anthropological mainstays such as ritual, exchange and death to more current concerns with structure and history, cognition and the anthropology of the senses. Arguing for the crucial role of a simultaneous consideration of food and memory, this book significantly advances our understanding of cultural processes and reformulates current theoretical preoccupations.","ISBN":"978-1-85973-474-2","language":"en","note":"Google-Books-ID: AeTu5Vtlu5MC","number-of-pages":"240","publisher":"Berg Publishers","source":"Google Books","title":"Remembrance of Repasts: An Anthropology of Food and Memory","title-short":"Remembrance of Repasts","author":[{"family":"Sutton","given":"David E."}],"issued":{"date-parts":[["2001",1,9]]}}}],"schema":"https://github.com/citation-style-language/schema/raw/master/csl-citation.json"} </w:instrText>
      </w:r>
      <w:r>
        <w:fldChar w:fldCharType="separate"/>
      </w:r>
      <w:r w:rsidR="005831B4" w:rsidRPr="005831B4">
        <w:rPr>
          <w:rFonts w:ascii="Calibri" w:hAnsi="Calibri" w:cs="Calibri"/>
          <w:szCs w:val="24"/>
        </w:rPr>
        <w:t xml:space="preserve">David E. Sutton, </w:t>
      </w:r>
      <w:r w:rsidR="005831B4" w:rsidRPr="005831B4">
        <w:rPr>
          <w:rFonts w:ascii="Calibri" w:hAnsi="Calibri" w:cs="Calibri"/>
          <w:i/>
          <w:iCs/>
          <w:szCs w:val="24"/>
        </w:rPr>
        <w:t>Remembrance of Repasts</w:t>
      </w:r>
      <w:r w:rsidR="005831B4" w:rsidRPr="005831B4">
        <w:rPr>
          <w:rFonts w:ascii="Calibri" w:hAnsi="Calibri" w:cs="Calibri"/>
          <w:szCs w:val="24"/>
        </w:rPr>
        <w:t>.</w:t>
      </w:r>
      <w:r>
        <w:fldChar w:fldCharType="end"/>
      </w:r>
    </w:p>
  </w:footnote>
  <w:footnote w:id="102">
    <w:p w14:paraId="27B9E055" w14:textId="21E239E7"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{"citationID":"FvicgCYH","properties":{"formattedCitation":"\\uc0\\u8216{}Our Rare Welsh Oats\\uc0\\u8217{}, {\\i{}The A Team Foundation} &lt;https://www.ateamfoundation.org/blog-1/2019/5/3/our-rare-welsh-oats&gt; [accessed 28 November 2022].","plainCitation":"‘Our Rare Welsh Oats’, The A Team Foundation &lt;https://www.ateamfoundation.org/blog-1/2019/5/3/our-rare-welsh-oats&gt; [accessed 28 November 2022].","noteIndex":100},"citationItems":[{"id":117,"uris":["http://zotero.org/users/6665715/items/4XH6GAJB"],"itemData":{"id":117,"type":"webpage","abstract":"Written by Katie Hastings,    Seed Sovereignty Network   , who tells the story of rejuvenating regional heritage grain in Wales.               On a sharp day on the cliffs of the Pembrokeshire Coast last spring, a small group of farmers and growers met to place rare Welsh oat seeds in the ground. Wh","container-title":"The A Team Foundation","language":"en-US","title":"Our Rare Welsh Oats","URL":"https://www.ateamfoundation.org/blog-1/2019/5/3/our-rare-welsh-oats","accessed":{"date-parts":[["2022",11,28]]}}}],"schema":"https://github.com/citation-style-language/schema/raw/master/csl-citation.json"} </w:instrText>
      </w:r>
      <w:r>
        <w:fldChar w:fldCharType="separate"/>
      </w:r>
      <w:r w:rsidRPr="00E029EB">
        <w:rPr>
          <w:rFonts w:ascii="Calibri" w:hAnsi="Calibri" w:cs="Calibri"/>
          <w:szCs w:val="24"/>
        </w:rPr>
        <w:t>‘Our Rare Welsh Oats</w:t>
      </w:r>
      <w:proofErr w:type="gramStart"/>
      <w:r w:rsidRPr="00E029EB">
        <w:rPr>
          <w:rFonts w:ascii="Calibri" w:hAnsi="Calibri" w:cs="Calibri"/>
          <w:szCs w:val="24"/>
        </w:rPr>
        <w:t>’,</w:t>
      </w:r>
      <w:proofErr w:type="gramEnd"/>
      <w:r w:rsidRPr="00E029EB">
        <w:rPr>
          <w:rFonts w:ascii="Calibri" w:hAnsi="Calibri" w:cs="Calibri"/>
          <w:szCs w:val="24"/>
        </w:rPr>
        <w:t xml:space="preserve"> </w:t>
      </w:r>
      <w:r w:rsidRPr="00E029EB">
        <w:rPr>
          <w:rFonts w:ascii="Calibri" w:hAnsi="Calibri" w:cs="Calibri"/>
          <w:i/>
          <w:iCs/>
          <w:szCs w:val="24"/>
        </w:rPr>
        <w:t>The A Team Foundation</w:t>
      </w:r>
      <w:r w:rsidRPr="00E029EB">
        <w:rPr>
          <w:rFonts w:ascii="Calibri" w:hAnsi="Calibri" w:cs="Calibri"/>
          <w:szCs w:val="24"/>
        </w:rPr>
        <w:t xml:space="preserve"> &lt;https://www.ateamfoundation.org/blog-1/2019/5/3/our-rare-welsh-oats&gt; [accessed 28 November 2022].</w:t>
      </w:r>
      <w:r>
        <w:fldChar w:fldCharType="end"/>
      </w:r>
    </w:p>
  </w:footnote>
  <w:footnote w:id="103">
    <w:p w14:paraId="20DFF1DA" w14:textId="38CAEF83"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{"citationID":"FRw7gs5y","properties":{"formattedCitation":"\\uc0\\u8216{}Museum Definition\\uc0\\u8217{}, {\\i{}International Council of Museums} &lt;https://icom.museum/en/resources/standards-guidelines/museum-definition/&gt; [accessed 28 November 2022].","plainCitation":"‘Museum Definition’, International Council of Museums &lt;https://icom.museum/en/resources/standards-guidelines/museum-definition/&gt; [accessed 28 November 2022].","noteIndex":101},"citationItems":[{"id":119,"uris":["http://zotero.org/users/6665715/items/7RQYRTCC"],"itemData":{"id":119,"type":"webpage","abstract":"Since ICOM’s creation in 1946, the ICOM museum definition has been evolving to reflect major societal changes and the realities of the international museum community.","container-title":"International Council of Museums","language":"en-US","title":"Museum Definition","URL":"https://icom.museum/en/resources/standards-guidelines/museum-definition/","accessed":{"date-parts":[["2022",11,28]]}}}],"schema":"https://github.com/citation-style-language/schema/raw/master/csl-citation.json"} </w:instrText>
      </w:r>
      <w:r>
        <w:fldChar w:fldCharType="separate"/>
      </w:r>
      <w:r w:rsidRPr="00124EF1">
        <w:rPr>
          <w:rFonts w:ascii="Calibri" w:hAnsi="Calibri" w:cs="Calibri"/>
          <w:szCs w:val="24"/>
        </w:rPr>
        <w:t>‘Museum Definition</w:t>
      </w:r>
      <w:proofErr w:type="gramStart"/>
      <w:r w:rsidRPr="00124EF1">
        <w:rPr>
          <w:rFonts w:ascii="Calibri" w:hAnsi="Calibri" w:cs="Calibri"/>
          <w:szCs w:val="24"/>
        </w:rPr>
        <w:t>’,</w:t>
      </w:r>
      <w:proofErr w:type="gramEnd"/>
      <w:r w:rsidRPr="00124EF1">
        <w:rPr>
          <w:rFonts w:ascii="Calibri" w:hAnsi="Calibri" w:cs="Calibri"/>
          <w:szCs w:val="24"/>
        </w:rPr>
        <w:t xml:space="preserve"> </w:t>
      </w:r>
      <w:r w:rsidRPr="00124EF1">
        <w:rPr>
          <w:rFonts w:ascii="Calibri" w:hAnsi="Calibri" w:cs="Calibri"/>
          <w:i/>
          <w:iCs/>
          <w:szCs w:val="24"/>
        </w:rPr>
        <w:t>International Council of Museums</w:t>
      </w:r>
      <w:r w:rsidRPr="00124EF1">
        <w:rPr>
          <w:rFonts w:ascii="Calibri" w:hAnsi="Calibri" w:cs="Calibri"/>
          <w:szCs w:val="24"/>
        </w:rPr>
        <w:t xml:space="preserve"> &lt;https://icom.museum/en/resources/standards-guidelines/museum-definition/&gt; [accessed 28 November 2022].</w:t>
      </w:r>
      <w:r>
        <w:fldChar w:fldCharType="end"/>
      </w:r>
    </w:p>
  </w:footnote>
  <w:footnote w:id="104">
    <w:p w14:paraId="1DFE7426" w14:textId="345726E9" w:rsidR="00402707" w:rsidRDefault="00402707">
      <w:pPr>
        <w:pStyle w:val="FootnoteText"/>
      </w:pPr>
      <w:r>
        <w:rPr>
          <w:rStyle w:val="FootnoteReference"/>
        </w:rPr>
        <w:footnoteRef/>
      </w:r>
      <w:r>
        <w:t xml:space="preserve"> </w:t>
      </w:r>
      <w:r>
        <w:fldChar w:fldCharType="begin"/>
      </w:r>
      <w:r>
        <w:instrText xml:space="preserve"> ADDIN ZOTERO_ITEM CSL_CITATION {"citationID":"6tUDvo7g","properties":{"formattedCitation":"Jim Richardson, \\uc0\\u8216{}Why Do Stories Matter to Museums and How Can Museums Become Better Storytellers?\\uc0\\u8217{}, {\\i{}MuseumNext}, 2023 &lt;https://www.museumnext.com/article/why-do-stories-matter-to-museums-and-how-can-museums-become-better-storytellers/&gt; [accessed 26 January 2023].","plainCitation":"Jim Richardson, ‘Why Do Stories Matter to Museums and How Can Museums Become Better Storytellers?’, MuseumNext, 2023 &lt;https://www.museumnext.com/article/why-do-stories-matter-to-museums-and-how-can-museums-become-better-storytellers/&gt; [accessed 26 January 2023].","noteIndex":102},"citationItems":[{"id":319,"uris":["http://zotero.org/users/6665715/items/9VUKEXGI"],"itemData":{"id":319,"type":"webpage","abstract":"Stories are universal. We all read, watch and listen to them. We all tell them. Stories are part of what makes us human. So how can museums use stories successfully","container-title":"MuseumNext","language":"en","title":"Why do stories matter to museums and how can museums become better storytellers?","URL":"https://www.museumnext.com/article/why-do-stories-matter-to-museums-and-how-can-museums-become-better-storytellers/","author":[{"family":"Richardson","given":"Jim"}],"accessed":{"date-parts":[["2023",1,26]]},"issued":{"date-parts":[["2023",1,25]]}}}],"schema":"https://github.com/citation-style-language/schema/raw/master/csl-citation.json"} </w:instrText>
      </w:r>
      <w:r>
        <w:fldChar w:fldCharType="separate"/>
      </w:r>
      <w:r w:rsidRPr="00402707">
        <w:rPr>
          <w:rFonts w:ascii="Calibri" w:hAnsi="Calibri" w:cs="Calibri"/>
          <w:szCs w:val="24"/>
        </w:rPr>
        <w:t xml:space="preserve">Jim Richardson, ‘Why Do Stories Matter to Museums and How Can Museums Become Better Storytellers?’, </w:t>
      </w:r>
      <w:proofErr w:type="spellStart"/>
      <w:r w:rsidRPr="00402707">
        <w:rPr>
          <w:rFonts w:ascii="Calibri" w:hAnsi="Calibri" w:cs="Calibri"/>
          <w:i/>
          <w:iCs/>
          <w:szCs w:val="24"/>
        </w:rPr>
        <w:t>MuseumNext</w:t>
      </w:r>
      <w:proofErr w:type="spellEnd"/>
      <w:r w:rsidRPr="00402707">
        <w:rPr>
          <w:rFonts w:ascii="Calibri" w:hAnsi="Calibri" w:cs="Calibri"/>
          <w:szCs w:val="24"/>
        </w:rPr>
        <w:t>, 2023 &lt;https://www.museumnext.com/article/why-do-stories-matter-to-museums-and-how-can-museums-become-better-storytellers/&gt; [accessed 26 January 2023].</w:t>
      </w:r>
      <w:r>
        <w:fldChar w:fldCharType="end"/>
      </w:r>
    </w:p>
  </w:footnote>
  <w:footnote w:id="105">
    <w:p w14:paraId="4A4DEAEC" w14:textId="0B15000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{"citationID":"DKmiya5R","properties":{"formattedCitation":"Nur Hidayah Abd Rahman, Zainab Khalifah, and Hairul Ismail, \\uc0\\u8216{}Entanglement between Visitor and Attractions through Sensory Experiences Perspective in the Context of Cultural Heritage Tourism\\uc0\\u8217{}, 2018.","plainCitation":"Nur Hidayah Abd Rahman, Zainab Khalifah, and Hairul Ismail, ‘Entanglement between Visitor and Attractions through Sensory Experiences Perspective in the Context of Cultural Heritage Tourism’, 2018.","noteIndex":103},"citationItems":[{"id":137,"uris":["http://zotero.org/users/6665715/items/AIRW4KQV"],"itemData":{"id":137,"type":"paper-conference","abstract":"The evolution of visitor studies for the past 20 years has developed into a contemporary orientation towards individual travellers, involving their inner feelings towards tourism destination and its attractions. However, there is still a limelight in the current research that shows the quality of visitor experience in terms of cu ltural heritage tourism, comp rising the five senses (visual, auditory, olfactory, tactile, and gustatory). In addition, previous studies have found that visitors will create a distinctive image and form a unique experience towards the cultural heritage tourism through their sensory experiences. In Malaysian context, alongside the wealth of mu lti-ethnicity (different cultures and customs) and values of unique architecture and history, Melaka and Penang have been recognized as part of the UNESCO World Heritage Site (WHS) in 2008. Due to this, this branding will t rigger visitors' decision-making to explo re the historical and cultural values in M elaka and Penang. Thus, the beginning of this paper discusses the problems and issues relating to the tourism research involving sensory modes, including a review of previous studies relating to the human senses which encompass the concern of the research, the methods that have been applied (qualitative, quantitative, and eclectic methods) to form better findings through the stimu lation of senses and the implication for the sensory studies. Then, discussions followed by looking into those problems and issues in the context of Melaka and Penang UNESCO WHS and the elements of sensory experience's study which consists senses, behaviour, and quality experience. This paper has drawn the importance to study the sensory experience which it can contribute to the bod y of knowledge on the corporeal experience of cultural heritage touris m. Furthermore, this study will develop an impressive image especially fro m the market ing point of view towards the cultural heritage attractions relating to sensory experience at Melaka and Penang UNESCO WHS.","source":"ResearchGate","title":"Entanglement between Visitor and Attractions through Sensory Experiences Perspective in the Context of Cultural Heritage Tourism","author":[{"family":"Abd Rahman","given":"Nur Hidayah"},{"family":"Khalifah","given":"Zainab"},{"family":"Ismail","given":"Hairul"}],"issued":{"date-parts":[["2018",2,15]]}}}],"schema":"https://github.com/citation-style-language/schema/raw/master/csl-citation.json"} </w:instrText>
      </w:r>
      <w:r>
        <w:fldChar w:fldCharType="separate"/>
      </w:r>
      <w:r w:rsidRPr="00F20B02">
        <w:rPr>
          <w:rFonts w:ascii="Calibri" w:hAnsi="Calibri" w:cs="Calibri"/>
          <w:szCs w:val="24"/>
        </w:rPr>
        <w:t>Nur Hidayah Abd Rahman, Zainab Khalifah, and Hairul Ismail, ‘Entanglement between Visitor and Attractions through Sensory Experiences Perspective in the Context of Cultural Heritage Tourism</w:t>
      </w:r>
      <w:proofErr w:type="gramStart"/>
      <w:r w:rsidRPr="00F20B02">
        <w:rPr>
          <w:rFonts w:ascii="Calibri" w:hAnsi="Calibri" w:cs="Calibri"/>
          <w:szCs w:val="24"/>
        </w:rPr>
        <w:t>’,</w:t>
      </w:r>
      <w:proofErr w:type="gramEnd"/>
      <w:r w:rsidRPr="00F20B02">
        <w:rPr>
          <w:rFonts w:ascii="Calibri" w:hAnsi="Calibri" w:cs="Calibri"/>
          <w:szCs w:val="24"/>
        </w:rPr>
        <w:t xml:space="preserve"> 2018.</w:t>
      </w:r>
      <w:r>
        <w:fldChar w:fldCharType="end"/>
      </w:r>
    </w:p>
  </w:footnote>
  <w:footnote w:id="106">
    <w:p w14:paraId="2A3A3873" w14:textId="6CD1A8C2"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{"citationID":"6vlUfhvF","properties":{"formattedCitation":"Kelvin E.Y. Low, \\uc0\\u8216{}Concrete Memories and Sensory Pasts: Everyday Heritage and the Politics of Nationhood\\uc0\\u8217{}, {\\i{}Pacific Affairs}, 90.2 (2017), 275\\uc0\\u8211{}95 &lt;https://doi.org/10.5509/2017902275&gt;.","plainCitation":"Kelvin E.Y. Low, ‘Concrete Memories and Sensory Pasts: Everyday Heritage and the Politics of Nationhood’, Pacific Affairs, 90.2 (2017), 275–95 &lt;https://doi.org/10.5509/2017902275&gt;.","noteIndex":105},"citationItems":[{"id":130,"uris":["http://zotero.org/users/6665715/items/QDGKB8PL"],"itemData":{"id":130,"type":"article-journal","abstract":"This paper interrogates how Singapore's everyday heritage has been framed through embodied and sensory experiences. While buildings and other landmarks have been conserved as heritage icons, this designation also includes particular routes known as heritage trails. Buildings and trails\nby themselves are not invested with symbolic meaning; it is the processes of heritage packaging that consign particular landmarks and sites with a heritage purpose. By employing the notion of \"concrete memories,\" I argue that heritage landmarks and trails form a site through which the nation's\nhistory is selectively interpreted, negotiated, and experienced by different actants. Concrete memories comprise three key features: familiarity, sensory remembering, and ownership. The discussion of concrete memories is undergirded by broad methodological principles of actor-network theory.\nThe intention is to call attention to embodied tourism in heritage tourism studies while at the same time addressing the production and consumption of heritage and power relations through heritage networks.","container-title":"Pacific Affairs","DOI":"10.5509/2017902275","issue":"2","journalAbbreviation":"Pacific Affairs","page":"275-295","source":"IngentaConnect","title":"Concrete Memories and Sensory Pasts: Everyday Heritage and the Politics of Nationhood","title-short":"Concrete Memories and Sensory Pasts","volume":"90","author":[{"family":"Low","given":"Kelvin E.Y."}],"issued":{"date-parts":[["2017",6,1]]}}}],"schema":"https://github.com/citation-style-language/schema/raw/master/csl-citation.json"} </w:instrText>
      </w:r>
      <w:r>
        <w:fldChar w:fldCharType="separate"/>
      </w:r>
      <w:r w:rsidRPr="00F362CF">
        <w:rPr>
          <w:rFonts w:ascii="Calibri" w:hAnsi="Calibri" w:cs="Calibri"/>
          <w:szCs w:val="24"/>
        </w:rPr>
        <w:t>Kelvin E.Y. Low, ‘Concrete Memories and Sensory Pasts: Everyday Heritage and the Politics of Nationhood</w:t>
      </w:r>
      <w:proofErr w:type="gramStart"/>
      <w:r w:rsidRPr="00F362CF">
        <w:rPr>
          <w:rFonts w:ascii="Calibri" w:hAnsi="Calibri" w:cs="Calibri"/>
          <w:szCs w:val="24"/>
        </w:rPr>
        <w:t>’,</w:t>
      </w:r>
      <w:proofErr w:type="gramEnd"/>
      <w:r w:rsidRPr="00F362CF">
        <w:rPr>
          <w:rFonts w:ascii="Calibri" w:hAnsi="Calibri" w:cs="Calibri"/>
          <w:szCs w:val="24"/>
        </w:rPr>
        <w:t xml:space="preserve"> </w:t>
      </w:r>
      <w:r w:rsidRPr="00F362CF">
        <w:rPr>
          <w:rFonts w:ascii="Calibri" w:hAnsi="Calibri" w:cs="Calibri"/>
          <w:i/>
          <w:iCs/>
          <w:szCs w:val="24"/>
        </w:rPr>
        <w:t>Pacific Affairs</w:t>
      </w:r>
      <w:r w:rsidRPr="00F362CF">
        <w:rPr>
          <w:rFonts w:ascii="Calibri" w:hAnsi="Calibri" w:cs="Calibri"/>
          <w:szCs w:val="24"/>
        </w:rPr>
        <w:t>, 90.2 (2017), 275–95 &lt;https://doi.org/10.5509/2017902275&gt;.</w:t>
      </w:r>
      <w:r>
        <w:fldChar w:fldCharType="end"/>
      </w:r>
    </w:p>
  </w:footnote>
  <w:footnote w:id="107">
    <w:p w14:paraId="16947004" w14:textId="50F7FE79"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{"citationID":"8QTIwuhJ","properties":{"formattedCitation":"Nina Levent and Irina D. Mihalache, {\\i{}Food and Museums} (Bloomsbury Publishing, 2018).","plainCitation":"Nina Levent and Irina D. Mihalache, Food and Museums (Bloomsbury Publishing, 2018).","noteIndex":106},"citationItems":[{"id":175,"uris":["http://zotero.org/users/6665715/items/JV9XNU2G"],"itemData":{"id":175,"type":"book","abstract":"Museums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E36107">
        <w:rPr>
          <w:rFonts w:ascii="Calibri" w:hAnsi="Calibri" w:cs="Calibri"/>
          <w:szCs w:val="24"/>
        </w:rPr>
        <w:t xml:space="preserve">Nina Levent and Irina D. Mihalache, </w:t>
      </w:r>
      <w:r w:rsidRPr="00E36107">
        <w:rPr>
          <w:rFonts w:ascii="Calibri" w:hAnsi="Calibri" w:cs="Calibri"/>
          <w:i/>
          <w:iCs/>
          <w:szCs w:val="24"/>
        </w:rPr>
        <w:t>Food and Museums</w:t>
      </w:r>
      <w:r w:rsidRPr="00E36107">
        <w:rPr>
          <w:rFonts w:ascii="Calibri" w:hAnsi="Calibri" w:cs="Calibri"/>
          <w:szCs w:val="24"/>
        </w:rPr>
        <w:t xml:space="preserve"> (Bloomsbury Publishing, 2018).</w:t>
      </w:r>
      <w:r>
        <w:fldChar w:fldCharType="end"/>
      </w:r>
      <w:r>
        <w:t>p.177</w:t>
      </w:r>
    </w:p>
  </w:footnote>
  <w:footnote w:id="108">
    <w:p w14:paraId="579A13EE" w14:textId="753F8D63"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{"citationID":"M3gC01hG","properties":{"formattedCitation":"Levent and Mihalache.","plainCitation":"Levent and Mihalache.","noteIndex":107},"citationItems":[{"id":175,"uris":["http://zotero.org/users/6665715/items/JV9XNU2G"],"itemData":{"id":175,"type":"book","abstract":"Museums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7C236F">
        <w:rPr>
          <w:rFonts w:ascii="Calibri" w:hAnsi="Calibri" w:cs="Calibri"/>
        </w:rPr>
        <w:t>Levent and Mihalache.</w:t>
      </w:r>
      <w:r>
        <w:fldChar w:fldCharType="end"/>
      </w:r>
      <w:r>
        <w:t xml:space="preserve"> P.179</w:t>
      </w:r>
    </w:p>
  </w:footnote>
  <w:footnote w:id="109">
    <w:p w14:paraId="4CFB806E" w14:textId="645EB05F"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{"citationID":"RpcwTO6K","properties":{"formattedCitation":"Levent and Mihalache.","plainCitation":"Levent and Mihalache.","noteIndex":108},"citationItems":[{"id":175,"uris":["http://zotero.org/users/6665715/items/JV9XNU2G"],"itemData":{"id":175,"type":"book","abstract":"Museums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920C24">
        <w:rPr>
          <w:rFonts w:ascii="Calibri" w:hAnsi="Calibri" w:cs="Calibri"/>
        </w:rPr>
        <w:t>Levent and Mihalache.</w:t>
      </w:r>
      <w:r>
        <w:fldChar w:fldCharType="end"/>
      </w:r>
      <w:r>
        <w:t>p.179</w:t>
      </w:r>
    </w:p>
  </w:footnote>
  <w:footnote w:id="110">
    <w:p w14:paraId="677AD62C" w14:textId="10E90D59"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{"citationID":"U4lQdHuW","properties":{"formattedCitation":"Levent and Mihalache.","plainCitation":"Levent and Mihalache.","noteIndex":109},"citationItems":[{"id":175,"uris":["http://zotero.org/users/6665715/items/JV9XNU2G"],"itemData":{"id":175,"type":"book","abstract":"Museums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BF7106">
        <w:rPr>
          <w:rFonts w:ascii="Calibri" w:hAnsi="Calibri" w:cs="Calibri"/>
        </w:rPr>
        <w:t>Levent and Mihalache.</w:t>
      </w:r>
      <w:r>
        <w:fldChar w:fldCharType="end"/>
      </w:r>
      <w:r>
        <w:t xml:space="preserve"> P.180</w:t>
      </w:r>
    </w:p>
  </w:footnote>
  <w:footnote w:id="111">
    <w:p w14:paraId="6E774A7F" w14:textId="71308B58"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{"citationID":"eLuDkovu","properties":{"formattedCitation":"Levent and Mihalache.","plainCitation":"Levent and Mihalache.","noteIndex":110},"citationItems":[{"id":175,"uris":["http://zotero.org/users/6665715/items/JV9XNU2G"],"itemData":{"id":175,"type":"book","abstract":"Museums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92488F">
        <w:rPr>
          <w:rFonts w:ascii="Calibri" w:hAnsi="Calibri" w:cs="Calibri"/>
        </w:rPr>
        <w:t>Levent and Mihalache.</w:t>
      </w:r>
      <w:r>
        <w:fldChar w:fldCharType="end"/>
      </w:r>
      <w:r>
        <w:t>p.180</w:t>
      </w:r>
    </w:p>
  </w:footnote>
  <w:footnote w:id="112">
    <w:p w14:paraId="7171D548" w14:textId="6DA077F1"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{"citationID":"FLulWuSF","properties":{"formattedCitation":"Levent and Mihalache.","plainCitation":"Levent and Mihalache.","noteIndex":111},"citationItems":[{"id":175,"uris":["http://zotero.org/users/6665715/items/JV9XNU2G"],"itemData":{"id":175,"type":"book","abstract":"Museums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7202E8">
        <w:rPr>
          <w:rFonts w:ascii="Calibri" w:hAnsi="Calibri" w:cs="Calibri"/>
        </w:rPr>
        <w:t>Levent and Mihalache.</w:t>
      </w:r>
      <w:r>
        <w:fldChar w:fldCharType="end"/>
      </w:r>
      <w:r>
        <w:t>p.180</w:t>
      </w:r>
    </w:p>
  </w:footnote>
  <w:footnote w:id="113">
    <w:p w14:paraId="371021C5" w14:textId="031B82F4"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{"citationID":"NFBRFFZA","properties":{"formattedCitation":"Levent and Mihalache.","plainCitation":"Levent and Mihalache.","noteIndex":112},"citationItems":[{"id":175,"uris":["http://zotero.org/users/6665715/items/JV9XNU2G"],"itemData":{"id":175,"type":"book","abstract":"Museums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EF2713">
        <w:rPr>
          <w:rFonts w:ascii="Calibri" w:hAnsi="Calibri" w:cs="Calibri"/>
        </w:rPr>
        <w:t>Levent and Mihalache.</w:t>
      </w:r>
      <w:r>
        <w:fldChar w:fldCharType="end"/>
      </w:r>
      <w:r>
        <w:t>p.181</w:t>
      </w:r>
    </w:p>
  </w:footnote>
  <w:footnote w:id="114">
    <w:p w14:paraId="00EC4ABA" w14:textId="43D98E6D"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{"citationID":"TafsqAqA","properties":{"formattedCitation":"\\uc0\\u8216{}The Cook and the Curator | Eat Your History | Sydney Living Museums\\uc0\\u8217{} &lt;https://blogs.sydneylivingmuseums.com.au/cook/&gt; [accessed 5 January 2023].","plainCitation":"‘The Cook and the Curator | Eat Your History | Sydney Living Museums’ &lt;https://blogs.sydneylivingmuseums.com.au/cook/&gt; [accessed 5 January 2023].","noteIndex":112},"citationItems":[{"id":179,"uris":["http://zotero.org/users/6665715/items/5H8WYDQL"],"itemData":{"id":179,"type":"webpage","title":"The Cook and the Curator | Eat Your History | Sydney Living Museums","URL":"https://blogs.sydneylivingmuseums.com.au/cook/","accessed":{"date-parts":[["2023",1,5]]}}}],"schema":"https://github.com/citation-style-language/schema/raw/master/csl-citation.json"} </w:instrText>
      </w:r>
      <w:r>
        <w:fldChar w:fldCharType="separate"/>
      </w:r>
      <w:r w:rsidRPr="00B11946">
        <w:rPr>
          <w:rFonts w:ascii="Calibri" w:hAnsi="Calibri" w:cs="Calibri"/>
          <w:szCs w:val="24"/>
        </w:rPr>
        <w:t>‘The Cook and the Curator | Eat Your History | Sydney Living Museums’ &lt;https://blogs.sydneylivingmuseums.com.au/cook/&gt; [accessed 5 January 2023].</w:t>
      </w:r>
      <w:r>
        <w:fldChar w:fldCharType="end"/>
      </w:r>
    </w:p>
  </w:footnote>
  <w:footnote w:id="115">
    <w:p w14:paraId="03FB71FA" w14:textId="6C0C4CAC"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{"citationID":"3HTbSTL1","properties":{"formattedCitation":"Jacqui Newling, {\\i{}Eat Your History: Stories and Recipes from Australian Kitchens} (NewSouth Publishing, 2015).","plainCitation":"Jacqui Newling, Eat Your History: Stories and Recipes from Australian Kitchens (NewSouth Publishing, 2015).","noteIndex":113},"citationItems":[{"id":180,"uris":["http://zotero.org/users/6665715/items/PZIPPMHU"],"itemData":{"id":180,"type":"book","abstract":"A celebration of produce, people and place, Eat Your History dishes up stories and recipes from Australian kitchens and dining tables from 1788 to the 1950s. Jacqui Newling, Sydney Living Museums’ resident gastronomer, invites you to share forgotten tastes and lost techniques and rediscover some of the culinary treasures that sustained many generations of Australians.","ISBN":"978-1-74223-468-7","language":"English","number-of-pages":"272","publisher":"NewSouth Publishing","title":"Eat Your History: Stories and recipes from Australian Kitchens","title-short":"Eat Your History","author":[{"family":"Newling","given":"Jacqui"}],"issued":{"date-parts":[["2015",12,30]]}}}],"schema":"https://github.com/citation-style-language/schema/raw/master/csl-citation.json"} </w:instrText>
      </w:r>
      <w:r>
        <w:fldChar w:fldCharType="separate"/>
      </w:r>
      <w:r w:rsidRPr="00C26DC9">
        <w:rPr>
          <w:rFonts w:ascii="Calibri" w:hAnsi="Calibri" w:cs="Calibri"/>
          <w:szCs w:val="24"/>
        </w:rPr>
        <w:t xml:space="preserve">Jacqui Newling, </w:t>
      </w:r>
      <w:r w:rsidRPr="00C26DC9">
        <w:rPr>
          <w:rFonts w:ascii="Calibri" w:hAnsi="Calibri" w:cs="Calibri"/>
          <w:i/>
          <w:iCs/>
          <w:szCs w:val="24"/>
        </w:rPr>
        <w:t>Eat Your History: Stories and Recipes from Australian Kitchens</w:t>
      </w:r>
      <w:r w:rsidRPr="00C26DC9">
        <w:rPr>
          <w:rFonts w:ascii="Calibri" w:hAnsi="Calibri" w:cs="Calibri"/>
          <w:szCs w:val="24"/>
        </w:rPr>
        <w:t xml:space="preserve"> (NewSouth Publishing, 2015).</w:t>
      </w:r>
      <w:r>
        <w:fldChar w:fldCharType="end"/>
      </w:r>
    </w:p>
  </w:footnote>
  <w:footnote w:id="116">
    <w:p w14:paraId="60504455" w14:textId="6A474CE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{"citationID":"8Mun1qxx","properties":{"formattedCitation":"\\uc0\\u8216{}Eat Your History: A Shared Table | MHNSW\\uc0\\u8217{} &lt;https://mhnsw.au/whats-on/exhibitions/eat-your-history-shared-table/&gt; [accessed 5 January 2023].","plainCitation":"‘Eat Your History: A Shared Table | MHNSW’ &lt;https://mhnsw.au/whats-on/exhibitions/eat-your-history-shared-table/&gt; [accessed 5 January 2023].","noteIndex":114},"citationItems":[{"id":178,"uris":["http://zotero.org/users/6665715/items/F2TJAYIX"],"itemData":{"id":178,"type":"webpage","title":"Eat Your History: A Shared Table | MHNSW","URL":"https://mhnsw.au/whats-on/exhibitions/eat-your-history-shared-table/","accessed":{"date-parts":[["2023",1,5]]}}}],"schema":"https://github.com/citation-style-language/schema/raw/master/csl-citation.json"} </w:instrText>
      </w:r>
      <w:r>
        <w:fldChar w:fldCharType="separate"/>
      </w:r>
      <w:r w:rsidRPr="003968FC">
        <w:rPr>
          <w:rFonts w:ascii="Calibri" w:hAnsi="Calibri" w:cs="Calibri"/>
          <w:szCs w:val="24"/>
        </w:rPr>
        <w:t>‘Eat Your History: A Shared Table | MHNSW’ &lt;https://mhnsw.au/whats-on/exhibitions/eat-your-history-shared-table/&gt; [accessed 5 January 2023].</w:t>
      </w:r>
      <w:r>
        <w:fldChar w:fldCharType="end"/>
      </w:r>
    </w:p>
  </w:footnote>
  <w:footnote w:id="117">
    <w:p w14:paraId="025A6548" w14:textId="394D548C"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{"citationID":"YdJ9UMUC","properties":{"formattedCitation":"Levent and Mihalache.","plainCitation":"Levent and Mihalache.","noteIndex":116},"citationItems":[{"id":175,"uris":["http://zotero.org/users/6665715/items/JV9XNU2G"],"itemData":{"id":175,"type":"book","abstract":"Museums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310F1F">
        <w:rPr>
          <w:rFonts w:ascii="Calibri" w:hAnsi="Calibri" w:cs="Calibri"/>
        </w:rPr>
        <w:t>Levent and Mihalache.</w:t>
      </w:r>
      <w:r>
        <w:fldChar w:fldCharType="end"/>
      </w:r>
      <w:r>
        <w:t>p.182</w:t>
      </w:r>
    </w:p>
  </w:footnote>
  <w:footnote w:id="118">
    <w:p w14:paraId="60EC1AB3" w14:textId="420EBE0D"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{"citationID":"5jvpvUFA","properties":{"formattedCitation":"Levent and Mihalache.","plainCitation":"Levent and Mihalache.","noteIndex":117},"citationItems":[{"id":175,"uris":["http://zotero.org/users/6665715/items/JV9XNU2G"],"itemData":{"id":175,"type":"book","abstract":"Museums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DF4B84">
        <w:rPr>
          <w:rFonts w:ascii="Calibri" w:hAnsi="Calibri" w:cs="Calibri"/>
        </w:rPr>
        <w:t>Levent and Mihalache.</w:t>
      </w:r>
      <w:r>
        <w:fldChar w:fldCharType="end"/>
      </w:r>
      <w:r>
        <w:t>p.183</w:t>
      </w:r>
    </w:p>
  </w:footnote>
  <w:footnote w:id="119">
    <w:p w14:paraId="5CC930ED" w14:textId="291F151E"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{"citationID":"NxWByYVg","properties":{"formattedCitation":"Levent and Mihalache.","plainCitation":"Levent and Mihalache.","noteIndex":118},"citationItems":[{"id":175,"uris":["http://zotero.org/users/6665715/items/JV9XNU2G"],"itemData":{"id":175,"type":"book","abstract":"Museums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376965">
        <w:rPr>
          <w:rFonts w:ascii="Calibri" w:hAnsi="Calibri" w:cs="Calibri"/>
        </w:rPr>
        <w:t>Levent and Mihalache.</w:t>
      </w:r>
      <w:r>
        <w:fldChar w:fldCharType="end"/>
      </w:r>
      <w:r>
        <w:t>p.184</w:t>
      </w:r>
    </w:p>
  </w:footnote>
  <w:footnote w:id="120">
    <w:p w14:paraId="2D66D428" w14:textId="4874C36B"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{"citationID":"uNAoVeID","properties":{"formattedCitation":"Levent and Mihalache.","plainCitation":"Levent and Mihalache.","noteIndex":119},"citationItems":[{"id":175,"uris":["http://zotero.org/users/6665715/items/JV9XNU2G"],"itemData":{"id":175,"type":"book","abstract":"Museums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8C083B">
        <w:rPr>
          <w:rFonts w:ascii="Calibri" w:hAnsi="Calibri" w:cs="Calibri"/>
        </w:rPr>
        <w:t>Levent and Mihalache.</w:t>
      </w:r>
      <w:r>
        <w:fldChar w:fldCharType="end"/>
      </w:r>
      <w:r>
        <w:t>p.184</w:t>
      </w:r>
    </w:p>
  </w:footnote>
  <w:footnote w:id="121">
    <w:p w14:paraId="5CE5D720" w14:textId="6CF756C9"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{"citationID":"unx24eZr","properties":{"formattedCitation":"Levent and Mihalache.","plainCitation":"Levent and Mihalache.","noteIndex":120},"citationItems":[{"id":175,"uris":["http://zotero.org/users/6665715/items/JV9XNU2G"],"itemData":{"id":175,"type":"book","abstract":"Museums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5F7635">
        <w:rPr>
          <w:rFonts w:ascii="Calibri" w:hAnsi="Calibri" w:cs="Calibri"/>
        </w:rPr>
        <w:t>Levent and Mihalache.</w:t>
      </w:r>
      <w:r>
        <w:fldChar w:fldCharType="end"/>
      </w:r>
      <w:r>
        <w:t>p.184</w:t>
      </w:r>
    </w:p>
  </w:footnote>
  <w:footnote w:id="122">
    <w:p w14:paraId="787AC33C" w14:textId="47F1518E"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{"citationID":"SkA5Yj4X","properties":{"formattedCitation":"Levent and Mihalache.","plainCitation":"Levent and Mihalache.","noteIndex":121},"citationItems":[{"id":175,"uris":["http://zotero.org/users/6665715/items/JV9XNU2G"],"itemData":{"id":175,"type":"book","abstract":"Museums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047CF8">
        <w:rPr>
          <w:rFonts w:ascii="Calibri" w:hAnsi="Calibri" w:cs="Calibri"/>
        </w:rPr>
        <w:t>Levent and Mihalache.</w:t>
      </w:r>
      <w:r>
        <w:fldChar w:fldCharType="end"/>
      </w:r>
      <w:r>
        <w:t>p.187</w:t>
      </w:r>
    </w:p>
  </w:footnote>
  <w:footnote w:id="123">
    <w:p w14:paraId="18A0C21F" w14:textId="78A3ED42"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{"citationID":"eRplwsdS","properties":{"formattedCitation":"Levent and Mihalache.","plainCitation":"Levent and Mihalache.","noteIndex":122},"citationItems":[{"id":175,"uris":["http://zotero.org/users/6665715/items/JV9XNU2G"],"itemData":{"id":175,"type":"book","abstract":"Museums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D75011">
        <w:rPr>
          <w:rFonts w:ascii="Calibri" w:hAnsi="Calibri" w:cs="Calibri"/>
        </w:rPr>
        <w:t>Levent and Mihalache.</w:t>
      </w:r>
      <w:r>
        <w:fldChar w:fldCharType="end"/>
      </w:r>
      <w:r>
        <w:t xml:space="preserve"> P.188</w:t>
      </w:r>
    </w:p>
  </w:footnote>
  <w:footnote w:id="124">
    <w:p w14:paraId="6A43D356" w14:textId="26DCAAC6"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{"citationID":"q1u69t0E","properties":{"formattedCitation":"Low.","plainCitation":"Low.","noteIndex":123},"citationItems":[{"id":130,"uris":["http://zotero.org/users/6665715/items/QDGKB8PL"],"itemData":{"id":130,"type":"article-journal","abstract":"This paper interrogates how Singapore's everyday heritage has been framed through embodied and sensory experiences. While buildings and other landmarks have been conserved as heritage icons, this designation also includes particular routes known as heritage trails. Buildings and trails\nby themselves are not invested with symbolic meaning; it is the processes of heritage packaging that consign particular landmarks and sites with a heritage purpose. By employing the notion of \"concrete memories,\" I argue that heritage landmarks and trails form a site through which the nation's\nhistory is selectively interpreted, negotiated, and experienced by different actants. Concrete memories comprise three key features: familiarity, sensory remembering, and ownership. The discussion of concrete memories is undergirded by broad methodological principles of actor-network theory.\nThe intention is to call attention to embodied tourism in heritage tourism studies while at the same time addressing the production and consumption of heritage and power relations through heritage networks.","container-title":"Pacific Affairs","DOI":"10.5509/2017902275","issue":"2","journalAbbreviation":"Pacific Affairs","page":"275-295","source":"IngentaConnect","title":"Concrete Memories and Sensory Pasts: Everyday Heritage and the Politics of Nationhood","title-short":"Concrete Memories and Sensory Pasts","volume":"90","author":[{"family":"Low","given":"Kelvin E.Y."}],"issued":{"date-parts":[["2017",6,1]]}}}],"schema":"https://github.com/citation-style-language/schema/raw/master/csl-citation.json"} </w:instrText>
      </w:r>
      <w:r>
        <w:fldChar w:fldCharType="separate"/>
      </w:r>
      <w:r w:rsidRPr="007B6966">
        <w:rPr>
          <w:rFonts w:ascii="Calibri" w:hAnsi="Calibri" w:cs="Calibri"/>
        </w:rPr>
        <w:t>Low.</w:t>
      </w:r>
      <w:r>
        <w:fldChar w:fldCharType="end"/>
      </w:r>
    </w:p>
  </w:footnote>
  <w:footnote w:id="125">
    <w:p w14:paraId="470F6D4C" w14:textId="3CD0635A"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{"citationID":"Ny0VrtM6","properties":{"formattedCitation":"Levent and Mihalache.","plainCitation":"Levent and Mihalache.","noteIndex":124},"citationItems":[{"id":175,"uris":["http://zotero.org/users/6665715/items/JV9XNU2G"],"itemData":{"id":175,"type":"book","abstract":"Museums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D50A25">
        <w:rPr>
          <w:rFonts w:ascii="Calibri" w:hAnsi="Calibri" w:cs="Calibri"/>
        </w:rPr>
        <w:t>Levent and Mihalache.</w:t>
      </w:r>
      <w:r>
        <w:fldChar w:fldCharType="end"/>
      </w:r>
      <w:r>
        <w:t>p.189</w:t>
      </w:r>
    </w:p>
  </w:footnote>
  <w:footnote w:id="126">
    <w:p w14:paraId="35E0DB65" w14:textId="2432D698"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{"citationID":"ra8cyaDB","properties":{"formattedCitation":"Levent and Mihalache.","plainCitation":"Levent and Mihalache.","noteIndex":125},"citationItems":[{"id":175,"uris":["http://zotero.org/users/6665715/items/JV9XNU2G"],"itemData":{"id":175,"type":"book","abstract":"Museums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BF22C6">
        <w:rPr>
          <w:rFonts w:ascii="Calibri" w:hAnsi="Calibri" w:cs="Calibri"/>
        </w:rPr>
        <w:t>Levent and Mihalache.</w:t>
      </w:r>
      <w:r>
        <w:fldChar w:fldCharType="end"/>
      </w:r>
      <w:r>
        <w:t>p.190</w:t>
      </w:r>
    </w:p>
  </w:footnote>
  <w:footnote w:id="127">
    <w:p w14:paraId="0E4D82EB" w14:textId="363816F7"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{"citationID":"zmd0AiwX","properties":{"formattedCitation":"Deepak Chhabra, Robert Healy, and Erin Sills, \\uc0\\u8216{}Staged Authenticity and Heritage Tourism\\uc0\\u8217{}, {\\i{}Annals of Tourism Research}, 30.3 (2003), 702\\uc0\\u8211{}19 &lt;https://doi.org/10.1016/S0160-7383(03)00044-6&gt;.","plainCitation":"Deepak Chhabra, Robert Healy, and Erin Sills, ‘Staged Authenticity and Heritage Tourism’, Annals of Tourism Research, 30.3 (2003), 702–19 &lt;https://doi.org/10.1016/S0160-7383(03)00044-6&gt;.","noteIndex":126},"citationItems":[{"id":237,"uris":["http://zotero.org/users/6665715/items/VXBR6DA6"],"itemData":{"id":237,"type":"article-journal","abstract":"Much of today’s heritage tourism product depends on the staging or re-creation of ethnic or cultural traditions. This study analyzes the role of perceived authenticity as a measure of product quality and as a determinant of tourist satisfaction. The event studied was the Flora Macdonald Scottish Highland Games held in North Carolina (United States). Tourists and event organizers were asked to evaluate the authenticity of specific festival events on a Likert scale. The study revealed that high perception of authenticity can be achieved even when the event is staged in a place far away from the original source of the cultural tradition. Important differences in perceived authenticity were observed among various groups of visitors.\nRésumé\nLa mise en scène de l’authenticité et le tourisme patrimonial. Une grande partie du produit du tourisme patrimonial actuel dépend de la mise en scène ou de la reproduction des traditions ethniques ou culturelles. Cet article analyse le rôle de l’authenticité perçue comme mesure de qualité et comme déterminant de la satisfaction touristique. L’événement qui a été étudié était les Jeux Écossais Flora Macdonald, qui ont eu lieu e en Caroline du Nord (Etats-Unis). On a demandé aux touristes et aux organisateurs de l’événement d’évaluer l’authenticité des activités spécifiques du festival sur une échelle Likert. L’étude a révélé qu’une haute perception d’authenticité peut être atteinte même si l’événement est monté dans un endroit qui est loin de la source originelle de la tradition culturelle. On a noté d’importantes différences dans les perceptions d’authenticité parmi les divers groupes de visiteurs.","container-title":"Annals of Tourism Research","DOI":"10.1016/S0160-7383(03)00044-6","ISSN":"0160-7383","issue":"3","journalAbbreviation":"Annals of Tourism Research","language":"en","page":"702-719","source":"ScienceDirect","title":"Staged authenticity and heritage tourism","volume":"30","author":[{"family":"Chhabra","given":"Deepak"},{"family":"Healy","given":"Robert"},{"family":"Sills","given":"Erin"}],"issued":{"date-parts":[["2003",7,1]]}}}],"schema":"https://github.com/citation-style-language/schema/raw/master/csl-citation.json"} </w:instrText>
      </w:r>
      <w:r>
        <w:fldChar w:fldCharType="separate"/>
      </w:r>
      <w:r w:rsidRPr="008C6B99">
        <w:rPr>
          <w:rFonts w:ascii="Calibri" w:hAnsi="Calibri" w:cs="Calibri"/>
          <w:szCs w:val="24"/>
        </w:rPr>
        <w:t>Deepak Chhabra, Robert Healy, and Erin Sills, ‘Staged Authenticity and Heritage Tourism</w:t>
      </w:r>
      <w:proofErr w:type="gramStart"/>
      <w:r w:rsidRPr="008C6B99">
        <w:rPr>
          <w:rFonts w:ascii="Calibri" w:hAnsi="Calibri" w:cs="Calibri"/>
          <w:szCs w:val="24"/>
        </w:rPr>
        <w:t>’,</w:t>
      </w:r>
      <w:proofErr w:type="gramEnd"/>
      <w:r w:rsidRPr="008C6B99">
        <w:rPr>
          <w:rFonts w:ascii="Calibri" w:hAnsi="Calibri" w:cs="Calibri"/>
          <w:szCs w:val="24"/>
        </w:rPr>
        <w:t xml:space="preserve"> </w:t>
      </w:r>
      <w:r w:rsidRPr="008C6B99">
        <w:rPr>
          <w:rFonts w:ascii="Calibri" w:hAnsi="Calibri" w:cs="Calibri"/>
          <w:i/>
          <w:iCs/>
          <w:szCs w:val="24"/>
        </w:rPr>
        <w:t>Annals of Tourism Research</w:t>
      </w:r>
      <w:r w:rsidRPr="008C6B99">
        <w:rPr>
          <w:rFonts w:ascii="Calibri" w:hAnsi="Calibri" w:cs="Calibri"/>
          <w:szCs w:val="24"/>
        </w:rPr>
        <w:t>, 30.3 (2003), 702–19 &lt;https://doi.org/10.1016/S0160-7383(03)00044-6&gt;.</w:t>
      </w:r>
      <w:r>
        <w:fldChar w:fldCharType="end"/>
      </w:r>
      <w:r>
        <w:t xml:space="preserve">p.705 </w:t>
      </w:r>
    </w:p>
  </w:footnote>
  <w:footnote w:id="128">
    <w:p w14:paraId="4EA420F3" w14:textId="0F4DE1DD"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{"citationID":"Y7i8A9lR","properties":{"formattedCitation":"Llerena.","plainCitation":"Llerena.","noteIndex":126},"citationItems":[{"id":3,"uris":["http://zotero.org/users/6665715/items/GIFGLXNM"],"itemData":{"id":3,"type":"article-journal","abstract":"Food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00D90493" w:rsidRPr="00D90493">
        <w:rPr>
          <w:rFonts w:ascii="Calibri" w:hAnsi="Calibri" w:cs="Calibri"/>
        </w:rPr>
        <w:t>Llerena.</w:t>
      </w:r>
      <w:r>
        <w:fldChar w:fldCharType="end"/>
      </w:r>
      <w:r>
        <w:t xml:space="preserve">  </w:t>
      </w:r>
    </w:p>
  </w:footnote>
  <w:footnote w:id="129">
    <w:p w14:paraId="0990F13C" w14:textId="0F9B579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{"citationID":"9z9vgod7","properties":{"formattedCitation":"Kaori O\\uc0\\u8217{}Connor, \\uc0\\u8216{}The Secret History of \\uc0\\u8220{}the Weed of Hiraeth\\uc0\\u8221{}: Laverbread, Identity, and Museums in Wales\\uc0\\u8217{}, {\\i{}Journal of Museum Ethnography}, 22, 2009, 82\\uc0\\u8211{}101.","plainCitation":"Kaori O’Connor, ‘The Secret History of “the Weed of Hiraeth”: Laverbread, Identity, and Museums in Wales’, Journal of Museum Ethnography, 22, 2009, 82–101.","noteIndex":127},"citationItems":[{"id":107,"uris":["http://zotero.org/users/6665715/items/VW9XTHFV"],"itemData":{"id":107,"type":"article-journal","container-title":"Journal of Museum Ethnography","ISSN":"0954-7169","issue":"22","note":"publisher: Museum Ethnographers Group","page":"82-101","source":"JSTOR","title":"The Secret History of 'the Weed of Hiraeth': Laverbread, Identity, and Museums in Wales","title-short":"The Secret History of 'the Weed of Hiraeth'","author":[{"family":"O'Connor","given":"Kaori"}],"issued":{"date-parts":[["2009"]]}}}],"schema":"https://github.com/citation-style-language/schema/raw/master/csl-citation.json"} </w:instrText>
      </w:r>
      <w:r>
        <w:fldChar w:fldCharType="separate"/>
      </w:r>
      <w:r w:rsidRPr="007E4797">
        <w:rPr>
          <w:rFonts w:ascii="Calibri" w:hAnsi="Calibri" w:cs="Calibri"/>
          <w:szCs w:val="24"/>
        </w:rPr>
        <w:t>Kaori O’Connor, ‘The Secret History of “the Weed of Hiraeth”: Laverbread, Identity, and Museums in Wales</w:t>
      </w:r>
      <w:proofErr w:type="gramStart"/>
      <w:r w:rsidRPr="007E4797">
        <w:rPr>
          <w:rFonts w:ascii="Calibri" w:hAnsi="Calibri" w:cs="Calibri"/>
          <w:szCs w:val="24"/>
        </w:rPr>
        <w:t>’,</w:t>
      </w:r>
      <w:proofErr w:type="gramEnd"/>
      <w:r w:rsidRPr="007E4797">
        <w:rPr>
          <w:rFonts w:ascii="Calibri" w:hAnsi="Calibri" w:cs="Calibri"/>
          <w:szCs w:val="24"/>
        </w:rPr>
        <w:t xml:space="preserve"> </w:t>
      </w:r>
      <w:r w:rsidRPr="007E4797">
        <w:rPr>
          <w:rFonts w:ascii="Calibri" w:hAnsi="Calibri" w:cs="Calibri"/>
          <w:i/>
          <w:iCs/>
          <w:szCs w:val="24"/>
        </w:rPr>
        <w:t>Journal of Museum Ethnography</w:t>
      </w:r>
      <w:r w:rsidRPr="007E4797">
        <w:rPr>
          <w:rFonts w:ascii="Calibri" w:hAnsi="Calibri" w:cs="Calibri"/>
          <w:szCs w:val="24"/>
        </w:rPr>
        <w:t>, 22, 2009, 82–101.</w:t>
      </w:r>
      <w:r>
        <w:fldChar w:fldCharType="end"/>
      </w:r>
      <w:r>
        <w:t>p.84</w:t>
      </w:r>
    </w:p>
  </w:footnote>
  <w:footnote w:id="130">
    <w:p w14:paraId="18832DF1" w14:textId="0AA6C808"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{"citationID":"ouHa3XjD","properties":{"formattedCitation":"Iorwerth Cyfeiliog Peate, {\\i{}AMGUEDDFEYDD GWERIN. FOLK MUSEUMS. WELSH &amp; ENG}.","plainCitation":"Iorwerth Cyfeiliog Peate, AMGUEDDFEYDD GWERIN. FOLK MUSEUMS. WELSH &amp; ENG.","noteIndex":129},"citationItems":[{"id":30,"uris":["http://zotero.org/users/6665715/items/PAH46Q5B"],"itemData":{"id":30,"type":"book","title":"AMGUEDDFEYDD GWERIN. FOLK MUSEUMS. WELSH &amp; ENG","author":[{"family":"Peate","given":"Iorwerth Cyfeiliog"}]}}],"schema":"https://github.com/citation-style-language/schema/raw/master/csl-citation.json"} </w:instrText>
      </w:r>
      <w:r>
        <w:fldChar w:fldCharType="separate"/>
      </w:r>
      <w:r w:rsidRPr="00AF771F">
        <w:rPr>
          <w:rFonts w:ascii="Calibri" w:hAnsi="Calibri" w:cs="Calibri"/>
          <w:szCs w:val="24"/>
        </w:rPr>
        <w:t xml:space="preserve">Iorwerth Cyfeiliog Peate, </w:t>
      </w:r>
      <w:r w:rsidRPr="00AF771F">
        <w:rPr>
          <w:rFonts w:ascii="Calibri" w:hAnsi="Calibri" w:cs="Calibri"/>
          <w:i/>
          <w:iCs/>
          <w:szCs w:val="24"/>
        </w:rPr>
        <w:t>AMGUEDDFEYDD GWERIN. FOLK MUSEUMS. WELSH &amp; ENG</w:t>
      </w:r>
      <w:r w:rsidRPr="00AF771F">
        <w:rPr>
          <w:rFonts w:ascii="Calibri" w:hAnsi="Calibri" w:cs="Calibri"/>
          <w:szCs w:val="24"/>
        </w:rPr>
        <w:t>.</w:t>
      </w:r>
      <w:r>
        <w:fldChar w:fldCharType="end"/>
      </w:r>
      <w:r>
        <w:t xml:space="preserve"> </w:t>
      </w:r>
    </w:p>
  </w:footnote>
  <w:footnote w:id="131">
    <w:p w14:paraId="7B86314B" w14:textId="259C91C8"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{"citationID":"CRg6bwGQ","properties":{"formattedCitation":"\\uc0\\u8216{}A Brief History of St Fagans\\uc0\\u8217{}, {\\i{}Museum Wales} &lt;https://museum.wales/stfagans/stfagans-history/&gt; [accessed 24 August 2022].","plainCitation":"‘A Brief History of St Fagans’, Museum Wales &lt;https://museum.wales/stfagans/stfagans-history/&gt; [accessed 24 August 2022].","noteIndex":130},"citationItems":[{"id":32,"uris":["http://zotero.org/users/6665715/items/ULB63G3U"],"itemData":{"id":32,"type":"webpage","container-title":"Museum Wales","language":"en","title":"A Brief History of St Fagans","URL":"https://museum.wales/stfagans/stfagans-history/","accessed":{"date-parts":[["2022",8,24]]}}}],"schema":"https://github.com/citation-style-language/schema/raw/master/csl-citation.json"} </w:instrText>
      </w:r>
      <w:r>
        <w:fldChar w:fldCharType="separate"/>
      </w:r>
      <w:r w:rsidRPr="00C53FAC">
        <w:rPr>
          <w:rFonts w:ascii="Calibri" w:hAnsi="Calibri" w:cs="Calibri"/>
          <w:szCs w:val="24"/>
        </w:rPr>
        <w:t>‘A Brief History of St Fagans</w:t>
      </w:r>
      <w:proofErr w:type="gramStart"/>
      <w:r w:rsidRPr="00C53FAC">
        <w:rPr>
          <w:rFonts w:ascii="Calibri" w:hAnsi="Calibri" w:cs="Calibri"/>
          <w:szCs w:val="24"/>
        </w:rPr>
        <w:t>’,</w:t>
      </w:r>
      <w:proofErr w:type="gramEnd"/>
      <w:r w:rsidRPr="00C53FAC">
        <w:rPr>
          <w:rFonts w:ascii="Calibri" w:hAnsi="Calibri" w:cs="Calibri"/>
          <w:szCs w:val="24"/>
        </w:rPr>
        <w:t xml:space="preserve"> </w:t>
      </w:r>
      <w:r w:rsidRPr="00C53FAC">
        <w:rPr>
          <w:rFonts w:ascii="Calibri" w:hAnsi="Calibri" w:cs="Calibri"/>
          <w:i/>
          <w:iCs/>
          <w:szCs w:val="24"/>
        </w:rPr>
        <w:t>Museum Wales</w:t>
      </w:r>
      <w:r w:rsidRPr="00C53FAC">
        <w:rPr>
          <w:rFonts w:ascii="Calibri" w:hAnsi="Calibri" w:cs="Calibri"/>
          <w:szCs w:val="24"/>
        </w:rPr>
        <w:t xml:space="preserve"> &lt;https://museum.wales/stfagans/stfagans-history/&gt; [accessed 24 August 2022].</w:t>
      </w:r>
      <w:r>
        <w:fldChar w:fldCharType="end"/>
      </w:r>
    </w:p>
  </w:footnote>
  <w:footnote w:id="132">
    <w:p w14:paraId="661DF3AB" w14:textId="14B9C847"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{"citationID":"QMiR4DT8","properties":{"formattedCitation":"\\uc0\\u8216{}A Brief History of St Fagans\\uc0\\u8217{}.","plainCitation":"‘A Brief History of St Fagans’.","noteIndex":131},"citationItems":[{"id":32,"uris":["http://zotero.org/users/6665715/items/ULB63G3U"],"itemData":{"id":32,"type":"webpage","container-title":"Museum Wales","language":"en","title":"A Brief History of St Fagans","URL":"https://museum.wales/stfagans/stfagans-history/","accessed":{"date-parts":[["2022",8,24]]}}}],"schema":"https://github.com/citation-style-language/schema/raw/master/csl-citation.json"} </w:instrText>
      </w:r>
      <w:r>
        <w:fldChar w:fldCharType="separate"/>
      </w:r>
      <w:r w:rsidRPr="003C2026">
        <w:rPr>
          <w:rFonts w:ascii="Calibri" w:hAnsi="Calibri" w:cs="Calibri"/>
          <w:szCs w:val="24"/>
        </w:rPr>
        <w:t>‘A Brief History of St Fagans</w:t>
      </w:r>
      <w:proofErr w:type="gramStart"/>
      <w:r w:rsidRPr="003C2026">
        <w:rPr>
          <w:rFonts w:ascii="Calibri" w:hAnsi="Calibri" w:cs="Calibri"/>
          <w:szCs w:val="24"/>
        </w:rPr>
        <w:t>’.</w:t>
      </w:r>
      <w:proofErr w:type="gramEnd"/>
      <w:r>
        <w:fldChar w:fldCharType="end"/>
      </w:r>
    </w:p>
  </w:footnote>
  <w:footnote w:id="133">
    <w:p w14:paraId="2619D6D7" w14:textId="1520775E"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{"citationID":"0TMAzdvc","properties":{"formattedCitation":"Peate.","plainCitation":"Peate.","noteIndex":132},"citationItems":[{"id":30,"uris":["http://zotero.org/users/6665715/items/PAH46Q5B"],"itemData":{"id":30,"type":"book","title":"AMGUEDDFEYDD GWERIN. FOLK MUSEUMS. WELSH &amp; ENG","author":[{"family":"Peate","given":"Iorwerth Cyfeiliog"}]}}],"schema":"https://github.com/citation-style-language/schema/raw/master/csl-citation.json"} </w:instrText>
      </w:r>
      <w:r>
        <w:fldChar w:fldCharType="separate"/>
      </w:r>
      <w:r w:rsidRPr="00217996">
        <w:rPr>
          <w:rFonts w:ascii="Calibri" w:hAnsi="Calibri" w:cs="Calibri"/>
        </w:rPr>
        <w:t>Peate.</w:t>
      </w:r>
      <w:r>
        <w:fldChar w:fldCharType="end"/>
      </w:r>
      <w:r>
        <w:t>p.61</w:t>
      </w:r>
    </w:p>
  </w:footnote>
  <w:footnote w:id="134">
    <w:p w14:paraId="4853C947" w14:textId="17F95CC2"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{"citationID":"QFt8xhGx","properties":{"formattedCitation":"Levent and Mihalache.","plainCitation":"Levent and Mihalache.","noteIndex":133},"citationItems":[{"id":175,"uris":["http://zotero.org/users/6665715/items/JV9XNU2G"],"itemData":{"id":175,"type":"book","abstract":"Museums of all kinds – art, history, culture, science centers and heritage sites – are actively engaging with food through exhibitions, collections, and stories about food production, consumption, history, taste, and aesthetics. Food also plays a central role in their food courts, restaurants, cafes, gardens, and gift shops. Food and Museums is the first book to explore the diverse, complex relationship between museums and food. This edited collection features theoretical analysis from cultural historians, anthropologists, neuroscientists, and food studies scholars; interviews with museum professionals, artists and chefs; and critical case studies from a wide range of cultural institutions and museums to establish an interdisciplinary framework for the analysis of the role of food in museums. Exploring the richness and complexity of sensory, cultural, social, and political significance of food today as well as in the past, the book demonstrates how food is changing the current museological landscape.A fascinating look at contemporary museums through the lens of food, this is an essential read for students and researchers in museum studies, food studies, cultural studies, and sensory studies as well as museum and food professionals.","ISBN":"978-1-350-07014-1","language":"en","number-of-pages":"385","publisher":"Bloomsbury Publishing","title":"Food and Museums","author":[{"family":"Levent","given":"Nina"},{"family":"Mihalache","given":"Irina D."}],"issued":{"date-parts":[["2018",5,31]]}}}],"schema":"https://github.com/citation-style-language/schema/raw/master/csl-citation.json"} </w:instrText>
      </w:r>
      <w:r>
        <w:fldChar w:fldCharType="separate"/>
      </w:r>
      <w:r w:rsidRPr="008C083B">
        <w:rPr>
          <w:rFonts w:ascii="Calibri" w:hAnsi="Calibri" w:cs="Calibri"/>
        </w:rPr>
        <w:t>Levent and Mihalache.</w:t>
      </w:r>
      <w:r>
        <w:fldChar w:fldCharType="end"/>
      </w:r>
      <w:r>
        <w:t>p.184</w:t>
      </w:r>
    </w:p>
  </w:footnote>
  <w:footnote w:id="135">
    <w:p w14:paraId="515D7418" w14:textId="500E4FEE"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{"citationID":"k0kNkzfO","properties":{"formattedCitation":"Peate.","plainCitation":"Peate.","noteIndex":134},"citationItems":[{"id":30,"uris":["http://zotero.org/users/6665715/items/PAH46Q5B"],"itemData":{"id":30,"type":"book","title":"AMGUEDDFEYDD GWERIN. FOLK MUSEUMS. WELSH &amp; ENG","author":[{"family":"Peate","given":"Iorwerth Cyfeiliog"}]}}],"schema":"https://github.com/citation-style-language/schema/raw/master/csl-citation.json"} </w:instrText>
      </w:r>
      <w:r>
        <w:fldChar w:fldCharType="separate"/>
      </w:r>
      <w:r w:rsidRPr="00170D74">
        <w:rPr>
          <w:rFonts w:ascii="Calibri" w:hAnsi="Calibri" w:cs="Calibri"/>
        </w:rPr>
        <w:t>Peate.</w:t>
      </w:r>
      <w:r>
        <w:fldChar w:fldCharType="end"/>
      </w:r>
      <w:r>
        <w:t>p.61-62</w:t>
      </w:r>
    </w:p>
  </w:footnote>
  <w:footnote w:id="136">
    <w:p w14:paraId="093BAB9E" w14:textId="581A5CF8"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{"citationID":"UJSD9VMj","properties":{"formattedCitation":"UNESCO, \\uc0\\u8216{}Recommendation on the Safeguarding of Traditional Culture and Folklore\\uc0\\u8217{}.","plainCitation":"UNESCO, ‘Recommendation on the Safeguarding of Traditional Culture and Folklore’.","noteIndex":135},"citationItems":[{"id":50,"uris":["http://zotero.org/users/6665715/items/D3AB9YE2"],"itemData":{"id":50,"type":"webpage","abstract":"UNESCO is the United Nations Educational, Scientific and Cultural Organization. It seeks to build peace through international cooperation in education, the sciences, culture and communication. UNESCO’s programmes contribute to the achievement of the Sustainable Development Goals defined in Agenda 2030, adopted by the UN General Assembly in 2015. Serving as a laboratory of ideas, UNESCO helps countries adopt international standards and manages programmes that foster the free flow of ideas and knowledge sharing. In this spirit, it develops educational tools to help people live as global citizens free of hate and intolerance. UNESCO works so that each child and citizen has access to quality education. By promoting cultural heritage and the equal dignity of all cultures, it strengthens bonds among nations. UNESCO fosters scientific programmes and policies that support development and cooperation. UNESCO stands up for freedom of expression, as a fundamental right and a key condition for democracy and development.","container-title":"UNESCO","language":"en","title":"Recommendation on the Safeguarding of Traditional Culture and Folklore","URL":"https://en.unesco.org/about-us/legal-affairs/recommendation-safeguarding-traditional-culture-and-folklore","author":[{"family":"UNESCO","given":""}],"accessed":{"date-parts":[["2022",10,2]]}}}],"schema":"https://github.com/citation-style-language/schema/raw/master/csl-citation.json"} </w:instrText>
      </w:r>
      <w:r>
        <w:fldChar w:fldCharType="separate"/>
      </w:r>
      <w:r w:rsidR="00D90493" w:rsidRPr="00D90493">
        <w:rPr>
          <w:rFonts w:ascii="Calibri" w:hAnsi="Calibri" w:cs="Calibri"/>
          <w:szCs w:val="24"/>
        </w:rPr>
        <w:t>UNESCO, ‘Recommendation on the Safeguarding of Traditional Culture and Folklore</w:t>
      </w:r>
      <w:proofErr w:type="gramStart"/>
      <w:r w:rsidR="00D90493" w:rsidRPr="00D90493">
        <w:rPr>
          <w:rFonts w:ascii="Calibri" w:hAnsi="Calibri" w:cs="Calibri"/>
          <w:szCs w:val="24"/>
        </w:rPr>
        <w:t>’.</w:t>
      </w:r>
      <w:proofErr w:type="gramEnd"/>
      <w:r>
        <w:fldChar w:fldCharType="end"/>
      </w:r>
    </w:p>
  </w:footnote>
  <w:footnote w:id="137">
    <w:p w14:paraId="51337948" w14:textId="37205B27"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{"citationID":"ccC4wlvG","properties":{"formattedCitation":"Christopher Koziol, \\uc0\\u8216{}How Heritage\\uc0\\u8217{}s Debate on Values Fuels Its Valorization Engine: The Side Effects of Controversy from Alois Riegl to Richard Moe\\uc0\\u8217{}, {\\i{}Change Over Time}, 3.2 (2013), 244\\uc0\\u8211{}57 &lt;https://doi.org/10.1353/cot.2013.0012&gt;.","plainCitation":"Christopher Koziol, ‘How Heritage’s Debate on Values Fuels Its Valorization Engine: The Side Effects of Controversy from Alois Riegl to Richard Moe’, Change Over Time, 3.2 (2013), 244–57 &lt;https://doi.org/10.1353/cot.2013.0012&gt;.","noteIndex":135},"citationItems":[{"id":231,"uris":["http://zotero.org/users/6665715/items/Y85KZYG5"],"itemData":{"id":231,"type":"article-journal","abstract":"Discussions of values and valuation constitute a substantial portion of the recent theoretical and policy discourse of heritage conservation. The contrast between many preservationists’ proclivity for broad inclusiveness and economists’ quest for specifiable and parsimonious models has now been explored through a number of heritage conferences and publications. This article moves the debate in a new direction. The argument begins with a discussion of the embedded and inevitable entanglements of assigning value, valuation, and the changeable process by which value is ascribed to an object, valorization. Although alluded to in a few other heritage publications, the discussion here turns to actor network theory (ANT), and specifically the work on the sociotechnical configuration of markets by Michel Callon, for direction. The heritage specific sections of the article focus on historical changes in the policy environment of preservation, and a discussion of how heritage stakeholders, even those as self-consciously detached as academic economists, must be considered to be actors embedded in those activities, including markets, which they propose to critique.","container-title":"Change Over Time","DOI":"10.1353/cot.2013.0012","ISSN":"2153-0548","issue":"2","note":"publisher: University of Pennsylvania Press","page":"244-257","source":"Project MUSE","title":"How Heritage’s Debate on Values Fuels Its Valorization Engine: The Side Effects of Controversy from Alois Riegl to Richard Moe","title-short":"How Heritage’s Debate on Values Fuels Its Valorization Engine","volume":"3","author":[{"family":"Koziol","given":"Christopher"}],"issued":{"date-parts":[["2013"]]}}}],"schema":"https://github.com/citation-style-language/schema/raw/master/csl-citation.json"} </w:instrText>
      </w:r>
      <w:r>
        <w:fldChar w:fldCharType="separate"/>
      </w:r>
      <w:r w:rsidRPr="00A05CFE">
        <w:rPr>
          <w:rFonts w:ascii="Calibri" w:hAnsi="Calibri" w:cs="Calibri"/>
          <w:szCs w:val="24"/>
        </w:rPr>
        <w:t xml:space="preserve">Christopher Koziol, ‘How Heritage’s Debate on Values Fuels Its Valorization Engine: The Side Effects of Controversy from Alois Riegl to Richard Moe’, </w:t>
      </w:r>
      <w:r w:rsidRPr="00A05CFE">
        <w:rPr>
          <w:rFonts w:ascii="Calibri" w:hAnsi="Calibri" w:cs="Calibri"/>
          <w:i/>
          <w:iCs/>
          <w:szCs w:val="24"/>
        </w:rPr>
        <w:t>Change Over Time</w:t>
      </w:r>
      <w:r w:rsidRPr="00A05CFE">
        <w:rPr>
          <w:rFonts w:ascii="Calibri" w:hAnsi="Calibri" w:cs="Calibri"/>
          <w:szCs w:val="24"/>
        </w:rPr>
        <w:t>, 3.2 (2013), 244–57 &lt;https://doi.org/10.1353/cot.2013.0012&gt;.</w:t>
      </w:r>
      <w:r>
        <w:fldChar w:fldCharType="end"/>
      </w:r>
      <w:r>
        <w:t>p.</w:t>
      </w:r>
      <w:proofErr w:type="gramStart"/>
      <w:r>
        <w:t>250</w:t>
      </w:r>
      <w:proofErr w:type="gramEnd"/>
    </w:p>
  </w:footnote>
  <w:footnote w:id="138">
    <w:p w14:paraId="3EC0916E" w14:textId="183590A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{"citationID":"GFqiECru","properties":{"formattedCitation":"\\uc0\\u8216{}Llanerchaeron | Ceredigion | Wales\\uc0\\u8217{}, {\\i{}National Trust} &lt;https://www.nationaltrust.org.uk/visit/wales/llanerchaeron&gt; [accessed 12 January 2023].","plainCitation":"‘Llanerchaeron | Ceredigion | Wales’, National Trust &lt;https://www.nationaltrust.org.uk/visit/wales/llanerchaeron&gt; [accessed 12 January 2023].","noteIndex":136},"citationItems":[{"id":222,"uris":["http://zotero.org/users/6665715/items/PBP3HLUF"],"itemData":{"id":222,"type":"webpage","abstract":"Discover this 18th-century Georgian villa set in the wooded Aeron valley, with a beautiful walled garden, a working farm and a lake.","container-title":"National Trust","language":"en","title":"Llanerchaeron | Ceredigion | Wales","URL":"https://www.nationaltrust.org.uk/visit/wales/llanerchaeron","accessed":{"date-parts":[["2023",1,12]]}}}],"schema":"https://github.com/citation-style-language/schema/raw/master/csl-citation.json"} </w:instrText>
      </w:r>
      <w:r>
        <w:fldChar w:fldCharType="separate"/>
      </w:r>
      <w:r w:rsidRPr="00C568B5">
        <w:rPr>
          <w:rFonts w:ascii="Calibri" w:hAnsi="Calibri" w:cs="Calibri"/>
          <w:szCs w:val="24"/>
        </w:rPr>
        <w:t>‘Llanerchaeron | Ceredigion | Wales</w:t>
      </w:r>
      <w:proofErr w:type="gramStart"/>
      <w:r w:rsidRPr="00C568B5">
        <w:rPr>
          <w:rFonts w:ascii="Calibri" w:hAnsi="Calibri" w:cs="Calibri"/>
          <w:szCs w:val="24"/>
        </w:rPr>
        <w:t>’,</w:t>
      </w:r>
      <w:proofErr w:type="gramEnd"/>
      <w:r w:rsidRPr="00C568B5">
        <w:rPr>
          <w:rFonts w:ascii="Calibri" w:hAnsi="Calibri" w:cs="Calibri"/>
          <w:szCs w:val="24"/>
        </w:rPr>
        <w:t xml:space="preserve"> </w:t>
      </w:r>
      <w:r w:rsidRPr="00C568B5">
        <w:rPr>
          <w:rFonts w:ascii="Calibri" w:hAnsi="Calibri" w:cs="Calibri"/>
          <w:i/>
          <w:iCs/>
          <w:szCs w:val="24"/>
        </w:rPr>
        <w:t>National Trust</w:t>
      </w:r>
      <w:r w:rsidRPr="00C568B5">
        <w:rPr>
          <w:rFonts w:ascii="Calibri" w:hAnsi="Calibri" w:cs="Calibri"/>
          <w:szCs w:val="24"/>
        </w:rPr>
        <w:t xml:space="preserve"> &lt;https://www.nationaltrust.org.uk/visit/wales/llanerchaeron&gt; [accessed 12 January 2023].</w:t>
      </w:r>
      <w:r>
        <w:fldChar w:fldCharType="end"/>
      </w:r>
    </w:p>
  </w:footnote>
  <w:footnote w:id="139">
    <w:p w14:paraId="7C97ED5E" w14:textId="46ACD2BF"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{"citationID":"mIX3g3K7","properties":{"formattedCitation":"\\uc0\\u8216{}Eating and Shopping at Llanerchaeron|Wales\\uc0\\u8217{}, {\\i{}National Trust} &lt;https://www.nationaltrust.org.uk/visit/wales/llanerchaeron/eating-and-shopping-at-llanerchaeron&gt; [accessed 12 January 2023].","plainCitation":"‘Eating and Shopping at Llanerchaeron|Wales’, National Trust &lt;https://www.nationaltrust.org.uk/visit/wales/llanerchaeron/eating-and-shopping-at-llanerchaeron&gt; [accessed 12 January 2023].","noteIndex":137},"citationItems":[{"id":224,"uris":["http://zotero.org/users/6665715/items/S9ZDUB9X"],"itemData":{"id":224,"type":"webpage","abstract":"On your visit to Llanerchaeron in Wales, why not treat yourself to one of Conti's Café’s famous ice creams and take home fresh produce grown in the garden.","container-title":"National Trust","language":"en","title":"Eating and shopping at Llanerchaeron|Wales","URL":"https://www.nationaltrust.org.uk/visit/wales/llanerchaeron/eating-and-shopping-at-llanerchaeron","accessed":{"date-parts":[["2023",1,12]]}}}],"schema":"https://github.com/citation-style-language/schema/raw/master/csl-citation.json"} </w:instrText>
      </w:r>
      <w:r>
        <w:fldChar w:fldCharType="separate"/>
      </w:r>
      <w:r w:rsidRPr="003010F3">
        <w:rPr>
          <w:rFonts w:ascii="Calibri" w:hAnsi="Calibri" w:cs="Calibri"/>
          <w:szCs w:val="24"/>
        </w:rPr>
        <w:t xml:space="preserve">‘Eating and Shopping at </w:t>
      </w:r>
      <w:proofErr w:type="spellStart"/>
      <w:r w:rsidRPr="003010F3">
        <w:rPr>
          <w:rFonts w:ascii="Calibri" w:hAnsi="Calibri" w:cs="Calibri"/>
          <w:szCs w:val="24"/>
        </w:rPr>
        <w:t>Llanerchaeron|Wales</w:t>
      </w:r>
      <w:proofErr w:type="spellEnd"/>
      <w:proofErr w:type="gramStart"/>
      <w:r w:rsidRPr="003010F3">
        <w:rPr>
          <w:rFonts w:ascii="Calibri" w:hAnsi="Calibri" w:cs="Calibri"/>
          <w:szCs w:val="24"/>
        </w:rPr>
        <w:t>’,</w:t>
      </w:r>
      <w:proofErr w:type="gramEnd"/>
      <w:r w:rsidRPr="003010F3">
        <w:rPr>
          <w:rFonts w:ascii="Calibri" w:hAnsi="Calibri" w:cs="Calibri"/>
          <w:szCs w:val="24"/>
        </w:rPr>
        <w:t xml:space="preserve"> </w:t>
      </w:r>
      <w:r w:rsidRPr="003010F3">
        <w:rPr>
          <w:rFonts w:ascii="Calibri" w:hAnsi="Calibri" w:cs="Calibri"/>
          <w:i/>
          <w:iCs/>
          <w:szCs w:val="24"/>
        </w:rPr>
        <w:t>National Trust</w:t>
      </w:r>
      <w:r w:rsidRPr="003010F3">
        <w:rPr>
          <w:rFonts w:ascii="Calibri" w:hAnsi="Calibri" w:cs="Calibri"/>
          <w:szCs w:val="24"/>
        </w:rPr>
        <w:t xml:space="preserve"> &lt;https://www.nationaltrust.org.uk/visit/wales/llanerchaeron/eating-and-shopping-at-llanerchaeron&gt; [accessed 12 January 2023].</w:t>
      </w:r>
      <w:r>
        <w:fldChar w:fldCharType="end"/>
      </w:r>
    </w:p>
  </w:footnote>
  <w:footnote w:id="140">
    <w:p w14:paraId="6B7A2921" w14:textId="787A8A7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{"citationID":"T4vccK7F","properties":{"formattedCitation":"Museum Wales, \\uc0\\u8216{}National Museum of Wales Learning Resources\\uc0\\u8217{} &lt;https://museum.wales/media/36220/Primary-School-Visits.pdf&gt; [accessed 23 January 2023].","plainCitation":"Museum Wales, ‘National Museum of Wales Learning Resources’ &lt;https://museum.wales/media/36220/Primary-School-Visits.pdf&gt; [accessed 23 January 2023].","noteIndex":138},"citationItems":[{"id":242,"uris":["http://zotero.org/users/6665715/items/QC6USCB6"],"itemData":{"id":242,"type":"webpage","title":"National Museum of Wales Learning Resources","URL":"https://museum.wales/media/36220/Primary-School-Visits.pdf","author":[{"family":"Wales","given":"Museum"}],"accessed":{"date-parts":[["2023",1,23]]}}}],"schema":"https://github.com/citation-style-language/schema/raw/master/csl-citation.json"} </w:instrText>
      </w:r>
      <w:r>
        <w:fldChar w:fldCharType="separate"/>
      </w:r>
      <w:r w:rsidRPr="005B066C">
        <w:rPr>
          <w:rFonts w:ascii="Calibri" w:hAnsi="Calibri" w:cs="Calibri"/>
          <w:szCs w:val="24"/>
        </w:rPr>
        <w:t>Museum Wales, ‘National Museum of Wales Learning Resources’ &lt;https://museum.wales/media/36220/Primary-School-Visits.pdf&gt; [accessed 23 January 2023].</w:t>
      </w:r>
      <w:r>
        <w:fldChar w:fldCharType="end"/>
      </w:r>
    </w:p>
  </w:footnote>
  <w:footnote w:id="141">
    <w:p w14:paraId="4888CC1A" w14:textId="0DDBEBC2"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{"citationID":"ByrXefyK","properties":{"formattedCitation":"\\uc0\\u8216{}Learn at Big Pit: National Coal Museum\\uc0\\u8217{}, {\\i{}Museum Wales} &lt;https://museum.wales/bigpit/learning/&gt; [accessed 23 January 2023].","plainCitation":"‘Learn at Big Pit: National Coal Museum’, Museum Wales &lt;https://museum.wales/bigpit/learning/&gt; [accessed 23 January 2023].","noteIndex":139},"citationItems":[{"id":239,"uris":["http://zotero.org/users/6665715/items/PX5YYX3W"],"itemData":{"id":239,"type":"webpage","container-title":"Museum Wales","language":"en","title":"Learn at Big Pit: National Coal Museum","title-short":"Learn at Big Pit","URL":"https://museum.wales/bigpit/learning/","accessed":{"date-parts":[["2023",1,23]]}}}],"schema":"https://github.com/citation-style-language/schema/raw/master/csl-citation.json"} </w:instrText>
      </w:r>
      <w:r>
        <w:fldChar w:fldCharType="separate"/>
      </w:r>
      <w:r w:rsidRPr="00AA6CE5">
        <w:rPr>
          <w:rFonts w:ascii="Calibri" w:hAnsi="Calibri" w:cs="Calibri"/>
          <w:szCs w:val="24"/>
        </w:rPr>
        <w:t>‘Learn at Big Pit: National Coal Museum</w:t>
      </w:r>
      <w:proofErr w:type="gramStart"/>
      <w:r w:rsidRPr="00AA6CE5">
        <w:rPr>
          <w:rFonts w:ascii="Calibri" w:hAnsi="Calibri" w:cs="Calibri"/>
          <w:szCs w:val="24"/>
        </w:rPr>
        <w:t>’,</w:t>
      </w:r>
      <w:proofErr w:type="gramEnd"/>
      <w:r w:rsidRPr="00AA6CE5">
        <w:rPr>
          <w:rFonts w:ascii="Calibri" w:hAnsi="Calibri" w:cs="Calibri"/>
          <w:szCs w:val="24"/>
        </w:rPr>
        <w:t xml:space="preserve"> </w:t>
      </w:r>
      <w:r w:rsidRPr="00AA6CE5">
        <w:rPr>
          <w:rFonts w:ascii="Calibri" w:hAnsi="Calibri" w:cs="Calibri"/>
          <w:i/>
          <w:iCs/>
          <w:szCs w:val="24"/>
        </w:rPr>
        <w:t>Museum Wales</w:t>
      </w:r>
      <w:r w:rsidRPr="00AA6CE5">
        <w:rPr>
          <w:rFonts w:ascii="Calibri" w:hAnsi="Calibri" w:cs="Calibri"/>
          <w:szCs w:val="24"/>
        </w:rPr>
        <w:t xml:space="preserve"> &lt;https://museum.wales/bigpit/learning/&gt; [accessed 23 January 2023].</w:t>
      </w:r>
      <w:r>
        <w:fldChar w:fldCharType="end"/>
      </w:r>
    </w:p>
  </w:footnote>
  <w:footnote w:id="142">
    <w:p w14:paraId="430AD7B0" w14:textId="61FF5AC2"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{"citationID":"lKkk0zpB","properties":{"formattedCitation":"\\uc0\\u8216{}About Amgueddfa Cymru\\uc0\\u8217{}, {\\i{}Museum Wales} &lt;https://museum.wales/about/work-for-us/background/&gt; [accessed 23 January 2023].","plainCitation":"‘About Amgueddfa Cymru’, Museum Wales &lt;https://museum.wales/about/work-for-us/background/&gt; [accessed 23 January 2023].","noteIndex":141},"citationItems":[{"id":243,"uris":["http://zotero.org/users/6665715/items/K8I9NWPW"],"itemData":{"id":243,"type":"webpage","container-title":"Museum Wales","language":"en","title":"About Amgueddfa Cymru","URL":"https://museum.wales/about/work-for-us/background/","accessed":{"date-parts":[["2023",1,23]]}}}],"schema":"https://github.com/citation-style-language/schema/raw/master/csl-citation.json"} </w:instrText>
      </w:r>
      <w:r>
        <w:fldChar w:fldCharType="separate"/>
      </w:r>
      <w:r w:rsidRPr="004B5EE1">
        <w:rPr>
          <w:rFonts w:ascii="Calibri" w:hAnsi="Calibri" w:cs="Calibri"/>
          <w:szCs w:val="24"/>
        </w:rPr>
        <w:t>‘About Amgueddfa Cymru</w:t>
      </w:r>
      <w:proofErr w:type="gramStart"/>
      <w:r w:rsidRPr="004B5EE1">
        <w:rPr>
          <w:rFonts w:ascii="Calibri" w:hAnsi="Calibri" w:cs="Calibri"/>
          <w:szCs w:val="24"/>
        </w:rPr>
        <w:t>’,</w:t>
      </w:r>
      <w:proofErr w:type="gramEnd"/>
      <w:r w:rsidRPr="004B5EE1">
        <w:rPr>
          <w:rFonts w:ascii="Calibri" w:hAnsi="Calibri" w:cs="Calibri"/>
          <w:szCs w:val="24"/>
        </w:rPr>
        <w:t xml:space="preserve"> </w:t>
      </w:r>
      <w:r w:rsidRPr="004B5EE1">
        <w:rPr>
          <w:rFonts w:ascii="Calibri" w:hAnsi="Calibri" w:cs="Calibri"/>
          <w:i/>
          <w:iCs/>
          <w:szCs w:val="24"/>
        </w:rPr>
        <w:t>Museum Wales</w:t>
      </w:r>
      <w:r w:rsidRPr="004B5EE1">
        <w:rPr>
          <w:rFonts w:ascii="Calibri" w:hAnsi="Calibri" w:cs="Calibri"/>
          <w:szCs w:val="24"/>
        </w:rPr>
        <w:t xml:space="preserve"> &lt;https://museum.wales/about/work-for-us/background/&gt; [accessed 23 January 2023].</w:t>
      </w:r>
      <w:r>
        <w:fldChar w:fldCharType="end"/>
      </w:r>
    </w:p>
  </w:footnote>
  <w:footnote w:id="143">
    <w:p w14:paraId="12015767" w14:textId="48441B38"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{"citationID":"UQqrIfCk","properties":{"formattedCitation":"Llerena.","plainCitation":"Llerena.","noteIndex":141},"citationItems":[{"id":3,"uris":["http://zotero.org/users/6665715/items/GIFGLXNM"],"itemData":{"id":3,"type":"article-journal","abstract":"Food is one of the principle components in understanding culture. Since the beginning of time, the human race has searched for food, formed communities around food-rich areas and created culture rituals to celebrate food. To exclude or isolate food from the public space of the museum while representing other aspects of culture is to deny the significance of food as a defining element in the culture and history of exhibitions. By exploring food practices in museums from 1850 to the present the various ways in which food is misrepresented becomes clear. Exploration of particular museums that have become culinary visionaries in educating their publics on food issues, illustrates the possibility for giving food a contemporary voice in their exhibits and aligning museums food service with the Slow Food revolution.","ISSN":"1925-9107","language":"en_ca","license":"Attribution 4.0 International","note":"Accepted: 2017-10-12T15:37:26Z","source":"tspace.library.utoronto.ca","title":"Food Conjures Memory: Making Memory in the Museum","title-short":"Food Conjures Memory","URL":"https://tspace.library.utoronto.ca/handle/1807/78750","author":[{"family":"Llerena","given":"Zella"}],"accessed":{"date-parts":[["2022",8,21]]},"issued":{"date-parts":[["2009",5]]}}}],"schema":"https://github.com/citation-style-language/schema/raw/master/csl-citation.json"} </w:instrText>
      </w:r>
      <w:r>
        <w:fldChar w:fldCharType="separate"/>
      </w:r>
      <w:r w:rsidRPr="00031D7B">
        <w:rPr>
          <w:rFonts w:ascii="Calibri" w:hAnsi="Calibri" w:cs="Calibri"/>
        </w:rPr>
        <w:t>Llerena.</w:t>
      </w:r>
      <w:r>
        <w:fldChar w:fldCharType="end"/>
      </w:r>
    </w:p>
  </w:footnote>
  <w:footnote w:id="144">
    <w:p w14:paraId="5882C370" w14:textId="39A08624" w:rsidR="00BE50E2" w:rsidRDefault="00BE50E2" w:rsidP="00BE50E2">
      <w:pPr>
        <w:pStyle w:val="FootnoteText"/>
      </w:pPr>
      <w:r>
        <w:rPr>
          <w:rStyle w:val="FootnoteReference"/>
        </w:rPr>
        <w:footnoteRef/>
      </w:r>
      <w:r>
        <w:t xml:space="preserve"> </w:t>
      </w:r>
      <w:r>
        <w:fldChar w:fldCharType="begin"/>
      </w:r>
      <w:r w:rsidR="005831B4">
        <w:instrText xml:space="preserve"> ADDIN ZOTERO_ITEM CSL_CITATION {"citationID":"SGX1LeGQ","properties":{"formattedCitation":"\\uc0\\u8216{}About Amgueddfa Cymru\\uc0\\u8217{}.","plainCitation":"‘About Amgueddfa Cymru’.","noteIndex":143},"citationItems":[{"id":243,"uris":["http://zotero.org/users/6665715/items/K8I9NWPW"],"itemData":{"id":243,"type":"webpage","container-title":"Museum Wales","language":"en","title":"About Amgueddfa Cymru","URL":"https://museum.wales/about/work-for-us/background/","accessed":{"date-parts":[["2023",1,23]]}}}],"schema":"https://github.com/citation-style-language/schema/raw/master/csl-citation.json"} </w:instrText>
      </w:r>
      <w:r>
        <w:fldChar w:fldCharType="separate"/>
      </w:r>
      <w:r w:rsidRPr="0052019E">
        <w:rPr>
          <w:rFonts w:ascii="Calibri" w:hAnsi="Calibri" w:cs="Calibri"/>
          <w:szCs w:val="24"/>
        </w:rPr>
        <w:t>‘About Amgueddfa Cymru</w:t>
      </w:r>
      <w:proofErr w:type="gramStart"/>
      <w:r w:rsidRPr="0052019E">
        <w:rPr>
          <w:rFonts w:ascii="Calibri" w:hAnsi="Calibri" w:cs="Calibri"/>
          <w:szCs w:val="24"/>
        </w:rPr>
        <w:t>’.</w:t>
      </w:r>
      <w:proofErr w:type="gramEnd"/>
      <w:r>
        <w:fldChar w:fldCharType="end"/>
      </w:r>
    </w:p>
  </w:footnote>
  <w:footnote w:id="145">
    <w:p w14:paraId="2B90824B" w14:textId="16C2396F" w:rsidR="00BE50E2" w:rsidRDefault="00BE50E2" w:rsidP="00BE50E2">
      <w:pPr>
        <w:pStyle w:val="FootnoteText"/>
      </w:pPr>
      <w:r>
        <w:rPr>
          <w:rStyle w:val="FootnoteReference"/>
        </w:rPr>
        <w:footnoteRef/>
      </w:r>
      <w:r>
        <w:t xml:space="preserve"> </w:t>
      </w:r>
      <w:r>
        <w:fldChar w:fldCharType="begin"/>
      </w:r>
      <w:r w:rsidR="005831B4">
        <w:instrText xml:space="preserve"> ADDIN ZOTERO_ITEM CSL_CITATION {"citationID":"rxlhaS6Y","properties":{"formattedCitation":"\\uc0\\u8216{}Faggots, Herring, and Small Beer: Food for Sale\\uc0\\u8217{}, {\\i{}Peoples Collection Wales} &lt;https://www.peoplescollection.wales/content/faggots-herring-and-small-beer-food-sale&gt; [accessed 23 January 2023].","plainCitation":"‘Faggots, Herring, and Small Beer: Food for Sale’, Peoples Collection Wales &lt;https://www.peoplescollection.wales/content/faggots-herring-and-small-beer-food-sale&gt; [accessed 23 January 2023].","noteIndex":144},"citationItems":[{"id":253,"uris":["http://zotero.org/users/6665715/items/UEPBYTIH"],"itemData":{"id":253,"type":"webpage","abstract":"Selling traditional dishes from the home or on the local market stall used to be a prominent cottage industry in the industrial towns and villages of nor...","container-title":"Peoples Collection Wales","language":"en","title":"Faggots, herring, and small beer: food for sale","title-short":"Faggots, herring, and small beer","URL":"https://www.peoplescollection.wales/content/faggots-herring-and-small-beer-food-sale","accessed":{"date-parts":[["2023",1,23]]}}}],"schema":"https://github.com/citation-style-language/schema/raw/master/csl-citation.json"} </w:instrText>
      </w:r>
      <w:r>
        <w:fldChar w:fldCharType="separate"/>
      </w:r>
      <w:r w:rsidRPr="00887818">
        <w:rPr>
          <w:rFonts w:ascii="Calibri" w:hAnsi="Calibri" w:cs="Calibri"/>
          <w:szCs w:val="24"/>
        </w:rPr>
        <w:t>‘Faggots, Herring, and Small Beer: Food for Sale</w:t>
      </w:r>
      <w:proofErr w:type="gramStart"/>
      <w:r w:rsidRPr="00887818">
        <w:rPr>
          <w:rFonts w:ascii="Calibri" w:hAnsi="Calibri" w:cs="Calibri"/>
          <w:szCs w:val="24"/>
        </w:rPr>
        <w:t>’,</w:t>
      </w:r>
      <w:proofErr w:type="gramEnd"/>
      <w:r w:rsidRPr="00887818">
        <w:rPr>
          <w:rFonts w:ascii="Calibri" w:hAnsi="Calibri" w:cs="Calibri"/>
          <w:szCs w:val="24"/>
        </w:rPr>
        <w:t xml:space="preserve"> </w:t>
      </w:r>
      <w:r w:rsidRPr="00887818">
        <w:rPr>
          <w:rFonts w:ascii="Calibri" w:hAnsi="Calibri" w:cs="Calibri"/>
          <w:i/>
          <w:iCs/>
          <w:szCs w:val="24"/>
        </w:rPr>
        <w:t>Peoples Collection Wales</w:t>
      </w:r>
      <w:r w:rsidRPr="00887818">
        <w:rPr>
          <w:rFonts w:ascii="Calibri" w:hAnsi="Calibri" w:cs="Calibri"/>
          <w:szCs w:val="24"/>
        </w:rPr>
        <w:t xml:space="preserve"> &lt;https://www.peoplescollection.wales/content/faggots-herring-and-small-beer-food-sale&gt; [accessed 23 January 2023].</w:t>
      </w:r>
      <w:r>
        <w:fldChar w:fldCharType="end"/>
      </w:r>
    </w:p>
  </w:footnote>
  <w:footnote w:id="146">
    <w:p w14:paraId="61E35295" w14:textId="2880A8E5" w:rsidR="00BE50E2" w:rsidRDefault="00BE50E2" w:rsidP="00BE50E2">
      <w:pPr>
        <w:pStyle w:val="FootnoteText"/>
      </w:pPr>
      <w:r>
        <w:rPr>
          <w:rStyle w:val="FootnoteReference"/>
        </w:rPr>
        <w:footnoteRef/>
      </w:r>
      <w:r>
        <w:t xml:space="preserve"> </w:t>
      </w:r>
      <w:r>
        <w:fldChar w:fldCharType="begin"/>
      </w:r>
      <w:r w:rsidR="005831B4">
        <w:instrText xml:space="preserve"> ADDIN ZOTERO_ITEM CSL_CITATION {"citationID":"YVJBlwsg","properties":{"formattedCitation":"Bruley.","plainCitation":"Bruley.","noteIndex":145},"citationItems":[{"id":108,"uris":["http://zotero.org/users/6665715/items/WNQENUVB"],"itemData":{"id":108,"type":"article-journal","abstract":"This article features the General Strike and Miners’ Lockout in South Wales in 1926. It examines the Lockout from the perspective of social and gender history, focusing on communal eating which was a central feature of community survival and resistance. It documents the extensive network of soup kitchens for miners, which was established across the South Wales coal field during the seven months of the Lockout. In addition school feeding and the involvement of both central and local authorities is analysed. The article highlights the opportunities that arose from the Lockout, particularly through communal eating, for a reduction in gender segregation and a challenge to male dominance. It concludes that overall, women in these mining communities were concerned to maintain class solidarity with their men rather than to make advances for women. Maintaining the masculine identity of the militant miner, which necessarily incorporated male bonding and women's subordination, was regarded as an essential feature of the class struggle.","container-title":"Twentieth Century British History","DOI":"10.1093/tcbh/hwl045","ISSN":"0955-2359","issue":"1","journalAbbreviation":"Twentieth Century British History","page":"54-77","source":"Silverchair","title":"The Politics of Food: Gender, Family, Community and Collective Feeding in South Wales in the General Strike and Miners’ Lockout of 1926","title-short":"The Politics of Food","volume":"18","author":[{"family":"Bruley","given":"Sue"}],"issued":{"date-parts":[["2007",1,1]]}}}],"schema":"https://github.com/citation-style-language/schema/raw/master/csl-citation.json"} </w:instrText>
      </w:r>
      <w:r>
        <w:fldChar w:fldCharType="separate"/>
      </w:r>
      <w:r w:rsidR="00C4228E" w:rsidRPr="00C4228E">
        <w:rPr>
          <w:rFonts w:ascii="Calibri" w:hAnsi="Calibri" w:cs="Calibri"/>
        </w:rPr>
        <w:t>Bruley.</w:t>
      </w:r>
      <w:r>
        <w:fldChar w:fldCharType="end"/>
      </w:r>
      <w:r>
        <w:t xml:space="preserve"> P.56</w:t>
      </w:r>
    </w:p>
  </w:footnote>
  <w:footnote w:id="147">
    <w:p w14:paraId="68E40813" w14:textId="65F577AE" w:rsidR="00BE50E2" w:rsidRDefault="00BE50E2" w:rsidP="00BE50E2">
      <w:pPr>
        <w:pStyle w:val="FootnoteText"/>
      </w:pPr>
      <w:r>
        <w:rPr>
          <w:rStyle w:val="FootnoteReference"/>
        </w:rPr>
        <w:footnoteRef/>
      </w:r>
      <w:r>
        <w:t xml:space="preserve"> </w:t>
      </w:r>
      <w:r>
        <w:fldChar w:fldCharType="begin"/>
      </w:r>
      <w:r w:rsidR="005831B4">
        <w:instrText xml:space="preserve"> ADDIN ZOTERO_ITEM CSL_CITATION {"citationID":"snQ9dSUk","properties":{"formattedCitation":"\\uc0\\u8216{}Faggots, Herring, and Small Beer\\uc0\\u8217{}.","plainCitation":"‘Faggots, Herring, and Small Beer’.","noteIndex":146},"citationItems":[{"id":253,"uris":["http://zotero.org/users/6665715/items/UEPBYTIH"],"itemData":{"id":253,"type":"webpage","abstract":"Selling traditional dishes from the home or on the local market stall used to be a prominent cottage industry in the industrial towns and villages of nor...","container-title":"Peoples Collection Wales","language":"en","title":"Faggots, herring, and small beer: food for sale","title-short":"Faggots, herring, and small beer","URL":"https://www.peoplescollection.wales/content/faggots-herring-and-small-beer-food-sale","accessed":{"date-parts":[["2023",1,23]]}}}],"schema":"https://github.com/citation-style-language/schema/raw/master/csl-citation.json"} </w:instrText>
      </w:r>
      <w:r>
        <w:fldChar w:fldCharType="separate"/>
      </w:r>
      <w:r w:rsidRPr="001E18A9">
        <w:rPr>
          <w:rFonts w:ascii="Calibri" w:hAnsi="Calibri" w:cs="Calibri"/>
          <w:szCs w:val="24"/>
        </w:rPr>
        <w:t>‘Faggots, Herring, and Small Beer</w:t>
      </w:r>
      <w:proofErr w:type="gramStart"/>
      <w:r w:rsidRPr="001E18A9">
        <w:rPr>
          <w:rFonts w:ascii="Calibri" w:hAnsi="Calibri" w:cs="Calibri"/>
          <w:szCs w:val="24"/>
        </w:rPr>
        <w:t>’.</w:t>
      </w:r>
      <w:proofErr w:type="gramEnd"/>
      <w:r>
        <w:fldChar w:fldCharType="end"/>
      </w:r>
    </w:p>
  </w:footnote>
  <w:footnote w:id="148">
    <w:p w14:paraId="6F10737E" w14:textId="3D6F3EA8" w:rsidR="0045369E" w:rsidRDefault="0045369E">
      <w:pPr>
        <w:pStyle w:val="FootnoteText"/>
      </w:pPr>
      <w:r>
        <w:rPr>
          <w:rStyle w:val="FootnoteReference"/>
        </w:rPr>
        <w:footnoteRef/>
      </w:r>
      <w:r>
        <w:t xml:space="preserve"> </w:t>
      </w:r>
      <w:r>
        <w:fldChar w:fldCharType="begin"/>
      </w:r>
      <w:r w:rsidR="005831B4">
        <w:instrText xml:space="preserve"> ADDIN ZOTERO_ITEM CSL_CITATION {"citationID":"sSTVKwOL","properties":{"formattedCitation":"\\uc0\\u8216{}Faggots, Herring, and Small Beer\\uc0\\u8217{}.","plainCitation":"‘Faggots, Herring, and Small Beer’.","noteIndex":147},"citationItems":[{"id":253,"uris":["http://zotero.org/users/6665715/items/UEPBYTIH"],"itemData":{"id":253,"type":"webpage","abstract":"Selling traditional dishes from the home or on the local market stall used to be a prominent cottage industry in the industrial towns and villages of nor...","container-title":"Peoples Collection Wales","language":"en","title":"Faggots, herring, and small beer: food for sale","title-short":"Faggots, herring, and small beer","URL":"https://www.peoplescollection.wales/content/faggots-herring-and-small-beer-food-sale","accessed":{"date-parts":[["2023",1,23]]}}}],"schema":"https://github.com/citation-style-language/schema/raw/master/csl-citation.json"} </w:instrText>
      </w:r>
      <w:r>
        <w:fldChar w:fldCharType="separate"/>
      </w:r>
      <w:r w:rsidRPr="0045369E">
        <w:rPr>
          <w:rFonts w:ascii="Calibri" w:hAnsi="Calibri" w:cs="Calibri"/>
          <w:szCs w:val="24"/>
        </w:rPr>
        <w:t>‘Faggots, Herring, and Small Beer</w:t>
      </w:r>
      <w:proofErr w:type="gramStart"/>
      <w:r w:rsidRPr="0045369E">
        <w:rPr>
          <w:rFonts w:ascii="Calibri" w:hAnsi="Calibri" w:cs="Calibri"/>
          <w:szCs w:val="24"/>
        </w:rPr>
        <w:t>’.</w:t>
      </w:r>
      <w:proofErr w:type="gramEnd"/>
      <w:r>
        <w:fldChar w:fldCharType="end"/>
      </w:r>
    </w:p>
  </w:footnote>
  <w:footnote w:id="149">
    <w:p w14:paraId="0F16BAF7" w14:textId="78F34D61"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{"citationID":"oJqApXlN","properties":{"formattedCitation":"Jeremy Knight, {\\i{}Blaenavon: From Iron Town to World Heritage Site}, UK ed. edition (Little Logaston, Woonton, Almeley, Herefordshire: Logaston Press, 2016).","plainCitation":"Jeremy Knight, Blaenavon: From Iron Town to World Heritage Site, UK ed. edition (Little Logaston, Woonton, Almeley, Herefordshire: Logaston Press, 2016).","noteIndex":148},"citationItems":[{"id":247,"uris":["http://zotero.org/users/6665715/items/KYU5SEWB"],"itemData":{"id":247,"type":"book","edition":"UK ed. edition","event-place":"Little Logaston, Woonton, Almeley, Herefordshire","ISBN":"978-1-910839-01-0","language":"English","number-of-pages":"208","publisher":"Logaston Press","publisher-place":"Little Logaston, Woonton, Almeley, Herefordshire","title":"Blaenavon: From Iron Town to World Heritage Site","title-short":"Blaenavon","author":[{"family":"Knight","given":"Jeremy"}],"issued":{"date-parts":[["2016",4,16]]}}}],"schema":"https://github.com/citation-style-language/schema/raw/master/csl-citation.json"} </w:instrText>
      </w:r>
      <w:r>
        <w:fldChar w:fldCharType="separate"/>
      </w:r>
      <w:r w:rsidRPr="001947FE">
        <w:rPr>
          <w:rFonts w:ascii="Calibri" w:hAnsi="Calibri" w:cs="Calibri"/>
          <w:szCs w:val="24"/>
        </w:rPr>
        <w:t xml:space="preserve">Jeremy Knight, </w:t>
      </w:r>
      <w:r w:rsidRPr="001947FE">
        <w:rPr>
          <w:rFonts w:ascii="Calibri" w:hAnsi="Calibri" w:cs="Calibri"/>
          <w:i/>
          <w:iCs/>
          <w:szCs w:val="24"/>
        </w:rPr>
        <w:t>Blaenavon: From Iron Town to World Heritage Site</w:t>
      </w:r>
      <w:r w:rsidRPr="001947FE">
        <w:rPr>
          <w:rFonts w:ascii="Calibri" w:hAnsi="Calibri" w:cs="Calibri"/>
          <w:szCs w:val="24"/>
        </w:rPr>
        <w:t>, UK ed. edition (Little Logaston, Woonton, Almeley, Herefordshire: Logaston Press, 2016).</w:t>
      </w:r>
      <w:r>
        <w:fldChar w:fldCharType="end"/>
      </w:r>
    </w:p>
  </w:footnote>
  <w:footnote w:id="150">
    <w:p w14:paraId="760F4515" w14:textId="06CD688C"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{"citationID":"S4uswvxR","properties":{"formattedCitation":"Knight.","plainCitation":"Knight.","noteIndex":149},"citationItems":[{"id":247,"uris":["http://zotero.org/users/6665715/items/KYU5SEWB"],"itemData":{"id":247,"type":"book","edition":"UK ed. edition","event-place":"Little Logaston, Woonton, Almeley, Herefordshire","ISBN":"978-1-910839-01-0","language":"English","number-of-pages":"208","publisher":"Logaston Press","publisher-place":"Little Logaston, Woonton, Almeley, Herefordshire","title":"Blaenavon: From Iron Town to World Heritage Site","title-short":"Blaenavon","author":[{"family":"Knight","given":"Jeremy"}],"issued":{"date-parts":[["2016",4,16]]}}}],"schema":"https://github.com/citation-style-language/schema/raw/master/csl-citation.json"} </w:instrText>
      </w:r>
      <w:r>
        <w:fldChar w:fldCharType="separate"/>
      </w:r>
      <w:r w:rsidRPr="001947FE">
        <w:rPr>
          <w:rFonts w:ascii="Calibri" w:hAnsi="Calibri" w:cs="Calibri"/>
        </w:rPr>
        <w:t>Knight.</w:t>
      </w:r>
      <w:r>
        <w:fldChar w:fldCharType="end"/>
      </w:r>
    </w:p>
  </w:footnote>
  <w:footnote w:id="151">
    <w:p w14:paraId="42DA2F0A" w14:textId="506ABBFA" w:rsidR="00BE50E2" w:rsidRDefault="00BE50E2" w:rsidP="00BE50E2">
      <w:pPr>
        <w:pStyle w:val="FootnoteText"/>
      </w:pPr>
      <w:r>
        <w:rPr>
          <w:rStyle w:val="FootnoteReference"/>
        </w:rPr>
        <w:footnoteRef/>
      </w:r>
      <w:r>
        <w:t xml:space="preserve"> </w:t>
      </w:r>
      <w:r>
        <w:fldChar w:fldCharType="begin"/>
      </w:r>
      <w:r w:rsidR="003E0AD9">
        <w:instrText xml:space="preserve"> ADDIN ZOTERO_ITEM CSL_CITATION {"citationID":"7XjdBlsu","properties":{"formattedCitation":"James Stourton, {\\i{}Heritage: A History of How We Conserve Our Past} (Apollo, 2022).","plainCitation":"James Stourton, Heritage: A History of How We Conserve Our Past (Apollo, 2022).","noteIndex":149},"citationItems":[{"id":209,"uris":["http://zotero.org/users/6665715/items/R33ALRB4"],"itemData":{"id":209,"type":"book","abstract":"What is heritage? When was it invented? What is its place in the world today? What is its place tomorrow? Heritage is all around us: millions belong to its organisations, tens of thousands volunteer for it, and politicians pay lip service to it. When the Victorians began to employ the term in something approaching the modern sense, they applied it to cathedrals, castles, villages and certain landscapes. Since then a multiplicity of heritage labels have arisen, cultural and commercial, tangible and intangible - for just as every era has its notion of heritage, so does every social group, and every generation.In Heritage, James Stourton focuses on elements of our cultural and natural environment that have been deliberately preserved: the British countryside and national parks, buildings such as Blenheim Palace and Tattersall Castle, and the works of art inside them. He charts two heroic periods of conservation - the 1880s and the 1960s - and considers whether threats of wealth, rampant development and complacency are similar in the present day. Heritage is both a story of crisis and profound change in public perception, and one of hope and regeneration.","ISBN":"978-1-83893-316-6","language":"English","number-of-pages":"496","publisher":"Apollo","title":"Heritage: A History of How We Conserve Our Past","title-short":"Heritage","author":[{"family":"Stourton","given":"James"}],"issued":{"date-parts":[["2022",11,10]]}}}],"schema":"https://github.com/citation-style-language/schema/raw/master/csl-citation.json"} </w:instrText>
      </w:r>
      <w:r>
        <w:fldChar w:fldCharType="separate"/>
      </w:r>
      <w:r w:rsidRPr="002D02DA">
        <w:rPr>
          <w:rFonts w:ascii="Calibri" w:hAnsi="Calibri" w:cs="Calibri"/>
          <w:szCs w:val="24"/>
        </w:rPr>
        <w:t xml:space="preserve">James Stourton, </w:t>
      </w:r>
      <w:r w:rsidRPr="002D02DA">
        <w:rPr>
          <w:rFonts w:ascii="Calibri" w:hAnsi="Calibri" w:cs="Calibri"/>
          <w:i/>
          <w:iCs/>
          <w:szCs w:val="24"/>
        </w:rPr>
        <w:t>Heritage: A History of How We Conserve Our Past</w:t>
      </w:r>
      <w:r w:rsidRPr="002D02DA">
        <w:rPr>
          <w:rFonts w:ascii="Calibri" w:hAnsi="Calibri" w:cs="Calibri"/>
          <w:szCs w:val="24"/>
        </w:rPr>
        <w:t xml:space="preserve"> (Apollo, 2022).</w:t>
      </w:r>
      <w:r>
        <w:fldChar w:fldCharType="end"/>
      </w:r>
    </w:p>
  </w:footnote>
  <w:footnote w:id="152">
    <w:p w14:paraId="474B6893" w14:textId="6FA21A71" w:rsidR="00BE50E2" w:rsidRDefault="00BE50E2" w:rsidP="00BE50E2">
      <w:pPr>
        <w:pStyle w:val="FootnoteText"/>
      </w:pPr>
      <w:r w:rsidRPr="00F80D1B">
        <w:rPr>
          <w:rStyle w:val="FootnoteReference"/>
        </w:rPr>
        <w:footnoteRef/>
      </w:r>
      <w:r>
        <w:t xml:space="preserve"> </w:t>
      </w:r>
      <w:r>
        <w:fldChar w:fldCharType="begin"/>
      </w:r>
      <w:r w:rsidR="005831B4">
        <w:instrText xml:space="preserve"> ADDIN ZOTERO_ITEM CSL_CITATION {"citationID":"2McjEquT","properties":{"formattedCitation":"\\uc0\\u8216{}About Castell Henllys\\uc0\\u8217{}, {\\i{}Pembrokeshire Coast National Park} &lt;https://www.pembrokeshirecoast.wales/castell-henllys/about-castell-henllys/&gt; [accessed 12 January 2023].","plainCitation":"‘About Castell Henllys’, Pembrokeshire Coast National Park &lt;https://www.pembrokeshirecoast.wales/castell-henllys/about-castell-henllys/&gt; [accessed 12 January 2023].","noteIndex":151},"citationItems":[{"id":232,"uris":["http://zotero.org/users/6665715/items/ZS57YTAE"],"itemData":{"id":232,"type":"webpage","container-title":"Pembrokeshire Coast National Park","language":"en-US","title":"About Castell Henllys","URL":"https://www.pembrokeshirecoast.wales/castell-henllys/about-castell-henllys/","accessed":{"date-parts":[["2023",1,12]]}}}],"schema":"https://github.com/citation-style-language/schema/raw/master/csl-citation.json"} </w:instrText>
      </w:r>
      <w:r>
        <w:fldChar w:fldCharType="separate"/>
      </w:r>
      <w:r w:rsidRPr="00132A16">
        <w:rPr>
          <w:rFonts w:ascii="Calibri" w:hAnsi="Calibri" w:cs="Calibri"/>
          <w:szCs w:val="24"/>
        </w:rPr>
        <w:t>‘About Castell Henllys</w:t>
      </w:r>
      <w:proofErr w:type="gramStart"/>
      <w:r w:rsidRPr="00132A16">
        <w:rPr>
          <w:rFonts w:ascii="Calibri" w:hAnsi="Calibri" w:cs="Calibri"/>
          <w:szCs w:val="24"/>
        </w:rPr>
        <w:t>’,</w:t>
      </w:r>
      <w:proofErr w:type="gramEnd"/>
      <w:r w:rsidRPr="00132A16">
        <w:rPr>
          <w:rFonts w:ascii="Calibri" w:hAnsi="Calibri" w:cs="Calibri"/>
          <w:szCs w:val="24"/>
        </w:rPr>
        <w:t xml:space="preserve"> </w:t>
      </w:r>
      <w:r w:rsidRPr="00132A16">
        <w:rPr>
          <w:rFonts w:ascii="Calibri" w:hAnsi="Calibri" w:cs="Calibri"/>
          <w:i/>
          <w:iCs/>
          <w:szCs w:val="24"/>
        </w:rPr>
        <w:t>Pembrokeshire Coast National Park</w:t>
      </w:r>
      <w:r w:rsidRPr="00132A16">
        <w:rPr>
          <w:rFonts w:ascii="Calibri" w:hAnsi="Calibri" w:cs="Calibri"/>
          <w:szCs w:val="24"/>
        </w:rPr>
        <w:t xml:space="preserve"> &lt;https://www.pembrokeshirecoast.wales/castell-henllys/about-castell-henllys/&gt; [accessed 12 January 2023].</w:t>
      </w:r>
      <w:r>
        <w:fldChar w:fldCharType="end"/>
      </w:r>
    </w:p>
  </w:footnote>
  <w:footnote w:id="153">
    <w:p w14:paraId="32F7B65B" w14:textId="008F9F57" w:rsidR="00BE50E2" w:rsidRDefault="00BE50E2" w:rsidP="00BE50E2">
      <w:pPr>
        <w:pStyle w:val="FootnoteText"/>
      </w:pPr>
      <w:r w:rsidRPr="00F80D1B">
        <w:rPr>
          <w:rStyle w:val="FootnoteReference"/>
        </w:rPr>
        <w:footnoteRef/>
      </w:r>
      <w:r>
        <w:t xml:space="preserve"> </w:t>
      </w:r>
      <w:r>
        <w:fldChar w:fldCharType="begin"/>
      </w:r>
      <w:r w:rsidR="003E0AD9">
        <w:instrText xml:space="preserve"> ADDIN ZOTERO_ITEM CSL_CITATION {"citationID":"1Nk0J5wa","properties":{"formattedCitation":"\\uc0\\u8216{}Meet the Tribe\\uc0\\u8217{}, {\\i{}Pembrokeshire Coast National Park} &lt;https://www.pembrokeshirecoast.wales/castell-henllys/about-castell-henllys/meet-the-tribe/&gt; [accessed 23 January 2023].","plainCitation":"‘Meet the Tribe’, Pembrokeshire Coast National Park &lt;https://www.pembrokeshirecoast.wales/castell-henllys/about-castell-henllys/meet-the-tribe/&gt; [accessed 23 January 2023].","noteIndex":151},"citationItems":[{"id":249,"uris":["http://zotero.org/users/6665715/items/AW2PBNS4"],"itemData":{"id":249,"type":"webpage","container-title":"Pembrokeshire Coast National Park","language":"en-US","title":"Meet the Tribe","URL":"https://www.pembrokeshirecoast.wales/castell-henllys/about-castell-henllys/meet-the-tribe/","accessed":{"date-parts":[["2023",1,23]]}}}],"schema":"https://github.com/citation-style-language/schema/raw/master/csl-citation.json"} </w:instrText>
      </w:r>
      <w:r>
        <w:fldChar w:fldCharType="separate"/>
      </w:r>
      <w:r w:rsidRPr="005D29D6">
        <w:rPr>
          <w:rFonts w:ascii="Calibri" w:hAnsi="Calibri" w:cs="Calibri"/>
          <w:szCs w:val="24"/>
        </w:rPr>
        <w:t>‘Meet the Tribe</w:t>
      </w:r>
      <w:proofErr w:type="gramStart"/>
      <w:r w:rsidRPr="005D29D6">
        <w:rPr>
          <w:rFonts w:ascii="Calibri" w:hAnsi="Calibri" w:cs="Calibri"/>
          <w:szCs w:val="24"/>
        </w:rPr>
        <w:t>’,</w:t>
      </w:r>
      <w:proofErr w:type="gramEnd"/>
      <w:r w:rsidRPr="005D29D6">
        <w:rPr>
          <w:rFonts w:ascii="Calibri" w:hAnsi="Calibri" w:cs="Calibri"/>
          <w:szCs w:val="24"/>
        </w:rPr>
        <w:t xml:space="preserve"> </w:t>
      </w:r>
      <w:r w:rsidRPr="005D29D6">
        <w:rPr>
          <w:rFonts w:ascii="Calibri" w:hAnsi="Calibri" w:cs="Calibri"/>
          <w:i/>
          <w:iCs/>
          <w:szCs w:val="24"/>
        </w:rPr>
        <w:t>Pembrokeshire Coast National Park</w:t>
      </w:r>
      <w:r w:rsidRPr="005D29D6">
        <w:rPr>
          <w:rFonts w:ascii="Calibri" w:hAnsi="Calibri" w:cs="Calibri"/>
          <w:szCs w:val="24"/>
        </w:rPr>
        <w:t xml:space="preserve"> &lt;https://www.pembrokeshirecoast.wales/castell-henllys/about-castell-henllys/meet-the-tribe/&gt; [accessed 23 January 2023].</w:t>
      </w:r>
      <w:r>
        <w:fldChar w:fldCharType="end"/>
      </w:r>
    </w:p>
  </w:footnote>
  <w:footnote w:id="154">
    <w:p w14:paraId="641B8A90" w14:textId="5FAE4696" w:rsidR="00BE50E2" w:rsidRDefault="00BE50E2" w:rsidP="00BE50E2">
      <w:pPr>
        <w:pStyle w:val="FootnoteText"/>
      </w:pPr>
      <w:r>
        <w:rPr>
          <w:rStyle w:val="FootnoteReference"/>
        </w:rPr>
        <w:footnoteRef/>
      </w:r>
      <w:r>
        <w:t xml:space="preserve"> </w:t>
      </w:r>
      <w:r>
        <w:fldChar w:fldCharType="begin"/>
      </w:r>
      <w:r w:rsidR="005831B4">
        <w:instrText xml:space="preserve"> ADDIN ZOTERO_ITEM CSL_CITATION {"citationID":"sbIvHhrx","properties":{"formattedCitation":"\\uc0\\u8216{}About Castell Henllys\\uc0\\u8217{}.","plainCitation":"‘About Castell Henllys’.","noteIndex":153},"citationItems":[{"id":232,"uris":["http://zotero.org/users/6665715/items/ZS57YTAE"],"itemData":{"id":232,"type":"webpage","container-title":"Pembrokeshire Coast National Park","language":"en-US","title":"About Castell Henllys","URL":"https://www.pembrokeshirecoast.wales/castell-henllys/about-castell-henllys/","accessed":{"date-parts":[["2023",1,12]]}}}],"schema":"https://github.com/citation-style-language/schema/raw/master/csl-citation.json"} </w:instrText>
      </w:r>
      <w:r>
        <w:fldChar w:fldCharType="separate"/>
      </w:r>
      <w:r w:rsidRPr="00947F07">
        <w:rPr>
          <w:rFonts w:ascii="Calibri" w:hAnsi="Calibri" w:cs="Calibri"/>
          <w:szCs w:val="24"/>
        </w:rPr>
        <w:t>‘About Castell Henllys</w:t>
      </w:r>
      <w:proofErr w:type="gramStart"/>
      <w:r w:rsidRPr="00947F07">
        <w:rPr>
          <w:rFonts w:ascii="Calibri" w:hAnsi="Calibri" w:cs="Calibri"/>
          <w:szCs w:val="24"/>
        </w:rPr>
        <w:t>’.</w:t>
      </w:r>
      <w:proofErr w:type="gramEnd"/>
      <w:r>
        <w:fldChar w:fldCharType="end"/>
      </w:r>
    </w:p>
  </w:footnote>
  <w:footnote w:id="155">
    <w:p w14:paraId="0F9F976C" w14:textId="712AB245" w:rsidR="00BE50E2" w:rsidRDefault="00BE50E2" w:rsidP="00BE50E2">
      <w:pPr>
        <w:pStyle w:val="FootnoteText"/>
      </w:pPr>
      <w:r>
        <w:rPr>
          <w:rStyle w:val="FootnoteReference"/>
        </w:rPr>
        <w:footnoteRef/>
      </w:r>
      <w:r>
        <w:t xml:space="preserve"> </w:t>
      </w:r>
      <w:r>
        <w:fldChar w:fldCharType="begin"/>
      </w:r>
      <w:r w:rsidR="003E0AD9">
        <w:instrText xml:space="preserve"> ADDIN ZOTERO_ITEM CSL_CITATION {"citationID":"tJzo9WcA","properties":{"formattedCitation":"\\uc0\\u8216{}Roundhouses\\uc0\\u8217{}, {\\i{}Past to Present Archaeology} &lt;https://pasttopresent.org/2022/02/01/roundhouses/&gt; [accessed 23 January 2023].","plainCitation":"‘Roundhouses’, Past to Present Archaeology &lt;https://pasttopresent.org/2022/02/01/roundhouses/&gt; [accessed 23 January 2023].","noteIndex":153},"citationItems":[{"id":257,"uris":["http://zotero.org/users/6665715/items/YHJS7NFC"],"itemData":{"id":257,"type":"post-weblog","container-title":"Past to Present Archaeology","language":"en-US","title":"Roundhouses","URL":"https://pasttopresent.org/2022/02/01/roundhouses/","accessed":{"date-parts":[["2023",1,23]]}}}],"schema":"https://github.com/citation-style-language/schema/raw/master/csl-citation.json"} </w:instrText>
      </w:r>
      <w:r>
        <w:fldChar w:fldCharType="separate"/>
      </w:r>
      <w:r w:rsidRPr="00736902">
        <w:rPr>
          <w:rFonts w:ascii="Calibri" w:hAnsi="Calibri" w:cs="Calibri"/>
          <w:szCs w:val="24"/>
        </w:rPr>
        <w:t>‘Roundhouses</w:t>
      </w:r>
      <w:proofErr w:type="gramStart"/>
      <w:r w:rsidRPr="00736902">
        <w:rPr>
          <w:rFonts w:ascii="Calibri" w:hAnsi="Calibri" w:cs="Calibri"/>
          <w:szCs w:val="24"/>
        </w:rPr>
        <w:t>’,</w:t>
      </w:r>
      <w:proofErr w:type="gramEnd"/>
      <w:r w:rsidRPr="00736902">
        <w:rPr>
          <w:rFonts w:ascii="Calibri" w:hAnsi="Calibri" w:cs="Calibri"/>
          <w:szCs w:val="24"/>
        </w:rPr>
        <w:t xml:space="preserve"> </w:t>
      </w:r>
      <w:r w:rsidRPr="00736902">
        <w:rPr>
          <w:rFonts w:ascii="Calibri" w:hAnsi="Calibri" w:cs="Calibri"/>
          <w:i/>
          <w:iCs/>
          <w:szCs w:val="24"/>
        </w:rPr>
        <w:t>Past to Present Archaeology</w:t>
      </w:r>
      <w:r w:rsidRPr="00736902">
        <w:rPr>
          <w:rFonts w:ascii="Calibri" w:hAnsi="Calibri" w:cs="Calibri"/>
          <w:szCs w:val="24"/>
        </w:rPr>
        <w:t xml:space="preserve"> &lt;https://pasttopresent.org/2022/02/01/roundhouses/&gt; [accessed 23 January 2023].</w:t>
      </w:r>
      <w:r>
        <w:fldChar w:fldCharType="end"/>
      </w:r>
    </w:p>
  </w:footnote>
  <w:footnote w:id="156">
    <w:p w14:paraId="40545B5B" w14:textId="037400CB" w:rsidR="00613D5A" w:rsidRDefault="00613D5A">
      <w:pPr>
        <w:pStyle w:val="FootnoteText"/>
      </w:pPr>
      <w:r>
        <w:rPr>
          <w:rStyle w:val="FootnoteReference"/>
        </w:rPr>
        <w:footnoteRef/>
      </w:r>
      <w:r>
        <w:t xml:space="preserve"> </w:t>
      </w:r>
      <w:r>
        <w:fldChar w:fldCharType="begin"/>
      </w:r>
      <w:r w:rsidR="005831B4">
        <w:instrText xml:space="preserve"> ADDIN ZOTERO_ITEM CSL_CITATION {"citationID":"gzKk7bAY","properties":{"formattedCitation":"Chhabra, Healy, and Sills.","plainCitation":"Chhabra, Healy, and Sills.","noteIndex":155},"citationItems":[{"id":237,"uris":["http://zotero.org/users/6665715/items/VXBR6DA6"],"itemData":{"id":237,"type":"article-journal","abstract":"Much of today’s heritage tourism product depends on the staging or re-creation of ethnic or cultural traditions. This study analyzes the role of perceived authenticity as a measure of product quality and as a determinant of tourist satisfaction. The event studied was the Flora Macdonald Scottish Highland Games held in North Carolina (United States). Tourists and event organizers were asked to evaluate the authenticity of specific festival events on a Likert scale. The study revealed that high perception of authenticity can be achieved even when the event is staged in a place far away from the original source of the cultural tradition. Important differences in perceived authenticity were observed among various groups of visitors.\nRésumé\nLa mise en scène de l’authenticité et le tourisme patrimonial. Une grande partie du produit du tourisme patrimonial actuel dépend de la mise en scène ou de la reproduction des traditions ethniques ou culturelles. Cet article analyse le rôle de l’authenticité perçue comme mesure de qualité et comme déterminant de la satisfaction touristique. L’événement qui a été étudié était les Jeux Écossais Flora Macdonald, qui ont eu lieu e en Caroline du Nord (Etats-Unis). On a demandé aux touristes et aux organisateurs de l’événement d’évaluer l’authenticité des activités spécifiques du festival sur une échelle Likert. L’étude a révélé qu’une haute perception d’authenticité peut être atteinte même si l’événement est monté dans un endroit qui est loin de la source originelle de la tradition culturelle. On a noté d’importantes différences dans les perceptions d’authenticité parmi les divers groupes de visiteurs.","container-title":"Annals of Tourism Research","DOI":"10.1016/S0160-7383(03)00044-6","ISSN":"0160-7383","issue":"3","journalAbbreviation":"Annals of Tourism Research","language":"en","page":"702-719","source":"ScienceDirect","title":"Staged authenticity and heritage tourism","volume":"30","author":[{"family":"Chhabra","given":"Deepak"},{"family":"Healy","given":"Robert"},{"family":"Sills","given":"Erin"}],"issued":{"date-parts":[["2003",7,1]]}}}],"schema":"https://github.com/citation-style-language/schema/raw/master/csl-citation.json"} </w:instrText>
      </w:r>
      <w:r>
        <w:fldChar w:fldCharType="separate"/>
      </w:r>
      <w:r w:rsidRPr="00613D5A">
        <w:rPr>
          <w:rFonts w:ascii="Calibri" w:hAnsi="Calibri" w:cs="Calibri"/>
        </w:rPr>
        <w:t>Chhabra, Healy, and Sills.</w:t>
      </w:r>
      <w:r>
        <w:fldChar w:fldCharType="end"/>
      </w:r>
    </w:p>
  </w:footnote>
  <w:footnote w:id="157">
    <w:p w14:paraId="56A09D4C" w14:textId="17DE48EC" w:rsidR="004966FB" w:rsidRDefault="004966FB" w:rsidP="004966FB">
      <w:pPr>
        <w:pStyle w:val="FootnoteText"/>
      </w:pPr>
      <w:r>
        <w:rPr>
          <w:rStyle w:val="FootnoteReference"/>
        </w:rPr>
        <w:footnoteRef/>
      </w:r>
      <w:r>
        <w:t xml:space="preserve"> </w:t>
      </w:r>
      <w:r>
        <w:fldChar w:fldCharType="begin"/>
      </w:r>
      <w:r w:rsidR="003E0AD9">
        <w:instrText xml:space="preserve"> ADDIN ZOTERO_ITEM CSL_CITATION {"citationID":"zqBgTRbS","properties":{"formattedCitation":"Richard Kurin, \\uc0\\u8216{}Safeguarding Intangible Cultural Heritage in the 2003 UNESCO Convention: A Critical Appraisal\\uc0\\u8217{}, {\\i{}Museum International}, 56.1\\uc0\\u8211{}2 (2004), 66\\uc0\\u8211{}77 &lt;https://doi.org/10.1111/j.1350-0775.2004.00459.x&gt;.","plainCitation":"Richard Kurin, ‘Safeguarding Intangible Cultural Heritage in the 2003 UNESCO Convention: A Critical Appraisal’, Museum International, 56.1–2 (2004), 66–77 &lt;https://doi.org/10.1111/j.1350-0775.2004.00459.x&gt;.","noteIndex":155},"citationItems":[{"id":49,"uris":["http://zotero.org/users/6665715/items/SKXIRF4Q"],"itemData":{"id":49,"type":"article-journal","container-title":"Museum International","DOI":"10.1111/j.1350-0775.2004.00459.x","ISSN":"1350-0775","issue":"1-2","note":"publisher: Routledge\n_eprint: https://doi.org/10.1111/j.1350-0775.2004.00459.x","page":"66-77","source":"Taylor and Francis+NEJM","title":"Safeguarding Intangible Cultural Heritage in the 2003 UNESCO Convention: a critical appraisal","title-short":"Safeguarding Intangible Cultural Heritage in the 2003 UNESCO Convention","volume":"56","author":[{"family":"Kurin","given":"Richard"}],"issued":{"date-parts":[["2004",5,1]]}}}],"schema":"https://github.com/citation-style-language/schema/raw/master/csl-citation.json"} </w:instrText>
      </w:r>
      <w:r>
        <w:fldChar w:fldCharType="separate"/>
      </w:r>
      <w:r w:rsidRPr="006F73B0">
        <w:rPr>
          <w:rFonts w:ascii="Calibri" w:hAnsi="Calibri" w:cs="Calibri"/>
          <w:szCs w:val="24"/>
        </w:rPr>
        <w:t xml:space="preserve">Richard </w:t>
      </w:r>
      <w:proofErr w:type="spellStart"/>
      <w:r w:rsidRPr="006F73B0">
        <w:rPr>
          <w:rFonts w:ascii="Calibri" w:hAnsi="Calibri" w:cs="Calibri"/>
          <w:szCs w:val="24"/>
        </w:rPr>
        <w:t>Kurin</w:t>
      </w:r>
      <w:proofErr w:type="spellEnd"/>
      <w:r w:rsidRPr="006F73B0">
        <w:rPr>
          <w:rFonts w:ascii="Calibri" w:hAnsi="Calibri" w:cs="Calibri"/>
          <w:szCs w:val="24"/>
        </w:rPr>
        <w:t xml:space="preserve">, ‘Safeguarding Intangible Cultural Heritage in the 2003 UNESCO Convention: A Critical Appraisal’, </w:t>
      </w:r>
      <w:r w:rsidRPr="006F73B0">
        <w:rPr>
          <w:rFonts w:ascii="Calibri" w:hAnsi="Calibri" w:cs="Calibri"/>
          <w:i/>
          <w:iCs/>
          <w:szCs w:val="24"/>
        </w:rPr>
        <w:t>Museum International</w:t>
      </w:r>
      <w:r w:rsidRPr="006F73B0">
        <w:rPr>
          <w:rFonts w:ascii="Calibri" w:hAnsi="Calibri" w:cs="Calibri"/>
          <w:szCs w:val="24"/>
        </w:rPr>
        <w:t>, 56.1–2 (2004), 66–77 &lt;https://doi.org/10.1111/j.1350-0775.2004.00459.x&gt;.</w:t>
      </w:r>
      <w:r>
        <w:fldChar w:fldCharType="end"/>
      </w:r>
    </w:p>
  </w:footnote>
</w:footnotes>
</file>

<file path=word/intelligence2.xml><?xml version="1.0" encoding="utf-8"?>
<int2:intelligence xmlns:int2="http://schemas.microsoft.com/office/intelligence/2020/intelligence" xmlns:oel="http://schemas.microsoft.com/office/2019/extlst">
  <int2:observations>
    <int2:textHash int2:hashCode="VEYcke3snT+XHS" int2:id="xMomKv79">
      <int2:state int2:value="Rejected" int2:type="LegacyProofing"/>
    </int2:textHash>
    <int2:bookmark int2:bookmarkName="_Int_JgLsoc3T" int2:invalidationBookmarkName="" int2:hashCode="i8VJAsla/0fSDy" int2:id="8K05PqK0">
      <int2:state int2:value="Rejected" int2:type="AugLoop_Text_Critique"/>
    </int2:bookmark>
    <int2:bookmark int2:bookmarkName="_Int_yQPnkmNw" int2:invalidationBookmarkName="" int2:hashCode="eq6ParIDJ904oT" int2:id="Cly3mCf3">
      <int2:state int2:value="Rejected" int2:type="AugLoop_Text_Critique"/>
    </int2:bookmark>
    <int2:bookmark int2:bookmarkName="_Int_EXzMWp9m" int2:invalidationBookmarkName="" int2:hashCode="O30PzcGzgilo0B" int2:id="GvB2sGuA">
      <int2:state int2:value="Rejected" int2:type="AugLoop_Text_Critique"/>
    </int2:bookmark>
    <int2:bookmark int2:bookmarkName="_Int_y9GiAWxX" int2:invalidationBookmarkName="" int2:hashCode="qUG7lfXtsKmXNE" int2:id="VzPDvLYI">
      <int2:state int2:value="Rejected" int2:type="AugLoop_Text_Critique"/>
    </int2:bookmark>
    <int2:bookmark int2:bookmarkName="_Int_aHgp7dTZ" int2:invalidationBookmarkName="" int2:hashCode="79FiszCLFeIWye" int2:id="XTuUWKsA">
      <int2:state int2:value="Rejected" int2:type="AugLoop_Text_Critique"/>
    </int2:bookmark>
    <int2:bookmark int2:bookmarkName="_Int_LZ2LmPNK" int2:invalidationBookmarkName="" int2:hashCode="6eqm/3gnj6yH0F" int2:id="gskr9IMn">
      <int2:state int2:value="Rejected" int2:type="AugLoop_Text_Critique"/>
    </int2:bookmark>
    <int2:bookmark int2:bookmarkName="_Int_VkdyWzzc" int2:invalidationBookmarkName="" int2:hashCode="UsqKFC5Kh9aiYm" int2:id="ljYMMEJO">
      <int2:state int2:value="Rejected" int2:type="AugLoop_Text_Critique"/>
    </int2:bookmark>
    <int2:bookmark int2:bookmarkName="_Int_DjYR3BAz" int2:invalidationBookmarkName="" int2:hashCode="qUG7lfXtsKmXNE" int2:id="uLE8vxdT">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53BAC"/>
    <w:multiLevelType w:val="hybridMultilevel"/>
    <w:tmpl w:val="5F00EC00"/>
    <w:lvl w:ilvl="0" w:tplc="BF4679A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C643E"/>
    <w:multiLevelType w:val="hybridMultilevel"/>
    <w:tmpl w:val="9EEEA4A8"/>
    <w:lvl w:ilvl="0" w:tplc="81261CBC">
      <w:start w:val="8"/>
      <w:numFmt w:val="bullet"/>
      <w:lvlText w:val="-"/>
      <w:lvlJc w:val="left"/>
      <w:pPr>
        <w:ind w:left="5463" w:hanging="360"/>
      </w:pPr>
      <w:rPr>
        <w:rFonts w:ascii="Calibri Light" w:eastAsia="Times New Roman" w:hAnsi="Calibri Light" w:cs="Calibri Light" w:hint="default"/>
      </w:rPr>
    </w:lvl>
    <w:lvl w:ilvl="1" w:tplc="08090003" w:tentative="1">
      <w:start w:val="1"/>
      <w:numFmt w:val="bullet"/>
      <w:lvlText w:val="o"/>
      <w:lvlJc w:val="left"/>
      <w:pPr>
        <w:ind w:left="6183" w:hanging="360"/>
      </w:pPr>
      <w:rPr>
        <w:rFonts w:ascii="Courier New" w:hAnsi="Courier New" w:cs="Courier New" w:hint="default"/>
      </w:rPr>
    </w:lvl>
    <w:lvl w:ilvl="2" w:tplc="08090005" w:tentative="1">
      <w:start w:val="1"/>
      <w:numFmt w:val="bullet"/>
      <w:lvlText w:val=""/>
      <w:lvlJc w:val="left"/>
      <w:pPr>
        <w:ind w:left="6903" w:hanging="360"/>
      </w:pPr>
      <w:rPr>
        <w:rFonts w:ascii="Wingdings" w:hAnsi="Wingdings" w:hint="default"/>
      </w:rPr>
    </w:lvl>
    <w:lvl w:ilvl="3" w:tplc="08090001" w:tentative="1">
      <w:start w:val="1"/>
      <w:numFmt w:val="bullet"/>
      <w:lvlText w:val=""/>
      <w:lvlJc w:val="left"/>
      <w:pPr>
        <w:ind w:left="7623" w:hanging="360"/>
      </w:pPr>
      <w:rPr>
        <w:rFonts w:ascii="Symbol" w:hAnsi="Symbol" w:hint="default"/>
      </w:rPr>
    </w:lvl>
    <w:lvl w:ilvl="4" w:tplc="08090003" w:tentative="1">
      <w:start w:val="1"/>
      <w:numFmt w:val="bullet"/>
      <w:lvlText w:val="o"/>
      <w:lvlJc w:val="left"/>
      <w:pPr>
        <w:ind w:left="8343" w:hanging="360"/>
      </w:pPr>
      <w:rPr>
        <w:rFonts w:ascii="Courier New" w:hAnsi="Courier New" w:cs="Courier New" w:hint="default"/>
      </w:rPr>
    </w:lvl>
    <w:lvl w:ilvl="5" w:tplc="08090005" w:tentative="1">
      <w:start w:val="1"/>
      <w:numFmt w:val="bullet"/>
      <w:lvlText w:val=""/>
      <w:lvlJc w:val="left"/>
      <w:pPr>
        <w:ind w:left="9063" w:hanging="360"/>
      </w:pPr>
      <w:rPr>
        <w:rFonts w:ascii="Wingdings" w:hAnsi="Wingdings" w:hint="default"/>
      </w:rPr>
    </w:lvl>
    <w:lvl w:ilvl="6" w:tplc="08090001" w:tentative="1">
      <w:start w:val="1"/>
      <w:numFmt w:val="bullet"/>
      <w:lvlText w:val=""/>
      <w:lvlJc w:val="left"/>
      <w:pPr>
        <w:ind w:left="9783" w:hanging="360"/>
      </w:pPr>
      <w:rPr>
        <w:rFonts w:ascii="Symbol" w:hAnsi="Symbol" w:hint="default"/>
      </w:rPr>
    </w:lvl>
    <w:lvl w:ilvl="7" w:tplc="08090003" w:tentative="1">
      <w:start w:val="1"/>
      <w:numFmt w:val="bullet"/>
      <w:lvlText w:val="o"/>
      <w:lvlJc w:val="left"/>
      <w:pPr>
        <w:ind w:left="10503" w:hanging="360"/>
      </w:pPr>
      <w:rPr>
        <w:rFonts w:ascii="Courier New" w:hAnsi="Courier New" w:cs="Courier New" w:hint="default"/>
      </w:rPr>
    </w:lvl>
    <w:lvl w:ilvl="8" w:tplc="08090005" w:tentative="1">
      <w:start w:val="1"/>
      <w:numFmt w:val="bullet"/>
      <w:lvlText w:val=""/>
      <w:lvlJc w:val="left"/>
      <w:pPr>
        <w:ind w:left="11223" w:hanging="360"/>
      </w:pPr>
      <w:rPr>
        <w:rFonts w:ascii="Wingdings" w:hAnsi="Wingdings" w:hint="default"/>
      </w:rPr>
    </w:lvl>
  </w:abstractNum>
  <w:abstractNum w:abstractNumId="2" w15:restartNumberingAfterBreak="0">
    <w:nsid w:val="3308717A"/>
    <w:multiLevelType w:val="hybridMultilevel"/>
    <w:tmpl w:val="80A47A7E"/>
    <w:lvl w:ilvl="0" w:tplc="878A39CA">
      <w:numFmt w:val="bullet"/>
      <w:lvlText w:val="-"/>
      <w:lvlJc w:val="left"/>
      <w:pPr>
        <w:ind w:left="4755" w:hanging="360"/>
      </w:pPr>
      <w:rPr>
        <w:rFonts w:ascii="Calibri" w:eastAsiaTheme="minorHAnsi" w:hAnsi="Calibri" w:cs="Calibri" w:hint="default"/>
      </w:rPr>
    </w:lvl>
    <w:lvl w:ilvl="1" w:tplc="08090003" w:tentative="1">
      <w:start w:val="1"/>
      <w:numFmt w:val="bullet"/>
      <w:lvlText w:val="o"/>
      <w:lvlJc w:val="left"/>
      <w:pPr>
        <w:ind w:left="5475" w:hanging="360"/>
      </w:pPr>
      <w:rPr>
        <w:rFonts w:ascii="Courier New" w:hAnsi="Courier New" w:cs="Courier New" w:hint="default"/>
      </w:rPr>
    </w:lvl>
    <w:lvl w:ilvl="2" w:tplc="08090005" w:tentative="1">
      <w:start w:val="1"/>
      <w:numFmt w:val="bullet"/>
      <w:lvlText w:val=""/>
      <w:lvlJc w:val="left"/>
      <w:pPr>
        <w:ind w:left="6195" w:hanging="360"/>
      </w:pPr>
      <w:rPr>
        <w:rFonts w:ascii="Wingdings" w:hAnsi="Wingdings" w:hint="default"/>
      </w:rPr>
    </w:lvl>
    <w:lvl w:ilvl="3" w:tplc="08090001" w:tentative="1">
      <w:start w:val="1"/>
      <w:numFmt w:val="bullet"/>
      <w:lvlText w:val=""/>
      <w:lvlJc w:val="left"/>
      <w:pPr>
        <w:ind w:left="6915" w:hanging="360"/>
      </w:pPr>
      <w:rPr>
        <w:rFonts w:ascii="Symbol" w:hAnsi="Symbol" w:hint="default"/>
      </w:rPr>
    </w:lvl>
    <w:lvl w:ilvl="4" w:tplc="08090003" w:tentative="1">
      <w:start w:val="1"/>
      <w:numFmt w:val="bullet"/>
      <w:lvlText w:val="o"/>
      <w:lvlJc w:val="left"/>
      <w:pPr>
        <w:ind w:left="7635" w:hanging="360"/>
      </w:pPr>
      <w:rPr>
        <w:rFonts w:ascii="Courier New" w:hAnsi="Courier New" w:cs="Courier New" w:hint="default"/>
      </w:rPr>
    </w:lvl>
    <w:lvl w:ilvl="5" w:tplc="08090005" w:tentative="1">
      <w:start w:val="1"/>
      <w:numFmt w:val="bullet"/>
      <w:lvlText w:val=""/>
      <w:lvlJc w:val="left"/>
      <w:pPr>
        <w:ind w:left="8355" w:hanging="360"/>
      </w:pPr>
      <w:rPr>
        <w:rFonts w:ascii="Wingdings" w:hAnsi="Wingdings" w:hint="default"/>
      </w:rPr>
    </w:lvl>
    <w:lvl w:ilvl="6" w:tplc="08090001" w:tentative="1">
      <w:start w:val="1"/>
      <w:numFmt w:val="bullet"/>
      <w:lvlText w:val=""/>
      <w:lvlJc w:val="left"/>
      <w:pPr>
        <w:ind w:left="9075" w:hanging="360"/>
      </w:pPr>
      <w:rPr>
        <w:rFonts w:ascii="Symbol" w:hAnsi="Symbol" w:hint="default"/>
      </w:rPr>
    </w:lvl>
    <w:lvl w:ilvl="7" w:tplc="08090003" w:tentative="1">
      <w:start w:val="1"/>
      <w:numFmt w:val="bullet"/>
      <w:lvlText w:val="o"/>
      <w:lvlJc w:val="left"/>
      <w:pPr>
        <w:ind w:left="9795" w:hanging="360"/>
      </w:pPr>
      <w:rPr>
        <w:rFonts w:ascii="Courier New" w:hAnsi="Courier New" w:cs="Courier New" w:hint="default"/>
      </w:rPr>
    </w:lvl>
    <w:lvl w:ilvl="8" w:tplc="08090005" w:tentative="1">
      <w:start w:val="1"/>
      <w:numFmt w:val="bullet"/>
      <w:lvlText w:val=""/>
      <w:lvlJc w:val="left"/>
      <w:pPr>
        <w:ind w:left="10515" w:hanging="360"/>
      </w:pPr>
      <w:rPr>
        <w:rFonts w:ascii="Wingdings" w:hAnsi="Wingdings" w:hint="default"/>
      </w:rPr>
    </w:lvl>
  </w:abstractNum>
  <w:abstractNum w:abstractNumId="3" w15:restartNumberingAfterBreak="0">
    <w:nsid w:val="37B379FF"/>
    <w:multiLevelType w:val="hybridMultilevel"/>
    <w:tmpl w:val="42866F70"/>
    <w:lvl w:ilvl="0" w:tplc="18B090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B7F99"/>
    <w:multiLevelType w:val="hybridMultilevel"/>
    <w:tmpl w:val="E020BB7E"/>
    <w:lvl w:ilvl="0" w:tplc="39805BD2">
      <w:start w:val="2"/>
      <w:numFmt w:val="bullet"/>
      <w:lvlText w:val="-"/>
      <w:lvlJc w:val="left"/>
      <w:pPr>
        <w:ind w:left="5322" w:hanging="360"/>
      </w:pPr>
      <w:rPr>
        <w:rFonts w:ascii="Calibri" w:eastAsiaTheme="minorHAnsi" w:hAnsi="Calibri" w:cs="Calibri" w:hint="default"/>
      </w:rPr>
    </w:lvl>
    <w:lvl w:ilvl="1" w:tplc="08090003" w:tentative="1">
      <w:start w:val="1"/>
      <w:numFmt w:val="bullet"/>
      <w:lvlText w:val="o"/>
      <w:lvlJc w:val="left"/>
      <w:pPr>
        <w:ind w:left="6042" w:hanging="360"/>
      </w:pPr>
      <w:rPr>
        <w:rFonts w:ascii="Courier New" w:hAnsi="Courier New" w:cs="Courier New" w:hint="default"/>
      </w:rPr>
    </w:lvl>
    <w:lvl w:ilvl="2" w:tplc="08090005" w:tentative="1">
      <w:start w:val="1"/>
      <w:numFmt w:val="bullet"/>
      <w:lvlText w:val=""/>
      <w:lvlJc w:val="left"/>
      <w:pPr>
        <w:ind w:left="6762" w:hanging="360"/>
      </w:pPr>
      <w:rPr>
        <w:rFonts w:ascii="Wingdings" w:hAnsi="Wingdings" w:hint="default"/>
      </w:rPr>
    </w:lvl>
    <w:lvl w:ilvl="3" w:tplc="08090001" w:tentative="1">
      <w:start w:val="1"/>
      <w:numFmt w:val="bullet"/>
      <w:lvlText w:val=""/>
      <w:lvlJc w:val="left"/>
      <w:pPr>
        <w:ind w:left="7482" w:hanging="360"/>
      </w:pPr>
      <w:rPr>
        <w:rFonts w:ascii="Symbol" w:hAnsi="Symbol" w:hint="default"/>
      </w:rPr>
    </w:lvl>
    <w:lvl w:ilvl="4" w:tplc="08090003" w:tentative="1">
      <w:start w:val="1"/>
      <w:numFmt w:val="bullet"/>
      <w:lvlText w:val="o"/>
      <w:lvlJc w:val="left"/>
      <w:pPr>
        <w:ind w:left="8202" w:hanging="360"/>
      </w:pPr>
      <w:rPr>
        <w:rFonts w:ascii="Courier New" w:hAnsi="Courier New" w:cs="Courier New" w:hint="default"/>
      </w:rPr>
    </w:lvl>
    <w:lvl w:ilvl="5" w:tplc="08090005" w:tentative="1">
      <w:start w:val="1"/>
      <w:numFmt w:val="bullet"/>
      <w:lvlText w:val=""/>
      <w:lvlJc w:val="left"/>
      <w:pPr>
        <w:ind w:left="8922" w:hanging="360"/>
      </w:pPr>
      <w:rPr>
        <w:rFonts w:ascii="Wingdings" w:hAnsi="Wingdings" w:hint="default"/>
      </w:rPr>
    </w:lvl>
    <w:lvl w:ilvl="6" w:tplc="08090001" w:tentative="1">
      <w:start w:val="1"/>
      <w:numFmt w:val="bullet"/>
      <w:lvlText w:val=""/>
      <w:lvlJc w:val="left"/>
      <w:pPr>
        <w:ind w:left="9642" w:hanging="360"/>
      </w:pPr>
      <w:rPr>
        <w:rFonts w:ascii="Symbol" w:hAnsi="Symbol" w:hint="default"/>
      </w:rPr>
    </w:lvl>
    <w:lvl w:ilvl="7" w:tplc="08090003" w:tentative="1">
      <w:start w:val="1"/>
      <w:numFmt w:val="bullet"/>
      <w:lvlText w:val="o"/>
      <w:lvlJc w:val="left"/>
      <w:pPr>
        <w:ind w:left="10362" w:hanging="360"/>
      </w:pPr>
      <w:rPr>
        <w:rFonts w:ascii="Courier New" w:hAnsi="Courier New" w:cs="Courier New" w:hint="default"/>
      </w:rPr>
    </w:lvl>
    <w:lvl w:ilvl="8" w:tplc="08090005" w:tentative="1">
      <w:start w:val="1"/>
      <w:numFmt w:val="bullet"/>
      <w:lvlText w:val=""/>
      <w:lvlJc w:val="left"/>
      <w:pPr>
        <w:ind w:left="11082" w:hanging="360"/>
      </w:pPr>
      <w:rPr>
        <w:rFonts w:ascii="Wingdings" w:hAnsi="Wingdings" w:hint="default"/>
      </w:rPr>
    </w:lvl>
  </w:abstractNum>
  <w:abstractNum w:abstractNumId="5" w15:restartNumberingAfterBreak="0">
    <w:nsid w:val="44DF6A36"/>
    <w:multiLevelType w:val="hybridMultilevel"/>
    <w:tmpl w:val="ABB81BB4"/>
    <w:lvl w:ilvl="0" w:tplc="0144CF42">
      <w:numFmt w:val="bullet"/>
      <w:lvlText w:val="-"/>
      <w:lvlJc w:val="left"/>
      <w:pPr>
        <w:ind w:left="4755" w:hanging="360"/>
      </w:pPr>
      <w:rPr>
        <w:rFonts w:ascii="Calibri" w:eastAsiaTheme="minorHAnsi" w:hAnsi="Calibri" w:cs="Calibri" w:hint="default"/>
      </w:rPr>
    </w:lvl>
    <w:lvl w:ilvl="1" w:tplc="08090003" w:tentative="1">
      <w:start w:val="1"/>
      <w:numFmt w:val="bullet"/>
      <w:lvlText w:val="o"/>
      <w:lvlJc w:val="left"/>
      <w:pPr>
        <w:ind w:left="5475" w:hanging="360"/>
      </w:pPr>
      <w:rPr>
        <w:rFonts w:ascii="Courier New" w:hAnsi="Courier New" w:cs="Courier New" w:hint="default"/>
      </w:rPr>
    </w:lvl>
    <w:lvl w:ilvl="2" w:tplc="08090005" w:tentative="1">
      <w:start w:val="1"/>
      <w:numFmt w:val="bullet"/>
      <w:lvlText w:val=""/>
      <w:lvlJc w:val="left"/>
      <w:pPr>
        <w:ind w:left="6195" w:hanging="360"/>
      </w:pPr>
      <w:rPr>
        <w:rFonts w:ascii="Wingdings" w:hAnsi="Wingdings" w:hint="default"/>
      </w:rPr>
    </w:lvl>
    <w:lvl w:ilvl="3" w:tplc="08090001" w:tentative="1">
      <w:start w:val="1"/>
      <w:numFmt w:val="bullet"/>
      <w:lvlText w:val=""/>
      <w:lvlJc w:val="left"/>
      <w:pPr>
        <w:ind w:left="6915" w:hanging="360"/>
      </w:pPr>
      <w:rPr>
        <w:rFonts w:ascii="Symbol" w:hAnsi="Symbol" w:hint="default"/>
      </w:rPr>
    </w:lvl>
    <w:lvl w:ilvl="4" w:tplc="08090003" w:tentative="1">
      <w:start w:val="1"/>
      <w:numFmt w:val="bullet"/>
      <w:lvlText w:val="o"/>
      <w:lvlJc w:val="left"/>
      <w:pPr>
        <w:ind w:left="7635" w:hanging="360"/>
      </w:pPr>
      <w:rPr>
        <w:rFonts w:ascii="Courier New" w:hAnsi="Courier New" w:cs="Courier New" w:hint="default"/>
      </w:rPr>
    </w:lvl>
    <w:lvl w:ilvl="5" w:tplc="08090005" w:tentative="1">
      <w:start w:val="1"/>
      <w:numFmt w:val="bullet"/>
      <w:lvlText w:val=""/>
      <w:lvlJc w:val="left"/>
      <w:pPr>
        <w:ind w:left="8355" w:hanging="360"/>
      </w:pPr>
      <w:rPr>
        <w:rFonts w:ascii="Wingdings" w:hAnsi="Wingdings" w:hint="default"/>
      </w:rPr>
    </w:lvl>
    <w:lvl w:ilvl="6" w:tplc="08090001" w:tentative="1">
      <w:start w:val="1"/>
      <w:numFmt w:val="bullet"/>
      <w:lvlText w:val=""/>
      <w:lvlJc w:val="left"/>
      <w:pPr>
        <w:ind w:left="9075" w:hanging="360"/>
      </w:pPr>
      <w:rPr>
        <w:rFonts w:ascii="Symbol" w:hAnsi="Symbol" w:hint="default"/>
      </w:rPr>
    </w:lvl>
    <w:lvl w:ilvl="7" w:tplc="08090003" w:tentative="1">
      <w:start w:val="1"/>
      <w:numFmt w:val="bullet"/>
      <w:lvlText w:val="o"/>
      <w:lvlJc w:val="left"/>
      <w:pPr>
        <w:ind w:left="9795" w:hanging="360"/>
      </w:pPr>
      <w:rPr>
        <w:rFonts w:ascii="Courier New" w:hAnsi="Courier New" w:cs="Courier New" w:hint="default"/>
      </w:rPr>
    </w:lvl>
    <w:lvl w:ilvl="8" w:tplc="08090005" w:tentative="1">
      <w:start w:val="1"/>
      <w:numFmt w:val="bullet"/>
      <w:lvlText w:val=""/>
      <w:lvlJc w:val="left"/>
      <w:pPr>
        <w:ind w:left="10515" w:hanging="360"/>
      </w:pPr>
      <w:rPr>
        <w:rFonts w:ascii="Wingdings" w:hAnsi="Wingdings" w:hint="default"/>
      </w:rPr>
    </w:lvl>
  </w:abstractNum>
  <w:abstractNum w:abstractNumId="6" w15:restartNumberingAfterBreak="0">
    <w:nsid w:val="64F42369"/>
    <w:multiLevelType w:val="hybridMultilevel"/>
    <w:tmpl w:val="95569FFA"/>
    <w:lvl w:ilvl="0" w:tplc="27403D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B81633"/>
    <w:multiLevelType w:val="hybridMultilevel"/>
    <w:tmpl w:val="8988CF46"/>
    <w:lvl w:ilvl="0" w:tplc="0F405A8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6616492">
    <w:abstractNumId w:val="7"/>
  </w:num>
  <w:num w:numId="2" w16cid:durableId="1811090085">
    <w:abstractNumId w:val="3"/>
  </w:num>
  <w:num w:numId="3" w16cid:durableId="1067846436">
    <w:abstractNumId w:val="6"/>
  </w:num>
  <w:num w:numId="4" w16cid:durableId="1442801166">
    <w:abstractNumId w:val="1"/>
  </w:num>
  <w:num w:numId="5" w16cid:durableId="446899125">
    <w:abstractNumId w:val="0"/>
  </w:num>
  <w:num w:numId="6" w16cid:durableId="250428806">
    <w:abstractNumId w:val="2"/>
  </w:num>
  <w:num w:numId="7" w16cid:durableId="1852799597">
    <w:abstractNumId w:val="5"/>
  </w:num>
  <w:num w:numId="8" w16cid:durableId="1865434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12"/>
    <w:rsid w:val="0000721F"/>
    <w:rsid w:val="000111EE"/>
    <w:rsid w:val="00012A5E"/>
    <w:rsid w:val="00012B77"/>
    <w:rsid w:val="00013A3C"/>
    <w:rsid w:val="00014058"/>
    <w:rsid w:val="00014637"/>
    <w:rsid w:val="000154F5"/>
    <w:rsid w:val="00015ECA"/>
    <w:rsid w:val="00020BD6"/>
    <w:rsid w:val="000213E9"/>
    <w:rsid w:val="00021A40"/>
    <w:rsid w:val="00022722"/>
    <w:rsid w:val="00025122"/>
    <w:rsid w:val="0002645E"/>
    <w:rsid w:val="000327A7"/>
    <w:rsid w:val="00033AD0"/>
    <w:rsid w:val="00035ECC"/>
    <w:rsid w:val="00040081"/>
    <w:rsid w:val="00042AA2"/>
    <w:rsid w:val="00047C12"/>
    <w:rsid w:val="00051028"/>
    <w:rsid w:val="00051FD3"/>
    <w:rsid w:val="00056005"/>
    <w:rsid w:val="00061766"/>
    <w:rsid w:val="00063704"/>
    <w:rsid w:val="00065774"/>
    <w:rsid w:val="00073C20"/>
    <w:rsid w:val="0008285C"/>
    <w:rsid w:val="00083B8B"/>
    <w:rsid w:val="000847DA"/>
    <w:rsid w:val="00092798"/>
    <w:rsid w:val="0009451B"/>
    <w:rsid w:val="0009580F"/>
    <w:rsid w:val="000A176C"/>
    <w:rsid w:val="000A2B65"/>
    <w:rsid w:val="000A7DD8"/>
    <w:rsid w:val="000B4D66"/>
    <w:rsid w:val="000B6B05"/>
    <w:rsid w:val="000B7C98"/>
    <w:rsid w:val="000C0BAC"/>
    <w:rsid w:val="000C0E90"/>
    <w:rsid w:val="000C110E"/>
    <w:rsid w:val="000C3643"/>
    <w:rsid w:val="000C4BB2"/>
    <w:rsid w:val="000C4EF4"/>
    <w:rsid w:val="000D0A25"/>
    <w:rsid w:val="000D3BEB"/>
    <w:rsid w:val="000D5718"/>
    <w:rsid w:val="000D5C68"/>
    <w:rsid w:val="000E10B5"/>
    <w:rsid w:val="000E20BA"/>
    <w:rsid w:val="000E366D"/>
    <w:rsid w:val="000E4F45"/>
    <w:rsid w:val="000E5367"/>
    <w:rsid w:val="000F3400"/>
    <w:rsid w:val="000F3DF0"/>
    <w:rsid w:val="000F583D"/>
    <w:rsid w:val="000F617B"/>
    <w:rsid w:val="00102752"/>
    <w:rsid w:val="00102A99"/>
    <w:rsid w:val="00103821"/>
    <w:rsid w:val="00103CAF"/>
    <w:rsid w:val="00104127"/>
    <w:rsid w:val="001111BD"/>
    <w:rsid w:val="00115CA9"/>
    <w:rsid w:val="001164AC"/>
    <w:rsid w:val="0011698E"/>
    <w:rsid w:val="0012155E"/>
    <w:rsid w:val="00123E32"/>
    <w:rsid w:val="00124AA0"/>
    <w:rsid w:val="001252FB"/>
    <w:rsid w:val="00125B0F"/>
    <w:rsid w:val="00125FF7"/>
    <w:rsid w:val="001270B8"/>
    <w:rsid w:val="00133BA6"/>
    <w:rsid w:val="0016294E"/>
    <w:rsid w:val="00162B1A"/>
    <w:rsid w:val="001664FD"/>
    <w:rsid w:val="00181E02"/>
    <w:rsid w:val="00192A0B"/>
    <w:rsid w:val="0019672A"/>
    <w:rsid w:val="001A0CAB"/>
    <w:rsid w:val="001A16DE"/>
    <w:rsid w:val="001A2BF3"/>
    <w:rsid w:val="001A4938"/>
    <w:rsid w:val="001A7C8D"/>
    <w:rsid w:val="001B0B20"/>
    <w:rsid w:val="001B124C"/>
    <w:rsid w:val="001B1492"/>
    <w:rsid w:val="001B386A"/>
    <w:rsid w:val="001B4062"/>
    <w:rsid w:val="001C0454"/>
    <w:rsid w:val="001C1ABB"/>
    <w:rsid w:val="001C6C14"/>
    <w:rsid w:val="001D1322"/>
    <w:rsid w:val="001D2714"/>
    <w:rsid w:val="001E3196"/>
    <w:rsid w:val="001E4EC2"/>
    <w:rsid w:val="001E61D5"/>
    <w:rsid w:val="001E6412"/>
    <w:rsid w:val="001E7915"/>
    <w:rsid w:val="001F42CF"/>
    <w:rsid w:val="001F5598"/>
    <w:rsid w:val="001F607A"/>
    <w:rsid w:val="001F7389"/>
    <w:rsid w:val="002008A7"/>
    <w:rsid w:val="00201A70"/>
    <w:rsid w:val="0020342B"/>
    <w:rsid w:val="00205E78"/>
    <w:rsid w:val="00206A67"/>
    <w:rsid w:val="00207590"/>
    <w:rsid w:val="00207983"/>
    <w:rsid w:val="00214129"/>
    <w:rsid w:val="00215D3F"/>
    <w:rsid w:val="0022199A"/>
    <w:rsid w:val="00221D82"/>
    <w:rsid w:val="00221ED5"/>
    <w:rsid w:val="00222896"/>
    <w:rsid w:val="00227C1F"/>
    <w:rsid w:val="0023008A"/>
    <w:rsid w:val="00231631"/>
    <w:rsid w:val="00232275"/>
    <w:rsid w:val="00232841"/>
    <w:rsid w:val="00233061"/>
    <w:rsid w:val="00241078"/>
    <w:rsid w:val="00241B16"/>
    <w:rsid w:val="00246632"/>
    <w:rsid w:val="00247601"/>
    <w:rsid w:val="002508CC"/>
    <w:rsid w:val="00257DAC"/>
    <w:rsid w:val="002614CE"/>
    <w:rsid w:val="00262A22"/>
    <w:rsid w:val="002643E1"/>
    <w:rsid w:val="0027056B"/>
    <w:rsid w:val="0027452A"/>
    <w:rsid w:val="002906EC"/>
    <w:rsid w:val="00290B8E"/>
    <w:rsid w:val="00290BAF"/>
    <w:rsid w:val="00297458"/>
    <w:rsid w:val="00297BC0"/>
    <w:rsid w:val="002A0D15"/>
    <w:rsid w:val="002A4632"/>
    <w:rsid w:val="002B16C1"/>
    <w:rsid w:val="002B5AEB"/>
    <w:rsid w:val="002C404E"/>
    <w:rsid w:val="002C5216"/>
    <w:rsid w:val="002C5817"/>
    <w:rsid w:val="002C6672"/>
    <w:rsid w:val="002D176D"/>
    <w:rsid w:val="002D3062"/>
    <w:rsid w:val="002D379F"/>
    <w:rsid w:val="002D6EA4"/>
    <w:rsid w:val="002D7994"/>
    <w:rsid w:val="002E37DE"/>
    <w:rsid w:val="002E3B31"/>
    <w:rsid w:val="002E4DB4"/>
    <w:rsid w:val="002E5107"/>
    <w:rsid w:val="002F1401"/>
    <w:rsid w:val="002F47E1"/>
    <w:rsid w:val="00301D9B"/>
    <w:rsid w:val="003024AB"/>
    <w:rsid w:val="00306A11"/>
    <w:rsid w:val="00311857"/>
    <w:rsid w:val="0031571B"/>
    <w:rsid w:val="00316563"/>
    <w:rsid w:val="00316EE6"/>
    <w:rsid w:val="00331CA5"/>
    <w:rsid w:val="0033632C"/>
    <w:rsid w:val="00343461"/>
    <w:rsid w:val="00344723"/>
    <w:rsid w:val="003449B6"/>
    <w:rsid w:val="0035227B"/>
    <w:rsid w:val="0035237A"/>
    <w:rsid w:val="00353C28"/>
    <w:rsid w:val="00354635"/>
    <w:rsid w:val="003613AE"/>
    <w:rsid w:val="00366C95"/>
    <w:rsid w:val="00367EF8"/>
    <w:rsid w:val="00370BF3"/>
    <w:rsid w:val="00372D6C"/>
    <w:rsid w:val="0037536C"/>
    <w:rsid w:val="003821C4"/>
    <w:rsid w:val="00387878"/>
    <w:rsid w:val="00396517"/>
    <w:rsid w:val="00397768"/>
    <w:rsid w:val="003A1C80"/>
    <w:rsid w:val="003A4EE1"/>
    <w:rsid w:val="003A6266"/>
    <w:rsid w:val="003A6B98"/>
    <w:rsid w:val="003A7F04"/>
    <w:rsid w:val="003B0285"/>
    <w:rsid w:val="003B3546"/>
    <w:rsid w:val="003B416C"/>
    <w:rsid w:val="003B5AB6"/>
    <w:rsid w:val="003B5EFC"/>
    <w:rsid w:val="003B72C3"/>
    <w:rsid w:val="003C1D7E"/>
    <w:rsid w:val="003C27EE"/>
    <w:rsid w:val="003C460E"/>
    <w:rsid w:val="003D1FF2"/>
    <w:rsid w:val="003E07F1"/>
    <w:rsid w:val="003E0AD9"/>
    <w:rsid w:val="003E75EB"/>
    <w:rsid w:val="003F31C4"/>
    <w:rsid w:val="003F3F5D"/>
    <w:rsid w:val="003F58EE"/>
    <w:rsid w:val="003F6D39"/>
    <w:rsid w:val="003F6E05"/>
    <w:rsid w:val="003F778C"/>
    <w:rsid w:val="00401D07"/>
    <w:rsid w:val="00402707"/>
    <w:rsid w:val="004035DF"/>
    <w:rsid w:val="00414786"/>
    <w:rsid w:val="0041596F"/>
    <w:rsid w:val="00415BDE"/>
    <w:rsid w:val="00416953"/>
    <w:rsid w:val="0042014A"/>
    <w:rsid w:val="00421C0D"/>
    <w:rsid w:val="00422E14"/>
    <w:rsid w:val="00435F32"/>
    <w:rsid w:val="00435F4F"/>
    <w:rsid w:val="00436EDC"/>
    <w:rsid w:val="004378C9"/>
    <w:rsid w:val="00440D3C"/>
    <w:rsid w:val="004468F4"/>
    <w:rsid w:val="004504EA"/>
    <w:rsid w:val="0045136A"/>
    <w:rsid w:val="00452BAD"/>
    <w:rsid w:val="0045369E"/>
    <w:rsid w:val="00453C8A"/>
    <w:rsid w:val="00453EFA"/>
    <w:rsid w:val="00454427"/>
    <w:rsid w:val="004547CD"/>
    <w:rsid w:val="00465227"/>
    <w:rsid w:val="00465402"/>
    <w:rsid w:val="004737C5"/>
    <w:rsid w:val="004745C1"/>
    <w:rsid w:val="00483020"/>
    <w:rsid w:val="00486259"/>
    <w:rsid w:val="00491D96"/>
    <w:rsid w:val="0049206C"/>
    <w:rsid w:val="00494875"/>
    <w:rsid w:val="004964E1"/>
    <w:rsid w:val="004966FB"/>
    <w:rsid w:val="0049703B"/>
    <w:rsid w:val="004A2921"/>
    <w:rsid w:val="004A76CC"/>
    <w:rsid w:val="004B14DC"/>
    <w:rsid w:val="004B52E4"/>
    <w:rsid w:val="004B7A22"/>
    <w:rsid w:val="004C1508"/>
    <w:rsid w:val="004C1F64"/>
    <w:rsid w:val="004D1945"/>
    <w:rsid w:val="004D3F28"/>
    <w:rsid w:val="004E2FBA"/>
    <w:rsid w:val="004E463C"/>
    <w:rsid w:val="004E5E6E"/>
    <w:rsid w:val="004E63D4"/>
    <w:rsid w:val="004F0EC5"/>
    <w:rsid w:val="004F1A05"/>
    <w:rsid w:val="004F24DA"/>
    <w:rsid w:val="004F4E18"/>
    <w:rsid w:val="004F71FC"/>
    <w:rsid w:val="005029E7"/>
    <w:rsid w:val="00504520"/>
    <w:rsid w:val="005045C8"/>
    <w:rsid w:val="00505DF5"/>
    <w:rsid w:val="0050710A"/>
    <w:rsid w:val="005129C1"/>
    <w:rsid w:val="00512B8C"/>
    <w:rsid w:val="005130C0"/>
    <w:rsid w:val="00515491"/>
    <w:rsid w:val="00521BA3"/>
    <w:rsid w:val="00526807"/>
    <w:rsid w:val="005471B3"/>
    <w:rsid w:val="00554838"/>
    <w:rsid w:val="00556D08"/>
    <w:rsid w:val="005571E3"/>
    <w:rsid w:val="005573C9"/>
    <w:rsid w:val="00557861"/>
    <w:rsid w:val="00565952"/>
    <w:rsid w:val="00570084"/>
    <w:rsid w:val="005711F9"/>
    <w:rsid w:val="00580F38"/>
    <w:rsid w:val="005829AD"/>
    <w:rsid w:val="005831B4"/>
    <w:rsid w:val="005904DD"/>
    <w:rsid w:val="00590E74"/>
    <w:rsid w:val="005914BF"/>
    <w:rsid w:val="00593468"/>
    <w:rsid w:val="0059533A"/>
    <w:rsid w:val="00597932"/>
    <w:rsid w:val="005A171B"/>
    <w:rsid w:val="005A2753"/>
    <w:rsid w:val="005A3676"/>
    <w:rsid w:val="005A6B9D"/>
    <w:rsid w:val="005A6E98"/>
    <w:rsid w:val="005A74E9"/>
    <w:rsid w:val="005B0131"/>
    <w:rsid w:val="005B1992"/>
    <w:rsid w:val="005B4713"/>
    <w:rsid w:val="005B53B0"/>
    <w:rsid w:val="005B663E"/>
    <w:rsid w:val="005B6645"/>
    <w:rsid w:val="005C38AF"/>
    <w:rsid w:val="005C7570"/>
    <w:rsid w:val="005D2C3A"/>
    <w:rsid w:val="005D38C5"/>
    <w:rsid w:val="005D579D"/>
    <w:rsid w:val="005D7055"/>
    <w:rsid w:val="005E0433"/>
    <w:rsid w:val="005E1657"/>
    <w:rsid w:val="005E3053"/>
    <w:rsid w:val="005E6270"/>
    <w:rsid w:val="005E7CDB"/>
    <w:rsid w:val="005F2AC8"/>
    <w:rsid w:val="005F3385"/>
    <w:rsid w:val="005F6C30"/>
    <w:rsid w:val="0060351C"/>
    <w:rsid w:val="00603D5E"/>
    <w:rsid w:val="00604AD1"/>
    <w:rsid w:val="006127FA"/>
    <w:rsid w:val="0061377A"/>
    <w:rsid w:val="00613B5D"/>
    <w:rsid w:val="00613D5A"/>
    <w:rsid w:val="00614543"/>
    <w:rsid w:val="006278F3"/>
    <w:rsid w:val="00630550"/>
    <w:rsid w:val="00632C17"/>
    <w:rsid w:val="0063373B"/>
    <w:rsid w:val="00633B31"/>
    <w:rsid w:val="00652CD5"/>
    <w:rsid w:val="0065340B"/>
    <w:rsid w:val="00653FD2"/>
    <w:rsid w:val="00654351"/>
    <w:rsid w:val="006605AF"/>
    <w:rsid w:val="006608FD"/>
    <w:rsid w:val="006634F9"/>
    <w:rsid w:val="00664E54"/>
    <w:rsid w:val="00667220"/>
    <w:rsid w:val="00667C2A"/>
    <w:rsid w:val="006714CD"/>
    <w:rsid w:val="00671F8C"/>
    <w:rsid w:val="00676584"/>
    <w:rsid w:val="00680A37"/>
    <w:rsid w:val="00680F76"/>
    <w:rsid w:val="0068517F"/>
    <w:rsid w:val="0069284D"/>
    <w:rsid w:val="00694609"/>
    <w:rsid w:val="00694971"/>
    <w:rsid w:val="006978C4"/>
    <w:rsid w:val="006A6A80"/>
    <w:rsid w:val="006B0613"/>
    <w:rsid w:val="006B0C99"/>
    <w:rsid w:val="006B2997"/>
    <w:rsid w:val="006B5BD2"/>
    <w:rsid w:val="006B78E5"/>
    <w:rsid w:val="006C0912"/>
    <w:rsid w:val="006D0397"/>
    <w:rsid w:val="006D4A85"/>
    <w:rsid w:val="006D6A98"/>
    <w:rsid w:val="006F1291"/>
    <w:rsid w:val="006F4AAD"/>
    <w:rsid w:val="006F73B0"/>
    <w:rsid w:val="006F76F3"/>
    <w:rsid w:val="00706882"/>
    <w:rsid w:val="00711051"/>
    <w:rsid w:val="00711E44"/>
    <w:rsid w:val="00713B01"/>
    <w:rsid w:val="00713B92"/>
    <w:rsid w:val="00715FDB"/>
    <w:rsid w:val="00725E4E"/>
    <w:rsid w:val="007265A6"/>
    <w:rsid w:val="007649CD"/>
    <w:rsid w:val="00765FB1"/>
    <w:rsid w:val="007820F0"/>
    <w:rsid w:val="00784638"/>
    <w:rsid w:val="007875DA"/>
    <w:rsid w:val="00794F68"/>
    <w:rsid w:val="007A5297"/>
    <w:rsid w:val="007A6D4F"/>
    <w:rsid w:val="007A6F88"/>
    <w:rsid w:val="007B27D3"/>
    <w:rsid w:val="007B2A3C"/>
    <w:rsid w:val="007B2C6A"/>
    <w:rsid w:val="007B4264"/>
    <w:rsid w:val="007B7E94"/>
    <w:rsid w:val="007C3749"/>
    <w:rsid w:val="007C6D88"/>
    <w:rsid w:val="007D138A"/>
    <w:rsid w:val="007D184B"/>
    <w:rsid w:val="007D2C9D"/>
    <w:rsid w:val="007D5EB7"/>
    <w:rsid w:val="007E1332"/>
    <w:rsid w:val="007F33BE"/>
    <w:rsid w:val="007F77EC"/>
    <w:rsid w:val="0080274D"/>
    <w:rsid w:val="00803CDF"/>
    <w:rsid w:val="0080617E"/>
    <w:rsid w:val="00810038"/>
    <w:rsid w:val="00810089"/>
    <w:rsid w:val="008159DC"/>
    <w:rsid w:val="008212C1"/>
    <w:rsid w:val="00822A46"/>
    <w:rsid w:val="00824B1F"/>
    <w:rsid w:val="0082676B"/>
    <w:rsid w:val="0082732B"/>
    <w:rsid w:val="008320A2"/>
    <w:rsid w:val="00834061"/>
    <w:rsid w:val="0083669D"/>
    <w:rsid w:val="008373C1"/>
    <w:rsid w:val="00837873"/>
    <w:rsid w:val="00837FA1"/>
    <w:rsid w:val="008461CB"/>
    <w:rsid w:val="00856C04"/>
    <w:rsid w:val="0086056E"/>
    <w:rsid w:val="00861F32"/>
    <w:rsid w:val="00863840"/>
    <w:rsid w:val="00864C2E"/>
    <w:rsid w:val="008655EC"/>
    <w:rsid w:val="00865F09"/>
    <w:rsid w:val="00866CD6"/>
    <w:rsid w:val="00867A2C"/>
    <w:rsid w:val="0087098D"/>
    <w:rsid w:val="008742CE"/>
    <w:rsid w:val="00874539"/>
    <w:rsid w:val="0087687B"/>
    <w:rsid w:val="00893E8C"/>
    <w:rsid w:val="00894357"/>
    <w:rsid w:val="00896847"/>
    <w:rsid w:val="00896DCB"/>
    <w:rsid w:val="008A258B"/>
    <w:rsid w:val="008A438B"/>
    <w:rsid w:val="008A4746"/>
    <w:rsid w:val="008A6482"/>
    <w:rsid w:val="008B67E2"/>
    <w:rsid w:val="008B6AFD"/>
    <w:rsid w:val="008C04E0"/>
    <w:rsid w:val="008C059E"/>
    <w:rsid w:val="008C23DE"/>
    <w:rsid w:val="008C7402"/>
    <w:rsid w:val="008E0651"/>
    <w:rsid w:val="008E3C73"/>
    <w:rsid w:val="008E4760"/>
    <w:rsid w:val="008E60F0"/>
    <w:rsid w:val="008F1715"/>
    <w:rsid w:val="008F3D04"/>
    <w:rsid w:val="00907D18"/>
    <w:rsid w:val="009150C4"/>
    <w:rsid w:val="0091789B"/>
    <w:rsid w:val="00927C81"/>
    <w:rsid w:val="009309D6"/>
    <w:rsid w:val="009333A3"/>
    <w:rsid w:val="009334DE"/>
    <w:rsid w:val="00933853"/>
    <w:rsid w:val="00933AC5"/>
    <w:rsid w:val="00934B78"/>
    <w:rsid w:val="00935D70"/>
    <w:rsid w:val="0094043F"/>
    <w:rsid w:val="0094576B"/>
    <w:rsid w:val="00950B17"/>
    <w:rsid w:val="00957EC5"/>
    <w:rsid w:val="00964620"/>
    <w:rsid w:val="00966B7E"/>
    <w:rsid w:val="009702DF"/>
    <w:rsid w:val="00975BED"/>
    <w:rsid w:val="00975EFC"/>
    <w:rsid w:val="00981374"/>
    <w:rsid w:val="00981CE1"/>
    <w:rsid w:val="009861D0"/>
    <w:rsid w:val="00991EE4"/>
    <w:rsid w:val="00994204"/>
    <w:rsid w:val="009964CE"/>
    <w:rsid w:val="009A0437"/>
    <w:rsid w:val="009A096B"/>
    <w:rsid w:val="009A331A"/>
    <w:rsid w:val="009A5392"/>
    <w:rsid w:val="009B10D6"/>
    <w:rsid w:val="009B2789"/>
    <w:rsid w:val="009B4422"/>
    <w:rsid w:val="009B5D35"/>
    <w:rsid w:val="009B6DA1"/>
    <w:rsid w:val="009B7286"/>
    <w:rsid w:val="009B7873"/>
    <w:rsid w:val="009C1A16"/>
    <w:rsid w:val="009C339C"/>
    <w:rsid w:val="009C5271"/>
    <w:rsid w:val="009C5C06"/>
    <w:rsid w:val="009C68A3"/>
    <w:rsid w:val="009C788A"/>
    <w:rsid w:val="009C7B98"/>
    <w:rsid w:val="009E00E0"/>
    <w:rsid w:val="009E2723"/>
    <w:rsid w:val="009E3951"/>
    <w:rsid w:val="009E645B"/>
    <w:rsid w:val="009E675E"/>
    <w:rsid w:val="009F23EC"/>
    <w:rsid w:val="009F4194"/>
    <w:rsid w:val="009F5E35"/>
    <w:rsid w:val="009F7847"/>
    <w:rsid w:val="009F7C89"/>
    <w:rsid w:val="00A025FF"/>
    <w:rsid w:val="00A02CE8"/>
    <w:rsid w:val="00A02DD1"/>
    <w:rsid w:val="00A03099"/>
    <w:rsid w:val="00A03905"/>
    <w:rsid w:val="00A07258"/>
    <w:rsid w:val="00A1095B"/>
    <w:rsid w:val="00A1100E"/>
    <w:rsid w:val="00A212AA"/>
    <w:rsid w:val="00A23673"/>
    <w:rsid w:val="00A24A28"/>
    <w:rsid w:val="00A33622"/>
    <w:rsid w:val="00A35092"/>
    <w:rsid w:val="00A37118"/>
    <w:rsid w:val="00A37263"/>
    <w:rsid w:val="00A42333"/>
    <w:rsid w:val="00A440CA"/>
    <w:rsid w:val="00A4588C"/>
    <w:rsid w:val="00A46100"/>
    <w:rsid w:val="00A46AE9"/>
    <w:rsid w:val="00A51EE1"/>
    <w:rsid w:val="00A5429A"/>
    <w:rsid w:val="00A6153D"/>
    <w:rsid w:val="00A651EE"/>
    <w:rsid w:val="00A66839"/>
    <w:rsid w:val="00A66C1E"/>
    <w:rsid w:val="00A71680"/>
    <w:rsid w:val="00A730F7"/>
    <w:rsid w:val="00A764E1"/>
    <w:rsid w:val="00A77FBC"/>
    <w:rsid w:val="00A80224"/>
    <w:rsid w:val="00A807D2"/>
    <w:rsid w:val="00A81B36"/>
    <w:rsid w:val="00A81D86"/>
    <w:rsid w:val="00A82246"/>
    <w:rsid w:val="00A8456D"/>
    <w:rsid w:val="00A85075"/>
    <w:rsid w:val="00A94232"/>
    <w:rsid w:val="00AA14C0"/>
    <w:rsid w:val="00AA1E72"/>
    <w:rsid w:val="00AA2899"/>
    <w:rsid w:val="00AA4A0C"/>
    <w:rsid w:val="00AA4C0F"/>
    <w:rsid w:val="00AA7E7C"/>
    <w:rsid w:val="00AC2141"/>
    <w:rsid w:val="00AC7689"/>
    <w:rsid w:val="00AD2398"/>
    <w:rsid w:val="00AD280E"/>
    <w:rsid w:val="00AD2923"/>
    <w:rsid w:val="00AD6B6A"/>
    <w:rsid w:val="00AD6CD9"/>
    <w:rsid w:val="00AE7764"/>
    <w:rsid w:val="00AF0FB9"/>
    <w:rsid w:val="00AF11AE"/>
    <w:rsid w:val="00AF52E0"/>
    <w:rsid w:val="00AF6785"/>
    <w:rsid w:val="00AF6E77"/>
    <w:rsid w:val="00B00435"/>
    <w:rsid w:val="00B010E1"/>
    <w:rsid w:val="00B04106"/>
    <w:rsid w:val="00B0488C"/>
    <w:rsid w:val="00B0557C"/>
    <w:rsid w:val="00B0676A"/>
    <w:rsid w:val="00B07412"/>
    <w:rsid w:val="00B0772B"/>
    <w:rsid w:val="00B1000A"/>
    <w:rsid w:val="00B10E3B"/>
    <w:rsid w:val="00B13CA2"/>
    <w:rsid w:val="00B14598"/>
    <w:rsid w:val="00B200B5"/>
    <w:rsid w:val="00B214D9"/>
    <w:rsid w:val="00B24D08"/>
    <w:rsid w:val="00B3199F"/>
    <w:rsid w:val="00B328B8"/>
    <w:rsid w:val="00B36152"/>
    <w:rsid w:val="00B36CF9"/>
    <w:rsid w:val="00B411B5"/>
    <w:rsid w:val="00B42EF7"/>
    <w:rsid w:val="00B43EBC"/>
    <w:rsid w:val="00B510F8"/>
    <w:rsid w:val="00B51273"/>
    <w:rsid w:val="00B558F2"/>
    <w:rsid w:val="00B651D6"/>
    <w:rsid w:val="00B65B4C"/>
    <w:rsid w:val="00B728D1"/>
    <w:rsid w:val="00B73B60"/>
    <w:rsid w:val="00B7531E"/>
    <w:rsid w:val="00B76BBE"/>
    <w:rsid w:val="00B77A8C"/>
    <w:rsid w:val="00B82C39"/>
    <w:rsid w:val="00B850E0"/>
    <w:rsid w:val="00B92550"/>
    <w:rsid w:val="00B969EA"/>
    <w:rsid w:val="00BA13DB"/>
    <w:rsid w:val="00BA6469"/>
    <w:rsid w:val="00BA694E"/>
    <w:rsid w:val="00BB5C70"/>
    <w:rsid w:val="00BB6086"/>
    <w:rsid w:val="00BB6E38"/>
    <w:rsid w:val="00BC22B7"/>
    <w:rsid w:val="00BC4CF3"/>
    <w:rsid w:val="00BC6FC5"/>
    <w:rsid w:val="00BD312C"/>
    <w:rsid w:val="00BD486F"/>
    <w:rsid w:val="00BD6749"/>
    <w:rsid w:val="00BE0A27"/>
    <w:rsid w:val="00BE2F69"/>
    <w:rsid w:val="00BE50E2"/>
    <w:rsid w:val="00BF0A2B"/>
    <w:rsid w:val="00BF0D5F"/>
    <w:rsid w:val="00BF13E8"/>
    <w:rsid w:val="00C01BED"/>
    <w:rsid w:val="00C01CD9"/>
    <w:rsid w:val="00C0466C"/>
    <w:rsid w:val="00C11A54"/>
    <w:rsid w:val="00C16718"/>
    <w:rsid w:val="00C17ABA"/>
    <w:rsid w:val="00C209AA"/>
    <w:rsid w:val="00C21213"/>
    <w:rsid w:val="00C25B74"/>
    <w:rsid w:val="00C27ED4"/>
    <w:rsid w:val="00C34181"/>
    <w:rsid w:val="00C40C36"/>
    <w:rsid w:val="00C4228E"/>
    <w:rsid w:val="00C463F3"/>
    <w:rsid w:val="00C47A7C"/>
    <w:rsid w:val="00C52C20"/>
    <w:rsid w:val="00C5683C"/>
    <w:rsid w:val="00C6133A"/>
    <w:rsid w:val="00C62637"/>
    <w:rsid w:val="00C63189"/>
    <w:rsid w:val="00C640EB"/>
    <w:rsid w:val="00C641C4"/>
    <w:rsid w:val="00C6709F"/>
    <w:rsid w:val="00C67D68"/>
    <w:rsid w:val="00C70ACC"/>
    <w:rsid w:val="00C81787"/>
    <w:rsid w:val="00C82143"/>
    <w:rsid w:val="00C85D60"/>
    <w:rsid w:val="00C86C50"/>
    <w:rsid w:val="00C86D8E"/>
    <w:rsid w:val="00C97F82"/>
    <w:rsid w:val="00CA601A"/>
    <w:rsid w:val="00CB472C"/>
    <w:rsid w:val="00CB70BD"/>
    <w:rsid w:val="00CC0817"/>
    <w:rsid w:val="00CC5632"/>
    <w:rsid w:val="00CC7D9F"/>
    <w:rsid w:val="00CD3FB3"/>
    <w:rsid w:val="00CD5002"/>
    <w:rsid w:val="00CD5114"/>
    <w:rsid w:val="00CE00C9"/>
    <w:rsid w:val="00CE4E17"/>
    <w:rsid w:val="00CE4E19"/>
    <w:rsid w:val="00CE6566"/>
    <w:rsid w:val="00CF3286"/>
    <w:rsid w:val="00CF4218"/>
    <w:rsid w:val="00D168C7"/>
    <w:rsid w:val="00D20A46"/>
    <w:rsid w:val="00D221A4"/>
    <w:rsid w:val="00D224DF"/>
    <w:rsid w:val="00D25F08"/>
    <w:rsid w:val="00D25F94"/>
    <w:rsid w:val="00D318A2"/>
    <w:rsid w:val="00D37C62"/>
    <w:rsid w:val="00D43CEB"/>
    <w:rsid w:val="00D44B06"/>
    <w:rsid w:val="00D46C7B"/>
    <w:rsid w:val="00D5163E"/>
    <w:rsid w:val="00D551C8"/>
    <w:rsid w:val="00D55E3F"/>
    <w:rsid w:val="00D55FDC"/>
    <w:rsid w:val="00D5700B"/>
    <w:rsid w:val="00D57B74"/>
    <w:rsid w:val="00D62777"/>
    <w:rsid w:val="00D63D88"/>
    <w:rsid w:val="00D64312"/>
    <w:rsid w:val="00D7442D"/>
    <w:rsid w:val="00D814A0"/>
    <w:rsid w:val="00D90493"/>
    <w:rsid w:val="00D912DE"/>
    <w:rsid w:val="00D94AC5"/>
    <w:rsid w:val="00DA015A"/>
    <w:rsid w:val="00DA1683"/>
    <w:rsid w:val="00DA1E6F"/>
    <w:rsid w:val="00DB1B16"/>
    <w:rsid w:val="00DB38AA"/>
    <w:rsid w:val="00DB50F7"/>
    <w:rsid w:val="00DB6355"/>
    <w:rsid w:val="00DC0104"/>
    <w:rsid w:val="00DC7DCB"/>
    <w:rsid w:val="00DD0F90"/>
    <w:rsid w:val="00DD2D72"/>
    <w:rsid w:val="00DD39DA"/>
    <w:rsid w:val="00DD68C5"/>
    <w:rsid w:val="00DD74D6"/>
    <w:rsid w:val="00DE0DE3"/>
    <w:rsid w:val="00DE5111"/>
    <w:rsid w:val="00DF0CDB"/>
    <w:rsid w:val="00DF1C32"/>
    <w:rsid w:val="00DF30C8"/>
    <w:rsid w:val="00DF3558"/>
    <w:rsid w:val="00DF506C"/>
    <w:rsid w:val="00E00427"/>
    <w:rsid w:val="00E01D22"/>
    <w:rsid w:val="00E02DF6"/>
    <w:rsid w:val="00E100A0"/>
    <w:rsid w:val="00E21770"/>
    <w:rsid w:val="00E22981"/>
    <w:rsid w:val="00E27A7D"/>
    <w:rsid w:val="00E319EF"/>
    <w:rsid w:val="00E32FF3"/>
    <w:rsid w:val="00E334F6"/>
    <w:rsid w:val="00E36DB3"/>
    <w:rsid w:val="00E37935"/>
    <w:rsid w:val="00E455AF"/>
    <w:rsid w:val="00E45917"/>
    <w:rsid w:val="00E52CAD"/>
    <w:rsid w:val="00E567DD"/>
    <w:rsid w:val="00E57601"/>
    <w:rsid w:val="00E57B2F"/>
    <w:rsid w:val="00E61F08"/>
    <w:rsid w:val="00E65328"/>
    <w:rsid w:val="00E72FC1"/>
    <w:rsid w:val="00E739C4"/>
    <w:rsid w:val="00E77871"/>
    <w:rsid w:val="00E85E87"/>
    <w:rsid w:val="00E94EBB"/>
    <w:rsid w:val="00EA17CC"/>
    <w:rsid w:val="00EA3178"/>
    <w:rsid w:val="00EA4724"/>
    <w:rsid w:val="00EA4791"/>
    <w:rsid w:val="00EA6036"/>
    <w:rsid w:val="00EA6EBB"/>
    <w:rsid w:val="00EB04EA"/>
    <w:rsid w:val="00EB5C7B"/>
    <w:rsid w:val="00EB6058"/>
    <w:rsid w:val="00EB6FFD"/>
    <w:rsid w:val="00EC0B86"/>
    <w:rsid w:val="00EC2837"/>
    <w:rsid w:val="00EC62F7"/>
    <w:rsid w:val="00ED3394"/>
    <w:rsid w:val="00ED547D"/>
    <w:rsid w:val="00EE0D31"/>
    <w:rsid w:val="00EE1402"/>
    <w:rsid w:val="00EE5729"/>
    <w:rsid w:val="00EE738F"/>
    <w:rsid w:val="00EF392E"/>
    <w:rsid w:val="00EF3C88"/>
    <w:rsid w:val="00EF599F"/>
    <w:rsid w:val="00EF6AA8"/>
    <w:rsid w:val="00F05DB6"/>
    <w:rsid w:val="00F0690B"/>
    <w:rsid w:val="00F2181A"/>
    <w:rsid w:val="00F23205"/>
    <w:rsid w:val="00F25ED2"/>
    <w:rsid w:val="00F32019"/>
    <w:rsid w:val="00F320EF"/>
    <w:rsid w:val="00F35ECE"/>
    <w:rsid w:val="00F411F9"/>
    <w:rsid w:val="00F440A1"/>
    <w:rsid w:val="00F44426"/>
    <w:rsid w:val="00F4712F"/>
    <w:rsid w:val="00F61EE2"/>
    <w:rsid w:val="00F628D7"/>
    <w:rsid w:val="00F63A33"/>
    <w:rsid w:val="00F7027C"/>
    <w:rsid w:val="00F7244B"/>
    <w:rsid w:val="00F73FAA"/>
    <w:rsid w:val="00F77108"/>
    <w:rsid w:val="00F77D7A"/>
    <w:rsid w:val="00F810A9"/>
    <w:rsid w:val="00F922A0"/>
    <w:rsid w:val="00F9432C"/>
    <w:rsid w:val="00F961AD"/>
    <w:rsid w:val="00F96B67"/>
    <w:rsid w:val="00F97B14"/>
    <w:rsid w:val="00FA2BAE"/>
    <w:rsid w:val="00FA3460"/>
    <w:rsid w:val="00FA4255"/>
    <w:rsid w:val="00FC02A8"/>
    <w:rsid w:val="00FC20F5"/>
    <w:rsid w:val="00FC258E"/>
    <w:rsid w:val="00FC2899"/>
    <w:rsid w:val="00FC2C43"/>
    <w:rsid w:val="00FC468E"/>
    <w:rsid w:val="00FC713B"/>
    <w:rsid w:val="00FD187B"/>
    <w:rsid w:val="00FD4D00"/>
    <w:rsid w:val="00FD528F"/>
    <w:rsid w:val="00FD7FB1"/>
    <w:rsid w:val="00FE0A77"/>
    <w:rsid w:val="00FE1D17"/>
    <w:rsid w:val="00FE2B30"/>
    <w:rsid w:val="00FE462B"/>
    <w:rsid w:val="00FE5D87"/>
    <w:rsid w:val="00FE6B61"/>
    <w:rsid w:val="00FF44F8"/>
    <w:rsid w:val="00FF5A7B"/>
    <w:rsid w:val="00FF6ECA"/>
    <w:rsid w:val="030FA569"/>
    <w:rsid w:val="0963BA95"/>
    <w:rsid w:val="0EC80832"/>
    <w:rsid w:val="258C5A24"/>
    <w:rsid w:val="2661F2B6"/>
    <w:rsid w:val="2682ACF7"/>
    <w:rsid w:val="2EC860EF"/>
    <w:rsid w:val="3017AD64"/>
    <w:rsid w:val="345F9791"/>
    <w:rsid w:val="354EB243"/>
    <w:rsid w:val="35ADDC75"/>
    <w:rsid w:val="36E5C6F0"/>
    <w:rsid w:val="39012E8D"/>
    <w:rsid w:val="3EA6D1C7"/>
    <w:rsid w:val="4282FC3B"/>
    <w:rsid w:val="47D63821"/>
    <w:rsid w:val="48F23DBF"/>
    <w:rsid w:val="497C1615"/>
    <w:rsid w:val="4D2B8007"/>
    <w:rsid w:val="4E05996C"/>
    <w:rsid w:val="4EC1A363"/>
    <w:rsid w:val="4FA6F757"/>
    <w:rsid w:val="523AD7C9"/>
    <w:rsid w:val="59104F0F"/>
    <w:rsid w:val="615F28F3"/>
    <w:rsid w:val="618EA1C4"/>
    <w:rsid w:val="6193A8D4"/>
    <w:rsid w:val="63971F5B"/>
    <w:rsid w:val="63CC4469"/>
    <w:rsid w:val="67767E1A"/>
    <w:rsid w:val="681B9F4B"/>
    <w:rsid w:val="6F7A1600"/>
    <w:rsid w:val="70FF0DC4"/>
    <w:rsid w:val="71708CCE"/>
    <w:rsid w:val="720A3A9A"/>
    <w:rsid w:val="7237313C"/>
    <w:rsid w:val="7543C016"/>
    <w:rsid w:val="77D72332"/>
    <w:rsid w:val="7A8D58CF"/>
    <w:rsid w:val="7C25F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D6A3C"/>
  <w15:chartTrackingRefBased/>
  <w15:docId w15:val="{3CC9B928-1C2A-4FD7-B973-CD16CDB39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673"/>
    <w:pPr>
      <w:keepNext/>
      <w:keepLines/>
      <w:spacing w:before="240" w:after="0"/>
      <w:outlineLvl w:val="0"/>
    </w:pPr>
    <w:rPr>
      <w:rFonts w:asciiTheme="majorHAnsi" w:eastAsiaTheme="majorEastAsia" w:hAnsiTheme="majorHAnsi" w:cstheme="majorBidi"/>
      <w:b/>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AD0"/>
    <w:pPr>
      <w:ind w:left="720"/>
      <w:contextualSpacing/>
    </w:pPr>
  </w:style>
  <w:style w:type="paragraph" w:styleId="NoSpacing">
    <w:name w:val="No Spacing"/>
    <w:link w:val="NoSpacingChar"/>
    <w:uiPriority w:val="1"/>
    <w:qFormat/>
    <w:rsid w:val="00014058"/>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14058"/>
    <w:rPr>
      <w:rFonts w:eastAsiaTheme="minorEastAsia"/>
      <w:lang w:eastAsia="en-GB"/>
    </w:rPr>
  </w:style>
  <w:style w:type="paragraph" w:styleId="Header">
    <w:name w:val="header"/>
    <w:basedOn w:val="Normal"/>
    <w:link w:val="HeaderChar"/>
    <w:uiPriority w:val="99"/>
    <w:unhideWhenUsed/>
    <w:rsid w:val="0001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058"/>
  </w:style>
  <w:style w:type="paragraph" w:styleId="Footer">
    <w:name w:val="footer"/>
    <w:basedOn w:val="Normal"/>
    <w:link w:val="FooterChar"/>
    <w:uiPriority w:val="99"/>
    <w:unhideWhenUsed/>
    <w:rsid w:val="00014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058"/>
  </w:style>
  <w:style w:type="character" w:customStyle="1" w:styleId="Heading1Char">
    <w:name w:val="Heading 1 Char"/>
    <w:basedOn w:val="DefaultParagraphFont"/>
    <w:link w:val="Heading1"/>
    <w:uiPriority w:val="9"/>
    <w:rsid w:val="00A23673"/>
    <w:rPr>
      <w:rFonts w:asciiTheme="majorHAnsi" w:eastAsiaTheme="majorEastAsia" w:hAnsiTheme="majorHAnsi" w:cstheme="majorBidi"/>
      <w:b/>
      <w:sz w:val="24"/>
      <w:szCs w:val="32"/>
    </w:rPr>
  </w:style>
  <w:style w:type="paragraph" w:styleId="TOCHeading">
    <w:name w:val="TOC Heading"/>
    <w:basedOn w:val="Heading1"/>
    <w:next w:val="Normal"/>
    <w:uiPriority w:val="39"/>
    <w:unhideWhenUsed/>
    <w:qFormat/>
    <w:rsid w:val="00014058"/>
    <w:pPr>
      <w:outlineLvl w:val="9"/>
    </w:pPr>
    <w:rPr>
      <w:lang w:eastAsia="en-GB"/>
    </w:rPr>
  </w:style>
  <w:style w:type="paragraph" w:styleId="TOC1">
    <w:name w:val="toc 1"/>
    <w:basedOn w:val="Normal"/>
    <w:next w:val="Normal"/>
    <w:autoRedefine/>
    <w:uiPriority w:val="39"/>
    <w:unhideWhenUsed/>
    <w:rsid w:val="00014058"/>
    <w:pPr>
      <w:spacing w:after="100"/>
    </w:pPr>
  </w:style>
  <w:style w:type="character" w:styleId="Hyperlink">
    <w:name w:val="Hyperlink"/>
    <w:basedOn w:val="DefaultParagraphFont"/>
    <w:uiPriority w:val="99"/>
    <w:unhideWhenUsed/>
    <w:rsid w:val="00014058"/>
    <w:rPr>
      <w:color w:val="0563C1" w:themeColor="hyperlink"/>
      <w:u w:val="single"/>
    </w:rPr>
  </w:style>
  <w:style w:type="paragraph" w:customStyle="1" w:styleId="paragraph">
    <w:name w:val="paragraph"/>
    <w:basedOn w:val="Normal"/>
    <w:rsid w:val="000D5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5C68"/>
  </w:style>
  <w:style w:type="character" w:customStyle="1" w:styleId="eop">
    <w:name w:val="eop"/>
    <w:basedOn w:val="DefaultParagraphFont"/>
    <w:rsid w:val="000D5C68"/>
  </w:style>
  <w:style w:type="paragraph" w:styleId="FootnoteText">
    <w:name w:val="footnote text"/>
    <w:basedOn w:val="Normal"/>
    <w:link w:val="FootnoteTextChar"/>
    <w:uiPriority w:val="99"/>
    <w:semiHidden/>
    <w:unhideWhenUsed/>
    <w:rsid w:val="000D5C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5C68"/>
    <w:rPr>
      <w:sz w:val="20"/>
      <w:szCs w:val="20"/>
    </w:rPr>
  </w:style>
  <w:style w:type="character" w:styleId="FootnoteReference">
    <w:name w:val="footnote reference"/>
    <w:basedOn w:val="DefaultParagraphFont"/>
    <w:uiPriority w:val="99"/>
    <w:semiHidden/>
    <w:unhideWhenUsed/>
    <w:rsid w:val="000D5C68"/>
    <w:rPr>
      <w:vertAlign w:val="superscript"/>
    </w:rPr>
  </w:style>
  <w:style w:type="character" w:customStyle="1" w:styleId="scxw102662115">
    <w:name w:val="scxw102662115"/>
    <w:basedOn w:val="DefaultParagraphFont"/>
    <w:rsid w:val="00C70ACC"/>
  </w:style>
  <w:style w:type="character" w:styleId="EndnoteReference">
    <w:name w:val="endnote reference"/>
    <w:basedOn w:val="DefaultParagraphFont"/>
    <w:uiPriority w:val="99"/>
    <w:semiHidden/>
    <w:unhideWhenUsed/>
    <w:rsid w:val="001C6C14"/>
    <w:rPr>
      <w:vertAlign w:val="superscript"/>
    </w:rPr>
  </w:style>
  <w:style w:type="paragraph" w:styleId="NormalWeb">
    <w:name w:val="Normal (Web)"/>
    <w:basedOn w:val="Normal"/>
    <w:uiPriority w:val="99"/>
    <w:unhideWhenUsed/>
    <w:rsid w:val="005914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f0">
    <w:name w:val="pf0"/>
    <w:basedOn w:val="Normal"/>
    <w:rsid w:val="005914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914BF"/>
    <w:rPr>
      <w:rFonts w:ascii="Segoe UI" w:hAnsi="Segoe UI" w:cs="Segoe UI" w:hint="default"/>
      <w:sz w:val="18"/>
      <w:szCs w:val="18"/>
    </w:rPr>
  </w:style>
  <w:style w:type="paragraph" w:styleId="Caption">
    <w:name w:val="caption"/>
    <w:basedOn w:val="Normal"/>
    <w:next w:val="Normal"/>
    <w:uiPriority w:val="35"/>
    <w:unhideWhenUsed/>
    <w:qFormat/>
    <w:rsid w:val="00BE50E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90493"/>
    <w:pPr>
      <w:spacing w:after="240" w:line="240" w:lineRule="auto"/>
      <w:ind w:left="720" w:hanging="720"/>
    </w:pPr>
  </w:style>
  <w:style w:type="paragraph" w:styleId="TableofFigures">
    <w:name w:val="table of figures"/>
    <w:basedOn w:val="Normal"/>
    <w:next w:val="Normal"/>
    <w:uiPriority w:val="99"/>
    <w:unhideWhenUsed/>
    <w:rsid w:val="006765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uowtsd-my.sharepoint.com/personal/1500941_student_uwtsd_ac_uk/Documents/Food%20Dissertation%202022%20(1).doc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footer" Target="footer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2023-01-01T00:00:00</PublishDate>
  <Abstract>Dissertation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6599eb2-cc7f-47dc-99f1-d58e85d089e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435298AD9F9D243899E994CCB1A3FF7" ma:contentTypeVersion="14" ma:contentTypeDescription="Create a new document." ma:contentTypeScope="" ma:versionID="0d2357416f4565ca41d1294ef7393207">
  <xsd:schema xmlns:xsd="http://www.w3.org/2001/XMLSchema" xmlns:xs="http://www.w3.org/2001/XMLSchema" xmlns:p="http://schemas.microsoft.com/office/2006/metadata/properties" xmlns:ns3="26599eb2-cc7f-47dc-99f1-d58e85d089ed" xmlns:ns4="95d0673b-7393-4c63-90d0-f8e29adc0326" targetNamespace="http://schemas.microsoft.com/office/2006/metadata/properties" ma:root="true" ma:fieldsID="b8010bd44aad352ddc65dd45db7da332" ns3:_="" ns4:_="">
    <xsd:import namespace="26599eb2-cc7f-47dc-99f1-d58e85d089ed"/>
    <xsd:import namespace="95d0673b-7393-4c63-90d0-f8e29adc032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99eb2-cc7f-47dc-99f1-d58e85d089e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d0673b-7393-4c63-90d0-f8e29adc03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553167-6905-4359-9959-F9199D39E46F}">
  <ds:schemaRefs>
    <ds:schemaRef ds:uri="http://schemas.openxmlformats.org/officeDocument/2006/bibliography"/>
  </ds:schemaRefs>
</ds:datastoreItem>
</file>

<file path=customXml/itemProps3.xml><?xml version="1.0" encoding="utf-8"?>
<ds:datastoreItem xmlns:ds="http://schemas.openxmlformats.org/officeDocument/2006/customXml" ds:itemID="{599E30E5-66C4-490D-A638-019F9A500C73}">
  <ds:schemaRefs>
    <ds:schemaRef ds:uri="http://schemas.microsoft.com/sharepoint/v3/contenttype/forms"/>
  </ds:schemaRefs>
</ds:datastoreItem>
</file>

<file path=customXml/itemProps4.xml><?xml version="1.0" encoding="utf-8"?>
<ds:datastoreItem xmlns:ds="http://schemas.openxmlformats.org/officeDocument/2006/customXml" ds:itemID="{2423B052-1DF9-40AE-A3F4-668EF24754E6}">
  <ds:schemaRef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95d0673b-7393-4c63-90d0-f8e29adc0326"/>
    <ds:schemaRef ds:uri="26599eb2-cc7f-47dc-99f1-d58e85d089ed"/>
    <ds:schemaRef ds:uri="http://purl.org/dc/elements/1.1/"/>
  </ds:schemaRefs>
</ds:datastoreItem>
</file>

<file path=customXml/itemProps5.xml><?xml version="1.0" encoding="utf-8"?>
<ds:datastoreItem xmlns:ds="http://schemas.openxmlformats.org/officeDocument/2006/customXml" ds:itemID="{B91375DD-2923-4F8E-B13F-78F97402B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99eb2-cc7f-47dc-99f1-d58e85d089ed"/>
    <ds:schemaRef ds:uri="95d0673b-7393-4c63-90d0-f8e29adc03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20438</Words>
  <Characters>102806</Characters>
  <Application>Microsoft Office Word</Application>
  <DocSecurity>0</DocSecurity>
  <Lines>1869</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Sense of Place:  How museums in Wales represent going back to our roots and sharing our history through food.</dc:title>
  <dc:subject>Laura Cait Driscoll</dc:subject>
  <dc:creator>Laura-Cait</dc:creator>
  <cp:keywords/>
  <dc:description/>
  <cp:lastModifiedBy>Laura-Cait Driscoll (1500941)</cp:lastModifiedBy>
  <cp:revision>2</cp:revision>
  <dcterms:created xsi:type="dcterms:W3CDTF">2023-01-27T16:37:00Z</dcterms:created>
  <dcterms:modified xsi:type="dcterms:W3CDTF">2023-01-27T16:37:00Z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id="SUFnPQGp"/&gt;&lt;style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y fmtid="{D5CDD505-2E9C-101B-9397-08002B2CF9AE}" pid="4" name="ContentTypeId">
    <vt:lpwstr>0x0101000435298AD9F9D243899E994CCB1A3FF7</vt:lpwstr>
  </property>
  <property fmtid="{D5CDD505-2E9C-101B-9397-08002B2CF9AE}" pid="5" name="GrammarlyDocumentId">
    <vt:lpwstr>f06010b9827c48d5f7ba87479d35b10cd2374696e662cae7a1128836526b835d</vt:lpwstr>
  </property>
</Properties>
</file>