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C529D" w14:textId="56C86BDC" w:rsidR="33DA2B42" w:rsidRDefault="6A0E93D8" w:rsidP="24D98E9F">
      <w:pPr>
        <w:jc w:val="both"/>
      </w:pPr>
      <w:r>
        <w:t>Module Name: Developing Strategic Capability</w:t>
      </w:r>
    </w:p>
    <w:p w14:paraId="27265B98" w14:textId="57546D21" w:rsidR="33DA2B42" w:rsidRDefault="6A0E93D8" w:rsidP="24D98E9F">
      <w:pPr>
        <w:jc w:val="both"/>
      </w:pPr>
      <w:r>
        <w:t>Module Code: BMSW6011</w:t>
      </w:r>
    </w:p>
    <w:p w14:paraId="14546A01" w14:textId="2E616ED0" w:rsidR="33DA2B42" w:rsidRDefault="6A0E93D8" w:rsidP="24D98E9F">
      <w:pPr>
        <w:pStyle w:val="Title"/>
        <w:jc w:val="both"/>
      </w:pPr>
      <w:r>
        <w:t>STRATEGIC EVALUATION OF AN ORGANISATION</w:t>
      </w:r>
    </w:p>
    <w:p w14:paraId="046CB693" w14:textId="2A29D9AD" w:rsidR="33DA2B42" w:rsidRDefault="6A0E93D8" w:rsidP="24D98E9F">
      <w:pPr>
        <w:pStyle w:val="Subtitle"/>
        <w:jc w:val="both"/>
      </w:pPr>
      <w:r>
        <w:t>Student: Rany Amin</w:t>
      </w:r>
    </w:p>
    <w:p w14:paraId="57995D05" w14:textId="0F1D9CA3" w:rsidR="33DA2B42" w:rsidRDefault="6A0E93D8" w:rsidP="24D98E9F">
      <w:pPr>
        <w:pStyle w:val="Subtitle"/>
        <w:jc w:val="both"/>
      </w:pPr>
      <w:r>
        <w:t>Student number: 2229877</w:t>
      </w:r>
    </w:p>
    <w:p w14:paraId="2D9608F2" w14:textId="52F6633B" w:rsidR="33DA2B42" w:rsidRDefault="6A0E93D8" w:rsidP="24D98E9F">
      <w:pPr>
        <w:pStyle w:val="Subtitle"/>
        <w:jc w:val="both"/>
      </w:pPr>
      <w:r>
        <w:t>Lecturer: Scott James</w:t>
      </w:r>
    </w:p>
    <w:p w14:paraId="66E4A4A3" w14:textId="747DD90D" w:rsidR="33DA2B42" w:rsidRDefault="6A0E93D8" w:rsidP="24D98E9F">
      <w:pPr>
        <w:jc w:val="both"/>
      </w:pPr>
      <w:r>
        <w:t>Friday 27</w:t>
      </w:r>
      <w:r w:rsidRPr="24D98E9F">
        <w:rPr>
          <w:vertAlign w:val="superscript"/>
        </w:rPr>
        <w:t>th</w:t>
      </w:r>
      <w:r>
        <w:t xml:space="preserve"> March 2026</w:t>
      </w:r>
      <w:r w:rsidR="49A752B9">
        <w:t xml:space="preserve"> 23.59</w:t>
      </w:r>
    </w:p>
    <w:p w14:paraId="11F7F9D6" w14:textId="15F39481" w:rsidR="33DA2B42" w:rsidRDefault="6A0E93D8" w:rsidP="24D98E9F">
      <w:pPr>
        <w:jc w:val="both"/>
      </w:pPr>
      <w:r>
        <w:t>Word Count:</w:t>
      </w:r>
      <w:r w:rsidR="66DF3FAF">
        <w:t xml:space="preserve"> 4,390</w:t>
      </w:r>
    </w:p>
    <w:p w14:paraId="4AF4290D" w14:textId="0CBE76E6" w:rsidR="2FC2BED2" w:rsidRDefault="2FC2BED2" w:rsidP="24D98E9F">
      <w:pPr>
        <w:jc w:val="both"/>
      </w:pPr>
    </w:p>
    <w:p w14:paraId="0D356020" w14:textId="4DE89727" w:rsidR="2FC2BED2" w:rsidRDefault="2FC2BED2" w:rsidP="24D98E9F">
      <w:pPr>
        <w:jc w:val="both"/>
      </w:pPr>
      <w:r>
        <w:br w:type="page"/>
      </w:r>
    </w:p>
    <w:p w14:paraId="60E97BC5" w14:textId="66D437C6" w:rsidR="1389A2F8" w:rsidRDefault="3C316C90" w:rsidP="24D98E9F">
      <w:pPr>
        <w:pStyle w:val="Heading1"/>
        <w:jc w:val="both"/>
      </w:pPr>
      <w:bookmarkStart w:id="0" w:name="_Toc1954240297"/>
      <w:bookmarkStart w:id="1" w:name="_Toc1477524766"/>
      <w:r>
        <w:lastRenderedPageBreak/>
        <w:t>AI Acknowledgement Statement.</w:t>
      </w:r>
      <w:bookmarkEnd w:id="0"/>
      <w:bookmarkEnd w:id="1"/>
    </w:p>
    <w:p w14:paraId="4346BA90" w14:textId="56B24849" w:rsidR="1389A2F8" w:rsidRDefault="3C316C90" w:rsidP="24D98E9F">
      <w:pPr>
        <w:jc w:val="both"/>
      </w:pPr>
      <w:r>
        <w:t>I confirm that I have not presented any AI generated materials as my own work.</w:t>
      </w:r>
    </w:p>
    <w:p w14:paraId="0F1D69E0" w14:textId="0902F082" w:rsidR="1389A2F8" w:rsidRDefault="3C316C90" w:rsidP="24D98E9F">
      <w:pPr>
        <w:jc w:val="both"/>
      </w:pPr>
      <w:r>
        <w:t>I confirm that I have copies of my drafts, notes, and other resources I used, which I may be asked to provide in evidence.</w:t>
      </w:r>
    </w:p>
    <w:p w14:paraId="2A409FF1" w14:textId="453A9F2D" w:rsidR="2FC2BED2" w:rsidRDefault="2FC2BED2" w:rsidP="24D98E9F">
      <w:pPr>
        <w:jc w:val="both"/>
      </w:pPr>
    </w:p>
    <w:p w14:paraId="5E30F56F" w14:textId="0A183BB3" w:rsidR="2FC2BED2" w:rsidRDefault="2FC2BED2" w:rsidP="24D98E9F">
      <w:pPr>
        <w:jc w:val="both"/>
      </w:pPr>
      <w:r>
        <w:br w:type="page"/>
      </w:r>
    </w:p>
    <w:sdt>
      <w:sdtPr>
        <w:id w:val="903018465"/>
        <w:docPartObj>
          <w:docPartGallery w:val="Table of Contents"/>
          <w:docPartUnique/>
        </w:docPartObj>
      </w:sdtPr>
      <w:sdtContent>
        <w:p w14:paraId="5F9EB84F" w14:textId="4B04EB1F" w:rsidR="24D98E9F" w:rsidRDefault="24D98E9F" w:rsidP="24D98E9F">
          <w:pPr>
            <w:pStyle w:val="TOC1"/>
            <w:tabs>
              <w:tab w:val="right" w:leader="dot" w:pos="9015"/>
            </w:tabs>
            <w:rPr>
              <w:rStyle w:val="Hyperlink"/>
            </w:rPr>
          </w:pPr>
          <w:r>
            <w:fldChar w:fldCharType="begin"/>
          </w:r>
          <w:r>
            <w:instrText>TOC \o "1-9" \z \u \h</w:instrText>
          </w:r>
          <w:r>
            <w:fldChar w:fldCharType="separate"/>
          </w:r>
          <w:hyperlink w:anchor="_Toc1477524766">
            <w:r w:rsidRPr="24D98E9F">
              <w:rPr>
                <w:rStyle w:val="Hyperlink"/>
              </w:rPr>
              <w:t>AI Acknowledgement Statement.</w:t>
            </w:r>
            <w:r>
              <w:tab/>
            </w:r>
            <w:r>
              <w:fldChar w:fldCharType="begin"/>
            </w:r>
            <w:r>
              <w:instrText>PAGEREF _Toc1477524766 \h</w:instrText>
            </w:r>
            <w:r>
              <w:fldChar w:fldCharType="separate"/>
            </w:r>
            <w:r w:rsidRPr="24D98E9F">
              <w:rPr>
                <w:rStyle w:val="Hyperlink"/>
              </w:rPr>
              <w:t>1</w:t>
            </w:r>
            <w:r>
              <w:fldChar w:fldCharType="end"/>
            </w:r>
          </w:hyperlink>
        </w:p>
        <w:p w14:paraId="5EB4AB3E" w14:textId="27DE242C" w:rsidR="24D98E9F" w:rsidRDefault="24D98E9F" w:rsidP="24D98E9F">
          <w:pPr>
            <w:pStyle w:val="TOC1"/>
            <w:tabs>
              <w:tab w:val="right" w:leader="dot" w:pos="9015"/>
            </w:tabs>
            <w:rPr>
              <w:rStyle w:val="Hyperlink"/>
            </w:rPr>
          </w:pPr>
          <w:hyperlink w:anchor="_Toc1676109361">
            <w:r w:rsidRPr="24D98E9F">
              <w:rPr>
                <w:rStyle w:val="Hyperlink"/>
              </w:rPr>
              <w:t>1: Organisational Overview</w:t>
            </w:r>
            <w:r>
              <w:tab/>
            </w:r>
            <w:r>
              <w:fldChar w:fldCharType="begin"/>
            </w:r>
            <w:r>
              <w:instrText>PAGEREF _Toc1676109361 \h</w:instrText>
            </w:r>
            <w:r>
              <w:fldChar w:fldCharType="separate"/>
            </w:r>
            <w:r w:rsidRPr="24D98E9F">
              <w:rPr>
                <w:rStyle w:val="Hyperlink"/>
              </w:rPr>
              <w:t>4</w:t>
            </w:r>
            <w:r>
              <w:fldChar w:fldCharType="end"/>
            </w:r>
          </w:hyperlink>
        </w:p>
        <w:p w14:paraId="2A833482" w14:textId="7235A373" w:rsidR="24D98E9F" w:rsidRDefault="24D98E9F" w:rsidP="24D98E9F">
          <w:pPr>
            <w:pStyle w:val="TOC2"/>
            <w:tabs>
              <w:tab w:val="right" w:leader="dot" w:pos="9015"/>
            </w:tabs>
            <w:rPr>
              <w:rStyle w:val="Hyperlink"/>
            </w:rPr>
          </w:pPr>
          <w:hyperlink w:anchor="_Toc1545137215">
            <w:r w:rsidRPr="24D98E9F">
              <w:rPr>
                <w:rStyle w:val="Hyperlink"/>
              </w:rPr>
              <w:t>1.1</w:t>
            </w:r>
            <w:r>
              <w:tab/>
            </w:r>
            <w:r>
              <w:fldChar w:fldCharType="begin"/>
            </w:r>
            <w:r>
              <w:instrText>PAGEREF _Toc1545137215 \h</w:instrText>
            </w:r>
            <w:r>
              <w:fldChar w:fldCharType="separate"/>
            </w:r>
            <w:r w:rsidRPr="24D98E9F">
              <w:rPr>
                <w:rStyle w:val="Hyperlink"/>
              </w:rPr>
              <w:t>4</w:t>
            </w:r>
            <w:r>
              <w:fldChar w:fldCharType="end"/>
            </w:r>
          </w:hyperlink>
        </w:p>
        <w:p w14:paraId="743E0D28" w14:textId="3F566F17" w:rsidR="24D98E9F" w:rsidRDefault="24D98E9F" w:rsidP="24D98E9F">
          <w:pPr>
            <w:pStyle w:val="TOC2"/>
            <w:tabs>
              <w:tab w:val="right" w:leader="dot" w:pos="9015"/>
            </w:tabs>
            <w:rPr>
              <w:rStyle w:val="Hyperlink"/>
            </w:rPr>
          </w:pPr>
          <w:hyperlink w:anchor="_Toc2113260003">
            <w:r w:rsidRPr="24D98E9F">
              <w:rPr>
                <w:rStyle w:val="Hyperlink"/>
              </w:rPr>
              <w:t>1.2 Products and Services</w:t>
            </w:r>
            <w:r>
              <w:tab/>
            </w:r>
            <w:r>
              <w:fldChar w:fldCharType="begin"/>
            </w:r>
            <w:r>
              <w:instrText>PAGEREF _Toc2113260003 \h</w:instrText>
            </w:r>
            <w:r>
              <w:fldChar w:fldCharType="separate"/>
            </w:r>
            <w:r w:rsidRPr="24D98E9F">
              <w:rPr>
                <w:rStyle w:val="Hyperlink"/>
              </w:rPr>
              <w:t>4</w:t>
            </w:r>
            <w:r>
              <w:fldChar w:fldCharType="end"/>
            </w:r>
          </w:hyperlink>
        </w:p>
        <w:p w14:paraId="1454159E" w14:textId="1D44674D" w:rsidR="24D98E9F" w:rsidRDefault="24D98E9F" w:rsidP="24D98E9F">
          <w:pPr>
            <w:pStyle w:val="TOC2"/>
            <w:tabs>
              <w:tab w:val="right" w:leader="dot" w:pos="9015"/>
            </w:tabs>
            <w:rPr>
              <w:rStyle w:val="Hyperlink"/>
            </w:rPr>
          </w:pPr>
          <w:hyperlink w:anchor="_Toc1866445101">
            <w:r w:rsidRPr="24D98E9F">
              <w:rPr>
                <w:rStyle w:val="Hyperlink"/>
              </w:rPr>
              <w:t>1.3 Markets and Geographic Scope</w:t>
            </w:r>
            <w:r>
              <w:tab/>
            </w:r>
            <w:r>
              <w:fldChar w:fldCharType="begin"/>
            </w:r>
            <w:r>
              <w:instrText>PAGEREF _Toc1866445101 \h</w:instrText>
            </w:r>
            <w:r>
              <w:fldChar w:fldCharType="separate"/>
            </w:r>
            <w:r w:rsidRPr="24D98E9F">
              <w:rPr>
                <w:rStyle w:val="Hyperlink"/>
              </w:rPr>
              <w:t>4</w:t>
            </w:r>
            <w:r>
              <w:fldChar w:fldCharType="end"/>
            </w:r>
          </w:hyperlink>
        </w:p>
        <w:p w14:paraId="34B42D3B" w14:textId="32824522" w:rsidR="24D98E9F" w:rsidRDefault="24D98E9F" w:rsidP="24D98E9F">
          <w:pPr>
            <w:pStyle w:val="TOC2"/>
            <w:tabs>
              <w:tab w:val="right" w:leader="dot" w:pos="9015"/>
            </w:tabs>
            <w:rPr>
              <w:rStyle w:val="Hyperlink"/>
            </w:rPr>
          </w:pPr>
          <w:hyperlink w:anchor="_Toc1947764402">
            <w:r w:rsidRPr="24D98E9F">
              <w:rPr>
                <w:rStyle w:val="Hyperlink"/>
              </w:rPr>
              <w:t>1.4 Recent Strategic Developments</w:t>
            </w:r>
            <w:r>
              <w:tab/>
            </w:r>
            <w:r>
              <w:fldChar w:fldCharType="begin"/>
            </w:r>
            <w:r>
              <w:instrText>PAGEREF _Toc1947764402 \h</w:instrText>
            </w:r>
            <w:r>
              <w:fldChar w:fldCharType="separate"/>
            </w:r>
            <w:r w:rsidRPr="24D98E9F">
              <w:rPr>
                <w:rStyle w:val="Hyperlink"/>
              </w:rPr>
              <w:t>4</w:t>
            </w:r>
            <w:r>
              <w:fldChar w:fldCharType="end"/>
            </w:r>
          </w:hyperlink>
        </w:p>
        <w:p w14:paraId="13492F5F" w14:textId="453CED61" w:rsidR="24D98E9F" w:rsidRDefault="24D98E9F" w:rsidP="24D98E9F">
          <w:pPr>
            <w:pStyle w:val="TOC1"/>
            <w:tabs>
              <w:tab w:val="right" w:leader="dot" w:pos="9015"/>
            </w:tabs>
            <w:rPr>
              <w:rStyle w:val="Hyperlink"/>
            </w:rPr>
          </w:pPr>
          <w:hyperlink w:anchor="_Toc1928665847">
            <w:r w:rsidRPr="24D98E9F">
              <w:rPr>
                <w:rStyle w:val="Hyperlink"/>
              </w:rPr>
              <w:t>2: External Environment and Stakeholder Analysis</w:t>
            </w:r>
            <w:r>
              <w:tab/>
            </w:r>
            <w:r>
              <w:fldChar w:fldCharType="begin"/>
            </w:r>
            <w:r>
              <w:instrText>PAGEREF _Toc1928665847 \h</w:instrText>
            </w:r>
            <w:r>
              <w:fldChar w:fldCharType="separate"/>
            </w:r>
            <w:r w:rsidRPr="24D98E9F">
              <w:rPr>
                <w:rStyle w:val="Hyperlink"/>
              </w:rPr>
              <w:t>5</w:t>
            </w:r>
            <w:r>
              <w:fldChar w:fldCharType="end"/>
            </w:r>
          </w:hyperlink>
        </w:p>
        <w:p w14:paraId="7A5A574D" w14:textId="1183082A" w:rsidR="24D98E9F" w:rsidRDefault="24D98E9F" w:rsidP="24D98E9F">
          <w:pPr>
            <w:pStyle w:val="TOC2"/>
            <w:tabs>
              <w:tab w:val="right" w:leader="dot" w:pos="9015"/>
            </w:tabs>
            <w:rPr>
              <w:rStyle w:val="Hyperlink"/>
            </w:rPr>
          </w:pPr>
          <w:hyperlink w:anchor="_Toc131032260">
            <w:r w:rsidRPr="24D98E9F">
              <w:rPr>
                <w:rStyle w:val="Hyperlink"/>
              </w:rPr>
              <w:t>2.1 PESTLE Analysis</w:t>
            </w:r>
            <w:r>
              <w:tab/>
            </w:r>
            <w:r>
              <w:fldChar w:fldCharType="begin"/>
            </w:r>
            <w:r>
              <w:instrText>PAGEREF _Toc131032260 \h</w:instrText>
            </w:r>
            <w:r>
              <w:fldChar w:fldCharType="separate"/>
            </w:r>
            <w:r w:rsidRPr="24D98E9F">
              <w:rPr>
                <w:rStyle w:val="Hyperlink"/>
              </w:rPr>
              <w:t>6</w:t>
            </w:r>
            <w:r>
              <w:fldChar w:fldCharType="end"/>
            </w:r>
          </w:hyperlink>
        </w:p>
        <w:p w14:paraId="5C25203C" w14:textId="3524D295" w:rsidR="24D98E9F" w:rsidRDefault="24D98E9F" w:rsidP="24D98E9F">
          <w:pPr>
            <w:pStyle w:val="TOC2"/>
            <w:tabs>
              <w:tab w:val="right" w:leader="dot" w:pos="9015"/>
            </w:tabs>
            <w:rPr>
              <w:rStyle w:val="Hyperlink"/>
            </w:rPr>
          </w:pPr>
          <w:hyperlink w:anchor="_Toc690460551">
            <w:r w:rsidRPr="24D98E9F">
              <w:rPr>
                <w:rStyle w:val="Hyperlink"/>
              </w:rPr>
              <w:t>2.2 Porter’s Five Forces (Industry Analysis)</w:t>
            </w:r>
            <w:r>
              <w:tab/>
            </w:r>
            <w:r>
              <w:fldChar w:fldCharType="begin"/>
            </w:r>
            <w:r>
              <w:instrText>PAGEREF _Toc690460551 \h</w:instrText>
            </w:r>
            <w:r>
              <w:fldChar w:fldCharType="separate"/>
            </w:r>
            <w:r w:rsidRPr="24D98E9F">
              <w:rPr>
                <w:rStyle w:val="Hyperlink"/>
              </w:rPr>
              <w:t>7</w:t>
            </w:r>
            <w:r>
              <w:fldChar w:fldCharType="end"/>
            </w:r>
          </w:hyperlink>
        </w:p>
        <w:p w14:paraId="18570BA5" w14:textId="208EB3E9" w:rsidR="24D98E9F" w:rsidRDefault="24D98E9F" w:rsidP="24D98E9F">
          <w:pPr>
            <w:pStyle w:val="TOC2"/>
            <w:tabs>
              <w:tab w:val="right" w:leader="dot" w:pos="9015"/>
            </w:tabs>
            <w:rPr>
              <w:rStyle w:val="Hyperlink"/>
            </w:rPr>
          </w:pPr>
          <w:hyperlink w:anchor="_Toc2061341992">
            <w:r w:rsidRPr="24D98E9F">
              <w:rPr>
                <w:rStyle w:val="Hyperlink"/>
              </w:rPr>
              <w:t>2.3 Stakeholder Analysis</w:t>
            </w:r>
            <w:r>
              <w:tab/>
            </w:r>
            <w:r>
              <w:fldChar w:fldCharType="begin"/>
            </w:r>
            <w:r>
              <w:instrText>PAGEREF _Toc2061341992 \h</w:instrText>
            </w:r>
            <w:r>
              <w:fldChar w:fldCharType="separate"/>
            </w:r>
            <w:r w:rsidRPr="24D98E9F">
              <w:rPr>
                <w:rStyle w:val="Hyperlink"/>
              </w:rPr>
              <w:t>9</w:t>
            </w:r>
            <w:r>
              <w:fldChar w:fldCharType="end"/>
            </w:r>
          </w:hyperlink>
        </w:p>
        <w:p w14:paraId="73CCE75B" w14:textId="4BAB2DA4" w:rsidR="24D98E9F" w:rsidRDefault="24D98E9F" w:rsidP="24D98E9F">
          <w:pPr>
            <w:pStyle w:val="TOC1"/>
            <w:tabs>
              <w:tab w:val="right" w:leader="dot" w:pos="9015"/>
            </w:tabs>
            <w:rPr>
              <w:rStyle w:val="Hyperlink"/>
            </w:rPr>
          </w:pPr>
          <w:hyperlink w:anchor="_Toc1629117692">
            <w:r w:rsidRPr="24D98E9F">
              <w:rPr>
                <w:rStyle w:val="Hyperlink"/>
              </w:rPr>
              <w:t>3: Internal Strategic Capability</w:t>
            </w:r>
            <w:r>
              <w:tab/>
            </w:r>
            <w:r>
              <w:fldChar w:fldCharType="begin"/>
            </w:r>
            <w:r>
              <w:instrText>PAGEREF _Toc1629117692 \h</w:instrText>
            </w:r>
            <w:r>
              <w:fldChar w:fldCharType="separate"/>
            </w:r>
            <w:r w:rsidRPr="24D98E9F">
              <w:rPr>
                <w:rStyle w:val="Hyperlink"/>
              </w:rPr>
              <w:t>10</w:t>
            </w:r>
            <w:r>
              <w:fldChar w:fldCharType="end"/>
            </w:r>
          </w:hyperlink>
        </w:p>
        <w:p w14:paraId="0DA6DFE5" w14:textId="05F3CEEE" w:rsidR="24D98E9F" w:rsidRDefault="24D98E9F" w:rsidP="24D98E9F">
          <w:pPr>
            <w:pStyle w:val="TOC2"/>
            <w:tabs>
              <w:tab w:val="right" w:leader="dot" w:pos="9015"/>
            </w:tabs>
            <w:rPr>
              <w:rStyle w:val="Hyperlink"/>
            </w:rPr>
          </w:pPr>
          <w:hyperlink w:anchor="_Toc592970125">
            <w:r w:rsidRPr="24D98E9F">
              <w:rPr>
                <w:rStyle w:val="Hyperlink"/>
              </w:rPr>
              <w:t>3.1 Organisational Resources and Capabilities</w:t>
            </w:r>
            <w:r>
              <w:tab/>
            </w:r>
            <w:r>
              <w:fldChar w:fldCharType="begin"/>
            </w:r>
            <w:r>
              <w:instrText>PAGEREF _Toc592970125 \h</w:instrText>
            </w:r>
            <w:r>
              <w:fldChar w:fldCharType="separate"/>
            </w:r>
            <w:r w:rsidRPr="24D98E9F">
              <w:rPr>
                <w:rStyle w:val="Hyperlink"/>
              </w:rPr>
              <w:t>11</w:t>
            </w:r>
            <w:r>
              <w:fldChar w:fldCharType="end"/>
            </w:r>
          </w:hyperlink>
        </w:p>
        <w:p w14:paraId="69F3FFD6" w14:textId="40E25C35" w:rsidR="24D98E9F" w:rsidRDefault="24D98E9F" w:rsidP="24D98E9F">
          <w:pPr>
            <w:pStyle w:val="TOC2"/>
            <w:tabs>
              <w:tab w:val="right" w:leader="dot" w:pos="9015"/>
            </w:tabs>
            <w:rPr>
              <w:rStyle w:val="Hyperlink"/>
            </w:rPr>
          </w:pPr>
          <w:hyperlink w:anchor="_Toc1782394405">
            <w:r w:rsidRPr="24D98E9F">
              <w:rPr>
                <w:rStyle w:val="Hyperlink"/>
              </w:rPr>
              <w:t>3.2 VRIO Framework Analysis</w:t>
            </w:r>
            <w:r>
              <w:tab/>
            </w:r>
            <w:r>
              <w:fldChar w:fldCharType="begin"/>
            </w:r>
            <w:r>
              <w:instrText>PAGEREF _Toc1782394405 \h</w:instrText>
            </w:r>
            <w:r>
              <w:fldChar w:fldCharType="separate"/>
            </w:r>
            <w:r w:rsidRPr="24D98E9F">
              <w:rPr>
                <w:rStyle w:val="Hyperlink"/>
              </w:rPr>
              <w:t>11</w:t>
            </w:r>
            <w:r>
              <w:fldChar w:fldCharType="end"/>
            </w:r>
          </w:hyperlink>
        </w:p>
        <w:p w14:paraId="26FD69E3" w14:textId="73CEEA03" w:rsidR="24D98E9F" w:rsidRDefault="24D98E9F" w:rsidP="24D98E9F">
          <w:pPr>
            <w:pStyle w:val="TOC2"/>
            <w:tabs>
              <w:tab w:val="right" w:leader="dot" w:pos="9015"/>
            </w:tabs>
            <w:rPr>
              <w:rStyle w:val="Hyperlink"/>
            </w:rPr>
          </w:pPr>
          <w:hyperlink w:anchor="_Toc1109786156">
            <w:r w:rsidRPr="24D98E9F">
              <w:rPr>
                <w:rStyle w:val="Hyperlink"/>
              </w:rPr>
              <w:t>3.3 Strengths, Weaknesses and Competitive Advantage</w:t>
            </w:r>
            <w:r>
              <w:tab/>
            </w:r>
            <w:r>
              <w:fldChar w:fldCharType="begin"/>
            </w:r>
            <w:r>
              <w:instrText>PAGEREF _Toc1109786156 \h</w:instrText>
            </w:r>
            <w:r>
              <w:fldChar w:fldCharType="separate"/>
            </w:r>
            <w:r w:rsidRPr="24D98E9F">
              <w:rPr>
                <w:rStyle w:val="Hyperlink"/>
              </w:rPr>
              <w:t>12</w:t>
            </w:r>
            <w:r>
              <w:fldChar w:fldCharType="end"/>
            </w:r>
          </w:hyperlink>
        </w:p>
        <w:p w14:paraId="4B6D5B20" w14:textId="36113E14" w:rsidR="24D98E9F" w:rsidRDefault="24D98E9F" w:rsidP="24D98E9F">
          <w:pPr>
            <w:pStyle w:val="TOC1"/>
            <w:tabs>
              <w:tab w:val="right" w:leader="dot" w:pos="9015"/>
            </w:tabs>
            <w:rPr>
              <w:rStyle w:val="Hyperlink"/>
            </w:rPr>
          </w:pPr>
          <w:hyperlink w:anchor="_Toc692127042">
            <w:r w:rsidRPr="24D98E9F">
              <w:rPr>
                <w:rStyle w:val="Hyperlink"/>
              </w:rPr>
              <w:t>Section 4: Strategy &amp; Competitive Position</w:t>
            </w:r>
            <w:r>
              <w:tab/>
            </w:r>
            <w:r>
              <w:fldChar w:fldCharType="begin"/>
            </w:r>
            <w:r>
              <w:instrText>PAGEREF _Toc692127042 \h</w:instrText>
            </w:r>
            <w:r>
              <w:fldChar w:fldCharType="separate"/>
            </w:r>
            <w:r w:rsidRPr="24D98E9F">
              <w:rPr>
                <w:rStyle w:val="Hyperlink"/>
              </w:rPr>
              <w:t>13</w:t>
            </w:r>
            <w:r>
              <w:fldChar w:fldCharType="end"/>
            </w:r>
          </w:hyperlink>
        </w:p>
        <w:p w14:paraId="0EDC4F8F" w14:textId="47E7AC79" w:rsidR="24D98E9F" w:rsidRDefault="24D98E9F" w:rsidP="24D98E9F">
          <w:pPr>
            <w:pStyle w:val="TOC2"/>
            <w:tabs>
              <w:tab w:val="right" w:leader="dot" w:pos="9015"/>
            </w:tabs>
            <w:rPr>
              <w:rStyle w:val="Hyperlink"/>
            </w:rPr>
          </w:pPr>
          <w:hyperlink w:anchor="_Toc1507191718">
            <w:r w:rsidRPr="24D98E9F">
              <w:rPr>
                <w:rStyle w:val="Hyperlink"/>
              </w:rPr>
              <w:t>4.1 Current Strategy</w:t>
            </w:r>
            <w:r>
              <w:tab/>
            </w:r>
            <w:r>
              <w:fldChar w:fldCharType="begin"/>
            </w:r>
            <w:r>
              <w:instrText>PAGEREF _Toc1507191718 \h</w:instrText>
            </w:r>
            <w:r>
              <w:fldChar w:fldCharType="separate"/>
            </w:r>
            <w:r w:rsidRPr="24D98E9F">
              <w:rPr>
                <w:rStyle w:val="Hyperlink"/>
              </w:rPr>
              <w:t>14</w:t>
            </w:r>
            <w:r>
              <w:fldChar w:fldCharType="end"/>
            </w:r>
          </w:hyperlink>
        </w:p>
        <w:p w14:paraId="2FED54E0" w14:textId="607C84E5" w:rsidR="24D98E9F" w:rsidRDefault="24D98E9F" w:rsidP="24D98E9F">
          <w:pPr>
            <w:pStyle w:val="TOC2"/>
            <w:tabs>
              <w:tab w:val="right" w:leader="dot" w:pos="9015"/>
            </w:tabs>
            <w:rPr>
              <w:rStyle w:val="Hyperlink"/>
            </w:rPr>
          </w:pPr>
          <w:hyperlink w:anchor="_Toc2038608434">
            <w:r w:rsidRPr="24D98E9F">
              <w:rPr>
                <w:rStyle w:val="Hyperlink"/>
              </w:rPr>
              <w:t>4.2 Competitive Position</w:t>
            </w:r>
            <w:r>
              <w:tab/>
            </w:r>
            <w:r>
              <w:fldChar w:fldCharType="begin"/>
            </w:r>
            <w:r>
              <w:instrText>PAGEREF _Toc2038608434 \h</w:instrText>
            </w:r>
            <w:r>
              <w:fldChar w:fldCharType="separate"/>
            </w:r>
            <w:r w:rsidRPr="24D98E9F">
              <w:rPr>
                <w:rStyle w:val="Hyperlink"/>
              </w:rPr>
              <w:t>14</w:t>
            </w:r>
            <w:r>
              <w:fldChar w:fldCharType="end"/>
            </w:r>
          </w:hyperlink>
        </w:p>
        <w:p w14:paraId="5FB56D85" w14:textId="09A59FD6" w:rsidR="24D98E9F" w:rsidRDefault="24D98E9F" w:rsidP="24D98E9F">
          <w:pPr>
            <w:pStyle w:val="TOC2"/>
            <w:tabs>
              <w:tab w:val="right" w:leader="dot" w:pos="9015"/>
            </w:tabs>
            <w:rPr>
              <w:rStyle w:val="Hyperlink"/>
            </w:rPr>
          </w:pPr>
          <w:hyperlink w:anchor="_Toc1172871474">
            <w:r w:rsidRPr="24D98E9F">
              <w:rPr>
                <w:rStyle w:val="Hyperlink"/>
              </w:rPr>
              <w:t>4.3 Strategic Alignment or Drift</w:t>
            </w:r>
            <w:r>
              <w:tab/>
            </w:r>
            <w:r>
              <w:fldChar w:fldCharType="begin"/>
            </w:r>
            <w:r>
              <w:instrText>PAGEREF _Toc1172871474 \h</w:instrText>
            </w:r>
            <w:r>
              <w:fldChar w:fldCharType="separate"/>
            </w:r>
            <w:r w:rsidRPr="24D98E9F">
              <w:rPr>
                <w:rStyle w:val="Hyperlink"/>
              </w:rPr>
              <w:t>15</w:t>
            </w:r>
            <w:r>
              <w:fldChar w:fldCharType="end"/>
            </w:r>
          </w:hyperlink>
        </w:p>
        <w:p w14:paraId="4D3D8E50" w14:textId="21D7B07C" w:rsidR="24D98E9F" w:rsidRDefault="24D98E9F" w:rsidP="24D98E9F">
          <w:pPr>
            <w:pStyle w:val="TOC2"/>
            <w:tabs>
              <w:tab w:val="right" w:leader="dot" w:pos="9015"/>
            </w:tabs>
            <w:rPr>
              <w:rStyle w:val="Hyperlink"/>
            </w:rPr>
          </w:pPr>
          <w:hyperlink w:anchor="_Toc2048865030">
            <w:r w:rsidRPr="24D98E9F">
              <w:rPr>
                <w:rStyle w:val="Hyperlink"/>
              </w:rPr>
              <w:t>4.4 Risks and Limitations</w:t>
            </w:r>
            <w:r>
              <w:tab/>
            </w:r>
            <w:r>
              <w:fldChar w:fldCharType="begin"/>
            </w:r>
            <w:r>
              <w:instrText>PAGEREF _Toc2048865030 \h</w:instrText>
            </w:r>
            <w:r>
              <w:fldChar w:fldCharType="separate"/>
            </w:r>
            <w:r w:rsidRPr="24D98E9F">
              <w:rPr>
                <w:rStyle w:val="Hyperlink"/>
              </w:rPr>
              <w:t>15</w:t>
            </w:r>
            <w:r>
              <w:fldChar w:fldCharType="end"/>
            </w:r>
          </w:hyperlink>
        </w:p>
        <w:p w14:paraId="3344B792" w14:textId="3D4F1B3A" w:rsidR="24D98E9F" w:rsidRDefault="24D98E9F" w:rsidP="24D98E9F">
          <w:pPr>
            <w:pStyle w:val="TOC1"/>
            <w:tabs>
              <w:tab w:val="right" w:leader="dot" w:pos="9015"/>
            </w:tabs>
            <w:rPr>
              <w:rStyle w:val="Hyperlink"/>
            </w:rPr>
          </w:pPr>
          <w:hyperlink w:anchor="_Toc1869457826">
            <w:r w:rsidRPr="24D98E9F">
              <w:rPr>
                <w:rStyle w:val="Hyperlink"/>
              </w:rPr>
              <w:t>5: Future Strategic Direction</w:t>
            </w:r>
            <w:r>
              <w:tab/>
            </w:r>
            <w:r>
              <w:fldChar w:fldCharType="begin"/>
            </w:r>
            <w:r>
              <w:instrText>PAGEREF _Toc1869457826 \h</w:instrText>
            </w:r>
            <w:r>
              <w:fldChar w:fldCharType="separate"/>
            </w:r>
            <w:r w:rsidRPr="24D98E9F">
              <w:rPr>
                <w:rStyle w:val="Hyperlink"/>
              </w:rPr>
              <w:t>16</w:t>
            </w:r>
            <w:r>
              <w:fldChar w:fldCharType="end"/>
            </w:r>
          </w:hyperlink>
        </w:p>
        <w:p w14:paraId="2B87A2B2" w14:textId="2B0D3233" w:rsidR="24D98E9F" w:rsidRDefault="24D98E9F" w:rsidP="24D98E9F">
          <w:pPr>
            <w:pStyle w:val="TOC2"/>
            <w:tabs>
              <w:tab w:val="right" w:leader="dot" w:pos="9015"/>
            </w:tabs>
            <w:rPr>
              <w:rStyle w:val="Hyperlink"/>
            </w:rPr>
          </w:pPr>
          <w:hyperlink w:anchor="_Toc746455311">
            <w:r w:rsidRPr="24D98E9F">
              <w:rPr>
                <w:rStyle w:val="Hyperlink"/>
              </w:rPr>
              <w:t>5.1 Vision, Mission and Values</w:t>
            </w:r>
            <w:r>
              <w:tab/>
            </w:r>
            <w:r>
              <w:fldChar w:fldCharType="begin"/>
            </w:r>
            <w:r>
              <w:instrText>PAGEREF _Toc746455311 \h</w:instrText>
            </w:r>
            <w:r>
              <w:fldChar w:fldCharType="separate"/>
            </w:r>
            <w:r w:rsidRPr="24D98E9F">
              <w:rPr>
                <w:rStyle w:val="Hyperlink"/>
              </w:rPr>
              <w:t>17</w:t>
            </w:r>
            <w:r>
              <w:fldChar w:fldCharType="end"/>
            </w:r>
          </w:hyperlink>
        </w:p>
        <w:p w14:paraId="50DA2AF1" w14:textId="1A4E3AB5" w:rsidR="24D98E9F" w:rsidRDefault="24D98E9F" w:rsidP="24D98E9F">
          <w:pPr>
            <w:pStyle w:val="TOC2"/>
            <w:tabs>
              <w:tab w:val="right" w:leader="dot" w:pos="9015"/>
            </w:tabs>
            <w:rPr>
              <w:rStyle w:val="Hyperlink"/>
            </w:rPr>
          </w:pPr>
          <w:hyperlink w:anchor="_Toc1267447696">
            <w:r w:rsidRPr="24D98E9F">
              <w:rPr>
                <w:rStyle w:val="Hyperlink"/>
              </w:rPr>
              <w:t>5.2 Strategic Risks</w:t>
            </w:r>
            <w:r>
              <w:tab/>
            </w:r>
            <w:r>
              <w:fldChar w:fldCharType="begin"/>
            </w:r>
            <w:r>
              <w:instrText>PAGEREF _Toc1267447696 \h</w:instrText>
            </w:r>
            <w:r>
              <w:fldChar w:fldCharType="separate"/>
            </w:r>
            <w:r w:rsidRPr="24D98E9F">
              <w:rPr>
                <w:rStyle w:val="Hyperlink"/>
              </w:rPr>
              <w:t>17</w:t>
            </w:r>
            <w:r>
              <w:fldChar w:fldCharType="end"/>
            </w:r>
          </w:hyperlink>
        </w:p>
        <w:p w14:paraId="3D630EFA" w14:textId="7F5EEA7B" w:rsidR="24D98E9F" w:rsidRDefault="24D98E9F" w:rsidP="24D98E9F">
          <w:pPr>
            <w:pStyle w:val="TOC2"/>
            <w:tabs>
              <w:tab w:val="right" w:leader="dot" w:pos="9015"/>
            </w:tabs>
            <w:rPr>
              <w:rStyle w:val="Hyperlink"/>
            </w:rPr>
          </w:pPr>
          <w:hyperlink w:anchor="_Toc465097416">
            <w:r w:rsidRPr="24D98E9F">
              <w:rPr>
                <w:rStyle w:val="Hyperlink"/>
              </w:rPr>
              <w:t>5.3 Strategic Option 1: Regional Expansion Beyond Metropolitan Hubs</w:t>
            </w:r>
            <w:r>
              <w:tab/>
            </w:r>
            <w:r>
              <w:fldChar w:fldCharType="begin"/>
            </w:r>
            <w:r>
              <w:instrText>PAGEREF _Toc465097416 \h</w:instrText>
            </w:r>
            <w:r>
              <w:fldChar w:fldCharType="separate"/>
            </w:r>
            <w:r w:rsidRPr="24D98E9F">
              <w:rPr>
                <w:rStyle w:val="Hyperlink"/>
              </w:rPr>
              <w:t>17</w:t>
            </w:r>
            <w:r>
              <w:fldChar w:fldCharType="end"/>
            </w:r>
          </w:hyperlink>
        </w:p>
        <w:p w14:paraId="6C642D7C" w14:textId="5475518D" w:rsidR="24D98E9F" w:rsidRDefault="24D98E9F" w:rsidP="24D98E9F">
          <w:pPr>
            <w:pStyle w:val="TOC2"/>
            <w:tabs>
              <w:tab w:val="right" w:leader="dot" w:pos="9015"/>
            </w:tabs>
            <w:rPr>
              <w:rStyle w:val="Hyperlink"/>
            </w:rPr>
          </w:pPr>
          <w:hyperlink w:anchor="_Toc7711734">
            <w:r w:rsidRPr="24D98E9F">
              <w:rPr>
                <w:rStyle w:val="Hyperlink"/>
              </w:rPr>
              <w:t>5.4 Strategic Option 2: Expanding Affordable Beauty Lines to Broaden Market Appeal</w:t>
            </w:r>
            <w:r>
              <w:tab/>
            </w:r>
            <w:r>
              <w:fldChar w:fldCharType="begin"/>
            </w:r>
            <w:r>
              <w:instrText>PAGEREF _Toc7711734 \h</w:instrText>
            </w:r>
            <w:r>
              <w:fldChar w:fldCharType="separate"/>
            </w:r>
            <w:r w:rsidRPr="24D98E9F">
              <w:rPr>
                <w:rStyle w:val="Hyperlink"/>
              </w:rPr>
              <w:t>18</w:t>
            </w:r>
            <w:r>
              <w:fldChar w:fldCharType="end"/>
            </w:r>
          </w:hyperlink>
        </w:p>
        <w:p w14:paraId="7D8D3C14" w14:textId="05A92135" w:rsidR="24D98E9F" w:rsidRDefault="24D98E9F" w:rsidP="24D98E9F">
          <w:pPr>
            <w:pStyle w:val="TOC1"/>
            <w:tabs>
              <w:tab w:val="right" w:leader="dot" w:pos="9015"/>
            </w:tabs>
            <w:rPr>
              <w:rStyle w:val="Hyperlink"/>
            </w:rPr>
          </w:pPr>
          <w:hyperlink w:anchor="_Toc1686097601">
            <w:r w:rsidRPr="24D98E9F">
              <w:rPr>
                <w:rStyle w:val="Hyperlink"/>
              </w:rPr>
              <w:t>Conclusion</w:t>
            </w:r>
            <w:r>
              <w:tab/>
            </w:r>
            <w:r>
              <w:fldChar w:fldCharType="begin"/>
            </w:r>
            <w:r>
              <w:instrText>PAGEREF _Toc1686097601 \h</w:instrText>
            </w:r>
            <w:r>
              <w:fldChar w:fldCharType="separate"/>
            </w:r>
            <w:r w:rsidRPr="24D98E9F">
              <w:rPr>
                <w:rStyle w:val="Hyperlink"/>
              </w:rPr>
              <w:t>18</w:t>
            </w:r>
            <w:r>
              <w:fldChar w:fldCharType="end"/>
            </w:r>
          </w:hyperlink>
        </w:p>
        <w:p w14:paraId="7B901D11" w14:textId="69998A1A" w:rsidR="24D98E9F" w:rsidRDefault="24D98E9F" w:rsidP="24D98E9F">
          <w:pPr>
            <w:pStyle w:val="TOC1"/>
            <w:tabs>
              <w:tab w:val="right" w:leader="dot" w:pos="9015"/>
            </w:tabs>
            <w:rPr>
              <w:rStyle w:val="Hyperlink"/>
            </w:rPr>
          </w:pPr>
          <w:hyperlink w:anchor="_Toc2025074746">
            <w:r w:rsidRPr="24D98E9F">
              <w:rPr>
                <w:rStyle w:val="Hyperlink"/>
              </w:rPr>
              <w:t>Reference List</w:t>
            </w:r>
            <w:r>
              <w:tab/>
            </w:r>
            <w:r>
              <w:fldChar w:fldCharType="begin"/>
            </w:r>
            <w:r>
              <w:instrText>PAGEREF _Toc2025074746 \h</w:instrText>
            </w:r>
            <w:r>
              <w:fldChar w:fldCharType="separate"/>
            </w:r>
            <w:r w:rsidRPr="24D98E9F">
              <w:rPr>
                <w:rStyle w:val="Hyperlink"/>
              </w:rPr>
              <w:t>19</w:t>
            </w:r>
            <w:r>
              <w:fldChar w:fldCharType="end"/>
            </w:r>
          </w:hyperlink>
          <w:r>
            <w:fldChar w:fldCharType="end"/>
          </w:r>
        </w:p>
      </w:sdtContent>
    </w:sdt>
    <w:p w14:paraId="1F84FB20" w14:textId="3CD84E30" w:rsidR="24D98E9F" w:rsidRDefault="24D98E9F" w:rsidP="24D98E9F">
      <w:pPr>
        <w:jc w:val="both"/>
      </w:pPr>
    </w:p>
    <w:p w14:paraId="7FBDE324" w14:textId="31405933" w:rsidR="24D98E9F" w:rsidRDefault="24D98E9F" w:rsidP="24D98E9F">
      <w:pPr>
        <w:jc w:val="both"/>
      </w:pPr>
      <w:r>
        <w:lastRenderedPageBreak/>
        <w:br w:type="page"/>
      </w:r>
    </w:p>
    <w:p w14:paraId="0091B9EA" w14:textId="6E0B6FF0" w:rsidR="24D98E9F" w:rsidRDefault="24D98E9F" w:rsidP="24D98E9F">
      <w:pPr>
        <w:jc w:val="both"/>
      </w:pPr>
    </w:p>
    <w:p w14:paraId="06F9A827" w14:textId="0D3E2536" w:rsidR="09866379" w:rsidRDefault="09866379" w:rsidP="24D98E9F">
      <w:pPr>
        <w:pStyle w:val="Heading1"/>
        <w:jc w:val="both"/>
        <w:rPr>
          <w:rFonts w:ascii="Aptos Display" w:eastAsia="Aptos Display" w:hAnsi="Aptos Display" w:cs="Aptos Display"/>
        </w:rPr>
      </w:pPr>
      <w:bookmarkStart w:id="2" w:name="_Toc1676109361"/>
      <w:r w:rsidRPr="24D98E9F">
        <w:rPr>
          <w:rFonts w:ascii="Aptos Display" w:eastAsia="Aptos Display" w:hAnsi="Aptos Display" w:cs="Aptos Display"/>
        </w:rPr>
        <w:t>1: Organisational Overview</w:t>
      </w:r>
      <w:bookmarkEnd w:id="2"/>
    </w:p>
    <w:p w14:paraId="6B20AA6C" w14:textId="355E6C28" w:rsidR="09866379" w:rsidRDefault="09866379" w:rsidP="24D98E9F">
      <w:pPr>
        <w:jc w:val="both"/>
        <w:rPr>
          <w:rFonts w:ascii="Aptos Display" w:eastAsia="Aptos Display" w:hAnsi="Aptos Display" w:cs="Aptos Display"/>
          <w:color w:val="0F4761" w:themeColor="accent1" w:themeShade="BF"/>
          <w:sz w:val="32"/>
          <w:szCs w:val="32"/>
        </w:rPr>
      </w:pPr>
      <w:bookmarkStart w:id="3" w:name="_Toc1545137215"/>
      <w:r w:rsidRPr="24D98E9F">
        <w:rPr>
          <w:rStyle w:val="Heading2Char"/>
          <w:rFonts w:ascii="Aptos Display" w:eastAsia="Aptos Display" w:hAnsi="Aptos Display" w:cs="Aptos Display"/>
        </w:rPr>
        <w:t>1.1</w:t>
      </w:r>
      <w:bookmarkEnd w:id="3"/>
      <w:r w:rsidRPr="24D98E9F">
        <w:rPr>
          <w:rFonts w:ascii="Aptos Display" w:eastAsia="Aptos Display" w:hAnsi="Aptos Display" w:cs="Aptos Display"/>
          <w:color w:val="0F4761" w:themeColor="accent1" w:themeShade="BF"/>
          <w:sz w:val="32"/>
          <w:szCs w:val="32"/>
        </w:rPr>
        <w:t xml:space="preserve"> </w:t>
      </w:r>
      <w:r w:rsidRPr="24D98E9F">
        <w:rPr>
          <w:rStyle w:val="Heading2Char"/>
          <w:rFonts w:ascii="Aptos Display" w:eastAsia="Aptos Display" w:hAnsi="Aptos Display" w:cs="Aptos Display"/>
        </w:rPr>
        <w:t xml:space="preserve">Organisation Background </w:t>
      </w:r>
    </w:p>
    <w:p w14:paraId="62B8E835" w14:textId="3AC913D3" w:rsidR="09866379" w:rsidRDefault="0986637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was established in 1969 in Limoges, France as a perfume shop but was acquired in 1997 by LVMH that has established it to be a company to reckon with in the world (LVMH, 2024a). It is a privately owned enterprise that provides its services in luxury goods. Sephora has expanded globally with over 2,700 stores in 35 countries with a powerful digital ecosystem (Sephora, 2025). It employs tens of thousands of workers in different parts of the world, generates billions of dollars annually, and is among the biggest contributors to LVMH with the 2023 income at 86.2 billion (LVMH, 2024b). Sephora re-entered the UK in 2022, 17 years later, with Feelunique being acquired to gain a digital presence in the country (Faithfull, 2022).</w:t>
      </w:r>
    </w:p>
    <w:p w14:paraId="6AF428C0" w14:textId="6BF88CDB" w:rsidR="09866379" w:rsidRDefault="09866379" w:rsidP="24D98E9F">
      <w:pPr>
        <w:pStyle w:val="Heading2"/>
        <w:jc w:val="both"/>
        <w:rPr>
          <w:rFonts w:ascii="Aptos Display" w:eastAsia="Aptos Display" w:hAnsi="Aptos Display" w:cs="Aptos Display"/>
        </w:rPr>
      </w:pPr>
      <w:bookmarkStart w:id="4" w:name="_Toc2113260003"/>
      <w:r w:rsidRPr="24D98E9F">
        <w:rPr>
          <w:rFonts w:ascii="Aptos Display" w:eastAsia="Aptos Display" w:hAnsi="Aptos Display" w:cs="Aptos Display"/>
        </w:rPr>
        <w:t>1.2 Products and Services</w:t>
      </w:r>
      <w:bookmarkEnd w:id="4"/>
    </w:p>
    <w:p w14:paraId="294EB30C" w14:textId="113F2CF2" w:rsidR="09866379" w:rsidRDefault="0986637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retail franchise is organised into several product lines, including cosmetics, skincare, haircare, and fragrances, with products being provided by both heritage brands and indie brands around the world (Sephora, 2019). Both in‑store and online retail channels are used to generate revenue, supported by the Beauty Pass loyalty programme, which encourages repeat purchases and gathers valuable consumer insights. Sephora also monetises by doing exclusive partnerships and launches in limited editions, which generate demand and brand distinction. Its services comprise physical consultations, online guidance, and AI-based product suggestions, which increase customer interaction and purchase (Schiffer, 2018).</w:t>
      </w:r>
    </w:p>
    <w:p w14:paraId="1D40F104" w14:textId="0BE5E7C4" w:rsidR="09866379" w:rsidRDefault="09866379" w:rsidP="24D98E9F">
      <w:pPr>
        <w:pStyle w:val="Heading2"/>
        <w:jc w:val="both"/>
        <w:rPr>
          <w:rFonts w:ascii="Aptos Display" w:eastAsia="Aptos Display" w:hAnsi="Aptos Display" w:cs="Aptos Display"/>
        </w:rPr>
      </w:pPr>
      <w:bookmarkStart w:id="5" w:name="_Toc1866445101"/>
      <w:r w:rsidRPr="24D98E9F">
        <w:rPr>
          <w:rFonts w:ascii="Aptos Display" w:eastAsia="Aptos Display" w:hAnsi="Aptos Display" w:cs="Aptos Display"/>
        </w:rPr>
        <w:t>1.3 Markets and Geographic Scope</w:t>
      </w:r>
      <w:bookmarkEnd w:id="5"/>
    </w:p>
    <w:p w14:paraId="6766289A" w14:textId="080BBDCF" w:rsidR="09866379" w:rsidRDefault="0986637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The company has a heterogeneous customer base, which includes millennial and Gen Z consumers that appreciate inclusivity, sustainability, and digital convenience and established luxury customers who want to get high-quality experiences. Sephora has presence all over the world with its major presence in Paris, New York, Shanghai and Dubai (LVMH, 2024a). The UK market strategy has concentrated on the metropolitan centres in the UK like London, Birmingham and Liverpool with a view of targeting the home shopper as well as the international shopper (Shahab and Webb, 2024). Estimated to be valued at £17.94 billion, the UK beauty industry represents a prime opportunity for Sephora’s expansion, particularly as </w:t>
      </w:r>
      <w:r w:rsidRPr="24D98E9F">
        <w:rPr>
          <w:rFonts w:ascii="Times New Roman" w:eastAsia="Times New Roman" w:hAnsi="Times New Roman" w:cs="Times New Roman"/>
          <w:color w:val="000000" w:themeColor="text1"/>
        </w:rPr>
        <w:lastRenderedPageBreak/>
        <w:t>consumers increasingly gravitate toward luxury and eco‑friendly beauty products (Statista, 2026).</w:t>
      </w:r>
    </w:p>
    <w:p w14:paraId="793934D4" w14:textId="0C7F2019" w:rsidR="09866379" w:rsidRDefault="09866379" w:rsidP="24D98E9F">
      <w:pPr>
        <w:pStyle w:val="Heading2"/>
        <w:jc w:val="both"/>
        <w:rPr>
          <w:rFonts w:ascii="Aptos Display" w:eastAsia="Aptos Display" w:hAnsi="Aptos Display" w:cs="Aptos Display"/>
        </w:rPr>
      </w:pPr>
      <w:bookmarkStart w:id="6" w:name="_Toc1947764402"/>
      <w:r w:rsidRPr="24D98E9F">
        <w:rPr>
          <w:rFonts w:ascii="Aptos Display" w:eastAsia="Aptos Display" w:hAnsi="Aptos Display" w:cs="Aptos Display"/>
        </w:rPr>
        <w:t>1.4 Recent Strategic Developments</w:t>
      </w:r>
      <w:bookmarkEnd w:id="6"/>
    </w:p>
    <w:p w14:paraId="0D61314D" w14:textId="6F497006" w:rsidR="09866379" w:rsidRDefault="0986637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In 2021, it returned to the UK with the acquisition of Feelunique which gained it a stable platform in e-commerce and a customer base (Retail Gazette, 2021). It has been followed by expansion with flagship openings in Westfield White City, Birmingham and Liverpool ONE (Liverpool </w:t>
      </w:r>
      <w:r w:rsidR="11B89BBF" w:rsidRPr="24D98E9F">
        <w:rPr>
          <w:rFonts w:ascii="Times New Roman" w:eastAsia="Times New Roman" w:hAnsi="Times New Roman" w:cs="Times New Roman"/>
          <w:color w:val="000000" w:themeColor="text1"/>
        </w:rPr>
        <w:t>ONE,</w:t>
      </w:r>
      <w:r w:rsidRPr="24D98E9F">
        <w:rPr>
          <w:rFonts w:ascii="Times New Roman" w:eastAsia="Times New Roman" w:hAnsi="Times New Roman" w:cs="Times New Roman"/>
          <w:color w:val="000000" w:themeColor="text1"/>
        </w:rPr>
        <w:t xml:space="preserve"> 2025). It has all been driven by innovation, but Sephora has made significant investments in digital transformation, such as virtual try-ons, AI-based recommendations, and integrated the use of omnichannel. The restructuring has been to align UK operations to global sustainability objectives, minimise packaging waste and endorse clean beauty collections. Taken together, all these measures are evidence of how Sephora seeks to become one of the largest chains of 20 stores in the UK by 2026 and how this restructuring of the competitive environment in the UK beauty retail market is going to happen (Pitt, 2026).</w:t>
      </w:r>
    </w:p>
    <w:p w14:paraId="6A41C638" w14:textId="3EEBEDBF" w:rsidR="24D98E9F" w:rsidRDefault="24D98E9F" w:rsidP="24D98E9F">
      <w:pPr>
        <w:jc w:val="both"/>
        <w:rPr>
          <w:rFonts w:ascii="Times New Roman" w:eastAsia="Times New Roman" w:hAnsi="Times New Roman" w:cs="Times New Roman"/>
          <w:color w:val="000000" w:themeColor="text1"/>
        </w:rPr>
      </w:pPr>
    </w:p>
    <w:p w14:paraId="7DCD0892" w14:textId="6BDB793A" w:rsidR="24D98E9F" w:rsidRDefault="24D98E9F" w:rsidP="24D98E9F">
      <w:pPr>
        <w:jc w:val="both"/>
      </w:pPr>
      <w:r>
        <w:br w:type="page"/>
      </w:r>
    </w:p>
    <w:p w14:paraId="1C110688" w14:textId="71CDA8B2" w:rsidR="442F2478" w:rsidRDefault="442F2478" w:rsidP="24D98E9F">
      <w:pPr>
        <w:pStyle w:val="Heading1"/>
        <w:jc w:val="both"/>
        <w:rPr>
          <w:rFonts w:ascii="Aptos Display" w:eastAsia="Aptos Display" w:hAnsi="Aptos Display" w:cs="Aptos Display"/>
        </w:rPr>
      </w:pPr>
      <w:bookmarkStart w:id="7" w:name="_Toc1928665847"/>
      <w:r w:rsidRPr="24D98E9F">
        <w:rPr>
          <w:rFonts w:ascii="Aptos Display" w:eastAsia="Aptos Display" w:hAnsi="Aptos Display" w:cs="Aptos Display"/>
        </w:rPr>
        <w:lastRenderedPageBreak/>
        <w:t>2: External Environment and Stakeholder Analysis</w:t>
      </w:r>
      <w:bookmarkEnd w:id="7"/>
      <w:r w:rsidRPr="24D98E9F">
        <w:rPr>
          <w:rFonts w:ascii="Aptos Display" w:eastAsia="Aptos Display" w:hAnsi="Aptos Display" w:cs="Aptos Display"/>
        </w:rPr>
        <w:t xml:space="preserve"> </w:t>
      </w:r>
    </w:p>
    <w:p w14:paraId="452D1236" w14:textId="43D90278" w:rsidR="442F2478" w:rsidRDefault="442F2478" w:rsidP="24D98E9F">
      <w:pPr>
        <w:pStyle w:val="Heading2"/>
        <w:jc w:val="both"/>
        <w:rPr>
          <w:rFonts w:ascii="Aptos Display" w:eastAsia="Aptos Display" w:hAnsi="Aptos Display" w:cs="Aptos Display"/>
        </w:rPr>
      </w:pPr>
      <w:bookmarkStart w:id="8" w:name="_Toc131032260"/>
      <w:r w:rsidRPr="24D98E9F">
        <w:rPr>
          <w:rFonts w:ascii="Aptos Display" w:eastAsia="Aptos Display" w:hAnsi="Aptos Display" w:cs="Aptos Display"/>
        </w:rPr>
        <w:t>2.1 PESTLE Analysis</w:t>
      </w:r>
      <w:bookmarkEnd w:id="8"/>
    </w:p>
    <w:p w14:paraId="6D0B8265" w14:textId="0E6E19BF" w:rsidR="24D98E9F" w:rsidRDefault="24D98E9F" w:rsidP="24D98E9F">
      <w:pPr>
        <w:jc w:val="both"/>
        <w:rPr>
          <w:rFonts w:ascii="Times New Roman" w:eastAsia="Times New Roman" w:hAnsi="Times New Roman" w:cs="Times New Roman"/>
          <w:color w:val="000000" w:themeColor="text1"/>
        </w:rPr>
      </w:pPr>
    </w:p>
    <w:tbl>
      <w:tblPr>
        <w:tblStyle w:val="ListTable5Dark-Accent1"/>
        <w:tblW w:w="0" w:type="auto"/>
        <w:tblBorders>
          <w:top w:val="single" w:sz="6" w:space="0" w:color="auto"/>
          <w:left w:val="single" w:sz="6" w:space="0" w:color="auto"/>
          <w:bottom w:val="single" w:sz="6" w:space="0" w:color="auto"/>
          <w:right w:val="single" w:sz="6" w:space="0" w:color="auto"/>
        </w:tblBorders>
        <w:tblLook w:val="0620" w:firstRow="1" w:lastRow="0" w:firstColumn="0" w:lastColumn="0" w:noHBand="1" w:noVBand="1"/>
      </w:tblPr>
      <w:tblGrid>
        <w:gridCol w:w="4500"/>
        <w:gridCol w:w="4500"/>
      </w:tblGrid>
      <w:tr w:rsidR="24D98E9F" w14:paraId="114FA7F2" w14:textId="77777777" w:rsidTr="24D98E9F">
        <w:trPr>
          <w:cnfStyle w:val="100000000000" w:firstRow="1" w:lastRow="0" w:firstColumn="0" w:lastColumn="0" w:oddVBand="0" w:evenVBand="0" w:oddHBand="0" w:evenHBand="0" w:firstRowFirstColumn="0" w:firstRowLastColumn="0" w:lastRowFirstColumn="0" w:lastRowLastColumn="0"/>
          <w:trHeight w:val="300"/>
        </w:trPr>
        <w:tc>
          <w:tcPr>
            <w:tcW w:w="4500" w:type="dxa"/>
            <w:tcBorders>
              <w:top w:val="single" w:sz="6" w:space="0" w:color="auto"/>
              <w:left w:val="single" w:sz="6" w:space="0" w:color="auto"/>
            </w:tcBorders>
            <w:tcMar>
              <w:left w:w="105" w:type="dxa"/>
              <w:right w:w="105" w:type="dxa"/>
            </w:tcMar>
          </w:tcPr>
          <w:p w14:paraId="41555504" w14:textId="1CC96724" w:rsidR="24D98E9F" w:rsidRDefault="24D98E9F" w:rsidP="24D98E9F">
            <w:pPr>
              <w:jc w:val="both"/>
              <w:rPr>
                <w:rFonts w:ascii="Times New Roman" w:eastAsia="Times New Roman" w:hAnsi="Times New Roman" w:cs="Times New Roman"/>
                <w:b w:val="0"/>
                <w:bCs w:val="0"/>
              </w:rPr>
            </w:pPr>
            <w:r w:rsidRPr="24D98E9F">
              <w:rPr>
                <w:rFonts w:ascii="Times New Roman" w:eastAsia="Times New Roman" w:hAnsi="Times New Roman" w:cs="Times New Roman"/>
                <w:b w:val="0"/>
                <w:bCs w:val="0"/>
              </w:rPr>
              <w:t>Political</w:t>
            </w:r>
          </w:p>
          <w:p w14:paraId="2C9000BC" w14:textId="48EB2DAB" w:rsidR="24D98E9F" w:rsidRDefault="24D98E9F" w:rsidP="24D98E9F">
            <w:pPr>
              <w:jc w:val="both"/>
              <w:rPr>
                <w:rFonts w:ascii="Times New Roman" w:eastAsia="Times New Roman" w:hAnsi="Times New Roman" w:cs="Times New Roman"/>
                <w:b w:val="0"/>
                <w:bCs w:val="0"/>
              </w:rPr>
            </w:pPr>
            <w:r w:rsidRPr="24D98E9F">
              <w:rPr>
                <w:rFonts w:ascii="Times New Roman" w:eastAsia="Times New Roman" w:hAnsi="Times New Roman" w:cs="Times New Roman"/>
                <w:b w:val="0"/>
                <w:bCs w:val="0"/>
              </w:rPr>
              <w:t>(Opportunity/Threat)</w:t>
            </w:r>
          </w:p>
        </w:tc>
        <w:tc>
          <w:tcPr>
            <w:tcW w:w="4500" w:type="dxa"/>
            <w:tcBorders>
              <w:top w:val="single" w:sz="6" w:space="0" w:color="auto"/>
              <w:right w:val="single" w:sz="6" w:space="0" w:color="auto"/>
            </w:tcBorders>
            <w:tcMar>
              <w:left w:w="105" w:type="dxa"/>
              <w:right w:w="105" w:type="dxa"/>
            </w:tcMar>
          </w:tcPr>
          <w:p w14:paraId="05611350" w14:textId="3847E289" w:rsidR="24D98E9F" w:rsidRDefault="24D98E9F" w:rsidP="24D98E9F">
            <w:pPr>
              <w:jc w:val="both"/>
              <w:rPr>
                <w:rFonts w:ascii="Times New Roman" w:eastAsia="Times New Roman" w:hAnsi="Times New Roman" w:cs="Times New Roman"/>
                <w:b w:val="0"/>
                <w:bCs w:val="0"/>
              </w:rPr>
            </w:pPr>
            <w:r w:rsidRPr="24D98E9F">
              <w:rPr>
                <w:rFonts w:ascii="Times New Roman" w:eastAsia="Times New Roman" w:hAnsi="Times New Roman" w:cs="Times New Roman"/>
                <w:b w:val="0"/>
                <w:bCs w:val="0"/>
              </w:rPr>
              <w:t xml:space="preserve">Post-Brexit adjustments of the UK trade and British-EU regulatory divergence have characterised the political environment of the country. Nevertheless, retail investment in large metropolitan centres like London and Birmingham is supported by the government which means that it can expand (Bailey </w:t>
            </w:r>
            <w:r w:rsidRPr="24D98E9F">
              <w:rPr>
                <w:rFonts w:ascii="Times New Roman" w:eastAsia="Times New Roman" w:hAnsi="Times New Roman" w:cs="Times New Roman"/>
                <w:b w:val="0"/>
                <w:bCs w:val="0"/>
                <w:i/>
                <w:iCs/>
              </w:rPr>
              <w:t>et al</w:t>
            </w:r>
            <w:r w:rsidRPr="24D98E9F">
              <w:rPr>
                <w:rFonts w:ascii="Times New Roman" w:eastAsia="Times New Roman" w:hAnsi="Times New Roman" w:cs="Times New Roman"/>
                <w:b w:val="0"/>
                <w:bCs w:val="0"/>
              </w:rPr>
              <w:t>., 2026). International retailers have an added sense of security due to consumer protection and political stability. For Sephora, this suggests that political conditions may ease expansion into major urban centres, while ongoing trade uncertainty and rising compliance costs continue to pressure profit margins.</w:t>
            </w:r>
          </w:p>
          <w:p w14:paraId="2EB1F66F" w14:textId="3380DAE2" w:rsidR="24D98E9F" w:rsidRDefault="24D98E9F" w:rsidP="24D98E9F">
            <w:pPr>
              <w:jc w:val="both"/>
              <w:rPr>
                <w:rFonts w:ascii="Times New Roman" w:eastAsia="Times New Roman" w:hAnsi="Times New Roman" w:cs="Times New Roman"/>
                <w:b w:val="0"/>
                <w:bCs w:val="0"/>
              </w:rPr>
            </w:pPr>
          </w:p>
        </w:tc>
      </w:tr>
      <w:tr w:rsidR="24D98E9F" w14:paraId="3FA0D889" w14:textId="77777777" w:rsidTr="24D98E9F">
        <w:trPr>
          <w:trHeight w:val="300"/>
        </w:trPr>
        <w:tc>
          <w:tcPr>
            <w:tcW w:w="4500" w:type="dxa"/>
            <w:tcBorders>
              <w:left w:val="single" w:sz="6" w:space="0" w:color="auto"/>
            </w:tcBorders>
            <w:tcMar>
              <w:left w:w="105" w:type="dxa"/>
              <w:right w:w="105" w:type="dxa"/>
            </w:tcMar>
          </w:tcPr>
          <w:p w14:paraId="2E956F8F" w14:textId="1B36DA93"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Economic</w:t>
            </w:r>
          </w:p>
          <w:p w14:paraId="36F85F60" w14:textId="3B58B309"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(Threat)</w:t>
            </w:r>
          </w:p>
        </w:tc>
        <w:tc>
          <w:tcPr>
            <w:tcW w:w="4500" w:type="dxa"/>
            <w:tcBorders>
              <w:right w:val="single" w:sz="6" w:space="0" w:color="auto"/>
            </w:tcBorders>
            <w:tcMar>
              <w:left w:w="105" w:type="dxa"/>
              <w:right w:w="105" w:type="dxa"/>
            </w:tcMar>
          </w:tcPr>
          <w:p w14:paraId="4B1B8621" w14:textId="544E67AC"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As of 2023, the size of the UK beauty sector reached 9.8 billion pounds, where prestige beauty is taking an increasingly large portion (Warn, 2025). The increasing living cost and inflationary pressures have limited discretionary spending, which endangers Sephora with its premium positioning (Pintilie</w:t>
            </w:r>
            <w:r w:rsidR="65F78AB7" w:rsidRPr="24D98E9F">
              <w:rPr>
                <w:rFonts w:ascii="Times New Roman" w:eastAsia="Times New Roman" w:hAnsi="Times New Roman" w:cs="Times New Roman"/>
              </w:rPr>
              <w:t xml:space="preserve"> and Stadoleanu, </w:t>
            </w:r>
            <w:r w:rsidRPr="24D98E9F">
              <w:rPr>
                <w:rFonts w:ascii="Times New Roman" w:eastAsia="Times New Roman" w:hAnsi="Times New Roman" w:cs="Times New Roman"/>
              </w:rPr>
              <w:t>2024). Strategically, this undermines Sephora’s premium pricing model, requiring greater emphasis on mid-range products such as the Sephora Collection and loyalty schemes to retain price sensitive consumers while protecting brand prestige.</w:t>
            </w:r>
          </w:p>
          <w:p w14:paraId="2D55C1FB" w14:textId="56B0D710" w:rsidR="24D98E9F" w:rsidRDefault="24D98E9F" w:rsidP="24D98E9F">
            <w:pPr>
              <w:jc w:val="both"/>
              <w:rPr>
                <w:rFonts w:ascii="Times New Roman" w:eastAsia="Times New Roman" w:hAnsi="Times New Roman" w:cs="Times New Roman"/>
              </w:rPr>
            </w:pPr>
          </w:p>
        </w:tc>
      </w:tr>
      <w:tr w:rsidR="24D98E9F" w14:paraId="50FB93B7" w14:textId="77777777" w:rsidTr="24D98E9F">
        <w:trPr>
          <w:trHeight w:val="300"/>
        </w:trPr>
        <w:tc>
          <w:tcPr>
            <w:tcW w:w="4500" w:type="dxa"/>
            <w:tcBorders>
              <w:left w:val="single" w:sz="6" w:space="0" w:color="auto"/>
            </w:tcBorders>
            <w:tcMar>
              <w:left w:w="105" w:type="dxa"/>
              <w:right w:w="105" w:type="dxa"/>
            </w:tcMar>
          </w:tcPr>
          <w:p w14:paraId="411B94AD" w14:textId="0DF819D3"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Social</w:t>
            </w:r>
          </w:p>
          <w:p w14:paraId="039AD7EC" w14:textId="329F44D1"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(Opportunity)</w:t>
            </w:r>
          </w:p>
        </w:tc>
        <w:tc>
          <w:tcPr>
            <w:tcW w:w="4500" w:type="dxa"/>
            <w:tcBorders>
              <w:right w:val="single" w:sz="6" w:space="0" w:color="auto"/>
            </w:tcBorders>
            <w:tcMar>
              <w:left w:w="105" w:type="dxa"/>
              <w:right w:w="105" w:type="dxa"/>
            </w:tcMar>
          </w:tcPr>
          <w:p w14:paraId="35D1299E" w14:textId="1000B693"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Social forces are a high-level in favour of the Sephora UK expansion. More consumers require all-inclusive, sustainable, and cruelty free products (Pintilie</w:t>
            </w:r>
            <w:r w:rsidR="16849F17" w:rsidRPr="24D98E9F">
              <w:rPr>
                <w:rFonts w:ascii="Times New Roman" w:eastAsia="Times New Roman" w:hAnsi="Times New Roman" w:cs="Times New Roman"/>
              </w:rPr>
              <w:t xml:space="preserve"> and Stadoleanu,</w:t>
            </w:r>
            <w:r w:rsidRPr="24D98E9F">
              <w:rPr>
                <w:rFonts w:ascii="Times New Roman" w:eastAsia="Times New Roman" w:hAnsi="Times New Roman" w:cs="Times New Roman"/>
              </w:rPr>
              <w:t xml:space="preserve"> 2024). Sephora’s collaboration with such brands as Fenty Beauty and Rare Beauty do not contradict these values and make it one of the socially responsive retailers (</w:t>
            </w:r>
            <w:r w:rsidR="6517047C" w:rsidRPr="24D98E9F">
              <w:rPr>
                <w:rFonts w:ascii="Times New Roman" w:eastAsia="Times New Roman" w:hAnsi="Times New Roman" w:cs="Times New Roman"/>
              </w:rPr>
              <w:t>Seijin,</w:t>
            </w:r>
            <w:r w:rsidRPr="24D98E9F">
              <w:rPr>
                <w:rFonts w:ascii="Times New Roman" w:eastAsia="Times New Roman" w:hAnsi="Times New Roman" w:cs="Times New Roman"/>
              </w:rPr>
              <w:t xml:space="preserve"> 2025). This supports the differentiation strategy of Sephora and opens the possibility </w:t>
            </w:r>
            <w:r w:rsidRPr="24D98E9F">
              <w:rPr>
                <w:rFonts w:ascii="Times New Roman" w:eastAsia="Times New Roman" w:hAnsi="Times New Roman" w:cs="Times New Roman"/>
              </w:rPr>
              <w:lastRenderedPageBreak/>
              <w:t>to increase the loyalty of Gen Z and millennial buyers.</w:t>
            </w:r>
          </w:p>
          <w:p w14:paraId="56D53DFC" w14:textId="33ECEBB2" w:rsidR="24D98E9F" w:rsidRDefault="24D98E9F" w:rsidP="24D98E9F">
            <w:pPr>
              <w:jc w:val="both"/>
              <w:rPr>
                <w:rFonts w:ascii="Times New Roman" w:eastAsia="Times New Roman" w:hAnsi="Times New Roman" w:cs="Times New Roman"/>
              </w:rPr>
            </w:pPr>
          </w:p>
          <w:p w14:paraId="698FD5C0" w14:textId="1179365F" w:rsidR="24D98E9F" w:rsidRDefault="24D98E9F" w:rsidP="24D98E9F">
            <w:pPr>
              <w:jc w:val="both"/>
              <w:rPr>
                <w:rFonts w:ascii="Times New Roman" w:eastAsia="Times New Roman" w:hAnsi="Times New Roman" w:cs="Times New Roman"/>
              </w:rPr>
            </w:pPr>
          </w:p>
        </w:tc>
      </w:tr>
      <w:tr w:rsidR="24D98E9F" w14:paraId="075641CD" w14:textId="77777777" w:rsidTr="24D98E9F">
        <w:trPr>
          <w:trHeight w:val="300"/>
        </w:trPr>
        <w:tc>
          <w:tcPr>
            <w:tcW w:w="4500" w:type="dxa"/>
            <w:tcBorders>
              <w:left w:val="single" w:sz="6" w:space="0" w:color="auto"/>
            </w:tcBorders>
            <w:tcMar>
              <w:left w:w="105" w:type="dxa"/>
              <w:right w:w="105" w:type="dxa"/>
            </w:tcMar>
          </w:tcPr>
          <w:p w14:paraId="4F22E3AA" w14:textId="2B5B0FEC"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lastRenderedPageBreak/>
              <w:t>Technological</w:t>
            </w:r>
          </w:p>
          <w:p w14:paraId="24BEE91E" w14:textId="2BE2B321"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(Opportunity)</w:t>
            </w:r>
          </w:p>
        </w:tc>
        <w:tc>
          <w:tcPr>
            <w:tcW w:w="4500" w:type="dxa"/>
            <w:tcBorders>
              <w:right w:val="single" w:sz="6" w:space="0" w:color="auto"/>
            </w:tcBorders>
            <w:tcMar>
              <w:left w:w="105" w:type="dxa"/>
              <w:right w:w="105" w:type="dxa"/>
            </w:tcMar>
          </w:tcPr>
          <w:p w14:paraId="248A0C53" w14:textId="389411EE"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 xml:space="preserve">Technology plays a vital role in the life of Sephora, as technology allows the organization to offer personalisation, omnichannel integration, and data analysis, which are very important in the retail business. For example, technology like AI helps in the recommendation of products, management of stock, and the use of augmented reality try-ons, which are very important in the retail business, especially in the beauty retail market (Renascence, 2024). </w:t>
            </w:r>
          </w:p>
          <w:p w14:paraId="02F2B4CB" w14:textId="091F5751" w:rsidR="24D98E9F" w:rsidRDefault="24D98E9F" w:rsidP="24D98E9F">
            <w:pPr>
              <w:jc w:val="both"/>
              <w:rPr>
                <w:rFonts w:ascii="Times New Roman" w:eastAsia="Times New Roman" w:hAnsi="Times New Roman" w:cs="Times New Roman"/>
              </w:rPr>
            </w:pPr>
          </w:p>
        </w:tc>
      </w:tr>
      <w:tr w:rsidR="24D98E9F" w14:paraId="78298C7E" w14:textId="77777777" w:rsidTr="24D98E9F">
        <w:trPr>
          <w:trHeight w:val="300"/>
        </w:trPr>
        <w:tc>
          <w:tcPr>
            <w:tcW w:w="4500" w:type="dxa"/>
            <w:tcBorders>
              <w:left w:val="single" w:sz="6" w:space="0" w:color="auto"/>
            </w:tcBorders>
            <w:tcMar>
              <w:left w:w="105" w:type="dxa"/>
              <w:right w:w="105" w:type="dxa"/>
            </w:tcMar>
          </w:tcPr>
          <w:p w14:paraId="65971DCA" w14:textId="73A17139"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Legal</w:t>
            </w:r>
          </w:p>
          <w:p w14:paraId="52A0E267" w14:textId="0452E8CF"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(Threat/Opportunity)</w:t>
            </w:r>
          </w:p>
        </w:tc>
        <w:tc>
          <w:tcPr>
            <w:tcW w:w="4500" w:type="dxa"/>
            <w:tcBorders>
              <w:right w:val="single" w:sz="6" w:space="0" w:color="auto"/>
            </w:tcBorders>
            <w:tcMar>
              <w:left w:w="105" w:type="dxa"/>
              <w:right w:w="105" w:type="dxa"/>
            </w:tcMar>
          </w:tcPr>
          <w:p w14:paraId="0A4C3856" w14:textId="6F175424"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The UK has stringent laws on cosmetics such as the UK Cosmetics Regulation 2020 (UK Cosmetic Regulator, 2019). Sephora should provide safety of the products, labelling and compliance with advertising requirements. The UK GDPR data protection regulations also influence the online business activities of Sephora, where effective consumer privacy protection strategies are needed (Celestin, 2025). Compliance with legal requirements represents both a financial cost and an opportunity to strengthen consumer trust.</w:t>
            </w:r>
          </w:p>
          <w:p w14:paraId="04F9528C" w14:textId="67AD0823" w:rsidR="24D98E9F" w:rsidRDefault="24D98E9F" w:rsidP="24D98E9F">
            <w:pPr>
              <w:jc w:val="both"/>
              <w:rPr>
                <w:rFonts w:ascii="Times New Roman" w:eastAsia="Times New Roman" w:hAnsi="Times New Roman" w:cs="Times New Roman"/>
              </w:rPr>
            </w:pPr>
          </w:p>
        </w:tc>
      </w:tr>
      <w:tr w:rsidR="24D98E9F" w14:paraId="6696E873" w14:textId="77777777" w:rsidTr="24D98E9F">
        <w:trPr>
          <w:trHeight w:val="300"/>
        </w:trPr>
        <w:tc>
          <w:tcPr>
            <w:tcW w:w="4500" w:type="dxa"/>
            <w:tcBorders>
              <w:left w:val="single" w:sz="6" w:space="0" w:color="auto"/>
              <w:bottom w:val="single" w:sz="6" w:space="0" w:color="auto"/>
            </w:tcBorders>
            <w:tcMar>
              <w:left w:w="105" w:type="dxa"/>
              <w:right w:w="105" w:type="dxa"/>
            </w:tcMar>
          </w:tcPr>
          <w:p w14:paraId="2B28A0D7" w14:textId="00AF6C1A"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Environmental</w:t>
            </w:r>
          </w:p>
          <w:p w14:paraId="1F00A4BA" w14:textId="0F691A0B"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(Threat)</w:t>
            </w:r>
          </w:p>
        </w:tc>
        <w:tc>
          <w:tcPr>
            <w:tcW w:w="4500" w:type="dxa"/>
            <w:tcBorders>
              <w:bottom w:val="single" w:sz="6" w:space="0" w:color="auto"/>
              <w:right w:val="single" w:sz="6" w:space="0" w:color="auto"/>
            </w:tcBorders>
            <w:tcMar>
              <w:left w:w="105" w:type="dxa"/>
              <w:right w:w="105" w:type="dxa"/>
            </w:tcMar>
          </w:tcPr>
          <w:p w14:paraId="74142E7D" w14:textId="56B4A099"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Plastic waste, carbon emission, and toxic chemicals have been criticised in the industry (CleanHub, 2025). In the case of Sephora, it is a reputational risk unless sustainability claims can be legitimate. As a strategic move, being the first in eco-friendly packaging and clean beauty would enable this threat to be converted into a competitive edge.</w:t>
            </w:r>
          </w:p>
          <w:p w14:paraId="410C8DC2" w14:textId="10767D15" w:rsidR="24D98E9F" w:rsidRDefault="24D98E9F" w:rsidP="24D98E9F">
            <w:pPr>
              <w:jc w:val="both"/>
              <w:rPr>
                <w:rFonts w:ascii="Times New Roman" w:eastAsia="Times New Roman" w:hAnsi="Times New Roman" w:cs="Times New Roman"/>
              </w:rPr>
            </w:pPr>
          </w:p>
        </w:tc>
      </w:tr>
    </w:tbl>
    <w:p w14:paraId="764EF305" w14:textId="5CE5042D" w:rsidR="24D98E9F" w:rsidRDefault="24D98E9F" w:rsidP="24D98E9F">
      <w:pPr>
        <w:jc w:val="both"/>
        <w:rPr>
          <w:rFonts w:ascii="Aptos Display" w:eastAsia="Aptos Display" w:hAnsi="Aptos Display" w:cs="Aptos Display"/>
          <w:color w:val="0F4761" w:themeColor="accent1" w:themeShade="BF"/>
          <w:sz w:val="32"/>
          <w:szCs w:val="32"/>
        </w:rPr>
      </w:pPr>
    </w:p>
    <w:p w14:paraId="2BA0FFD2" w14:textId="05569D1F" w:rsidR="24D98E9F" w:rsidRDefault="24D98E9F" w:rsidP="24D98E9F">
      <w:pPr>
        <w:jc w:val="both"/>
        <w:rPr>
          <w:rFonts w:ascii="Aptos Display" w:eastAsia="Aptos Display" w:hAnsi="Aptos Display" w:cs="Aptos Display"/>
          <w:color w:val="0F4761" w:themeColor="accent1" w:themeShade="BF"/>
          <w:sz w:val="32"/>
          <w:szCs w:val="32"/>
        </w:rPr>
      </w:pPr>
    </w:p>
    <w:p w14:paraId="3730062B" w14:textId="6C453DA7" w:rsidR="442F2478" w:rsidRDefault="442F2478" w:rsidP="24D98E9F">
      <w:pPr>
        <w:jc w:val="both"/>
        <w:rPr>
          <w:rFonts w:ascii="Aptos Display" w:eastAsia="Aptos Display" w:hAnsi="Aptos Display" w:cs="Aptos Display"/>
          <w:color w:val="0F4761" w:themeColor="accent1" w:themeShade="BF"/>
          <w:sz w:val="32"/>
          <w:szCs w:val="32"/>
        </w:rPr>
      </w:pPr>
      <w:bookmarkStart w:id="9" w:name="_Toc690460551"/>
      <w:r w:rsidRPr="24D98E9F">
        <w:rPr>
          <w:rStyle w:val="Heading2Char"/>
          <w:rFonts w:ascii="Aptos Display" w:eastAsia="Aptos Display" w:hAnsi="Aptos Display" w:cs="Aptos Display"/>
        </w:rPr>
        <w:t>2.2 Porter’s Five Forces (Industry Analysis)</w:t>
      </w:r>
      <w:bookmarkEnd w:id="9"/>
    </w:p>
    <w:p w14:paraId="366CA1A0" w14:textId="6DC8312E"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Rivalry Among Existing Competitors – High Threat</w:t>
      </w:r>
    </w:p>
    <w:p w14:paraId="751F1845" w14:textId="5386A8EA"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lastRenderedPageBreak/>
        <w:t xml:space="preserve">The competition in the UK beauty retail business is stiff. The competitors include Boots, Superdrug, high-end department stores Selfridges, Harrods, and online stores. Categories are dominated by global giants like L’Oréal, Estée Lauder, and Unilever, and niche indie brands are the ones that lead to rapid innovation (Digital </w:t>
      </w:r>
      <w:r w:rsidR="6C05BB20" w:rsidRPr="24D98E9F">
        <w:rPr>
          <w:rFonts w:ascii="Times New Roman" w:eastAsia="Times New Roman" w:hAnsi="Times New Roman" w:cs="Times New Roman"/>
          <w:color w:val="000000" w:themeColor="text1"/>
        </w:rPr>
        <w:t>Initiative</w:t>
      </w:r>
      <w:r w:rsidRPr="24D98E9F">
        <w:rPr>
          <w:rFonts w:ascii="Times New Roman" w:eastAsia="Times New Roman" w:hAnsi="Times New Roman" w:cs="Times New Roman"/>
          <w:color w:val="000000" w:themeColor="text1"/>
        </w:rPr>
        <w:t xml:space="preserve">, 2018). Competition is increased by frequent promotions, low switching costs, and short trend cycles particularly among Gen Z. For Sephora, maintaining distinctiveness through exclusivity, experiential retail, and digital innovation is essential to protect margins from erosion. </w:t>
      </w:r>
    </w:p>
    <w:p w14:paraId="4822E5C1" w14:textId="4D3EB71B" w:rsidR="24D98E9F" w:rsidRDefault="24D98E9F" w:rsidP="24D98E9F">
      <w:pPr>
        <w:jc w:val="both"/>
        <w:rPr>
          <w:rFonts w:ascii="Times New Roman" w:eastAsia="Times New Roman" w:hAnsi="Times New Roman" w:cs="Times New Roman"/>
          <w:color w:val="000000" w:themeColor="text1"/>
        </w:rPr>
      </w:pPr>
    </w:p>
    <w:p w14:paraId="58C22FFD" w14:textId="183E5034" w:rsidR="442F2478" w:rsidRDefault="442F2478" w:rsidP="24D98E9F">
      <w:pPr>
        <w:jc w:val="both"/>
        <w:rPr>
          <w:rFonts w:ascii="Times New Roman" w:eastAsia="Times New Roman" w:hAnsi="Times New Roman" w:cs="Times New Roman"/>
          <w:b/>
          <w:bCs/>
          <w:color w:val="000000" w:themeColor="text1"/>
        </w:rPr>
      </w:pPr>
      <w:r w:rsidRPr="24D98E9F">
        <w:rPr>
          <w:rFonts w:ascii="Times New Roman" w:eastAsia="Times New Roman" w:hAnsi="Times New Roman" w:cs="Times New Roman"/>
          <w:b/>
          <w:bCs/>
          <w:color w:val="000000" w:themeColor="text1"/>
        </w:rPr>
        <w:t>Threat of New Entrants – Moderate Threat</w:t>
      </w:r>
    </w:p>
    <w:p w14:paraId="29183293" w14:textId="3DB10052"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Entry barriers in the sector are moderate. The rise of social and digital platforms has reduced initial start‑up costs, enabling niche entrants to establish a presence quickly. However, achieving national scale still demands substantial capital investment, extensive marketing expenditure, and efficient logistics and distribution capabilities. According to McKinsey, the entry barriers are potentially reducing, but the scale barriers are increasing, i.e., new entrants can enter the market but have difficulty growing sustainably (Weaver </w:t>
      </w:r>
      <w:r w:rsidRPr="24D98E9F">
        <w:rPr>
          <w:rFonts w:ascii="Times New Roman" w:eastAsia="Times New Roman" w:hAnsi="Times New Roman" w:cs="Times New Roman"/>
          <w:i/>
          <w:iCs/>
          <w:color w:val="000000" w:themeColor="text1"/>
        </w:rPr>
        <w:t>et al.,</w:t>
      </w:r>
      <w:r w:rsidRPr="24D98E9F">
        <w:rPr>
          <w:rFonts w:ascii="Times New Roman" w:eastAsia="Times New Roman" w:hAnsi="Times New Roman" w:cs="Times New Roman"/>
          <w:color w:val="000000" w:themeColor="text1"/>
        </w:rPr>
        <w:t xml:space="preserve"> 2024). Sephora will need to rely on the strength of LVMH and its solid online business to stay ahead of smaller new brands. Still, digital‑first competitors will continue to break into and disrupt niche parts of the market</w:t>
      </w:r>
    </w:p>
    <w:p w14:paraId="621F676A" w14:textId="1747BDCA" w:rsidR="24D98E9F" w:rsidRDefault="24D98E9F" w:rsidP="24D98E9F">
      <w:pPr>
        <w:jc w:val="both"/>
        <w:rPr>
          <w:rFonts w:ascii="Times New Roman" w:eastAsia="Times New Roman" w:hAnsi="Times New Roman" w:cs="Times New Roman"/>
          <w:color w:val="000000" w:themeColor="text1"/>
        </w:rPr>
      </w:pPr>
    </w:p>
    <w:p w14:paraId="6309A410" w14:textId="58456C91" w:rsidR="442F2478" w:rsidRDefault="442F2478" w:rsidP="24D98E9F">
      <w:pPr>
        <w:jc w:val="both"/>
        <w:rPr>
          <w:rFonts w:ascii="Times New Roman" w:eastAsia="Times New Roman" w:hAnsi="Times New Roman" w:cs="Times New Roman"/>
          <w:b/>
          <w:bCs/>
          <w:color w:val="000000" w:themeColor="text1"/>
        </w:rPr>
      </w:pPr>
      <w:r w:rsidRPr="24D98E9F">
        <w:rPr>
          <w:rFonts w:ascii="Times New Roman" w:eastAsia="Times New Roman" w:hAnsi="Times New Roman" w:cs="Times New Roman"/>
          <w:b/>
          <w:bCs/>
          <w:color w:val="000000" w:themeColor="text1"/>
        </w:rPr>
        <w:t>Bargaining power of supplier - Low to Moderate – Opportunity/Threat</w:t>
      </w:r>
    </w:p>
    <w:p w14:paraId="664CD36E" w14:textId="6C9EB0E4"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The power of suppliers is low to moderate. The retailers have hundreds of brands as sources, which prevents the dominance of suppliers. However, L’Oréal, Estée Lauder, Unilever have an influence based on brand equity and exclusivity deals, which determine the availability and pricing of products (Weaver </w:t>
      </w:r>
      <w:r w:rsidRPr="24D98E9F">
        <w:rPr>
          <w:rFonts w:ascii="Times New Roman" w:eastAsia="Times New Roman" w:hAnsi="Times New Roman" w:cs="Times New Roman"/>
          <w:i/>
          <w:iCs/>
          <w:color w:val="000000" w:themeColor="text1"/>
        </w:rPr>
        <w:t>et al.,</w:t>
      </w:r>
      <w:r w:rsidRPr="24D98E9F">
        <w:rPr>
          <w:rFonts w:ascii="Times New Roman" w:eastAsia="Times New Roman" w:hAnsi="Times New Roman" w:cs="Times New Roman"/>
          <w:color w:val="000000" w:themeColor="text1"/>
        </w:rPr>
        <w:t xml:space="preserve"> 2024). For Sephora, privileged access to LVMH brands represents a rare competitive advantage, as it reduces supplier power and reinforces the company’s differentiation in the market.</w:t>
      </w:r>
    </w:p>
    <w:p w14:paraId="79A1A4EF" w14:textId="13350FC6" w:rsidR="24D98E9F" w:rsidRDefault="24D98E9F" w:rsidP="24D98E9F">
      <w:pPr>
        <w:jc w:val="both"/>
        <w:rPr>
          <w:rFonts w:ascii="Times New Roman" w:eastAsia="Times New Roman" w:hAnsi="Times New Roman" w:cs="Times New Roman"/>
          <w:color w:val="000000" w:themeColor="text1"/>
        </w:rPr>
      </w:pPr>
    </w:p>
    <w:p w14:paraId="46E66190" w14:textId="78ED05EB" w:rsidR="442F2478" w:rsidRDefault="442F2478" w:rsidP="24D98E9F">
      <w:pPr>
        <w:jc w:val="both"/>
        <w:rPr>
          <w:rFonts w:ascii="Times New Roman" w:eastAsia="Times New Roman" w:hAnsi="Times New Roman" w:cs="Times New Roman"/>
          <w:b/>
          <w:bCs/>
          <w:color w:val="000000" w:themeColor="text1"/>
        </w:rPr>
      </w:pPr>
      <w:r w:rsidRPr="24D98E9F">
        <w:rPr>
          <w:rFonts w:ascii="Times New Roman" w:eastAsia="Times New Roman" w:hAnsi="Times New Roman" w:cs="Times New Roman"/>
          <w:b/>
          <w:bCs/>
          <w:color w:val="000000" w:themeColor="text1"/>
        </w:rPr>
        <w:t>Bargaining Power of Buyers - High Threat</w:t>
      </w:r>
    </w:p>
    <w:p w14:paraId="11B51F1C" w14:textId="37CA1A3B"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The UK consumers are price conscious and require inclusiveness and sustainability. Inflation has led to trade down behaviour in the mature markets, and younger consumers are still spending a lot of money on prestige and niche products (Weaver </w:t>
      </w:r>
      <w:r w:rsidRPr="24D98E9F">
        <w:rPr>
          <w:rFonts w:ascii="Times New Roman" w:eastAsia="Times New Roman" w:hAnsi="Times New Roman" w:cs="Times New Roman"/>
          <w:i/>
          <w:iCs/>
          <w:color w:val="000000" w:themeColor="text1"/>
        </w:rPr>
        <w:t>et al</w:t>
      </w:r>
      <w:r w:rsidRPr="24D98E9F">
        <w:rPr>
          <w:rFonts w:ascii="Times New Roman" w:eastAsia="Times New Roman" w:hAnsi="Times New Roman" w:cs="Times New Roman"/>
          <w:color w:val="000000" w:themeColor="text1"/>
        </w:rPr>
        <w:t xml:space="preserve">., 2024). Buyer bargaining </w:t>
      </w:r>
      <w:r w:rsidRPr="24D98E9F">
        <w:rPr>
          <w:rFonts w:ascii="Times New Roman" w:eastAsia="Times New Roman" w:hAnsi="Times New Roman" w:cs="Times New Roman"/>
          <w:color w:val="000000" w:themeColor="text1"/>
        </w:rPr>
        <w:lastRenderedPageBreak/>
        <w:t>power is further enhanced by the online transparency and easy price comparison. This gives buyers strong bargaining power, meaning Sephora must demonstrate that its premium prices are justified by exclusivity, personalised experiences, and leadership in sustainability.</w:t>
      </w:r>
    </w:p>
    <w:p w14:paraId="6FE913C5" w14:textId="1B03E188" w:rsidR="24D98E9F" w:rsidRDefault="24D98E9F" w:rsidP="24D98E9F">
      <w:pPr>
        <w:jc w:val="both"/>
        <w:rPr>
          <w:rFonts w:ascii="Times New Roman" w:eastAsia="Times New Roman" w:hAnsi="Times New Roman" w:cs="Times New Roman"/>
          <w:color w:val="000000" w:themeColor="text1"/>
        </w:rPr>
      </w:pPr>
    </w:p>
    <w:p w14:paraId="17FBCF7F" w14:textId="5EA18E83" w:rsidR="442F2478" w:rsidRDefault="442F2478" w:rsidP="24D98E9F">
      <w:pPr>
        <w:jc w:val="both"/>
        <w:rPr>
          <w:rFonts w:ascii="Times New Roman" w:eastAsia="Times New Roman" w:hAnsi="Times New Roman" w:cs="Times New Roman"/>
          <w:b/>
          <w:bCs/>
          <w:color w:val="000000" w:themeColor="text1"/>
        </w:rPr>
      </w:pPr>
      <w:r w:rsidRPr="24D98E9F">
        <w:rPr>
          <w:rFonts w:ascii="Times New Roman" w:eastAsia="Times New Roman" w:hAnsi="Times New Roman" w:cs="Times New Roman"/>
          <w:b/>
          <w:bCs/>
          <w:color w:val="000000" w:themeColor="text1"/>
        </w:rPr>
        <w:t>Threat of Substitutes - High Threat</w:t>
      </w:r>
    </w:p>
    <w:p w14:paraId="10740A82" w14:textId="151124B3"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Substitutes are on the rise as customers switch to own brand and cheap alternatives considering high inflation. Rising prices are prompting consumers to prioritise cost‑effective products with proven efficacy, compelling premium brands to innovate and clearly demonstrate value to maintain loyalty and protect market share (Hood, 2023). In the case of Sephora, it means constant innovation and value proofs to maintain the loyalty and avoid the loss of the market share.</w:t>
      </w:r>
    </w:p>
    <w:p w14:paraId="4EA14A40" w14:textId="7024498A"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 </w:t>
      </w:r>
      <w:r>
        <w:rPr>
          <w:noProof/>
        </w:rPr>
        <w:drawing>
          <wp:inline distT="0" distB="0" distL="0" distR="0" wp14:anchorId="255E117A" wp14:editId="70394796">
            <wp:extent cx="5562600" cy="3714750"/>
            <wp:effectExtent l="0" t="0" r="0" b="0"/>
            <wp:docPr id="12991831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83100" name="Picture 1299183100"/>
                    <pic:cNvPicPr/>
                  </pic:nvPicPr>
                  <pic:blipFill>
                    <a:blip r:embed="rId6">
                      <a:extLst>
                        <a:ext uri="{28A0092B-C50C-407E-A947-70E740481C1C}">
                          <a14:useLocalDpi xmlns:a14="http://schemas.microsoft.com/office/drawing/2010/main"/>
                        </a:ext>
                      </a:extLst>
                    </a:blip>
                    <a:stretch>
                      <a:fillRect/>
                    </a:stretch>
                  </pic:blipFill>
                  <pic:spPr>
                    <a:xfrm>
                      <a:off x="0" y="0"/>
                      <a:ext cx="5562600" cy="3714750"/>
                    </a:xfrm>
                    <a:prstGeom prst="rect">
                      <a:avLst/>
                    </a:prstGeom>
                  </pic:spPr>
                </pic:pic>
              </a:graphicData>
            </a:graphic>
          </wp:inline>
        </w:drawing>
      </w:r>
    </w:p>
    <w:p w14:paraId="18BBF807" w14:textId="201DB48E"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Figure 2: Industry Analysis of Sephora</w:t>
      </w:r>
    </w:p>
    <w:p w14:paraId="5B13844A" w14:textId="029D9029"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Source: (Own Illustration)</w:t>
      </w:r>
    </w:p>
    <w:p w14:paraId="030FACC5" w14:textId="51D8B990" w:rsidR="442F2478" w:rsidRDefault="442F2478" w:rsidP="24D98E9F">
      <w:pPr>
        <w:pStyle w:val="Heading2"/>
        <w:jc w:val="both"/>
        <w:rPr>
          <w:rFonts w:ascii="Aptos Display" w:eastAsia="Aptos Display" w:hAnsi="Aptos Display" w:cs="Aptos Display"/>
        </w:rPr>
      </w:pPr>
      <w:bookmarkStart w:id="10" w:name="_Toc2061341992"/>
      <w:r w:rsidRPr="24D98E9F">
        <w:rPr>
          <w:rFonts w:ascii="Aptos Display" w:eastAsia="Aptos Display" w:hAnsi="Aptos Display" w:cs="Aptos Display"/>
        </w:rPr>
        <w:t>2.3 Stakeholder Analysis</w:t>
      </w:r>
      <w:bookmarkEnd w:id="10"/>
    </w:p>
    <w:p w14:paraId="7FC75902" w14:textId="693E9B06"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stakeholders of Sephora are customers, employees, investors (LVMH), suppliers, government regulating bodies, and the local communities (Eriksen-Coats, 20</w:t>
      </w:r>
      <w:r w:rsidR="65218328" w:rsidRPr="24D98E9F">
        <w:rPr>
          <w:rFonts w:ascii="Times New Roman" w:eastAsia="Times New Roman" w:hAnsi="Times New Roman" w:cs="Times New Roman"/>
          <w:color w:val="000000" w:themeColor="text1"/>
        </w:rPr>
        <w:t>24</w:t>
      </w:r>
      <w:r w:rsidRPr="24D98E9F">
        <w:rPr>
          <w:rFonts w:ascii="Times New Roman" w:eastAsia="Times New Roman" w:hAnsi="Times New Roman" w:cs="Times New Roman"/>
          <w:color w:val="000000" w:themeColor="text1"/>
        </w:rPr>
        <w:t>).</w:t>
      </w:r>
    </w:p>
    <w:p w14:paraId="1C251619" w14:textId="06333B20"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lastRenderedPageBreak/>
        <w:t>Government regulators - high power, low interest</w:t>
      </w:r>
    </w:p>
    <w:p w14:paraId="4729B3D6" w14:textId="36FA9D19"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They do not participate in the day-to-day activities but can issue severe fines or limitations (Yetim and Gur, 2023). They have the leverage of being able to control the compliance and product safety, regulate the adherence to the product safety and advertising regulations.</w:t>
      </w:r>
    </w:p>
    <w:p w14:paraId="77034361" w14:textId="509580D9"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 xml:space="preserve">Customers - High Interest, Moderate Power </w:t>
      </w:r>
    </w:p>
    <w:p w14:paraId="7DED90EC" w14:textId="3F69AF7C"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consumers in the UK are becoming more demanding in inclusivity, sustainability, and affordability. Their strength together is great due to online transparency and comparison of prices. Tactically, Sephora needs to strike the exclusivity vs. accessibility balance not to lose price sensitive user groups and retain Gen Z and millennials as loyal customers.</w:t>
      </w:r>
    </w:p>
    <w:p w14:paraId="2883FABE" w14:textId="65B29855"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 xml:space="preserve">Investors – LVMH - High Power, High Interest </w:t>
      </w:r>
    </w:p>
    <w:p w14:paraId="45B4A365" w14:textId="5A3F9A9E"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LVMH being parent company offers financial support and high returns are anticipated. Their urge to grow fast with excessive speed could conflict with the need of customers who want expenses to be affordable and sustainable. This contradiction compels Sephora to maintain the right balance between expansion goals and long-term brand equity and ethical positioning.</w:t>
      </w:r>
    </w:p>
    <w:p w14:paraId="4E0811BE" w14:textId="2FE9E108"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Employees and Local Communities - High Interest, Low Power</w:t>
      </w:r>
    </w:p>
    <w:p w14:paraId="0C3319FA" w14:textId="459B0156"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employees want to be treated fairly with career prospects, and the community appreciate ethical conduct and local jobs. Even with their limited formal authority, reputational risks may occur in case expectations are not fulfilled. In the case of Sephora, the legitimacy and brand trust is enhanced through staff development and involvement in the community.</w:t>
      </w:r>
    </w:p>
    <w:p w14:paraId="67EB69D5" w14:textId="0CA0C94A"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 xml:space="preserve">Suppliers - Low Power, Low Interest </w:t>
      </w:r>
    </w:p>
    <w:p w14:paraId="2D8F6808" w14:textId="44CE410F" w:rsidR="442F2478" w:rsidRDefault="442F2478"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Majority of suppliers can be substituted. Access to LVMH brands exclusively used by Sephora minimises dependence on suppliers, and competitive advantage is strengthened.</w:t>
      </w:r>
    </w:p>
    <w:p w14:paraId="22D39EAD" w14:textId="6898F153" w:rsidR="24D98E9F" w:rsidRDefault="24D98E9F" w:rsidP="24D98E9F">
      <w:pPr>
        <w:jc w:val="both"/>
        <w:rPr>
          <w:rFonts w:ascii="Times New Roman" w:eastAsia="Times New Roman" w:hAnsi="Times New Roman" w:cs="Times New Roman"/>
          <w:color w:val="000000" w:themeColor="text1"/>
        </w:rPr>
      </w:pPr>
    </w:p>
    <w:p w14:paraId="6B831461" w14:textId="51102DB6" w:rsidR="24D98E9F" w:rsidRDefault="24D98E9F" w:rsidP="24D98E9F">
      <w:pPr>
        <w:jc w:val="both"/>
      </w:pPr>
      <w:r>
        <w:br w:type="page"/>
      </w:r>
    </w:p>
    <w:p w14:paraId="45D64A08" w14:textId="02BE0BE3" w:rsidR="344BA109" w:rsidRDefault="344BA109" w:rsidP="24D98E9F">
      <w:pPr>
        <w:pStyle w:val="Heading1"/>
        <w:jc w:val="both"/>
        <w:rPr>
          <w:rFonts w:ascii="Aptos Display" w:eastAsia="Aptos Display" w:hAnsi="Aptos Display" w:cs="Aptos Display"/>
        </w:rPr>
      </w:pPr>
      <w:bookmarkStart w:id="11" w:name="_Toc1629117692"/>
      <w:r w:rsidRPr="24D98E9F">
        <w:rPr>
          <w:rFonts w:ascii="Aptos Display" w:eastAsia="Aptos Display" w:hAnsi="Aptos Display" w:cs="Aptos Display"/>
        </w:rPr>
        <w:lastRenderedPageBreak/>
        <w:t>3: Internal Strategic Capability</w:t>
      </w:r>
      <w:bookmarkEnd w:id="11"/>
    </w:p>
    <w:p w14:paraId="24FE8641" w14:textId="02678483" w:rsidR="344BA109" w:rsidRDefault="344BA109" w:rsidP="24D98E9F">
      <w:pPr>
        <w:pStyle w:val="Heading2"/>
        <w:jc w:val="both"/>
        <w:rPr>
          <w:rFonts w:ascii="Aptos Display" w:eastAsia="Aptos Display" w:hAnsi="Aptos Display" w:cs="Aptos Display"/>
        </w:rPr>
      </w:pPr>
      <w:bookmarkStart w:id="12" w:name="_Toc592970125"/>
      <w:r w:rsidRPr="24D98E9F">
        <w:rPr>
          <w:rFonts w:ascii="Aptos Display" w:eastAsia="Aptos Display" w:hAnsi="Aptos Display" w:cs="Aptos Display"/>
        </w:rPr>
        <w:t>3.1 Organisational Resources and Capabilities</w:t>
      </w:r>
      <w:bookmarkEnd w:id="12"/>
    </w:p>
    <w:p w14:paraId="737F9DB9" w14:textId="5435EAB9"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benefits from a strong internal capability to integrate both tangible and intangible resources into a unified, customer‑centric shopping experience. Its position is further reinforced by access to substantial financial backing, global supply‑chain reach, and high‑value brand partnerships through its parent company, LVMH. Its physical assets in the UK are flagship stores in Westfield White City (London) and Birmingham Bullring. These physical resources are also strategically placed in the high-traffic shopping areas which improve the brand awareness and consumer interaction.</w:t>
      </w:r>
    </w:p>
    <w:p w14:paraId="0A5E3D69" w14:textId="51C85962"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has heavily invested in AI-driven product recommendations, augmented reality (AR) try-on, and mobile app integration, which has established a smooth omnichannel experience. The purchase of FeelUnique in 2022 offered an established e-commerce platform and consumer base that accelerated the e-commerce penetration of Sephora in the UK market (C</w:t>
      </w:r>
      <w:r w:rsidR="342170A4" w:rsidRPr="24D98E9F">
        <w:rPr>
          <w:rFonts w:ascii="Times New Roman" w:eastAsia="Times New Roman" w:hAnsi="Times New Roman" w:cs="Times New Roman"/>
          <w:color w:val="000000" w:themeColor="text1"/>
        </w:rPr>
        <w:t xml:space="preserve">ulliney, </w:t>
      </w:r>
      <w:r w:rsidRPr="24D98E9F">
        <w:rPr>
          <w:rFonts w:ascii="Times New Roman" w:eastAsia="Times New Roman" w:hAnsi="Times New Roman" w:cs="Times New Roman"/>
          <w:color w:val="000000" w:themeColor="text1"/>
        </w:rPr>
        <w:t>2022).</w:t>
      </w:r>
    </w:p>
    <w:p w14:paraId="6560B68D" w14:textId="01B7A610"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The intangible resources are also critical. Its image of selecting fashionable products and providing tailored services, including in-store consultations and reward schemes, make the difference between them and the competitors operating in the mass-market segment. The company culture is focused on diversity, sustainability, and customer empowerment, which connects with values of UK consumers and results in improving brand loyalty. </w:t>
      </w:r>
    </w:p>
    <w:p w14:paraId="1DD08D31" w14:textId="7E7BDB91"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Unlike Boots or Superdrug, Sephora operates with an open‑sell layout, incorporates digital mirrors, and provides dedicated beauty zones that encourage interaction and self‑discovery. Its strategy of securing exclusive product launches such as Rhode and Makeup by Mario also positions the brand as an early adopter of emerging trends. </w:t>
      </w:r>
    </w:p>
    <w:p w14:paraId="672C989C" w14:textId="55D48C70"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In its operational strategy, Sephora is excellent in data-driven merchandising, whereby the company uses customer insights to customise merchandise and promotions. Even its loyalty programme, Beauty Pass, simultaneously purchases and creates valuable behavioural data. This helps Sephora to personalise the marketing and optimise stocks to enhance customer satisfaction and efficiency.</w:t>
      </w:r>
    </w:p>
    <w:p w14:paraId="1C8D6125" w14:textId="2EFFA164" w:rsidR="344BA109" w:rsidRDefault="344BA109" w:rsidP="24D98E9F">
      <w:pPr>
        <w:pStyle w:val="Heading2"/>
        <w:jc w:val="both"/>
        <w:rPr>
          <w:rFonts w:ascii="Aptos Display" w:eastAsia="Aptos Display" w:hAnsi="Aptos Display" w:cs="Aptos Display"/>
        </w:rPr>
      </w:pPr>
      <w:bookmarkStart w:id="13" w:name="_Toc1782394405"/>
      <w:r w:rsidRPr="24D98E9F">
        <w:rPr>
          <w:rFonts w:ascii="Aptos Display" w:eastAsia="Aptos Display" w:hAnsi="Aptos Display" w:cs="Aptos Display"/>
        </w:rPr>
        <w:lastRenderedPageBreak/>
        <w:t>3.2 VRIO Framework Analysis</w:t>
      </w:r>
      <w:bookmarkEnd w:id="13"/>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564"/>
        <w:gridCol w:w="1131"/>
        <w:gridCol w:w="1130"/>
        <w:gridCol w:w="1277"/>
        <w:gridCol w:w="1277"/>
        <w:gridCol w:w="1637"/>
      </w:tblGrid>
      <w:tr w:rsidR="24D98E9F" w14:paraId="60519314" w14:textId="77777777" w:rsidTr="24D98E9F">
        <w:trPr>
          <w:trHeight w:val="300"/>
        </w:trPr>
        <w:tc>
          <w:tcPr>
            <w:tcW w:w="3150" w:type="dxa"/>
            <w:tcBorders>
              <w:top w:val="single" w:sz="4" w:space="0" w:color="auto"/>
              <w:left w:val="single" w:sz="4" w:space="0" w:color="auto"/>
              <w:bottom w:val="single" w:sz="4" w:space="0" w:color="auto"/>
              <w:right w:val="single" w:sz="4" w:space="0" w:color="auto"/>
            </w:tcBorders>
            <w:shd w:val="clear" w:color="auto" w:fill="FFF2CC"/>
            <w:tcMar>
              <w:left w:w="105" w:type="dxa"/>
              <w:right w:w="105" w:type="dxa"/>
            </w:tcMar>
          </w:tcPr>
          <w:p w14:paraId="349F0F4E" w14:textId="299ACB2B" w:rsidR="24D98E9F" w:rsidRDefault="24D98E9F"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Resource/Capability</w:t>
            </w:r>
          </w:p>
        </w:tc>
        <w:tc>
          <w:tcPr>
            <w:tcW w:w="885" w:type="dxa"/>
            <w:tcBorders>
              <w:top w:val="single" w:sz="4" w:space="0" w:color="auto"/>
              <w:left w:val="single" w:sz="4" w:space="0" w:color="auto"/>
              <w:bottom w:val="single" w:sz="4" w:space="0" w:color="auto"/>
              <w:right w:val="single" w:sz="4" w:space="0" w:color="auto"/>
            </w:tcBorders>
            <w:shd w:val="clear" w:color="auto" w:fill="FFF2CC"/>
            <w:tcMar>
              <w:left w:w="105" w:type="dxa"/>
              <w:right w:w="105" w:type="dxa"/>
            </w:tcMar>
          </w:tcPr>
          <w:p w14:paraId="0E1BE866" w14:textId="40C6341E" w:rsidR="24D98E9F" w:rsidRDefault="24D98E9F"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Valuable</w:t>
            </w:r>
          </w:p>
        </w:tc>
        <w:tc>
          <w:tcPr>
            <w:tcW w:w="915" w:type="dxa"/>
            <w:tcBorders>
              <w:top w:val="single" w:sz="4" w:space="0" w:color="auto"/>
              <w:left w:val="single" w:sz="4" w:space="0" w:color="auto"/>
              <w:bottom w:val="single" w:sz="4" w:space="0" w:color="auto"/>
              <w:right w:val="single" w:sz="4" w:space="0" w:color="auto"/>
            </w:tcBorders>
            <w:shd w:val="clear" w:color="auto" w:fill="FFF2CC"/>
            <w:tcMar>
              <w:left w:w="105" w:type="dxa"/>
              <w:right w:w="105" w:type="dxa"/>
            </w:tcMar>
          </w:tcPr>
          <w:p w14:paraId="4152C4B0" w14:textId="525CC067" w:rsidR="24D98E9F" w:rsidRDefault="24D98E9F"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Rare</w:t>
            </w:r>
          </w:p>
        </w:tc>
        <w:tc>
          <w:tcPr>
            <w:tcW w:w="1065" w:type="dxa"/>
            <w:tcBorders>
              <w:top w:val="single" w:sz="4" w:space="0" w:color="auto"/>
              <w:left w:val="single" w:sz="4" w:space="0" w:color="auto"/>
              <w:bottom w:val="single" w:sz="4" w:space="0" w:color="auto"/>
              <w:right w:val="single" w:sz="4" w:space="0" w:color="auto"/>
            </w:tcBorders>
            <w:shd w:val="clear" w:color="auto" w:fill="FFF2CC"/>
            <w:tcMar>
              <w:left w:w="105" w:type="dxa"/>
              <w:right w:w="105" w:type="dxa"/>
            </w:tcMar>
          </w:tcPr>
          <w:p w14:paraId="7EF429D0" w14:textId="7DD3E22A" w:rsidR="24D98E9F" w:rsidRDefault="24D98E9F"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Inimitable</w:t>
            </w:r>
          </w:p>
        </w:tc>
        <w:tc>
          <w:tcPr>
            <w:tcW w:w="1065" w:type="dxa"/>
            <w:tcBorders>
              <w:top w:val="single" w:sz="4" w:space="0" w:color="auto"/>
              <w:left w:val="single" w:sz="4" w:space="0" w:color="auto"/>
              <w:bottom w:val="single" w:sz="4" w:space="0" w:color="auto"/>
              <w:right w:val="single" w:sz="4" w:space="0" w:color="auto"/>
            </w:tcBorders>
            <w:shd w:val="clear" w:color="auto" w:fill="FFF2CC"/>
            <w:tcMar>
              <w:left w:w="105" w:type="dxa"/>
              <w:right w:w="105" w:type="dxa"/>
            </w:tcMar>
          </w:tcPr>
          <w:p w14:paraId="4B1F553E" w14:textId="3D5FC0F9" w:rsidR="24D98E9F" w:rsidRDefault="24D98E9F"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Organised</w:t>
            </w:r>
          </w:p>
        </w:tc>
        <w:tc>
          <w:tcPr>
            <w:tcW w:w="2175" w:type="dxa"/>
            <w:tcBorders>
              <w:top w:val="single" w:sz="4" w:space="0" w:color="auto"/>
              <w:left w:val="single" w:sz="4" w:space="0" w:color="auto"/>
              <w:bottom w:val="single" w:sz="4" w:space="0" w:color="auto"/>
              <w:right w:val="single" w:sz="4" w:space="0" w:color="auto"/>
            </w:tcBorders>
            <w:shd w:val="clear" w:color="auto" w:fill="FFF2CC"/>
            <w:tcMar>
              <w:left w:w="105" w:type="dxa"/>
              <w:right w:w="105" w:type="dxa"/>
            </w:tcMar>
          </w:tcPr>
          <w:p w14:paraId="2DE35F30" w14:textId="121DAED3" w:rsidR="24D98E9F" w:rsidRDefault="24D98E9F"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Advantage Type</w:t>
            </w:r>
          </w:p>
        </w:tc>
      </w:tr>
      <w:tr w:rsidR="24D98E9F" w14:paraId="7A5B43EE" w14:textId="77777777" w:rsidTr="24D98E9F">
        <w:trPr>
          <w:trHeight w:val="300"/>
        </w:trPr>
        <w:tc>
          <w:tcPr>
            <w:tcW w:w="3150" w:type="dxa"/>
            <w:tcBorders>
              <w:top w:val="single" w:sz="4" w:space="0" w:color="auto"/>
              <w:left w:val="single" w:sz="4" w:space="0" w:color="auto"/>
              <w:bottom w:val="single" w:sz="4" w:space="0" w:color="auto"/>
              <w:right w:val="single" w:sz="4" w:space="0" w:color="auto"/>
            </w:tcBorders>
            <w:tcMar>
              <w:left w:w="105" w:type="dxa"/>
              <w:right w:w="105" w:type="dxa"/>
            </w:tcMar>
          </w:tcPr>
          <w:p w14:paraId="446B328D" w14:textId="37169AFC"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LVMH Brand Partnerships</w:t>
            </w:r>
          </w:p>
        </w:tc>
        <w:tc>
          <w:tcPr>
            <w:tcW w:w="885" w:type="dxa"/>
            <w:tcBorders>
              <w:top w:val="single" w:sz="4" w:space="0" w:color="auto"/>
              <w:left w:val="single" w:sz="4" w:space="0" w:color="auto"/>
              <w:bottom w:val="single" w:sz="4" w:space="0" w:color="auto"/>
              <w:right w:val="single" w:sz="4" w:space="0" w:color="auto"/>
            </w:tcBorders>
            <w:tcMar>
              <w:left w:w="105" w:type="dxa"/>
              <w:right w:w="105" w:type="dxa"/>
            </w:tcMar>
          </w:tcPr>
          <w:p w14:paraId="24011358" w14:textId="1466D1D7"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915" w:type="dxa"/>
            <w:tcBorders>
              <w:top w:val="single" w:sz="4" w:space="0" w:color="auto"/>
              <w:left w:val="single" w:sz="4" w:space="0" w:color="auto"/>
              <w:bottom w:val="single" w:sz="4" w:space="0" w:color="auto"/>
              <w:right w:val="single" w:sz="4" w:space="0" w:color="auto"/>
            </w:tcBorders>
            <w:tcMar>
              <w:left w:w="105" w:type="dxa"/>
              <w:right w:w="105" w:type="dxa"/>
            </w:tcMar>
          </w:tcPr>
          <w:p w14:paraId="33C45FB9" w14:textId="79DA7AAE"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33D11227" w14:textId="48B151AE"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64E06BC2" w14:textId="0A6FCB01"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2175" w:type="dxa"/>
            <w:tcBorders>
              <w:top w:val="single" w:sz="4" w:space="0" w:color="auto"/>
              <w:left w:val="single" w:sz="4" w:space="0" w:color="auto"/>
              <w:bottom w:val="single" w:sz="4" w:space="0" w:color="auto"/>
              <w:right w:val="single" w:sz="4" w:space="0" w:color="auto"/>
            </w:tcBorders>
            <w:tcMar>
              <w:left w:w="105" w:type="dxa"/>
              <w:right w:w="105" w:type="dxa"/>
            </w:tcMar>
          </w:tcPr>
          <w:p w14:paraId="05A19A69" w14:textId="26EA9B75"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Sustained Competitive</w:t>
            </w:r>
          </w:p>
        </w:tc>
      </w:tr>
      <w:tr w:rsidR="24D98E9F" w14:paraId="2AB681E0" w14:textId="77777777" w:rsidTr="24D98E9F">
        <w:trPr>
          <w:trHeight w:val="300"/>
        </w:trPr>
        <w:tc>
          <w:tcPr>
            <w:tcW w:w="3150" w:type="dxa"/>
            <w:tcBorders>
              <w:top w:val="single" w:sz="4" w:space="0" w:color="auto"/>
              <w:left w:val="single" w:sz="4" w:space="0" w:color="auto"/>
              <w:bottom w:val="single" w:sz="4" w:space="0" w:color="auto"/>
              <w:right w:val="single" w:sz="4" w:space="0" w:color="auto"/>
            </w:tcBorders>
            <w:tcMar>
              <w:left w:w="105" w:type="dxa"/>
              <w:right w:w="105" w:type="dxa"/>
            </w:tcMar>
          </w:tcPr>
          <w:p w14:paraId="4ADAE375" w14:textId="4E642E25"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Experiential Retail Model</w:t>
            </w:r>
          </w:p>
        </w:tc>
        <w:tc>
          <w:tcPr>
            <w:tcW w:w="885" w:type="dxa"/>
            <w:tcBorders>
              <w:top w:val="single" w:sz="4" w:space="0" w:color="auto"/>
              <w:left w:val="single" w:sz="4" w:space="0" w:color="auto"/>
              <w:bottom w:val="single" w:sz="4" w:space="0" w:color="auto"/>
              <w:right w:val="single" w:sz="4" w:space="0" w:color="auto"/>
            </w:tcBorders>
            <w:tcMar>
              <w:left w:w="105" w:type="dxa"/>
              <w:right w:w="105" w:type="dxa"/>
            </w:tcMar>
          </w:tcPr>
          <w:p w14:paraId="0C07F4CE" w14:textId="2CEC1673"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915" w:type="dxa"/>
            <w:tcBorders>
              <w:top w:val="single" w:sz="4" w:space="0" w:color="auto"/>
              <w:left w:val="single" w:sz="4" w:space="0" w:color="auto"/>
              <w:bottom w:val="single" w:sz="4" w:space="0" w:color="auto"/>
              <w:right w:val="single" w:sz="4" w:space="0" w:color="auto"/>
            </w:tcBorders>
            <w:tcMar>
              <w:left w:w="105" w:type="dxa"/>
              <w:right w:w="105" w:type="dxa"/>
            </w:tcMar>
          </w:tcPr>
          <w:p w14:paraId="3621B6F2" w14:textId="49E44A51"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60B4B1A8" w14:textId="2A60F4B3"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Moderate</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1A0FF0E5" w14:textId="3B6CC14E"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2175" w:type="dxa"/>
            <w:tcBorders>
              <w:top w:val="single" w:sz="4" w:space="0" w:color="auto"/>
              <w:left w:val="single" w:sz="4" w:space="0" w:color="auto"/>
              <w:bottom w:val="single" w:sz="4" w:space="0" w:color="auto"/>
              <w:right w:val="single" w:sz="4" w:space="0" w:color="auto"/>
            </w:tcBorders>
            <w:tcMar>
              <w:left w:w="105" w:type="dxa"/>
              <w:right w:w="105" w:type="dxa"/>
            </w:tcMar>
          </w:tcPr>
          <w:p w14:paraId="2F79F2B5" w14:textId="39D023BF"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Temporary Advantage</w:t>
            </w:r>
          </w:p>
        </w:tc>
      </w:tr>
      <w:tr w:rsidR="24D98E9F" w14:paraId="394BA215" w14:textId="77777777" w:rsidTr="24D98E9F">
        <w:trPr>
          <w:trHeight w:val="300"/>
        </w:trPr>
        <w:tc>
          <w:tcPr>
            <w:tcW w:w="3150" w:type="dxa"/>
            <w:tcBorders>
              <w:top w:val="single" w:sz="4" w:space="0" w:color="auto"/>
              <w:left w:val="single" w:sz="4" w:space="0" w:color="auto"/>
              <w:bottom w:val="single" w:sz="4" w:space="0" w:color="auto"/>
              <w:right w:val="single" w:sz="4" w:space="0" w:color="auto"/>
            </w:tcBorders>
            <w:tcMar>
              <w:left w:w="105" w:type="dxa"/>
              <w:right w:w="105" w:type="dxa"/>
            </w:tcMar>
          </w:tcPr>
          <w:p w14:paraId="5B550874" w14:textId="703CA339"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AI &amp; AR Technology</w:t>
            </w:r>
          </w:p>
        </w:tc>
        <w:tc>
          <w:tcPr>
            <w:tcW w:w="885" w:type="dxa"/>
            <w:tcBorders>
              <w:top w:val="single" w:sz="4" w:space="0" w:color="auto"/>
              <w:left w:val="single" w:sz="4" w:space="0" w:color="auto"/>
              <w:bottom w:val="single" w:sz="4" w:space="0" w:color="auto"/>
              <w:right w:val="single" w:sz="4" w:space="0" w:color="auto"/>
            </w:tcBorders>
            <w:tcMar>
              <w:left w:w="105" w:type="dxa"/>
              <w:right w:w="105" w:type="dxa"/>
            </w:tcMar>
          </w:tcPr>
          <w:p w14:paraId="4B4E7456" w14:textId="55782512"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915" w:type="dxa"/>
            <w:tcBorders>
              <w:top w:val="single" w:sz="4" w:space="0" w:color="auto"/>
              <w:left w:val="single" w:sz="4" w:space="0" w:color="auto"/>
              <w:bottom w:val="single" w:sz="4" w:space="0" w:color="auto"/>
              <w:right w:val="single" w:sz="4" w:space="0" w:color="auto"/>
            </w:tcBorders>
            <w:tcMar>
              <w:left w:w="105" w:type="dxa"/>
              <w:right w:w="105" w:type="dxa"/>
            </w:tcMar>
          </w:tcPr>
          <w:p w14:paraId="044E7630" w14:textId="07F47715"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Moderate</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139B93B1" w14:textId="469F308A"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Moderate</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3F964220" w14:textId="5D54C03F"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2175" w:type="dxa"/>
            <w:tcBorders>
              <w:top w:val="single" w:sz="4" w:space="0" w:color="auto"/>
              <w:left w:val="single" w:sz="4" w:space="0" w:color="auto"/>
              <w:bottom w:val="single" w:sz="4" w:space="0" w:color="auto"/>
              <w:right w:val="single" w:sz="4" w:space="0" w:color="auto"/>
            </w:tcBorders>
            <w:tcMar>
              <w:left w:w="105" w:type="dxa"/>
              <w:right w:w="105" w:type="dxa"/>
            </w:tcMar>
          </w:tcPr>
          <w:p w14:paraId="4180A30D" w14:textId="562E6817"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Temporary Advantage</w:t>
            </w:r>
          </w:p>
        </w:tc>
      </w:tr>
      <w:tr w:rsidR="24D98E9F" w14:paraId="3167B1C4" w14:textId="77777777" w:rsidTr="24D98E9F">
        <w:trPr>
          <w:trHeight w:val="300"/>
        </w:trPr>
        <w:tc>
          <w:tcPr>
            <w:tcW w:w="3150" w:type="dxa"/>
            <w:tcBorders>
              <w:top w:val="single" w:sz="4" w:space="0" w:color="auto"/>
              <w:left w:val="single" w:sz="4" w:space="0" w:color="auto"/>
              <w:bottom w:val="single" w:sz="4" w:space="0" w:color="auto"/>
              <w:right w:val="single" w:sz="4" w:space="0" w:color="auto"/>
            </w:tcBorders>
            <w:tcMar>
              <w:left w:w="105" w:type="dxa"/>
              <w:right w:w="105" w:type="dxa"/>
            </w:tcMar>
          </w:tcPr>
          <w:p w14:paraId="1677D40F" w14:textId="49A4CB72"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FeelUnique E-commerce Base</w:t>
            </w:r>
          </w:p>
        </w:tc>
        <w:tc>
          <w:tcPr>
            <w:tcW w:w="885" w:type="dxa"/>
            <w:tcBorders>
              <w:top w:val="single" w:sz="4" w:space="0" w:color="auto"/>
              <w:left w:val="single" w:sz="4" w:space="0" w:color="auto"/>
              <w:bottom w:val="single" w:sz="4" w:space="0" w:color="auto"/>
              <w:right w:val="single" w:sz="4" w:space="0" w:color="auto"/>
            </w:tcBorders>
            <w:tcMar>
              <w:left w:w="105" w:type="dxa"/>
              <w:right w:w="105" w:type="dxa"/>
            </w:tcMar>
          </w:tcPr>
          <w:p w14:paraId="316D0D3D" w14:textId="54635352"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915" w:type="dxa"/>
            <w:tcBorders>
              <w:top w:val="single" w:sz="4" w:space="0" w:color="auto"/>
              <w:left w:val="single" w:sz="4" w:space="0" w:color="auto"/>
              <w:bottom w:val="single" w:sz="4" w:space="0" w:color="auto"/>
              <w:right w:val="single" w:sz="4" w:space="0" w:color="auto"/>
            </w:tcBorders>
            <w:tcMar>
              <w:left w:w="105" w:type="dxa"/>
              <w:right w:w="105" w:type="dxa"/>
            </w:tcMar>
          </w:tcPr>
          <w:p w14:paraId="756EBD87" w14:textId="467B2262"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No</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10C63C16" w14:textId="14532351"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No</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5766647D" w14:textId="6294AA07"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2175" w:type="dxa"/>
            <w:tcBorders>
              <w:top w:val="single" w:sz="4" w:space="0" w:color="auto"/>
              <w:left w:val="single" w:sz="4" w:space="0" w:color="auto"/>
              <w:bottom w:val="single" w:sz="4" w:space="0" w:color="auto"/>
              <w:right w:val="single" w:sz="4" w:space="0" w:color="auto"/>
            </w:tcBorders>
            <w:tcMar>
              <w:left w:w="105" w:type="dxa"/>
              <w:right w:w="105" w:type="dxa"/>
            </w:tcMar>
          </w:tcPr>
          <w:p w14:paraId="7F9787F9" w14:textId="3219BAEA"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Competitive Parity</w:t>
            </w:r>
          </w:p>
        </w:tc>
      </w:tr>
      <w:tr w:rsidR="24D98E9F" w14:paraId="632DF3E6" w14:textId="77777777" w:rsidTr="24D98E9F">
        <w:trPr>
          <w:trHeight w:val="300"/>
        </w:trPr>
        <w:tc>
          <w:tcPr>
            <w:tcW w:w="3150" w:type="dxa"/>
            <w:tcBorders>
              <w:top w:val="single" w:sz="4" w:space="0" w:color="auto"/>
              <w:left w:val="single" w:sz="4" w:space="0" w:color="auto"/>
              <w:bottom w:val="single" w:sz="4" w:space="0" w:color="auto"/>
              <w:right w:val="single" w:sz="4" w:space="0" w:color="auto"/>
            </w:tcBorders>
            <w:tcMar>
              <w:left w:w="105" w:type="dxa"/>
              <w:right w:w="105" w:type="dxa"/>
            </w:tcMar>
          </w:tcPr>
          <w:p w14:paraId="1A076A87" w14:textId="1C4088EF"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Beauty Pass Loyalty Programme</w:t>
            </w:r>
          </w:p>
        </w:tc>
        <w:tc>
          <w:tcPr>
            <w:tcW w:w="885" w:type="dxa"/>
            <w:tcBorders>
              <w:top w:val="single" w:sz="4" w:space="0" w:color="auto"/>
              <w:left w:val="single" w:sz="4" w:space="0" w:color="auto"/>
              <w:bottom w:val="single" w:sz="4" w:space="0" w:color="auto"/>
              <w:right w:val="single" w:sz="4" w:space="0" w:color="auto"/>
            </w:tcBorders>
            <w:tcMar>
              <w:left w:w="105" w:type="dxa"/>
              <w:right w:w="105" w:type="dxa"/>
            </w:tcMar>
          </w:tcPr>
          <w:p w14:paraId="3865B9A7" w14:textId="4106DE9E"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915" w:type="dxa"/>
            <w:tcBorders>
              <w:top w:val="single" w:sz="4" w:space="0" w:color="auto"/>
              <w:left w:val="single" w:sz="4" w:space="0" w:color="auto"/>
              <w:bottom w:val="single" w:sz="4" w:space="0" w:color="auto"/>
              <w:right w:val="single" w:sz="4" w:space="0" w:color="auto"/>
            </w:tcBorders>
            <w:tcMar>
              <w:left w:w="105" w:type="dxa"/>
              <w:right w:w="105" w:type="dxa"/>
            </w:tcMar>
          </w:tcPr>
          <w:p w14:paraId="35E9E8DC" w14:textId="61AF3902"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No</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153EB20B" w14:textId="00030805"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No</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09337D49" w14:textId="21005A78"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2175" w:type="dxa"/>
            <w:tcBorders>
              <w:top w:val="single" w:sz="4" w:space="0" w:color="auto"/>
              <w:left w:val="single" w:sz="4" w:space="0" w:color="auto"/>
              <w:bottom w:val="single" w:sz="4" w:space="0" w:color="auto"/>
              <w:right w:val="single" w:sz="4" w:space="0" w:color="auto"/>
            </w:tcBorders>
            <w:tcMar>
              <w:left w:w="105" w:type="dxa"/>
              <w:right w:w="105" w:type="dxa"/>
            </w:tcMar>
          </w:tcPr>
          <w:p w14:paraId="780033C2" w14:textId="040AE0EB"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Competitive Parity</w:t>
            </w:r>
          </w:p>
        </w:tc>
      </w:tr>
      <w:tr w:rsidR="24D98E9F" w14:paraId="4E6B0B33" w14:textId="77777777" w:rsidTr="24D98E9F">
        <w:trPr>
          <w:trHeight w:val="300"/>
        </w:trPr>
        <w:tc>
          <w:tcPr>
            <w:tcW w:w="3150" w:type="dxa"/>
            <w:tcBorders>
              <w:top w:val="single" w:sz="4" w:space="0" w:color="auto"/>
              <w:left w:val="single" w:sz="4" w:space="0" w:color="auto"/>
              <w:bottom w:val="single" w:sz="4" w:space="0" w:color="auto"/>
              <w:right w:val="single" w:sz="4" w:space="0" w:color="auto"/>
            </w:tcBorders>
            <w:tcMar>
              <w:left w:w="105" w:type="dxa"/>
              <w:right w:w="105" w:type="dxa"/>
            </w:tcMar>
          </w:tcPr>
          <w:p w14:paraId="773B172A" w14:textId="4D9561B1"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UK Flagship Store Locations</w:t>
            </w:r>
          </w:p>
        </w:tc>
        <w:tc>
          <w:tcPr>
            <w:tcW w:w="885" w:type="dxa"/>
            <w:tcBorders>
              <w:top w:val="single" w:sz="4" w:space="0" w:color="auto"/>
              <w:left w:val="single" w:sz="4" w:space="0" w:color="auto"/>
              <w:bottom w:val="single" w:sz="4" w:space="0" w:color="auto"/>
              <w:right w:val="single" w:sz="4" w:space="0" w:color="auto"/>
            </w:tcBorders>
            <w:tcMar>
              <w:left w:w="105" w:type="dxa"/>
              <w:right w:w="105" w:type="dxa"/>
            </w:tcMar>
          </w:tcPr>
          <w:p w14:paraId="212CD7EC" w14:textId="647F432E"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915" w:type="dxa"/>
            <w:tcBorders>
              <w:top w:val="single" w:sz="4" w:space="0" w:color="auto"/>
              <w:left w:val="single" w:sz="4" w:space="0" w:color="auto"/>
              <w:bottom w:val="single" w:sz="4" w:space="0" w:color="auto"/>
              <w:right w:val="single" w:sz="4" w:space="0" w:color="auto"/>
            </w:tcBorders>
            <w:tcMar>
              <w:left w:w="105" w:type="dxa"/>
              <w:right w:w="105" w:type="dxa"/>
            </w:tcMar>
          </w:tcPr>
          <w:p w14:paraId="079B4B9D" w14:textId="472A8B0F"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24303F6F" w14:textId="415AF0CE"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No</w:t>
            </w:r>
          </w:p>
        </w:tc>
        <w:tc>
          <w:tcPr>
            <w:tcW w:w="1065" w:type="dxa"/>
            <w:tcBorders>
              <w:top w:val="single" w:sz="4" w:space="0" w:color="auto"/>
              <w:left w:val="single" w:sz="4" w:space="0" w:color="auto"/>
              <w:bottom w:val="single" w:sz="4" w:space="0" w:color="auto"/>
              <w:right w:val="single" w:sz="4" w:space="0" w:color="auto"/>
            </w:tcBorders>
            <w:tcMar>
              <w:left w:w="105" w:type="dxa"/>
              <w:right w:w="105" w:type="dxa"/>
            </w:tcMar>
          </w:tcPr>
          <w:p w14:paraId="3E4F6387" w14:textId="1CD72646"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Yes</w:t>
            </w:r>
          </w:p>
        </w:tc>
        <w:tc>
          <w:tcPr>
            <w:tcW w:w="2175" w:type="dxa"/>
            <w:tcBorders>
              <w:top w:val="single" w:sz="4" w:space="0" w:color="auto"/>
              <w:left w:val="single" w:sz="4" w:space="0" w:color="auto"/>
              <w:bottom w:val="single" w:sz="4" w:space="0" w:color="auto"/>
              <w:right w:val="single" w:sz="4" w:space="0" w:color="auto"/>
            </w:tcBorders>
            <w:tcMar>
              <w:left w:w="105" w:type="dxa"/>
              <w:right w:w="105" w:type="dxa"/>
            </w:tcMar>
          </w:tcPr>
          <w:p w14:paraId="0ACFEE3C" w14:textId="5AF8C16A" w:rsidR="24D98E9F" w:rsidRDefault="24D98E9F" w:rsidP="24D98E9F">
            <w:pPr>
              <w:jc w:val="both"/>
              <w:rPr>
                <w:rFonts w:ascii="Times New Roman" w:eastAsia="Times New Roman" w:hAnsi="Times New Roman" w:cs="Times New Roman"/>
              </w:rPr>
            </w:pPr>
            <w:r w:rsidRPr="24D98E9F">
              <w:rPr>
                <w:rFonts w:ascii="Times New Roman" w:eastAsia="Times New Roman" w:hAnsi="Times New Roman" w:cs="Times New Roman"/>
              </w:rPr>
              <w:t>Temporary Advantage</w:t>
            </w:r>
          </w:p>
        </w:tc>
      </w:tr>
    </w:tbl>
    <w:p w14:paraId="4373424D" w14:textId="5D5693E8"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Source: (Own Illustration)</w:t>
      </w:r>
    </w:p>
    <w:p w14:paraId="512AEB4C" w14:textId="7655C9F1"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Sephora’s resources and capabilities vary in the advantages they deliver. Its partnerships with LVMH brands represent the most valuable, rare, and inimitable assets, as they come from ownership‑based relationships that competitors cannot replicate. This exclusivity provides Sephora with a sustained competitive advantage and supports long‑term differentiation within the UK market.</w:t>
      </w:r>
    </w:p>
    <w:p w14:paraId="163C6DBF" w14:textId="690F6419"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While Sephora’s experiential store format and flagship locations offer distinctive value, these advantages can become short‑lived. Elements such as open‑sell layouts, digital mirrors, and prime retail sites can be replicated by competitors with sufficient investment. For Sephora, this shows the need to sustain differentiation through continuous innovation in the customer experience.</w:t>
      </w:r>
    </w:p>
    <w:p w14:paraId="32E2C732" w14:textId="3DC682F6"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AI and AR technologies bring about greater personalisation and integration of the omnichannel, although they are becoming more ubiquitous and copyable (Georgievskaya</w:t>
      </w:r>
      <w:r w:rsidRPr="24D98E9F">
        <w:rPr>
          <w:rFonts w:ascii="Times New Roman" w:eastAsia="Times New Roman" w:hAnsi="Times New Roman" w:cs="Times New Roman"/>
          <w:i/>
          <w:iCs/>
          <w:color w:val="000000" w:themeColor="text1"/>
        </w:rPr>
        <w:t xml:space="preserve"> et al.</w:t>
      </w:r>
      <w:r w:rsidRPr="24D98E9F">
        <w:rPr>
          <w:rFonts w:ascii="Times New Roman" w:eastAsia="Times New Roman" w:hAnsi="Times New Roman" w:cs="Times New Roman"/>
          <w:color w:val="000000" w:themeColor="text1"/>
        </w:rPr>
        <w:t>, 2023). Such tools can only bring a short-term benefit, and Sephora must be more creative with them than its competitors.</w:t>
      </w:r>
    </w:p>
    <w:p w14:paraId="5770BDD0" w14:textId="4E390B1F"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base of the FeelUnique e commerce and Beauty Pass loyalty programme provides competitiveness; however, these are not unique or distinctive and can easily be imitated because there are other platforms and plans within the industry. Tactically, Sephora will have to use the data of these systems as a power to enhance personalisation and retention.</w:t>
      </w:r>
    </w:p>
    <w:p w14:paraId="5240DDB5" w14:textId="0FB0261A" w:rsidR="344BA109" w:rsidRDefault="344BA109" w:rsidP="24D98E9F">
      <w:pPr>
        <w:pStyle w:val="Heading2"/>
        <w:jc w:val="both"/>
        <w:rPr>
          <w:rFonts w:ascii="Aptos Display" w:eastAsia="Aptos Display" w:hAnsi="Aptos Display" w:cs="Aptos Display"/>
        </w:rPr>
      </w:pPr>
      <w:bookmarkStart w:id="14" w:name="_Toc1109786156"/>
      <w:r w:rsidRPr="24D98E9F">
        <w:rPr>
          <w:rFonts w:ascii="Aptos Display" w:eastAsia="Aptos Display" w:hAnsi="Aptos Display" w:cs="Aptos Display"/>
        </w:rPr>
        <w:lastRenderedPageBreak/>
        <w:t>3.3 Strengths, Weaknesses and Competitive Advantage</w:t>
      </w:r>
      <w:bookmarkEnd w:id="14"/>
    </w:p>
    <w:p w14:paraId="6857F369" w14:textId="662486E1"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strengths of Sephora are its brand equity on the global scale, exclusive access to products, as well as sophisticated digital infrastructure. These allow it to provide differentiated customer experience and price power in the high-end segment. It has strong financial resources which are supported by LVMH EUR86.2 billion revenue in 2023 enabling it to aggressively expand and innovate (LVMH, 2025).</w:t>
      </w:r>
    </w:p>
    <w:p w14:paraId="0E79527F" w14:textId="18346D61"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But Sephora also has some weaknesses. Its high prices may not appeal to budget‑conscious UK shoppers, especially during a recession. It also had very few physical stores, only two in the UK up until 2025, even then these were only in London so not many people could access it easily.</w:t>
      </w:r>
    </w:p>
    <w:p w14:paraId="37B6BE87" w14:textId="75850521" w:rsidR="344BA109" w:rsidRDefault="344BA109"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As a subsidiary of LVMH, the company benefits from exceptional financial resources and exclusive relationships with luxury brands such as Dior and Givenchy, which can be extremely difficult for competitors to replicate. Its retail model, featuring personalised consultations, and interactive digital tools, further differentiates Sephora from retailers like Boots and Superdrug. In addition, AI‑driven recommendations and AR try‑on technologies enhance the customer experience (Morden, 2016).</w:t>
      </w:r>
    </w:p>
    <w:p w14:paraId="7820D3B1" w14:textId="75A25F12" w:rsidR="24D98E9F" w:rsidRDefault="24D98E9F" w:rsidP="24D98E9F">
      <w:pPr>
        <w:jc w:val="both"/>
        <w:rPr>
          <w:rFonts w:ascii="Times New Roman" w:eastAsia="Times New Roman" w:hAnsi="Times New Roman" w:cs="Times New Roman"/>
          <w:color w:val="000000" w:themeColor="text1"/>
        </w:rPr>
      </w:pPr>
    </w:p>
    <w:p w14:paraId="04EA560D" w14:textId="093CD7F8" w:rsidR="24D98E9F" w:rsidRDefault="24D98E9F" w:rsidP="24D98E9F">
      <w:pPr>
        <w:jc w:val="both"/>
        <w:rPr>
          <w:rFonts w:ascii="Times New Roman" w:eastAsia="Times New Roman" w:hAnsi="Times New Roman" w:cs="Times New Roman"/>
          <w:color w:val="000000" w:themeColor="text1"/>
        </w:rPr>
      </w:pPr>
    </w:p>
    <w:p w14:paraId="68073692" w14:textId="6A362974" w:rsidR="24D98E9F" w:rsidRDefault="24D98E9F" w:rsidP="24D98E9F">
      <w:pPr>
        <w:jc w:val="both"/>
      </w:pPr>
      <w:r>
        <w:br w:type="page"/>
      </w:r>
    </w:p>
    <w:p w14:paraId="14B131AC" w14:textId="3D857F81" w:rsidR="4665A1B7" w:rsidRDefault="4665A1B7" w:rsidP="24D98E9F">
      <w:pPr>
        <w:pStyle w:val="Heading1"/>
        <w:jc w:val="both"/>
        <w:rPr>
          <w:rFonts w:ascii="Aptos Display" w:eastAsia="Aptos Display" w:hAnsi="Aptos Display" w:cs="Aptos Display"/>
        </w:rPr>
      </w:pPr>
      <w:bookmarkStart w:id="15" w:name="_Toc692127042"/>
      <w:r w:rsidRPr="24D98E9F">
        <w:rPr>
          <w:rFonts w:ascii="Aptos Display" w:eastAsia="Aptos Display" w:hAnsi="Aptos Display" w:cs="Aptos Display"/>
        </w:rPr>
        <w:lastRenderedPageBreak/>
        <w:t>Section 4: Strategy &amp; Competitive Position</w:t>
      </w:r>
      <w:bookmarkEnd w:id="15"/>
      <w:r w:rsidRPr="24D98E9F">
        <w:rPr>
          <w:rFonts w:ascii="Aptos Display" w:eastAsia="Aptos Display" w:hAnsi="Aptos Display" w:cs="Aptos Display"/>
        </w:rPr>
        <w:t xml:space="preserve"> </w:t>
      </w:r>
    </w:p>
    <w:p w14:paraId="30B01EFD" w14:textId="3EBE061E"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The current Sephora UK strategy could be characterised as a differentiation strategy, where exclusivity, experience retailing, and digital innovation are used to compete with the mass-market competitors. </w:t>
      </w:r>
    </w:p>
    <w:p w14:paraId="7B9ABECA" w14:textId="331CA749" w:rsidR="4665A1B7" w:rsidRDefault="4665A1B7" w:rsidP="24D98E9F">
      <w:pPr>
        <w:pStyle w:val="Heading2"/>
        <w:jc w:val="both"/>
        <w:rPr>
          <w:rFonts w:ascii="Aptos Display" w:eastAsia="Aptos Display" w:hAnsi="Aptos Display" w:cs="Aptos Display"/>
        </w:rPr>
      </w:pPr>
      <w:bookmarkStart w:id="16" w:name="_Toc1507191718"/>
      <w:r w:rsidRPr="24D98E9F">
        <w:rPr>
          <w:rFonts w:ascii="Aptos Display" w:eastAsia="Aptos Display" w:hAnsi="Aptos Display" w:cs="Aptos Display"/>
        </w:rPr>
        <w:t>4.1 Current Strategy</w:t>
      </w:r>
      <w:bookmarkEnd w:id="16"/>
    </w:p>
    <w:p w14:paraId="7D74C604" w14:textId="092003AA"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in the UK does not have a cost leadership strategy but a differentiation strategy. Sephora competes by offering brands you can’t get elsewhere, creating fun and interactive stores, using advanced digital tools, and staying ahead of beauty trends. Competitive strategy literature highlights a need to differentiate to maintain margins in competitive industries and Sephora has been doing so through prioritising inclusivity, sustainability, and digital innovation over price competition (D</w:t>
      </w:r>
      <w:r w:rsidR="2F5BCF98" w:rsidRPr="24D98E9F">
        <w:rPr>
          <w:rFonts w:ascii="Times New Roman" w:eastAsia="Times New Roman" w:hAnsi="Times New Roman" w:cs="Times New Roman"/>
          <w:color w:val="000000" w:themeColor="text1"/>
        </w:rPr>
        <w:t xml:space="preserve">ata </w:t>
      </w:r>
      <w:r w:rsidRPr="24D98E9F">
        <w:rPr>
          <w:rFonts w:ascii="Times New Roman" w:eastAsia="Times New Roman" w:hAnsi="Times New Roman" w:cs="Times New Roman"/>
          <w:color w:val="000000" w:themeColor="text1"/>
        </w:rPr>
        <w:t>Insight Market, 2025).</w:t>
      </w:r>
    </w:p>
    <w:p w14:paraId="38D78A7D" w14:textId="32D2E7A6"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Although the majority aspect is differentiation, Sephora has hybrid elements. Sephora benefits from global supply‑chain scale and a wide price range across product categories, allowing it to remain competitive without relying solely on premium pricing. This blend of uniqueness and efficiency enables Sephora to maintain a strong competitive position in the UK beauty market (</w:t>
      </w:r>
      <w:r w:rsidR="59919C4B" w:rsidRPr="24D98E9F">
        <w:rPr>
          <w:rFonts w:ascii="Times New Roman" w:eastAsia="Times New Roman" w:hAnsi="Times New Roman" w:cs="Times New Roman"/>
          <w:color w:val="000000" w:themeColor="text1"/>
        </w:rPr>
        <w:t xml:space="preserve">Whittington </w:t>
      </w:r>
      <w:r w:rsidRPr="24D98E9F">
        <w:rPr>
          <w:rFonts w:ascii="Times New Roman" w:eastAsia="Times New Roman" w:hAnsi="Times New Roman" w:cs="Times New Roman"/>
          <w:i/>
          <w:iCs/>
          <w:color w:val="000000" w:themeColor="text1"/>
        </w:rPr>
        <w:t>et al</w:t>
      </w:r>
      <w:r w:rsidRPr="24D98E9F">
        <w:rPr>
          <w:rFonts w:ascii="Times New Roman" w:eastAsia="Times New Roman" w:hAnsi="Times New Roman" w:cs="Times New Roman"/>
          <w:color w:val="000000" w:themeColor="text1"/>
        </w:rPr>
        <w:t>., 2020). It has an aspirational customer base with its Beauty Pass loyalty programme and affordable assortments (e.g., Sephora Collection), which strike a balance between prestige and affordability. This mixed position enables Sephora to fulfil both the luxury and the mid-market segments and reduce the risks of exclusivity pushing price-sensitive consumers away.</w:t>
      </w:r>
    </w:p>
    <w:p w14:paraId="43BC4CF3" w14:textId="20B0D4EB" w:rsidR="4665A1B7" w:rsidRDefault="4665A1B7" w:rsidP="24D98E9F">
      <w:pPr>
        <w:pStyle w:val="Heading2"/>
        <w:jc w:val="both"/>
        <w:rPr>
          <w:rFonts w:ascii="Aptos Display" w:eastAsia="Aptos Display" w:hAnsi="Aptos Display" w:cs="Aptos Display"/>
        </w:rPr>
      </w:pPr>
      <w:bookmarkStart w:id="17" w:name="_Toc2038608434"/>
      <w:r w:rsidRPr="24D98E9F">
        <w:rPr>
          <w:rFonts w:ascii="Aptos Display" w:eastAsia="Aptos Display" w:hAnsi="Aptos Display" w:cs="Aptos Display"/>
        </w:rPr>
        <w:t>4.2 Competitive Position</w:t>
      </w:r>
      <w:bookmarkEnd w:id="17"/>
    </w:p>
    <w:p w14:paraId="643BD62E" w14:textId="1F400466"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re‑entered the market in 2022 through its acquisition of FeelUnique, giving it a strong online platform; however, its physical presence remained limited, with only flagship stores in London and Birmingham and a Liverpool opening that was planned for 2025. Boots and Superdrug dominated the mass‑market segment, while Selfridges and Harrods lead in luxury beauty. Sephora’s rising market share over 80% of which is driven by brand loyalty and strong online penetration reflects its growing influence in the UK beauty landscape (Social Plus, 2026).</w:t>
      </w:r>
    </w:p>
    <w:p w14:paraId="6ED99994" w14:textId="05D55A93"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Boots and Superdrug reign through their price-friendly and large store chains, attracting price-conscious customers. Online stores, such as Cult Beauty and Look Fantastic, are digital-only competitors that have solid e-commerce within their models. Space NK is also a major </w:t>
      </w:r>
      <w:r w:rsidRPr="24D98E9F">
        <w:rPr>
          <w:rFonts w:ascii="Times New Roman" w:eastAsia="Times New Roman" w:hAnsi="Times New Roman" w:cs="Times New Roman"/>
          <w:color w:val="000000" w:themeColor="text1"/>
        </w:rPr>
        <w:lastRenderedPageBreak/>
        <w:t>competitor to Sephora in the UK prestige beauty market. It competes directly through its curated selection of luxury skincare, makeup, and fragrance brands, many of which overlap with Sephora’s products. Space NK ranks among the top beauty and cosmetics retailers in the UK, with high audience overlap and strong category performance, making it one of Sephora’s closest competitors (Similarweb, 2025).</w:t>
      </w:r>
    </w:p>
    <w:p w14:paraId="2D4D10E0" w14:textId="1FFA3705"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strengths of Sephora are exclusivity to products, global brand recognition and sophisticated digital platform (Sephora, 2025). These strengths allow Sephora to differentiate itself in the highly competitive beauty market. However, the brand also faces challenges such as being seen as too expensive and relying heavily on third‑party brands. These weaknesses can limit its appeal among price‑sensitive consumers and create vulnerabilities in periods of economic uncertainty (Latterly, 2025). Providers that have more extensive access can also take over the bigger market share even though Sephora has the prestige positioning (</w:t>
      </w:r>
      <w:r w:rsidR="2A29586C" w:rsidRPr="24D98E9F">
        <w:rPr>
          <w:rFonts w:ascii="Times New Roman" w:eastAsia="Times New Roman" w:hAnsi="Times New Roman" w:cs="Times New Roman"/>
          <w:color w:val="000000" w:themeColor="text1"/>
        </w:rPr>
        <w:t>Liddell Hart</w:t>
      </w:r>
      <w:r w:rsidRPr="24D98E9F">
        <w:rPr>
          <w:rFonts w:ascii="Times New Roman" w:eastAsia="Times New Roman" w:hAnsi="Times New Roman" w:cs="Times New Roman"/>
          <w:color w:val="000000" w:themeColor="text1"/>
        </w:rPr>
        <w:t>, 2012).</w:t>
      </w:r>
    </w:p>
    <w:p w14:paraId="76D40044" w14:textId="5F01BD19" w:rsidR="4665A1B7" w:rsidRDefault="4665A1B7" w:rsidP="24D98E9F">
      <w:pPr>
        <w:pStyle w:val="Heading2"/>
        <w:jc w:val="both"/>
        <w:rPr>
          <w:rFonts w:ascii="Aptos Display" w:eastAsia="Aptos Display" w:hAnsi="Aptos Display" w:cs="Aptos Display"/>
        </w:rPr>
      </w:pPr>
      <w:bookmarkStart w:id="18" w:name="_Toc1172871474"/>
      <w:r w:rsidRPr="24D98E9F">
        <w:rPr>
          <w:rFonts w:ascii="Aptos Display" w:eastAsia="Aptos Display" w:hAnsi="Aptos Display" w:cs="Aptos Display"/>
        </w:rPr>
        <w:t>4.3 Strategic Alignment or Drift</w:t>
      </w:r>
      <w:bookmarkEnd w:id="18"/>
    </w:p>
    <w:p w14:paraId="6E6EF068" w14:textId="7E03FA0C" w:rsidR="4665A1B7" w:rsidRDefault="4665A1B7" w:rsidP="24D98E9F">
      <w:pPr>
        <w:jc w:val="both"/>
      </w:pPr>
      <w:r w:rsidRPr="24D98E9F">
        <w:rPr>
          <w:rFonts w:ascii="Times New Roman" w:eastAsia="Times New Roman" w:hAnsi="Times New Roman" w:cs="Times New Roman"/>
          <w:color w:val="000000" w:themeColor="text1"/>
        </w:rPr>
        <w:t>Sephora’s strategy fits well with the current beauty retail environment, where consumers are increasingly drawn to prestige products, in‑store experiences, and digital shopping tools. Its strong resources, solid financial support, and advanced omnichannel systems reinforce this direction and help it stand out in the UK market. Strategic drift is a consequence of strategy being unable to adapt to the change of environment (Morden, 2016). However, its small physical store network and reliance on a premium image in a price‑sensitive economy could lead to early strategic drift, especially as competitors with more stores and wider price ranges may be better aligned with changing consumer expectations. These factors suggest that while Sephora’s strategy is largely coherent, continued adaptation will be necessary to avoid misalignment with market conditions (Mintel, 2024)</w:t>
      </w:r>
    </w:p>
    <w:p w14:paraId="6A36296B" w14:textId="38CC9804" w:rsidR="4665A1B7" w:rsidRDefault="4665A1B7" w:rsidP="24D98E9F">
      <w:pPr>
        <w:pStyle w:val="Heading2"/>
        <w:jc w:val="both"/>
        <w:rPr>
          <w:rFonts w:ascii="Aptos Display" w:eastAsia="Aptos Display" w:hAnsi="Aptos Display" w:cs="Aptos Display"/>
        </w:rPr>
      </w:pPr>
      <w:bookmarkStart w:id="19" w:name="_Toc2048865030"/>
      <w:r w:rsidRPr="24D98E9F">
        <w:rPr>
          <w:rFonts w:ascii="Aptos Display" w:eastAsia="Aptos Display" w:hAnsi="Aptos Display" w:cs="Aptos Display"/>
        </w:rPr>
        <w:t>4.4 Risks and Limitations</w:t>
      </w:r>
      <w:bookmarkEnd w:id="19"/>
    </w:p>
    <w:p w14:paraId="7DF0C513" w14:textId="6E4F9E11"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Although Sephora’s strategy in the UK is ambitious and well positioned within the high‑end beauty segment, it faces several strategic risks that could weaken its competitive advantage. The ongoing cost of living crisis has shifted consumer priorities, and while prestige beauty often benefits from the “lipstick effect,” prolonged economic pressure may reduce demand for luxury skincare and premium beauty products (Pitt, 2022). The company risks over‑reliance on the prestige segment, leaving it exposed if demand shifts further toward mid-market or affordable beauty. Rapid technological disruption poses further challenges. The beauty retail </w:t>
      </w:r>
      <w:r w:rsidRPr="24D98E9F">
        <w:rPr>
          <w:rFonts w:ascii="Times New Roman" w:eastAsia="Times New Roman" w:hAnsi="Times New Roman" w:cs="Times New Roman"/>
          <w:color w:val="000000" w:themeColor="text1"/>
        </w:rPr>
        <w:lastRenderedPageBreak/>
        <w:t>sector is becoming increasingly digitalised, with AI‑driven personalisation, virtual consultations, and social commerce emerging as industry standards, meaning although Sephora invests heavily in digital innovation they must continue to innovate to avoid falling behind. Additionally, Sephora’s strategy also shows weaknesses in its limited physical footprint, which restricts accessibility compared to competitors with nationwide coverage.</w:t>
      </w:r>
    </w:p>
    <w:p w14:paraId="10F8F3D7" w14:textId="31452694" w:rsidR="4665A1B7" w:rsidRDefault="4665A1B7"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UK is rapidly expanding its physical presence, outlining an ambitious plan to establish 20 stores across the country by the end of 2026 (Ashfaq, 2025). While its current locations in London, Birmingham, and Liverpool reflect a metropolitan focus, this approach leaves major regional markets such as Glasgow and Leeds underserved (Gov.UK, 2022). Such a city‑centric model may limit national reach and slow broader market penetration. Additionally, Sephora’s emphasis on exclusivity central to its brand identity risks alienating mainstream consumers who prioritise affordability and convenience. To avoid strategic blind spots, Sephora must strike a balance between maintaining its prestige positioning and ensuring greater accessibility and inclusivity across the UK.</w:t>
      </w:r>
    </w:p>
    <w:p w14:paraId="4E6F7AC1" w14:textId="0D1AC916" w:rsidR="24D98E9F" w:rsidRDefault="24D98E9F" w:rsidP="24D98E9F">
      <w:pPr>
        <w:jc w:val="both"/>
        <w:rPr>
          <w:rFonts w:ascii="Times New Roman" w:eastAsia="Times New Roman" w:hAnsi="Times New Roman" w:cs="Times New Roman"/>
          <w:color w:val="000000" w:themeColor="text1"/>
        </w:rPr>
      </w:pPr>
    </w:p>
    <w:p w14:paraId="3DD36FB2" w14:textId="7725EF2D" w:rsidR="24D98E9F" w:rsidRDefault="24D98E9F" w:rsidP="24D98E9F">
      <w:pPr>
        <w:jc w:val="both"/>
      </w:pPr>
      <w:r>
        <w:br w:type="page"/>
      </w:r>
    </w:p>
    <w:p w14:paraId="60F6371A" w14:textId="7582E4F0" w:rsidR="636C5C34" w:rsidRDefault="636C5C34" w:rsidP="24D98E9F">
      <w:pPr>
        <w:pStyle w:val="Heading1"/>
        <w:jc w:val="both"/>
        <w:rPr>
          <w:rFonts w:ascii="Aptos Display" w:eastAsia="Aptos Display" w:hAnsi="Aptos Display" w:cs="Aptos Display"/>
        </w:rPr>
      </w:pPr>
      <w:bookmarkStart w:id="20" w:name="_Toc1869457826"/>
      <w:r w:rsidRPr="24D98E9F">
        <w:rPr>
          <w:rFonts w:ascii="Aptos Display" w:eastAsia="Aptos Display" w:hAnsi="Aptos Display" w:cs="Aptos Display"/>
        </w:rPr>
        <w:lastRenderedPageBreak/>
        <w:t>5: Future Strategic Direction</w:t>
      </w:r>
      <w:bookmarkEnd w:id="20"/>
    </w:p>
    <w:p w14:paraId="5A3794F1" w14:textId="18138397" w:rsidR="636C5C34" w:rsidRDefault="636C5C34" w:rsidP="24D98E9F">
      <w:pPr>
        <w:pStyle w:val="Heading2"/>
        <w:jc w:val="both"/>
        <w:rPr>
          <w:rFonts w:ascii="Aptos Display" w:eastAsia="Aptos Display" w:hAnsi="Aptos Display" w:cs="Aptos Display"/>
        </w:rPr>
      </w:pPr>
      <w:bookmarkStart w:id="21" w:name="_Toc746455311"/>
      <w:r w:rsidRPr="24D98E9F">
        <w:rPr>
          <w:rFonts w:ascii="Aptos Display" w:eastAsia="Aptos Display" w:hAnsi="Aptos Display" w:cs="Aptos Display"/>
        </w:rPr>
        <w:t>5.1 Vision, Mission and Values</w:t>
      </w:r>
      <w:bookmarkEnd w:id="21"/>
    </w:p>
    <w:p w14:paraId="3BF3ACE1" w14:textId="56D0CA62"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Sephora’s vision is for a world where beauty is inclusive, diverse, and celebrated by all. It is a world where people are connected by a common passion for beauty. The mission of Sephora is to champion a world of inspiration and inclusion by connecting people with the world of beauty brands by providing immersive and personalized experiences across its omnichannel network (Sephora USA, 2026). Sephora’s vision, mission, and values present a meaningful strategic foundation, but they also reveal areas that require sharper alignment with the realities of the UK market. The brand’s vision of leading global prestige beauty through innovation and inclusivity is compelling, yet its execution sometimes leans more heavily toward exclusivity than accessibility, creating a gap between ambition and actual market reach. Its mission to support self‑expression through premium, personalised beauty experiences is backed by strong digital tools, but its small number of UK stores makes it difficult to fully deliver on this promise. Sephora’s values - creativity, diversity, and putting customers first are strong advantages in a market that increasingly expects personalised and culturally relevant beauty experiences. However, staying true to these values as the company grows will require ongoing investment in better technology, skilled staff, and stronger community focused initiatives. Overall, Sephora’s strategy is strong, but the real challenge is making sure its day-to-day decisions truly match the inclusive and innovative image it promotes.</w:t>
      </w:r>
    </w:p>
    <w:p w14:paraId="3F01A38C" w14:textId="1B08097B" w:rsidR="636C5C34" w:rsidRDefault="636C5C34" w:rsidP="24D98E9F">
      <w:pPr>
        <w:pStyle w:val="Heading2"/>
        <w:jc w:val="both"/>
        <w:rPr>
          <w:rFonts w:ascii="Aptos Display" w:eastAsia="Aptos Display" w:hAnsi="Aptos Display" w:cs="Aptos Display"/>
        </w:rPr>
      </w:pPr>
      <w:bookmarkStart w:id="22" w:name="_Toc1267447696"/>
      <w:r w:rsidRPr="24D98E9F">
        <w:rPr>
          <w:rFonts w:ascii="Aptos Display" w:eastAsia="Aptos Display" w:hAnsi="Aptos Display" w:cs="Aptos Display"/>
        </w:rPr>
        <w:t>5.2 Strategic Risks</w:t>
      </w:r>
      <w:bookmarkEnd w:id="22"/>
    </w:p>
    <w:p w14:paraId="78717944" w14:textId="2F73E2A3"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Sephora has threats that may derail its strategic direction, despite its strengths. Economic volatility is also a threat to its premium positioning, in which inflation and less discretionary spending could restrict the demand of luxury products (Morgan, 2023). Rivalry among Boots, Superdrug and online stores like Cult Beauty increases the necessity of differentiation. Another threat is the technological upheaval since AI, AR, and social commerce are advancing rather fast and may surpass what Sephora can do at this moment. Together, these issues show that Sephora’s big goals may not fully match what it can deliver in practice, especially given its limited reach, the unstable economy, and fast‑changing technology in the beauty industry.</w:t>
      </w:r>
    </w:p>
    <w:p w14:paraId="3CF3CE01" w14:textId="0F7114D7" w:rsidR="636C5C34" w:rsidRDefault="636C5C34" w:rsidP="24D98E9F">
      <w:pPr>
        <w:pStyle w:val="Heading2"/>
        <w:jc w:val="both"/>
        <w:rPr>
          <w:rFonts w:ascii="Aptos Display" w:eastAsia="Aptos Display" w:hAnsi="Aptos Display" w:cs="Aptos Display"/>
        </w:rPr>
      </w:pPr>
      <w:bookmarkStart w:id="23" w:name="_Toc465097416"/>
      <w:r w:rsidRPr="24D98E9F">
        <w:rPr>
          <w:rFonts w:ascii="Aptos Display" w:eastAsia="Aptos Display" w:hAnsi="Aptos Display" w:cs="Aptos Display"/>
        </w:rPr>
        <w:lastRenderedPageBreak/>
        <w:t>5.3 Strategic Option 1: Regional Expansion Beyond Metropolitan Hubs</w:t>
      </w:r>
      <w:bookmarkEnd w:id="23"/>
    </w:p>
    <w:p w14:paraId="47EB6902" w14:textId="561D5AD2"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Suitability:</w:t>
      </w:r>
      <w:r w:rsidRPr="24D98E9F">
        <w:rPr>
          <w:rFonts w:ascii="Times New Roman" w:eastAsia="Times New Roman" w:hAnsi="Times New Roman" w:cs="Times New Roman"/>
          <w:color w:val="000000" w:themeColor="text1"/>
        </w:rPr>
        <w:t xml:space="preserve"> Moving into regional markets (North Wales, Glasgow, Leeds) solves the problem of geographic concentration and reduce Sephora’s current over‑concentration in major cities. Because UK consumers are spread across many regions, this move would make the brand more accessible and strengthen its overall market presence. This makes the option a strong strategic choice for improving accessibility and strengthening Sephora’s overall market presence.</w:t>
      </w:r>
    </w:p>
    <w:p w14:paraId="4A922D46" w14:textId="195DB518"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Acceptability:</w:t>
      </w:r>
      <w:r w:rsidRPr="24D98E9F">
        <w:rPr>
          <w:rFonts w:ascii="Times New Roman" w:eastAsia="Times New Roman" w:hAnsi="Times New Roman" w:cs="Times New Roman"/>
          <w:color w:val="000000" w:themeColor="text1"/>
        </w:rPr>
        <w:t xml:space="preserve"> Stakeholders would most likely embrace this move. This would improve accessibility to customers and local communities and create new working opportunities. These results increase the level of stakeholder satisfaction and strengthen the image of Sephora as an inclusive and customer focused company. However, this option carries weaknesses as it requires substantial capital investment, increases operational complexity, and exposes the company to geographic demand uncertainty which are risks commonly associated with retail expansion (Coad et al., 2021).</w:t>
      </w:r>
    </w:p>
    <w:p w14:paraId="215F3706" w14:textId="7A6B631E"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Feasibility:</w:t>
      </w:r>
      <w:r w:rsidRPr="24D98E9F">
        <w:rPr>
          <w:rFonts w:ascii="Times New Roman" w:eastAsia="Times New Roman" w:hAnsi="Times New Roman" w:cs="Times New Roman"/>
          <w:color w:val="000000" w:themeColor="text1"/>
        </w:rPr>
        <w:t xml:space="preserve"> LVMH and Sephora have strong financial strength, as well as the success that they had already demonstrated in launching flagship shops, would be a good support to such a choice (</w:t>
      </w:r>
      <w:r w:rsidR="427FB1BE" w:rsidRPr="24D98E9F">
        <w:rPr>
          <w:rFonts w:ascii="Times New Roman" w:eastAsia="Times New Roman" w:hAnsi="Times New Roman" w:cs="Times New Roman"/>
          <w:color w:val="000000" w:themeColor="text1"/>
        </w:rPr>
        <w:t>Smith,</w:t>
      </w:r>
      <w:r w:rsidRPr="24D98E9F">
        <w:rPr>
          <w:rFonts w:ascii="Times New Roman" w:eastAsia="Times New Roman" w:hAnsi="Times New Roman" w:cs="Times New Roman"/>
          <w:color w:val="000000" w:themeColor="text1"/>
        </w:rPr>
        <w:t xml:space="preserve"> 202</w:t>
      </w:r>
      <w:r w:rsidR="4823AD0A" w:rsidRPr="24D98E9F">
        <w:rPr>
          <w:rFonts w:ascii="Times New Roman" w:eastAsia="Times New Roman" w:hAnsi="Times New Roman" w:cs="Times New Roman"/>
          <w:color w:val="000000" w:themeColor="text1"/>
        </w:rPr>
        <w:t>4</w:t>
      </w:r>
      <w:r w:rsidRPr="24D98E9F">
        <w:rPr>
          <w:rFonts w:ascii="Times New Roman" w:eastAsia="Times New Roman" w:hAnsi="Times New Roman" w:cs="Times New Roman"/>
          <w:color w:val="000000" w:themeColor="text1"/>
        </w:rPr>
        <w:t xml:space="preserve">). However, the strategy still carries risks, including high upfront investment and the possibility that new stores could reduce online sales in those </w:t>
      </w:r>
      <w:proofErr w:type="gramStart"/>
      <w:r w:rsidRPr="24D98E9F">
        <w:rPr>
          <w:rFonts w:ascii="Times New Roman" w:eastAsia="Times New Roman" w:hAnsi="Times New Roman" w:cs="Times New Roman"/>
          <w:color w:val="000000" w:themeColor="text1"/>
        </w:rPr>
        <w:t>regions</w:t>
      </w:r>
      <w:proofErr w:type="gramEnd"/>
      <w:r w:rsidRPr="24D98E9F">
        <w:rPr>
          <w:rFonts w:ascii="Times New Roman" w:eastAsia="Times New Roman" w:hAnsi="Times New Roman" w:cs="Times New Roman"/>
          <w:color w:val="000000" w:themeColor="text1"/>
        </w:rPr>
        <w:t xml:space="preserve"> and the stores may not see big profits.</w:t>
      </w:r>
    </w:p>
    <w:p w14:paraId="459F4C81" w14:textId="7B892B69" w:rsidR="636C5C34" w:rsidRDefault="636C5C34" w:rsidP="24D98E9F">
      <w:pPr>
        <w:pStyle w:val="Heading2"/>
        <w:jc w:val="both"/>
        <w:rPr>
          <w:rFonts w:ascii="Aptos Display" w:eastAsia="Aptos Display" w:hAnsi="Aptos Display" w:cs="Aptos Display"/>
        </w:rPr>
      </w:pPr>
      <w:bookmarkStart w:id="24" w:name="_Toc7711734"/>
      <w:r w:rsidRPr="24D98E9F">
        <w:rPr>
          <w:rFonts w:ascii="Aptos Display" w:eastAsia="Aptos Display" w:hAnsi="Aptos Display" w:cs="Aptos Display"/>
        </w:rPr>
        <w:t>5.4 Strategic Option 2: Expanding Affordable Beauty Lines to Broaden Market Appeal</w:t>
      </w:r>
      <w:bookmarkEnd w:id="24"/>
    </w:p>
    <w:p w14:paraId="72D7F45F" w14:textId="4868622C"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Suitability</w:t>
      </w:r>
      <w:r w:rsidRPr="24D98E9F">
        <w:rPr>
          <w:rFonts w:ascii="Times New Roman" w:eastAsia="Times New Roman" w:hAnsi="Times New Roman" w:cs="Times New Roman"/>
          <w:color w:val="000000" w:themeColor="text1"/>
        </w:rPr>
        <w:t xml:space="preserve">: Expanding affordable beauty lines is highly suitable for the current UK market context. With UK consumers remaining strongly value driven in 2024 even as inflation eased (MarketResearch.com) or curated “accessible luxury” edits helps Sephora appeal to price sensitive consumers during a cost-of-living crisis. This option is suitable because it reduces the brand’s reliance on the prestige segment and supports its goal of being inclusive and relevant to a wider UK audience. </w:t>
      </w:r>
    </w:p>
    <w:p w14:paraId="54110EFF" w14:textId="22D1FB5E"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Acceptability</w:t>
      </w:r>
      <w:r w:rsidRPr="24D98E9F">
        <w:rPr>
          <w:rFonts w:ascii="Times New Roman" w:eastAsia="Times New Roman" w:hAnsi="Times New Roman" w:cs="Times New Roman"/>
          <w:color w:val="000000" w:themeColor="text1"/>
        </w:rPr>
        <w:t xml:space="preserve">: Customers are likely to welcome a broader range of price points, as it makes Sephora feel more accessible without weakening its brand identity. Investors may also support this move because it diversifies revenue streams and reduces risk during economic downturns. </w:t>
      </w:r>
      <w:r w:rsidRPr="24D98E9F">
        <w:rPr>
          <w:rFonts w:ascii="Times New Roman" w:eastAsia="Times New Roman" w:hAnsi="Times New Roman" w:cs="Times New Roman"/>
          <w:color w:val="000000" w:themeColor="text1"/>
        </w:rPr>
        <w:lastRenderedPageBreak/>
        <w:t>A wider assortment can increase footfall and sales opportunities which everyone can benefit from.</w:t>
      </w:r>
    </w:p>
    <w:p w14:paraId="5BAC6A73" w14:textId="4D4A61E3" w:rsidR="636C5C34" w:rsidRDefault="636C5C3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b/>
          <w:bCs/>
          <w:color w:val="000000" w:themeColor="text1"/>
        </w:rPr>
        <w:t>Feasibility</w:t>
      </w:r>
      <w:r w:rsidRPr="24D98E9F">
        <w:rPr>
          <w:rFonts w:ascii="Times New Roman" w:eastAsia="Times New Roman" w:hAnsi="Times New Roman" w:cs="Times New Roman"/>
          <w:color w:val="000000" w:themeColor="text1"/>
        </w:rPr>
        <w:t xml:space="preserve">: Sephora already has strong relationships with suppliers and experience managing both premium and mid‑range brands in other countries, which makes this option realistic. The company can build on its global partnerships and its own private‑label products to support this move. Although there is a small risk of weakening its prestige image if not handled carefully, the practical tasks involved such as sourcing, merchandising, and marketing are all things Sephora is already well equipped to manage. The main weakness is that offering more affordable products could weaken Sephora’s luxury image if it isn’t managed carefully. The brand needs to maintain a sense of “accessible luxury”, so it doesn’t lose its premium reputation.  </w:t>
      </w:r>
    </w:p>
    <w:p w14:paraId="606939C6" w14:textId="45ED68A1" w:rsidR="24D98E9F" w:rsidRDefault="24D98E9F" w:rsidP="24D98E9F">
      <w:pPr>
        <w:jc w:val="both"/>
        <w:rPr>
          <w:rFonts w:ascii="Times New Roman" w:eastAsia="Times New Roman" w:hAnsi="Times New Roman" w:cs="Times New Roman"/>
          <w:color w:val="000000" w:themeColor="text1"/>
        </w:rPr>
      </w:pPr>
    </w:p>
    <w:p w14:paraId="1DD6CD14" w14:textId="078E69B3" w:rsidR="24D98E9F" w:rsidRDefault="24D98E9F" w:rsidP="24D98E9F">
      <w:pPr>
        <w:jc w:val="both"/>
        <w:rPr>
          <w:rFonts w:ascii="Times New Roman" w:eastAsia="Times New Roman" w:hAnsi="Times New Roman" w:cs="Times New Roman"/>
          <w:color w:val="000000" w:themeColor="text1"/>
        </w:rPr>
      </w:pPr>
    </w:p>
    <w:p w14:paraId="4536AAC1" w14:textId="5A8CB9DA" w:rsidR="24D98E9F" w:rsidRDefault="24D98E9F" w:rsidP="24D98E9F">
      <w:pPr>
        <w:jc w:val="both"/>
      </w:pPr>
      <w:r>
        <w:br w:type="page"/>
      </w:r>
    </w:p>
    <w:p w14:paraId="08E0AAF3" w14:textId="3D1D1A72" w:rsidR="7C7F5864" w:rsidRDefault="7C7F5864" w:rsidP="24D98E9F">
      <w:pPr>
        <w:pStyle w:val="Heading1"/>
        <w:jc w:val="both"/>
        <w:rPr>
          <w:rFonts w:ascii="Aptos Display" w:eastAsia="Aptos Display" w:hAnsi="Aptos Display" w:cs="Aptos Display"/>
        </w:rPr>
      </w:pPr>
      <w:bookmarkStart w:id="25" w:name="_Toc1686097601"/>
      <w:r w:rsidRPr="24D98E9F">
        <w:rPr>
          <w:rFonts w:ascii="Aptos Display" w:eastAsia="Aptos Display" w:hAnsi="Aptos Display" w:cs="Aptos Display"/>
        </w:rPr>
        <w:lastRenderedPageBreak/>
        <w:t>Conclusion</w:t>
      </w:r>
      <w:bookmarkEnd w:id="25"/>
    </w:p>
    <w:p w14:paraId="3A34CE58" w14:textId="192CD32D" w:rsidR="7C7F5864" w:rsidRDefault="7C7F586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strategic analysis reveals that Sephora is a company that is the subject of a highly competitive market in the UK beauty market, which is threatened by profitability by inflation, strong buyer power, and substitutes but opportunities are evident through the inclusivity, sustainability, and digital innovation. Sephora’s long‑term strength mainly comes from its exclusive connection to LVMH, while most of its other capabilities only offer short‑term or moderate advantages. This means future success will depend on making the most of that exclusivity and continuing to innovate in areas like experiential retail and sustainability.</w:t>
      </w:r>
    </w:p>
    <w:p w14:paraId="0D7B8900" w14:textId="63B32B70" w:rsidR="7C7F5864" w:rsidRDefault="7C7F5864" w:rsidP="24D98E9F">
      <w:pPr>
        <w:jc w:val="both"/>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The key stakeholder conflicts revolve around the following points as LVMH investors insist on a fast growth, whereas customers require prices and a sense of corporate responsibility. Compliance is enforced by the regulators and responsible behaviour is expected by communities. As a strategy, Sephora will have to strike a balance between these forces by incorporating sustainability leadership and regional development outside urban centres.</w:t>
      </w:r>
    </w:p>
    <w:p w14:paraId="507F7B38" w14:textId="28040391" w:rsidR="7C7F5864" w:rsidRDefault="7C7F5864" w:rsidP="24D98E9F">
      <w:pPr>
        <w:jc w:val="both"/>
      </w:pPr>
      <w:r w:rsidRPr="24D98E9F">
        <w:rPr>
          <w:rFonts w:ascii="Times New Roman" w:eastAsia="Times New Roman" w:hAnsi="Times New Roman" w:cs="Times New Roman"/>
          <w:color w:val="000000" w:themeColor="text1"/>
        </w:rPr>
        <w:t>The goal of positioning Sephora as a leader in sustainable beauty retail fits well with growing social and environmental expectations, helping strengthen customer loyalty and brand reputation. At the same time, expanding into regional markets helps overcome current geographic limitations and allows the brand to reach more customers across the UK. Together, these strategic directions reduce the risk of strategic drift and ensure Sephora stays aligned with what modern consumers expect, a greater sustainability, wider accessibility, and a more inclusive retail experience.</w:t>
      </w:r>
    </w:p>
    <w:p w14:paraId="6F328B97" w14:textId="79F08673" w:rsidR="24D98E9F" w:rsidRDefault="24D98E9F" w:rsidP="24D98E9F">
      <w:pPr>
        <w:jc w:val="both"/>
        <w:rPr>
          <w:rFonts w:ascii="Times New Roman" w:eastAsia="Times New Roman" w:hAnsi="Times New Roman" w:cs="Times New Roman"/>
          <w:color w:val="000000" w:themeColor="text1"/>
        </w:rPr>
      </w:pPr>
    </w:p>
    <w:p w14:paraId="6E7E5B04" w14:textId="3D7F6FF6" w:rsidR="24D98E9F" w:rsidRDefault="24D98E9F">
      <w:r>
        <w:br w:type="page"/>
      </w:r>
    </w:p>
    <w:p w14:paraId="15145C5D" w14:textId="54E966D5" w:rsidR="6C4F050D" w:rsidRDefault="6C4F050D" w:rsidP="24D98E9F">
      <w:pPr>
        <w:pStyle w:val="Heading1"/>
      </w:pPr>
      <w:bookmarkStart w:id="26" w:name="_Toc2025074746"/>
      <w:r w:rsidRPr="24D98E9F">
        <w:lastRenderedPageBreak/>
        <w:t>Reference List</w:t>
      </w:r>
      <w:bookmarkEnd w:id="26"/>
    </w:p>
    <w:p w14:paraId="7DBE73BB" w14:textId="50370DC3"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Ashfaq, A (2025) </w:t>
      </w:r>
      <w:r w:rsidRPr="24D98E9F">
        <w:rPr>
          <w:rFonts w:ascii="Times New Roman" w:eastAsia="Times New Roman" w:hAnsi="Times New Roman" w:cs="Times New Roman"/>
          <w:i/>
          <w:iCs/>
          <w:color w:val="000000" w:themeColor="text1"/>
        </w:rPr>
        <w:t xml:space="preserve">Sephora UK Plans to Double Store Count to Hit 20 by 2026 </w:t>
      </w:r>
      <w:r w:rsidRPr="24D98E9F">
        <w:rPr>
          <w:rFonts w:ascii="Times New Roman" w:eastAsia="Times New Roman" w:hAnsi="Times New Roman" w:cs="Times New Roman"/>
          <w:color w:val="000000" w:themeColor="text1"/>
        </w:rPr>
        <w:t xml:space="preserve">Available at: </w:t>
      </w:r>
      <w:hyperlink r:id="rId7">
        <w:r w:rsidRPr="24D98E9F">
          <w:rPr>
            <w:rStyle w:val="Hyperlink"/>
            <w:rFonts w:ascii="Times New Roman" w:eastAsia="Times New Roman" w:hAnsi="Times New Roman" w:cs="Times New Roman"/>
          </w:rPr>
          <w:t>Sephora UK Plans To Double Store Count To Hit 20 By 2026</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6C10B676" w14:textId="788F82BB"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Bailey, D., De Propris, L., Dimos, C., Fai, F.M., Hardy, S. and Tomlinson, P.R. (2026) ‘A critical review of the UK’s </w:t>
      </w:r>
      <w:r w:rsidRPr="24D98E9F">
        <w:rPr>
          <w:rFonts w:ascii="Times New Roman" w:eastAsia="Times New Roman" w:hAnsi="Times New Roman" w:cs="Times New Roman"/>
          <w:i/>
          <w:iCs/>
          <w:color w:val="000000" w:themeColor="text1"/>
        </w:rPr>
        <w:t>Modern Industrial Strategy:</w:t>
      </w:r>
      <w:r w:rsidRPr="24D98E9F">
        <w:rPr>
          <w:rFonts w:ascii="Times New Roman" w:eastAsia="Times New Roman" w:hAnsi="Times New Roman" w:cs="Times New Roman"/>
          <w:color w:val="000000" w:themeColor="text1"/>
        </w:rPr>
        <w:t xml:space="preserve"> lessons for “place-based” policy’, </w:t>
      </w:r>
      <w:r w:rsidRPr="24D98E9F">
        <w:rPr>
          <w:rFonts w:ascii="Times New Roman" w:eastAsia="Times New Roman" w:hAnsi="Times New Roman" w:cs="Times New Roman"/>
          <w:i/>
          <w:iCs/>
          <w:color w:val="000000" w:themeColor="text1"/>
        </w:rPr>
        <w:t xml:space="preserve">Regional Studies, </w:t>
      </w:r>
      <w:r w:rsidRPr="24D98E9F">
        <w:rPr>
          <w:rFonts w:ascii="Times New Roman" w:eastAsia="Times New Roman" w:hAnsi="Times New Roman" w:cs="Times New Roman"/>
          <w:color w:val="000000" w:themeColor="text1"/>
        </w:rPr>
        <w:t xml:space="preserve">60(1). Available at </w:t>
      </w:r>
      <w:r w:rsidRPr="24D98E9F">
        <w:rPr>
          <w:rFonts w:ascii="Times New Roman" w:eastAsia="Times New Roman" w:hAnsi="Times New Roman" w:cs="Times New Roman"/>
          <w:i/>
          <w:iCs/>
          <w:color w:val="000000" w:themeColor="text1"/>
        </w:rPr>
        <w:t xml:space="preserve"> </w:t>
      </w:r>
      <w:hyperlink r:id="rId8">
        <w:r w:rsidRPr="24D98E9F">
          <w:rPr>
            <w:rStyle w:val="Hyperlink"/>
            <w:rFonts w:ascii="Times New Roman" w:eastAsia="Times New Roman" w:hAnsi="Times New Roman" w:cs="Times New Roman"/>
          </w:rPr>
          <w:t>Full article: A critical review of the UK's Modern Industrial Strategy: lessons for ‘place-based’ policy</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1CA68825" w14:textId="7C18762C" w:rsidR="6C4F050D" w:rsidRDefault="6C4F050D" w:rsidP="24D98E9F">
      <w:pPr>
        <w:rPr>
          <w:rFonts w:ascii="Times New Roman" w:eastAsia="Times New Roman" w:hAnsi="Times New Roman" w:cs="Times New Roman"/>
          <w:color w:val="505050"/>
        </w:rPr>
      </w:pPr>
      <w:r w:rsidRPr="24D98E9F">
        <w:rPr>
          <w:rFonts w:ascii="Times New Roman" w:eastAsia="Times New Roman" w:hAnsi="Times New Roman" w:cs="Times New Roman"/>
          <w:color w:val="000000" w:themeColor="text1"/>
        </w:rPr>
        <w:t xml:space="preserve">Celestin, M. (2025) ‘How Emerging Data Protection Laws Are Reshaping Digital Marketing </w:t>
      </w:r>
      <w:proofErr w:type="gramStart"/>
      <w:r w:rsidRPr="24D98E9F">
        <w:rPr>
          <w:rFonts w:ascii="Times New Roman" w:eastAsia="Times New Roman" w:hAnsi="Times New Roman" w:cs="Times New Roman"/>
          <w:color w:val="000000" w:themeColor="text1"/>
        </w:rPr>
        <w:t>And</w:t>
      </w:r>
      <w:proofErr w:type="gramEnd"/>
      <w:r w:rsidRPr="24D98E9F">
        <w:rPr>
          <w:rFonts w:ascii="Times New Roman" w:eastAsia="Times New Roman" w:hAnsi="Times New Roman" w:cs="Times New Roman"/>
          <w:color w:val="000000" w:themeColor="text1"/>
        </w:rPr>
        <w:t xml:space="preserve"> Consumer Privacy Policies’, </w:t>
      </w:r>
      <w:r w:rsidRPr="24D98E9F">
        <w:rPr>
          <w:rFonts w:ascii="Times New Roman" w:eastAsia="Times New Roman" w:hAnsi="Times New Roman" w:cs="Times New Roman"/>
          <w:i/>
          <w:iCs/>
          <w:color w:val="505050"/>
        </w:rPr>
        <w:t xml:space="preserve">Brainae Journal of Business, Sciences and Technology. </w:t>
      </w:r>
      <w:r w:rsidRPr="24D98E9F">
        <w:rPr>
          <w:rFonts w:ascii="Times New Roman" w:eastAsia="Times New Roman" w:hAnsi="Times New Roman" w:cs="Times New Roman"/>
          <w:color w:val="505050"/>
        </w:rPr>
        <w:t xml:space="preserve">Available at </w:t>
      </w:r>
      <w:hyperlink r:id="rId9">
        <w:r w:rsidRPr="24D98E9F">
          <w:rPr>
            <w:rStyle w:val="Hyperlink"/>
            <w:rFonts w:ascii="Times New Roman" w:eastAsia="Times New Roman" w:hAnsi="Times New Roman" w:cs="Times New Roman"/>
          </w:rPr>
          <w:t>https://dx.doi.org/10.2139/ssrn.5188091</w:t>
        </w:r>
      </w:hyperlink>
      <w:r w:rsidRPr="24D98E9F">
        <w:rPr>
          <w:rFonts w:ascii="Times New Roman" w:eastAsia="Times New Roman" w:hAnsi="Times New Roman" w:cs="Times New Roman"/>
          <w:color w:val="505050"/>
        </w:rPr>
        <w:t xml:space="preserve"> (Accessed: 26</w:t>
      </w:r>
      <w:r w:rsidRPr="24D98E9F">
        <w:rPr>
          <w:rFonts w:ascii="Times New Roman" w:eastAsia="Times New Roman" w:hAnsi="Times New Roman" w:cs="Times New Roman"/>
          <w:color w:val="505050"/>
          <w:vertAlign w:val="superscript"/>
        </w:rPr>
        <w:t>th</w:t>
      </w:r>
      <w:r w:rsidRPr="24D98E9F">
        <w:rPr>
          <w:rFonts w:ascii="Times New Roman" w:eastAsia="Times New Roman" w:hAnsi="Times New Roman" w:cs="Times New Roman"/>
          <w:color w:val="505050"/>
        </w:rPr>
        <w:t xml:space="preserve"> March 2026).</w:t>
      </w:r>
    </w:p>
    <w:p w14:paraId="5C914E50" w14:textId="48BC67CE"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505050"/>
        </w:rPr>
        <w:t xml:space="preserve">CleanHub (2025) </w:t>
      </w:r>
      <w:r w:rsidRPr="24D98E9F">
        <w:rPr>
          <w:rFonts w:ascii="Times New Roman" w:eastAsia="Times New Roman" w:hAnsi="Times New Roman" w:cs="Times New Roman"/>
          <w:i/>
          <w:iCs/>
          <w:color w:val="505050"/>
        </w:rPr>
        <w:t xml:space="preserve">The Environmental Impact of the Beauty Industry. </w:t>
      </w:r>
      <w:r w:rsidRPr="24D98E9F">
        <w:rPr>
          <w:rFonts w:ascii="Times New Roman" w:eastAsia="Times New Roman" w:hAnsi="Times New Roman" w:cs="Times New Roman"/>
          <w:color w:val="505050"/>
        </w:rPr>
        <w:t xml:space="preserve">Available at: </w:t>
      </w:r>
      <w:hyperlink r:id="rId10">
        <w:r w:rsidRPr="24D98E9F">
          <w:rPr>
            <w:rStyle w:val="Hyperlink"/>
            <w:rFonts w:ascii="Times New Roman" w:eastAsia="Times New Roman" w:hAnsi="Times New Roman" w:cs="Times New Roman"/>
          </w:rPr>
          <w:t>The Environmental Impact of the Beauty Industry | CleanHub</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2FA8AF23" w14:textId="32DF8D8B"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Coad, A., Domnick, C., Flachenecker, F., Harasztosi, P., Janiri, M.L., Pal, R. and Teruel, M. (2021) ‘Capacity constraints as a trigger for high growth’, </w:t>
      </w:r>
      <w:r w:rsidRPr="24D98E9F">
        <w:rPr>
          <w:rFonts w:ascii="Times New Roman" w:eastAsia="Times New Roman" w:hAnsi="Times New Roman" w:cs="Times New Roman"/>
          <w:i/>
          <w:iCs/>
          <w:color w:val="000000" w:themeColor="text1"/>
        </w:rPr>
        <w:t xml:space="preserve">Small Business Economics, </w:t>
      </w:r>
      <w:r w:rsidRPr="24D98E9F">
        <w:rPr>
          <w:rFonts w:ascii="Times New Roman" w:eastAsia="Times New Roman" w:hAnsi="Times New Roman" w:cs="Times New Roman"/>
          <w:color w:val="000000" w:themeColor="text1"/>
        </w:rPr>
        <w:t xml:space="preserve">59, pp. 893-923. Available at: </w:t>
      </w:r>
      <w:hyperlink r:id="rId11">
        <w:r w:rsidRPr="24D98E9F">
          <w:rPr>
            <w:rStyle w:val="Hyperlink"/>
            <w:rFonts w:ascii="Times New Roman" w:eastAsia="Times New Roman" w:hAnsi="Times New Roman" w:cs="Times New Roman"/>
          </w:rPr>
          <w:t>Capacity constraints as a trigger for high growth | Small Business Economics | Springer Nature Link</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227CD888" w14:textId="36E0F02C"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Culliney, K (2022) </w:t>
      </w:r>
      <w:r w:rsidRPr="24D98E9F">
        <w:rPr>
          <w:rFonts w:ascii="Times New Roman" w:eastAsia="Times New Roman" w:hAnsi="Times New Roman" w:cs="Times New Roman"/>
          <w:i/>
          <w:iCs/>
          <w:color w:val="000000" w:themeColor="text1"/>
        </w:rPr>
        <w:t xml:space="preserve">Sephora absorbs Feelunique domain and kickstarts UK re-entry. </w:t>
      </w:r>
      <w:r w:rsidRPr="24D98E9F">
        <w:rPr>
          <w:rFonts w:ascii="Times New Roman" w:eastAsia="Times New Roman" w:hAnsi="Times New Roman" w:cs="Times New Roman"/>
          <w:color w:val="000000" w:themeColor="text1"/>
        </w:rPr>
        <w:t>Available at:</w:t>
      </w:r>
      <w:hyperlink r:id="rId12">
        <w:r w:rsidRPr="24D98E9F">
          <w:rPr>
            <w:rStyle w:val="Hyperlink"/>
            <w:rFonts w:ascii="Times New Roman" w:eastAsia="Times New Roman" w:hAnsi="Times New Roman" w:cs="Times New Roman"/>
          </w:rPr>
          <w:t>Sephora absorbs Feelunique domain sealing UK acquisition and kickstarting re-entry plans</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29FCE152" w14:textId="5256DE1B"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Data Insight Market (2025) </w:t>
      </w:r>
      <w:r w:rsidRPr="24D98E9F">
        <w:rPr>
          <w:rFonts w:ascii="Times New Roman" w:eastAsia="Times New Roman" w:hAnsi="Times New Roman" w:cs="Times New Roman"/>
          <w:i/>
          <w:iCs/>
          <w:color w:val="000000" w:themeColor="text1"/>
        </w:rPr>
        <w:t xml:space="preserve">Sephora's Success: Innovation &amp; Customer Engagement. </w:t>
      </w:r>
      <w:r w:rsidRPr="24D98E9F">
        <w:rPr>
          <w:rFonts w:ascii="Times New Roman" w:eastAsia="Times New Roman" w:hAnsi="Times New Roman" w:cs="Times New Roman"/>
          <w:color w:val="000000" w:themeColor="text1"/>
        </w:rPr>
        <w:t xml:space="preserve">Available at: </w:t>
      </w:r>
      <w:hyperlink r:id="rId13">
        <w:r w:rsidRPr="24D98E9F">
          <w:rPr>
            <w:rStyle w:val="Hyperlink"/>
            <w:rFonts w:ascii="Times New Roman" w:eastAsia="Times New Roman" w:hAnsi="Times New Roman" w:cs="Times New Roman"/>
          </w:rPr>
          <w:t>Sephora's Success: Innovation &amp; Customer Engagement</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08024AA1" w14:textId="266575BE"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Digital Initiative (2018) ‘Exploring the Future of Beauty Through Open Innovation and Co-Creation at L’Oréal’, </w:t>
      </w:r>
      <w:r w:rsidRPr="24D98E9F">
        <w:rPr>
          <w:rFonts w:ascii="Times New Roman" w:eastAsia="Times New Roman" w:hAnsi="Times New Roman" w:cs="Times New Roman"/>
          <w:i/>
          <w:iCs/>
          <w:color w:val="000000" w:themeColor="text1"/>
        </w:rPr>
        <w:t>Technology and Operations Management</w:t>
      </w:r>
      <w:r w:rsidRPr="24D98E9F">
        <w:rPr>
          <w:rFonts w:ascii="Times New Roman" w:eastAsia="Times New Roman" w:hAnsi="Times New Roman" w:cs="Times New Roman"/>
          <w:color w:val="000000" w:themeColor="text1"/>
        </w:rPr>
        <w:t xml:space="preserve">. Available at: </w:t>
      </w:r>
      <w:hyperlink r:id="rId14">
        <w:r w:rsidRPr="24D98E9F">
          <w:rPr>
            <w:rStyle w:val="Hyperlink"/>
            <w:rFonts w:ascii="Times New Roman" w:eastAsia="Times New Roman" w:hAnsi="Times New Roman" w:cs="Times New Roman"/>
          </w:rPr>
          <w:t>https://d3.harvard.edu/platform-rctom/submission/exploring-the-future-of-beauty-through-open-innovation-and-co-creation-at-loreal/</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43E36001" w14:textId="43D03955"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Eriksen-Coats, F. (2024) ‘What Is Mendelow’s Matrix </w:t>
      </w:r>
      <w:proofErr w:type="gramStart"/>
      <w:r w:rsidRPr="24D98E9F">
        <w:rPr>
          <w:rFonts w:ascii="Times New Roman" w:eastAsia="Times New Roman" w:hAnsi="Times New Roman" w:cs="Times New Roman"/>
          <w:color w:val="000000" w:themeColor="text1"/>
        </w:rPr>
        <w:t>And</w:t>
      </w:r>
      <w:proofErr w:type="gramEnd"/>
      <w:r w:rsidRPr="24D98E9F">
        <w:rPr>
          <w:rFonts w:ascii="Times New Roman" w:eastAsia="Times New Roman" w:hAnsi="Times New Roman" w:cs="Times New Roman"/>
          <w:color w:val="000000" w:themeColor="text1"/>
        </w:rPr>
        <w:t xml:space="preserve"> How Is It Useful?’, </w:t>
      </w:r>
      <w:r w:rsidRPr="24D98E9F">
        <w:rPr>
          <w:rFonts w:ascii="Times New Roman" w:eastAsia="Times New Roman" w:hAnsi="Times New Roman" w:cs="Times New Roman"/>
          <w:i/>
          <w:iCs/>
          <w:color w:val="000000" w:themeColor="text1"/>
        </w:rPr>
        <w:t xml:space="preserve">Oxford College of Marketing. </w:t>
      </w:r>
      <w:r w:rsidRPr="24D98E9F">
        <w:rPr>
          <w:rFonts w:ascii="Times New Roman" w:eastAsia="Times New Roman" w:hAnsi="Times New Roman" w:cs="Times New Roman"/>
          <w:color w:val="000000" w:themeColor="text1"/>
        </w:rPr>
        <w:t xml:space="preserve">Available at: </w:t>
      </w:r>
      <w:hyperlink r:id="rId15">
        <w:r w:rsidRPr="24D98E9F">
          <w:rPr>
            <w:rStyle w:val="Hyperlink"/>
            <w:rFonts w:ascii="Times New Roman" w:eastAsia="Times New Roman" w:hAnsi="Times New Roman" w:cs="Times New Roman"/>
          </w:rPr>
          <w:t>What is Mendelow’s Matrix and Why Is It Useful For Marketers?</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7E1E7B8E" w14:textId="3D17AA03"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lastRenderedPageBreak/>
        <w:t xml:space="preserve">Faithfull, M. (2022) </w:t>
      </w:r>
      <w:r w:rsidRPr="24D98E9F">
        <w:rPr>
          <w:rFonts w:ascii="Times New Roman" w:eastAsia="Times New Roman" w:hAnsi="Times New Roman" w:cs="Times New Roman"/>
          <w:i/>
          <w:iCs/>
          <w:color w:val="000000" w:themeColor="text1"/>
        </w:rPr>
        <w:t xml:space="preserve">Sephora Returns </w:t>
      </w:r>
      <w:proofErr w:type="gramStart"/>
      <w:r w:rsidRPr="24D98E9F">
        <w:rPr>
          <w:rFonts w:ascii="Times New Roman" w:eastAsia="Times New Roman" w:hAnsi="Times New Roman" w:cs="Times New Roman"/>
          <w:i/>
          <w:iCs/>
          <w:color w:val="000000" w:themeColor="text1"/>
        </w:rPr>
        <w:t>To</w:t>
      </w:r>
      <w:proofErr w:type="gramEnd"/>
      <w:r w:rsidRPr="24D98E9F">
        <w:rPr>
          <w:rFonts w:ascii="Times New Roman" w:eastAsia="Times New Roman" w:hAnsi="Times New Roman" w:cs="Times New Roman"/>
          <w:i/>
          <w:iCs/>
          <w:color w:val="000000" w:themeColor="text1"/>
        </w:rPr>
        <w:t xml:space="preserve"> U.K. Next Week, 17 Years After Shutting Up Shop, Forbes.</w:t>
      </w:r>
      <w:r w:rsidRPr="24D98E9F">
        <w:rPr>
          <w:rFonts w:ascii="Times New Roman" w:eastAsia="Times New Roman" w:hAnsi="Times New Roman" w:cs="Times New Roman"/>
          <w:color w:val="000000" w:themeColor="text1"/>
        </w:rPr>
        <w:t xml:space="preserve"> Available at: </w:t>
      </w:r>
      <w:hyperlink r:id="rId16">
        <w:r w:rsidRPr="24D98E9F">
          <w:rPr>
            <w:rStyle w:val="Hyperlink"/>
            <w:rFonts w:ascii="Times New Roman" w:eastAsia="Times New Roman" w:hAnsi="Times New Roman" w:cs="Times New Roman"/>
          </w:rPr>
          <w:t>https://www.forbes.com/sites/markfaithfull/2022/10/11/sephora-returns-to-uk-next-week-17-years-after-shutting-up-shop/</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2510C6AB" w14:textId="7E665E00"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Georgievskaya, A., Timur Tlyachev, Danko, D., Konstantin Chekanov and Corstjens, H. (2023) ‘How artificial intelligence adopts human biases: the case of cosmetic skincare industry’, </w:t>
      </w:r>
      <w:r w:rsidRPr="24D98E9F">
        <w:rPr>
          <w:rFonts w:ascii="Times New Roman" w:eastAsia="Times New Roman" w:hAnsi="Times New Roman" w:cs="Times New Roman"/>
          <w:i/>
          <w:iCs/>
          <w:color w:val="000000" w:themeColor="text1"/>
          <w:lang w:val="en-US"/>
        </w:rPr>
        <w:t>AI and Ethics</w:t>
      </w:r>
      <w:r w:rsidRPr="24D98E9F">
        <w:rPr>
          <w:rFonts w:ascii="Times New Roman" w:eastAsia="Times New Roman" w:hAnsi="Times New Roman" w:cs="Times New Roman"/>
          <w:color w:val="000000" w:themeColor="text1"/>
          <w:lang w:val="en-US"/>
        </w:rPr>
        <w:t xml:space="preserve">, 5. pp 105-115 Available at: </w:t>
      </w:r>
      <w:hyperlink r:id="rId17">
        <w:r w:rsidRPr="24D98E9F">
          <w:rPr>
            <w:rStyle w:val="Hyperlink"/>
            <w:rFonts w:ascii="Times New Roman" w:eastAsia="Times New Roman" w:hAnsi="Times New Roman" w:cs="Times New Roman"/>
            <w:lang w:val="en-US"/>
          </w:rPr>
          <w:t>https://doi.org/10.1007/s43681-023-00378-2</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1C740C3C" w14:textId="2FB7C553"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Gov.UK (2022) </w:t>
      </w:r>
      <w:r w:rsidRPr="24D98E9F">
        <w:rPr>
          <w:rFonts w:ascii="Times New Roman" w:eastAsia="Times New Roman" w:hAnsi="Times New Roman" w:cs="Times New Roman"/>
          <w:i/>
          <w:iCs/>
          <w:color w:val="000000" w:themeColor="text1"/>
          <w:lang w:val="en-US"/>
        </w:rPr>
        <w:t>Levelling Up the United Kingdom</w:t>
      </w:r>
      <w:r w:rsidRPr="24D98E9F">
        <w:rPr>
          <w:rFonts w:ascii="Times New Roman" w:eastAsia="Times New Roman" w:hAnsi="Times New Roman" w:cs="Times New Roman"/>
          <w:color w:val="000000" w:themeColor="text1"/>
          <w:lang w:val="en-US"/>
        </w:rPr>
        <w:t xml:space="preserve">. Available at: </w:t>
      </w:r>
      <w:hyperlink r:id="rId18">
        <w:r w:rsidRPr="24D98E9F">
          <w:rPr>
            <w:rStyle w:val="Hyperlink"/>
            <w:rFonts w:ascii="Times New Roman" w:eastAsia="Times New Roman" w:hAnsi="Times New Roman" w:cs="Times New Roman"/>
            <w:lang w:val="en-US"/>
          </w:rPr>
          <w:t>https://assets.publishing.service.gov.uk/media/61fd3ca28fa8f5388e9781c6/Levelling_up_the_UK_white_paper.pdf</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6BF4F7A4" w14:textId="1E8AEEA2"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Hood, E., (2023) </w:t>
      </w:r>
      <w:r w:rsidRPr="24D98E9F">
        <w:rPr>
          <w:rFonts w:ascii="Times New Roman" w:eastAsia="Times New Roman" w:hAnsi="Times New Roman" w:cs="Times New Roman"/>
          <w:i/>
          <w:iCs/>
          <w:color w:val="000000" w:themeColor="text1"/>
        </w:rPr>
        <w:t>Inflationary Pressures Encourage Beauty Consumers to Seek Alternatives.</w:t>
      </w:r>
      <w:r w:rsidRPr="24D98E9F">
        <w:rPr>
          <w:rFonts w:ascii="Times New Roman" w:eastAsia="Times New Roman" w:hAnsi="Times New Roman" w:cs="Times New Roman"/>
          <w:color w:val="000000" w:themeColor="text1"/>
        </w:rPr>
        <w:t xml:space="preserve"> Available at: </w:t>
      </w:r>
      <w:hyperlink r:id="rId19" w:anchor=":~:text=Beauty%20and%20personal%20care%20consumers,resonate%20with%20cash%2Dstrapped%20consumers">
        <w:r w:rsidRPr="24D98E9F">
          <w:rPr>
            <w:rStyle w:val="Hyperlink"/>
            <w:rFonts w:ascii="Times New Roman" w:eastAsia="Times New Roman" w:hAnsi="Times New Roman" w:cs="Times New Roman"/>
          </w:rPr>
          <w:t>https://www.euromonitor.com/article/inflationary-pressures-encourage-beauty-consumers-to-seek-alternatives#:~:text=Beauty%20and%20personal%20care%20consumers,resonate%20with%20cash%2Dstrapped%20consumers</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363604F3" w14:textId="5F758FD8"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Jayashree, P., El Barachi, M. and Hamza, F. (2022) ‘Practice of Sustainability Leadership: A Multi-Stakeholder Inclusive Framework’,</w:t>
      </w:r>
      <w:r w:rsidRPr="24D98E9F">
        <w:rPr>
          <w:rFonts w:ascii="Times New Roman" w:eastAsia="Times New Roman" w:hAnsi="Times New Roman" w:cs="Times New Roman"/>
          <w:i/>
          <w:iCs/>
          <w:color w:val="000000" w:themeColor="text1"/>
        </w:rPr>
        <w:t xml:space="preserve"> Sustainability</w:t>
      </w:r>
      <w:r w:rsidRPr="24D98E9F">
        <w:rPr>
          <w:rFonts w:ascii="Times New Roman" w:eastAsia="Times New Roman" w:hAnsi="Times New Roman" w:cs="Times New Roman"/>
          <w:color w:val="000000" w:themeColor="text1"/>
        </w:rPr>
        <w:t xml:space="preserve">, 14(10), p. 6346. Available at: </w:t>
      </w:r>
      <w:hyperlink r:id="rId20">
        <w:r w:rsidRPr="24D98E9F">
          <w:rPr>
            <w:rStyle w:val="Hyperlink"/>
            <w:rFonts w:ascii="Times New Roman" w:eastAsia="Times New Roman" w:hAnsi="Times New Roman" w:cs="Times New Roman"/>
          </w:rPr>
          <w:t>https://doi.org/10.3390/su14106346</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5A05C9A3" w14:textId="0A67B082"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Latterly (2025) </w:t>
      </w:r>
      <w:r w:rsidRPr="24D98E9F">
        <w:rPr>
          <w:rFonts w:ascii="Times New Roman" w:eastAsia="Times New Roman" w:hAnsi="Times New Roman" w:cs="Times New Roman"/>
          <w:i/>
          <w:iCs/>
          <w:color w:val="000000" w:themeColor="text1"/>
        </w:rPr>
        <w:t xml:space="preserve">Sephora SWOT Analysis: Beauty Retail Powerhouse with Digital Loyalty Edge. </w:t>
      </w:r>
      <w:r w:rsidRPr="24D98E9F">
        <w:rPr>
          <w:rFonts w:ascii="Times New Roman" w:eastAsia="Times New Roman" w:hAnsi="Times New Roman" w:cs="Times New Roman"/>
          <w:color w:val="000000" w:themeColor="text1"/>
        </w:rPr>
        <w:t xml:space="preserve">Available at: </w:t>
      </w:r>
      <w:hyperlink r:id="rId21">
        <w:r w:rsidRPr="24D98E9F">
          <w:rPr>
            <w:rStyle w:val="Hyperlink"/>
            <w:rFonts w:ascii="Times New Roman" w:eastAsia="Times New Roman" w:hAnsi="Times New Roman" w:cs="Times New Roman"/>
          </w:rPr>
          <w:t>https://latterly.org</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6A104577" w14:textId="7165224E"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Liverpool ONE (2025) </w:t>
      </w:r>
      <w:r w:rsidRPr="24D98E9F">
        <w:rPr>
          <w:rFonts w:ascii="Times New Roman" w:eastAsia="Times New Roman" w:hAnsi="Times New Roman" w:cs="Times New Roman"/>
          <w:i/>
          <w:iCs/>
          <w:color w:val="000000" w:themeColor="text1"/>
        </w:rPr>
        <w:t>Sephora is finally here!</w:t>
      </w:r>
      <w:r w:rsidRPr="24D98E9F">
        <w:rPr>
          <w:rFonts w:ascii="Times New Roman" w:eastAsia="Times New Roman" w:hAnsi="Times New Roman" w:cs="Times New Roman"/>
          <w:color w:val="000000" w:themeColor="text1"/>
        </w:rPr>
        <w:t xml:space="preserve"> Available at: </w:t>
      </w:r>
      <w:hyperlink r:id="rId22">
        <w:r w:rsidRPr="24D98E9F">
          <w:rPr>
            <w:rStyle w:val="Hyperlink"/>
            <w:rFonts w:ascii="Times New Roman" w:eastAsia="Times New Roman" w:hAnsi="Times New Roman" w:cs="Times New Roman"/>
          </w:rPr>
          <w:t>https://www.liverpool-one.com/whats-on/sephora-opens-spring-2025/</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0CF6D99C" w14:textId="49D70FB6"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Liddell Hart, B.H. (2012) </w:t>
      </w:r>
      <w:r w:rsidRPr="24D98E9F">
        <w:rPr>
          <w:rFonts w:ascii="Times New Roman" w:eastAsia="Times New Roman" w:hAnsi="Times New Roman" w:cs="Times New Roman"/>
          <w:i/>
          <w:iCs/>
          <w:color w:val="000000" w:themeColor="text1"/>
        </w:rPr>
        <w:t>Strategy: the indirect approach.</w:t>
      </w:r>
      <w:r w:rsidRPr="24D98E9F">
        <w:rPr>
          <w:rFonts w:ascii="Times New Roman" w:eastAsia="Times New Roman" w:hAnsi="Times New Roman" w:cs="Times New Roman"/>
          <w:color w:val="000000" w:themeColor="text1"/>
        </w:rPr>
        <w:t xml:space="preserve"> Pentagon Press. </w:t>
      </w:r>
      <w:hyperlink r:id="rId23">
        <w:r w:rsidRPr="24D98E9F">
          <w:rPr>
            <w:rStyle w:val="Hyperlink"/>
            <w:rFonts w:ascii="Times New Roman" w:eastAsia="Times New Roman" w:hAnsi="Times New Roman" w:cs="Times New Roman"/>
          </w:rPr>
          <w:t>The Strategy of Indirect Approach</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6CAE6A0B" w14:textId="73A29B96"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LMVH (2026) </w:t>
      </w:r>
      <w:r w:rsidRPr="24D98E9F">
        <w:rPr>
          <w:rFonts w:ascii="Times New Roman" w:eastAsia="Times New Roman" w:hAnsi="Times New Roman" w:cs="Times New Roman"/>
          <w:i/>
          <w:iCs/>
          <w:color w:val="000000" w:themeColor="text1"/>
        </w:rPr>
        <w:t>2025 Full Year Results</w:t>
      </w:r>
      <w:r w:rsidRPr="24D98E9F">
        <w:rPr>
          <w:rFonts w:ascii="Times New Roman" w:eastAsia="Times New Roman" w:hAnsi="Times New Roman" w:cs="Times New Roman"/>
          <w:color w:val="000000" w:themeColor="text1"/>
        </w:rPr>
        <w:t xml:space="preserve">. Available at: </w:t>
      </w:r>
      <w:hyperlink r:id="rId24">
        <w:r w:rsidRPr="24D98E9F">
          <w:rPr>
            <w:rStyle w:val="Hyperlink"/>
            <w:rFonts w:ascii="Times New Roman" w:eastAsia="Times New Roman" w:hAnsi="Times New Roman" w:cs="Times New Roman"/>
          </w:rPr>
          <w:t>https://www.lvmh.com/en/financial-calendar/2025-full-year-results</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2D768AD1" w14:textId="77A28F20"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LVMH (2024) </w:t>
      </w:r>
      <w:r w:rsidRPr="24D98E9F">
        <w:rPr>
          <w:rFonts w:ascii="Times New Roman" w:eastAsia="Times New Roman" w:hAnsi="Times New Roman" w:cs="Times New Roman"/>
          <w:i/>
          <w:iCs/>
          <w:color w:val="000000" w:themeColor="text1"/>
          <w:lang w:val="en-US"/>
        </w:rPr>
        <w:t>2023: New record year for LVMH</w:t>
      </w:r>
      <w:r w:rsidRPr="24D98E9F">
        <w:rPr>
          <w:rFonts w:ascii="Times New Roman" w:eastAsia="Times New Roman" w:hAnsi="Times New Roman" w:cs="Times New Roman"/>
          <w:color w:val="000000" w:themeColor="text1"/>
          <w:lang w:val="en-US"/>
        </w:rPr>
        <w:t xml:space="preserve">, Available at: </w:t>
      </w:r>
      <w:hyperlink r:id="rId25">
        <w:r w:rsidRPr="24D98E9F">
          <w:rPr>
            <w:rStyle w:val="Hyperlink"/>
            <w:rFonts w:ascii="Times New Roman" w:eastAsia="Times New Roman" w:hAnsi="Times New Roman" w:cs="Times New Roman"/>
            <w:lang w:val="en-US"/>
          </w:rPr>
          <w:t>https://www.lvmh.com/en/publications/2023-new-record-year-for-lvmh</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05BC6012" w14:textId="71E39422"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lastRenderedPageBreak/>
        <w:t xml:space="preserve">LVMH (2024) </w:t>
      </w:r>
      <w:r w:rsidRPr="24D98E9F">
        <w:rPr>
          <w:rFonts w:ascii="Times New Roman" w:eastAsia="Times New Roman" w:hAnsi="Times New Roman" w:cs="Times New Roman"/>
          <w:i/>
          <w:iCs/>
          <w:color w:val="000000" w:themeColor="text1"/>
          <w:lang w:val="en-US"/>
        </w:rPr>
        <w:t xml:space="preserve">Sephora. </w:t>
      </w:r>
      <w:r w:rsidRPr="24D98E9F">
        <w:rPr>
          <w:rFonts w:ascii="Times New Roman" w:eastAsia="Times New Roman" w:hAnsi="Times New Roman" w:cs="Times New Roman"/>
          <w:color w:val="000000" w:themeColor="text1"/>
          <w:lang w:val="en-US"/>
        </w:rPr>
        <w:t xml:space="preserve">Available at: </w:t>
      </w:r>
      <w:hyperlink r:id="rId26">
        <w:r w:rsidRPr="24D98E9F">
          <w:rPr>
            <w:rStyle w:val="Hyperlink"/>
            <w:rFonts w:ascii="Times New Roman" w:eastAsia="Times New Roman" w:hAnsi="Times New Roman" w:cs="Times New Roman"/>
            <w:lang w:val="en-US"/>
          </w:rPr>
          <w:t>https://www.lvmh.com/en/our-maisons/selective-retailing/sephora</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13ED4BCD" w14:textId="1719C683"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Mintel (2024) </w:t>
      </w:r>
      <w:r w:rsidRPr="24D98E9F">
        <w:rPr>
          <w:rFonts w:ascii="Times New Roman" w:eastAsia="Times New Roman" w:hAnsi="Times New Roman" w:cs="Times New Roman"/>
          <w:i/>
          <w:iCs/>
          <w:color w:val="000000" w:themeColor="text1"/>
          <w:lang w:val="en-US"/>
        </w:rPr>
        <w:t>UK Beauty Retailing Market Report</w:t>
      </w:r>
      <w:r w:rsidRPr="24D98E9F">
        <w:rPr>
          <w:rFonts w:ascii="Times New Roman" w:eastAsia="Times New Roman" w:hAnsi="Times New Roman" w:cs="Times New Roman"/>
          <w:color w:val="000000" w:themeColor="text1"/>
          <w:lang w:val="en-US"/>
        </w:rPr>
        <w:t xml:space="preserve">. Available at: </w:t>
      </w:r>
      <w:hyperlink r:id="rId27">
        <w:r w:rsidRPr="24D98E9F">
          <w:rPr>
            <w:rStyle w:val="Hyperlink"/>
            <w:rFonts w:ascii="Times New Roman" w:eastAsia="Times New Roman" w:hAnsi="Times New Roman" w:cs="Times New Roman"/>
            <w:lang w:val="en-US"/>
          </w:rPr>
          <w:t>https://www.mintel.com</w:t>
        </w:r>
      </w:hyperlink>
      <w:r w:rsidRPr="24D98E9F">
        <w:rPr>
          <w:rFonts w:ascii="Times New Roman" w:eastAsia="Times New Roman" w:hAnsi="Times New Roman" w:cs="Times New Roman"/>
          <w:color w:val="000000" w:themeColor="text1"/>
          <w:lang w:val="en-US"/>
        </w:rPr>
        <w:t xml:space="preserve"> (Accessed: 26th March 2026)  </w:t>
      </w:r>
    </w:p>
    <w:p w14:paraId="43E564CE" w14:textId="5B715065"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Morden, T. (2017) </w:t>
      </w:r>
      <w:r w:rsidRPr="24D98E9F">
        <w:rPr>
          <w:rFonts w:ascii="Times New Roman" w:eastAsia="Times New Roman" w:hAnsi="Times New Roman" w:cs="Times New Roman"/>
          <w:i/>
          <w:iCs/>
          <w:color w:val="000000" w:themeColor="text1"/>
          <w:lang w:val="en-US"/>
        </w:rPr>
        <w:t>Principles of strategic management</w:t>
      </w:r>
      <w:r w:rsidRPr="24D98E9F">
        <w:rPr>
          <w:rFonts w:ascii="Times New Roman" w:eastAsia="Times New Roman" w:hAnsi="Times New Roman" w:cs="Times New Roman"/>
          <w:color w:val="000000" w:themeColor="text1"/>
          <w:lang w:val="en-US"/>
        </w:rPr>
        <w:t xml:space="preserve">. 3rd ed. Routledge. Available at: </w:t>
      </w:r>
      <w:hyperlink r:id="rId28">
        <w:r w:rsidRPr="24D98E9F">
          <w:rPr>
            <w:rStyle w:val="Hyperlink"/>
            <w:rFonts w:ascii="Times New Roman" w:eastAsia="Times New Roman" w:hAnsi="Times New Roman" w:cs="Times New Roman"/>
            <w:lang w:val="en-US"/>
          </w:rPr>
          <w:t>https://doi.org/10.4324/9781315602172</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381B20B2" w14:textId="0EB99EFB"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Morgan, J.P. (2023) </w:t>
      </w:r>
      <w:r w:rsidRPr="24D98E9F">
        <w:rPr>
          <w:rFonts w:ascii="Times New Roman" w:eastAsia="Times New Roman" w:hAnsi="Times New Roman" w:cs="Times New Roman"/>
          <w:i/>
          <w:iCs/>
          <w:color w:val="000000" w:themeColor="text1"/>
          <w:lang w:val="en-US"/>
        </w:rPr>
        <w:t>Luxury market outlook.</w:t>
      </w:r>
      <w:r w:rsidRPr="24D98E9F">
        <w:rPr>
          <w:rFonts w:ascii="Times New Roman" w:eastAsia="Times New Roman" w:hAnsi="Times New Roman" w:cs="Times New Roman"/>
          <w:color w:val="000000" w:themeColor="text1"/>
          <w:lang w:val="en-US"/>
        </w:rPr>
        <w:t xml:space="preserve"> Available at: </w:t>
      </w:r>
      <w:hyperlink r:id="rId29">
        <w:r w:rsidRPr="24D98E9F">
          <w:rPr>
            <w:rStyle w:val="Hyperlink"/>
            <w:rFonts w:ascii="Times New Roman" w:eastAsia="Times New Roman" w:hAnsi="Times New Roman" w:cs="Times New Roman"/>
            <w:lang w:val="en-US"/>
          </w:rPr>
          <w:t>https://www.jpmorgan.com/insights/global-research/retail/luxury-market</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25014DBF" w14:textId="283BDFB5"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Nazir, S (2021) </w:t>
      </w:r>
      <w:r w:rsidRPr="24D98E9F">
        <w:rPr>
          <w:rFonts w:ascii="Times New Roman" w:eastAsia="Times New Roman" w:hAnsi="Times New Roman" w:cs="Times New Roman"/>
          <w:i/>
          <w:iCs/>
          <w:color w:val="000000" w:themeColor="text1"/>
          <w:lang w:val="en-US"/>
        </w:rPr>
        <w:t>Sephora completes £132m acquisition of Feelunique</w:t>
      </w:r>
      <w:r w:rsidRPr="24D98E9F">
        <w:rPr>
          <w:rFonts w:ascii="Times New Roman" w:eastAsia="Times New Roman" w:hAnsi="Times New Roman" w:cs="Times New Roman"/>
          <w:color w:val="000000" w:themeColor="text1"/>
          <w:lang w:val="en-US"/>
        </w:rPr>
        <w:t xml:space="preserve">  Available at: </w:t>
      </w:r>
      <w:hyperlink r:id="rId30">
        <w:r w:rsidRPr="24D98E9F">
          <w:rPr>
            <w:rStyle w:val="Hyperlink"/>
            <w:rFonts w:ascii="Times New Roman" w:eastAsia="Times New Roman" w:hAnsi="Times New Roman" w:cs="Times New Roman"/>
            <w:lang w:val="en-US"/>
          </w:rPr>
          <w:t>https://www.retailgazette.co.uk/blog/2021/09/sephora-completes-132m-acquisition-of-feelunique/</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74B42F5B" w14:textId="5B3D85F6"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Pintilie, M. and Stadoleanu, D. (2024) ‘Analysis of the Sephora Company – Model of a Sustainable Transnational Corporation’, </w:t>
      </w:r>
      <w:r w:rsidRPr="24D98E9F">
        <w:rPr>
          <w:rFonts w:ascii="Times New Roman" w:eastAsia="Times New Roman" w:hAnsi="Times New Roman" w:cs="Times New Roman"/>
          <w:i/>
          <w:iCs/>
          <w:color w:val="000000" w:themeColor="text1"/>
          <w:lang w:val="en-US"/>
        </w:rPr>
        <w:t>Economics and Applied Informatics,</w:t>
      </w:r>
      <w:r w:rsidRPr="24D98E9F">
        <w:rPr>
          <w:rFonts w:ascii="Times New Roman" w:eastAsia="Times New Roman" w:hAnsi="Times New Roman" w:cs="Times New Roman"/>
          <w:color w:val="000000" w:themeColor="text1"/>
          <w:lang w:val="en-US"/>
        </w:rPr>
        <w:t xml:space="preserve"> (3), pp. 444–448. Available at: </w:t>
      </w:r>
      <w:hyperlink r:id="rId31">
        <w:r w:rsidRPr="24D98E9F">
          <w:rPr>
            <w:rStyle w:val="Hyperlink"/>
            <w:rFonts w:ascii="Times New Roman" w:eastAsia="Times New Roman" w:hAnsi="Times New Roman" w:cs="Times New Roman"/>
            <w:lang w:val="en-US"/>
          </w:rPr>
          <w:t>https://doi.org/10.35219/eai15840409472</w:t>
        </w:r>
      </w:hyperlink>
      <w:r w:rsidRPr="24D98E9F">
        <w:rPr>
          <w:rFonts w:ascii="Times New Roman" w:eastAsia="Times New Roman" w:hAnsi="Times New Roman" w:cs="Times New Roman"/>
          <w:color w:val="000000" w:themeColor="text1"/>
          <w:lang w:val="en-US"/>
        </w:rPr>
        <w:t>.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2F44A797" w14:textId="20CBE820"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Pitt, S. (2022) </w:t>
      </w:r>
      <w:r w:rsidRPr="24D98E9F">
        <w:rPr>
          <w:rFonts w:ascii="Times New Roman" w:eastAsia="Times New Roman" w:hAnsi="Times New Roman" w:cs="Times New Roman"/>
          <w:i/>
          <w:iCs/>
          <w:color w:val="000000" w:themeColor="text1"/>
          <w:lang w:val="en-US"/>
        </w:rPr>
        <w:t>Cost Of Living Crisis’ Impacting UK Beauty,</w:t>
      </w:r>
      <w:r w:rsidRPr="24D98E9F">
        <w:rPr>
          <w:rFonts w:ascii="Times New Roman" w:eastAsia="Times New Roman" w:hAnsi="Times New Roman" w:cs="Times New Roman"/>
          <w:color w:val="000000" w:themeColor="text1"/>
          <w:lang w:val="en-US"/>
        </w:rPr>
        <w:t xml:space="preserve"> Available at: </w:t>
      </w:r>
      <w:hyperlink r:id="rId32">
        <w:r w:rsidRPr="24D98E9F">
          <w:rPr>
            <w:rStyle w:val="Hyperlink"/>
            <w:rFonts w:ascii="Times New Roman" w:eastAsia="Times New Roman" w:hAnsi="Times New Roman" w:cs="Times New Roman"/>
            <w:lang w:val="en-US"/>
          </w:rPr>
          <w:t>https://beautymatter.com/articles/cost-of-living-crisis-impacting-uk-beauty</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52C18421" w14:textId="39E95180"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Pitt, S. (2026) </w:t>
      </w:r>
      <w:r w:rsidRPr="24D98E9F">
        <w:rPr>
          <w:rFonts w:ascii="Times New Roman" w:eastAsia="Times New Roman" w:hAnsi="Times New Roman" w:cs="Times New Roman"/>
          <w:i/>
          <w:iCs/>
          <w:color w:val="000000" w:themeColor="text1"/>
          <w:lang w:val="en-US"/>
        </w:rPr>
        <w:t>Sephora’s Second Act in the UK Comes in a Smaller (But Smarter) Package</w:t>
      </w:r>
      <w:r w:rsidRPr="24D98E9F">
        <w:rPr>
          <w:rFonts w:ascii="Times New Roman" w:eastAsia="Times New Roman" w:hAnsi="Times New Roman" w:cs="Times New Roman"/>
          <w:color w:val="000000" w:themeColor="text1"/>
          <w:lang w:val="en-US"/>
        </w:rPr>
        <w:t xml:space="preserve">, Available at: </w:t>
      </w:r>
      <w:hyperlink r:id="rId33">
        <w:r w:rsidRPr="24D98E9F">
          <w:rPr>
            <w:rStyle w:val="Hyperlink"/>
            <w:rFonts w:ascii="Times New Roman" w:eastAsia="Times New Roman" w:hAnsi="Times New Roman" w:cs="Times New Roman"/>
            <w:lang w:val="en-US"/>
          </w:rPr>
          <w:t>https://beautymatter.com/articles/sephoras-second-act-in-the-uk</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08494EBA" w14:textId="2CB5BBC2"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Renascence, (2024) </w:t>
      </w:r>
      <w:r w:rsidRPr="24D98E9F">
        <w:rPr>
          <w:rFonts w:ascii="Times New Roman" w:eastAsia="Times New Roman" w:hAnsi="Times New Roman" w:cs="Times New Roman"/>
          <w:i/>
          <w:iCs/>
          <w:color w:val="000000" w:themeColor="text1"/>
          <w:lang w:val="en-US"/>
        </w:rPr>
        <w:t>How Sephora Enhances Customer Experience (CX) Through Personalization and Digital Innovation</w:t>
      </w:r>
      <w:r w:rsidRPr="24D98E9F">
        <w:rPr>
          <w:rFonts w:ascii="Times New Roman" w:eastAsia="Times New Roman" w:hAnsi="Times New Roman" w:cs="Times New Roman"/>
          <w:color w:val="000000" w:themeColor="text1"/>
          <w:lang w:val="en-US"/>
        </w:rPr>
        <w:t xml:space="preserve">. Available at: </w:t>
      </w:r>
      <w:hyperlink r:id="rId34">
        <w:r w:rsidRPr="24D98E9F">
          <w:rPr>
            <w:rStyle w:val="Hyperlink"/>
            <w:rFonts w:ascii="Times New Roman" w:eastAsia="Times New Roman" w:hAnsi="Times New Roman" w:cs="Times New Roman"/>
            <w:lang w:val="en-US"/>
          </w:rPr>
          <w:t>https://www.renascence.io/journal/how-sephora-enhances-customer-experience-cx-through-personalization-and-digital-innovation</w:t>
        </w:r>
      </w:hyperlink>
      <w:r w:rsidRPr="24D98E9F">
        <w:rPr>
          <w:rFonts w:ascii="Times New Roman" w:eastAsia="Times New Roman" w:hAnsi="Times New Roman" w:cs="Times New Roman"/>
          <w:color w:val="000000" w:themeColor="text1"/>
          <w:lang w:val="en-US"/>
        </w:rPr>
        <w:t>.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3FF9EAD4" w14:textId="7ADC55E5"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Seijin (2025) </w:t>
      </w:r>
      <w:r w:rsidRPr="24D98E9F">
        <w:rPr>
          <w:rFonts w:ascii="Times New Roman" w:eastAsia="Times New Roman" w:hAnsi="Times New Roman" w:cs="Times New Roman"/>
          <w:i/>
          <w:iCs/>
          <w:color w:val="000000" w:themeColor="text1"/>
          <w:lang w:val="en-US"/>
        </w:rPr>
        <w:t>Sephora Social Media Strategy: Case Study</w:t>
      </w:r>
      <w:r w:rsidRPr="24D98E9F">
        <w:rPr>
          <w:rFonts w:ascii="Times New Roman" w:eastAsia="Times New Roman" w:hAnsi="Times New Roman" w:cs="Times New Roman"/>
          <w:color w:val="000000" w:themeColor="text1"/>
          <w:lang w:val="en-US"/>
        </w:rPr>
        <w:t xml:space="preserve">. Available at: </w:t>
      </w:r>
      <w:hyperlink r:id="rId35">
        <w:r w:rsidRPr="24D98E9F">
          <w:rPr>
            <w:rStyle w:val="Hyperlink"/>
            <w:rFonts w:ascii="Times New Roman" w:eastAsia="Times New Roman" w:hAnsi="Times New Roman" w:cs="Times New Roman"/>
            <w:lang w:val="en-US"/>
          </w:rPr>
          <w:t>https://www.enrichlabs.ai/case-study/sephora-social-media-strategy</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7965DC5B" w14:textId="0AAB7053"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lastRenderedPageBreak/>
        <w:t xml:space="preserve">Smith, S. (2024) </w:t>
      </w:r>
      <w:r w:rsidRPr="24D98E9F">
        <w:rPr>
          <w:rFonts w:ascii="Times New Roman" w:eastAsia="Times New Roman" w:hAnsi="Times New Roman" w:cs="Times New Roman"/>
          <w:i/>
          <w:iCs/>
          <w:color w:val="000000" w:themeColor="text1"/>
          <w:lang w:val="en-US"/>
        </w:rPr>
        <w:t>Sephora lifts LVMH revenue as it continues UK expansion.</w:t>
      </w:r>
      <w:r w:rsidRPr="24D98E9F">
        <w:rPr>
          <w:rFonts w:ascii="Times New Roman" w:eastAsia="Times New Roman" w:hAnsi="Times New Roman" w:cs="Times New Roman"/>
          <w:color w:val="000000" w:themeColor="text1"/>
          <w:lang w:val="en-US"/>
        </w:rPr>
        <w:t xml:space="preserve"> Available at: </w:t>
      </w:r>
      <w:hyperlink r:id="rId36">
        <w:r w:rsidRPr="24D98E9F">
          <w:rPr>
            <w:rStyle w:val="Hyperlink"/>
            <w:rFonts w:ascii="Times New Roman" w:eastAsia="Times New Roman" w:hAnsi="Times New Roman" w:cs="Times New Roman"/>
            <w:lang w:val="en-US"/>
          </w:rPr>
          <w:t>Sephora lifts LVMH revenue as it continues UK expansion - TheIndustry.beauty</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75A455EE" w14:textId="443609D1"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Schiffer, J. (2018) </w:t>
      </w:r>
      <w:r w:rsidRPr="24D98E9F">
        <w:rPr>
          <w:rFonts w:ascii="Times New Roman" w:eastAsia="Times New Roman" w:hAnsi="Times New Roman" w:cs="Times New Roman"/>
          <w:i/>
          <w:iCs/>
          <w:color w:val="000000" w:themeColor="text1"/>
          <w:lang w:val="en-US"/>
        </w:rPr>
        <w:t>Sephora is capitalizing on limited edition by commissioning exclusive products from brands.</w:t>
      </w:r>
      <w:r w:rsidRPr="24D98E9F">
        <w:rPr>
          <w:rFonts w:ascii="Times New Roman" w:eastAsia="Times New Roman" w:hAnsi="Times New Roman" w:cs="Times New Roman"/>
          <w:color w:val="000000" w:themeColor="text1"/>
          <w:lang w:val="en-US"/>
        </w:rPr>
        <w:t xml:space="preserve"> Available at: </w:t>
      </w:r>
      <w:hyperlink r:id="rId37">
        <w:r w:rsidRPr="24D98E9F">
          <w:rPr>
            <w:rStyle w:val="Hyperlink"/>
            <w:rFonts w:ascii="Times New Roman" w:eastAsia="Times New Roman" w:hAnsi="Times New Roman" w:cs="Times New Roman"/>
            <w:lang w:val="en-US"/>
          </w:rPr>
          <w:t>https://digiday.com/marketing/sephora-capitalizing-limited-edition-commissioning-exclusive-products-brands/</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6941C358" w14:textId="5ABADB6A"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Sephora (2019) </w:t>
      </w:r>
      <w:r w:rsidRPr="24D98E9F">
        <w:rPr>
          <w:rFonts w:ascii="Times New Roman" w:eastAsia="Times New Roman" w:hAnsi="Times New Roman" w:cs="Times New Roman"/>
          <w:i/>
          <w:iCs/>
          <w:color w:val="000000" w:themeColor="text1"/>
          <w:lang w:val="en-US"/>
        </w:rPr>
        <w:t>Sephora Brands</w:t>
      </w:r>
      <w:r w:rsidRPr="24D98E9F">
        <w:rPr>
          <w:rFonts w:ascii="Times New Roman" w:eastAsia="Times New Roman" w:hAnsi="Times New Roman" w:cs="Times New Roman"/>
          <w:color w:val="000000" w:themeColor="text1"/>
          <w:lang w:val="en-US"/>
        </w:rPr>
        <w:t xml:space="preserve">. Available at: </w:t>
      </w:r>
      <w:hyperlink r:id="rId38">
        <w:r w:rsidRPr="24D98E9F">
          <w:rPr>
            <w:rStyle w:val="Hyperlink"/>
            <w:rFonts w:ascii="Times New Roman" w:eastAsia="Times New Roman" w:hAnsi="Times New Roman" w:cs="Times New Roman"/>
            <w:lang w:val="en-US"/>
          </w:rPr>
          <w:t>https://www.sephora.com/brands-list</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2BA76F3A" w14:textId="55CE0C1B"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Sephora (2025) </w:t>
      </w:r>
      <w:r w:rsidRPr="24D98E9F">
        <w:rPr>
          <w:rFonts w:ascii="Times New Roman" w:eastAsia="Times New Roman" w:hAnsi="Times New Roman" w:cs="Times New Roman"/>
          <w:i/>
          <w:iCs/>
          <w:color w:val="000000" w:themeColor="text1"/>
          <w:lang w:val="en-US"/>
        </w:rPr>
        <w:t xml:space="preserve">About Sephora. </w:t>
      </w:r>
      <w:r w:rsidRPr="24D98E9F">
        <w:rPr>
          <w:rFonts w:ascii="Times New Roman" w:eastAsia="Times New Roman" w:hAnsi="Times New Roman" w:cs="Times New Roman"/>
          <w:color w:val="000000" w:themeColor="text1"/>
          <w:lang w:val="en-US"/>
        </w:rPr>
        <w:t xml:space="preserve">Available at:  </w:t>
      </w:r>
      <w:hyperlink r:id="rId39">
        <w:r w:rsidRPr="24D98E9F">
          <w:rPr>
            <w:rStyle w:val="Hyperlink"/>
            <w:rFonts w:ascii="Times New Roman" w:eastAsia="Times New Roman" w:hAnsi="Times New Roman" w:cs="Times New Roman"/>
            <w:lang w:val="en-US"/>
          </w:rPr>
          <w:t>About Us | Sephora</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2D45AD7E" w14:textId="7718482F"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Sephora (2026) </w:t>
      </w:r>
      <w:r w:rsidRPr="24D98E9F">
        <w:rPr>
          <w:rFonts w:ascii="Times New Roman" w:eastAsia="Times New Roman" w:hAnsi="Times New Roman" w:cs="Times New Roman"/>
          <w:i/>
          <w:iCs/>
          <w:color w:val="000000" w:themeColor="text1"/>
          <w:lang w:val="en-US"/>
        </w:rPr>
        <w:t>LVMH.</w:t>
      </w:r>
      <w:r w:rsidRPr="24D98E9F">
        <w:rPr>
          <w:rFonts w:ascii="Times New Roman" w:eastAsia="Times New Roman" w:hAnsi="Times New Roman" w:cs="Times New Roman"/>
          <w:color w:val="000000" w:themeColor="text1"/>
          <w:lang w:val="en-US"/>
        </w:rPr>
        <w:t xml:space="preserve"> Available at: </w:t>
      </w:r>
      <w:hyperlink r:id="rId40">
        <w:r w:rsidRPr="24D98E9F">
          <w:rPr>
            <w:rStyle w:val="Hyperlink"/>
            <w:rFonts w:ascii="Times New Roman" w:eastAsia="Times New Roman" w:hAnsi="Times New Roman" w:cs="Times New Roman"/>
            <w:lang w:val="en-US"/>
          </w:rPr>
          <w:t>https://www.lvmh.com/en/our-maisons/selective-retailing/sephora</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04C8D611" w14:textId="03C1810E"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Shahab, S. and Webb, B. (</w:t>
      </w:r>
      <w:proofErr w:type="gramStart"/>
      <w:r w:rsidRPr="24D98E9F">
        <w:rPr>
          <w:rFonts w:ascii="Times New Roman" w:eastAsia="Times New Roman" w:hAnsi="Times New Roman" w:cs="Times New Roman"/>
          <w:color w:val="000000" w:themeColor="text1"/>
          <w:lang w:val="en-US"/>
        </w:rPr>
        <w:t>2024) ‘</w:t>
      </w:r>
      <w:proofErr w:type="gramEnd"/>
      <w:r w:rsidRPr="24D98E9F">
        <w:rPr>
          <w:rFonts w:ascii="Times New Roman" w:eastAsia="Times New Roman" w:hAnsi="Times New Roman" w:cs="Times New Roman"/>
          <w:color w:val="000000" w:themeColor="text1"/>
          <w:lang w:val="en-US"/>
        </w:rPr>
        <w:t xml:space="preserve">How are the UK Core Cities responding to retail-related challenges in city centres?’, </w:t>
      </w:r>
      <w:r w:rsidRPr="24D98E9F">
        <w:rPr>
          <w:rFonts w:ascii="Times New Roman" w:eastAsia="Times New Roman" w:hAnsi="Times New Roman" w:cs="Times New Roman"/>
          <w:i/>
          <w:iCs/>
          <w:color w:val="000000" w:themeColor="text1"/>
          <w:lang w:val="en-US"/>
        </w:rPr>
        <w:t>Local economy</w:t>
      </w:r>
      <w:r w:rsidRPr="24D98E9F">
        <w:rPr>
          <w:rFonts w:ascii="Times New Roman" w:eastAsia="Times New Roman" w:hAnsi="Times New Roman" w:cs="Times New Roman"/>
          <w:color w:val="000000" w:themeColor="text1"/>
          <w:lang w:val="en-US"/>
        </w:rPr>
        <w:t xml:space="preserve">, 38(7). Available at: </w:t>
      </w:r>
      <w:hyperlink r:id="rId41">
        <w:r w:rsidRPr="24D98E9F">
          <w:rPr>
            <w:rStyle w:val="Hyperlink"/>
            <w:rFonts w:ascii="Times New Roman" w:eastAsia="Times New Roman" w:hAnsi="Times New Roman" w:cs="Times New Roman"/>
            <w:lang w:val="en-US"/>
          </w:rPr>
          <w:t>https://doi.org/10.1177/02690942241258138</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6DAD2BF0" w14:textId="57028AA5"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i/>
          <w:iCs/>
          <w:color w:val="000000" w:themeColor="text1"/>
        </w:rPr>
        <w:t>Similar Web (2025) Top sites like sephora.co.uk</w:t>
      </w:r>
      <w:r w:rsidRPr="24D98E9F">
        <w:rPr>
          <w:rFonts w:ascii="Times New Roman" w:eastAsia="Times New Roman" w:hAnsi="Times New Roman" w:cs="Times New Roman"/>
          <w:color w:val="000000" w:themeColor="text1"/>
        </w:rPr>
        <w:t xml:space="preserve">. Available at: </w:t>
      </w:r>
      <w:hyperlink r:id="rId42">
        <w:r w:rsidRPr="24D98E9F">
          <w:rPr>
            <w:rStyle w:val="Hyperlink"/>
            <w:rFonts w:ascii="Times New Roman" w:eastAsia="Times New Roman" w:hAnsi="Times New Roman" w:cs="Times New Roman"/>
          </w:rPr>
          <w:t>https://www.similarweb.com</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3AAADFEE" w14:textId="0D62D738"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Social Plus (2026). </w:t>
      </w:r>
      <w:r w:rsidRPr="24D98E9F">
        <w:rPr>
          <w:rFonts w:ascii="Times New Roman" w:eastAsia="Times New Roman" w:hAnsi="Times New Roman" w:cs="Times New Roman"/>
          <w:i/>
          <w:iCs/>
          <w:color w:val="000000" w:themeColor="text1"/>
          <w:lang w:val="en-US"/>
        </w:rPr>
        <w:t xml:space="preserve">Over 80% of Sephora’s Sales Come from Loyal Customers – Why Emotional Loyalty Drives Growth. </w:t>
      </w:r>
      <w:r w:rsidRPr="24D98E9F">
        <w:rPr>
          <w:rFonts w:ascii="Times New Roman" w:eastAsia="Times New Roman" w:hAnsi="Times New Roman" w:cs="Times New Roman"/>
          <w:color w:val="000000" w:themeColor="text1"/>
          <w:lang w:val="en-US"/>
        </w:rPr>
        <w:t xml:space="preserve">Available at: </w:t>
      </w:r>
      <w:hyperlink r:id="rId43">
        <w:r w:rsidRPr="24D98E9F">
          <w:rPr>
            <w:rStyle w:val="Hyperlink"/>
            <w:rFonts w:ascii="Times New Roman" w:eastAsia="Times New Roman" w:hAnsi="Times New Roman" w:cs="Times New Roman"/>
            <w:lang w:val="en-US"/>
          </w:rPr>
          <w:t>https://www.social.plus/blog/over-80-of-sephoras-sales-come-from-loyal-customers---why-emotional-loyalty-drives-growth</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0FB4E74E" w14:textId="1440C5D1"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Statista (2026) </w:t>
      </w:r>
      <w:r w:rsidRPr="24D98E9F">
        <w:rPr>
          <w:rFonts w:ascii="Times New Roman" w:eastAsia="Times New Roman" w:hAnsi="Times New Roman" w:cs="Times New Roman"/>
          <w:i/>
          <w:iCs/>
          <w:color w:val="000000" w:themeColor="text1"/>
          <w:lang w:val="en-US"/>
        </w:rPr>
        <w:t>Beauty &amp; Personal Care - United Kingdom.</w:t>
      </w:r>
      <w:r w:rsidRPr="24D98E9F">
        <w:rPr>
          <w:rFonts w:ascii="Times New Roman" w:eastAsia="Times New Roman" w:hAnsi="Times New Roman" w:cs="Times New Roman"/>
          <w:color w:val="000000" w:themeColor="text1"/>
          <w:lang w:val="en-US"/>
        </w:rPr>
        <w:t xml:space="preserve"> Available at: </w:t>
      </w:r>
      <w:hyperlink r:id="rId44" w:anchor="revenue">
        <w:r w:rsidRPr="24D98E9F">
          <w:rPr>
            <w:rStyle w:val="Hyperlink"/>
            <w:rFonts w:ascii="Times New Roman" w:eastAsia="Times New Roman" w:hAnsi="Times New Roman" w:cs="Times New Roman"/>
            <w:lang w:val="en-US"/>
          </w:rPr>
          <w:t>Beauty &amp; Personal Care - United Kingdom | Market Forecast</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052E2508" w14:textId="47CC460E"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UK Cosmetic Regulator (2019)</w:t>
      </w:r>
      <w:r w:rsidRPr="24D98E9F">
        <w:rPr>
          <w:rFonts w:ascii="Times New Roman" w:eastAsia="Times New Roman" w:hAnsi="Times New Roman" w:cs="Times New Roman"/>
          <w:i/>
          <w:iCs/>
          <w:color w:val="000000" w:themeColor="text1"/>
          <w:lang w:val="en-US"/>
        </w:rPr>
        <w:t xml:space="preserve"> THE COSMETIC REGULATOR United Kingdom &amp; Europe.</w:t>
      </w:r>
      <w:r w:rsidRPr="24D98E9F">
        <w:rPr>
          <w:rFonts w:ascii="Times New Roman" w:eastAsia="Times New Roman" w:hAnsi="Times New Roman" w:cs="Times New Roman"/>
          <w:color w:val="000000" w:themeColor="text1"/>
          <w:lang w:val="en-US"/>
        </w:rPr>
        <w:t xml:space="preserve"> Available at: </w:t>
      </w:r>
      <w:hyperlink r:id="rId45">
        <w:r w:rsidRPr="24D98E9F">
          <w:rPr>
            <w:rStyle w:val="Hyperlink"/>
            <w:rFonts w:ascii="Times New Roman" w:eastAsia="Times New Roman" w:hAnsi="Times New Roman" w:cs="Times New Roman"/>
            <w:lang w:val="en-US"/>
          </w:rPr>
          <w:t>UK &amp; EU | Ensure Compliance Today — The Cosmetic Regulator</w:t>
        </w:r>
      </w:hyperlink>
      <w:r w:rsidRPr="24D98E9F">
        <w:rPr>
          <w:rFonts w:ascii="Times New Roman" w:eastAsia="Times New Roman" w:hAnsi="Times New Roman" w:cs="Times New Roman"/>
          <w:color w:val="000000" w:themeColor="text1"/>
          <w:lang w:val="en-US"/>
        </w:rPr>
        <w:t xml:space="preserve">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267E3280" w14:textId="1D4B2297"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Warn, G. (2025) </w:t>
      </w:r>
      <w:r w:rsidRPr="24D98E9F">
        <w:rPr>
          <w:rFonts w:ascii="Times New Roman" w:eastAsia="Times New Roman" w:hAnsi="Times New Roman" w:cs="Times New Roman"/>
          <w:i/>
          <w:iCs/>
          <w:color w:val="000000" w:themeColor="text1"/>
        </w:rPr>
        <w:t>UK prestige beauty sales outpace other EU5 markets.</w:t>
      </w:r>
      <w:r w:rsidRPr="24D98E9F">
        <w:rPr>
          <w:rFonts w:ascii="Times New Roman" w:eastAsia="Times New Roman" w:hAnsi="Times New Roman" w:cs="Times New Roman"/>
          <w:color w:val="000000" w:themeColor="text1"/>
        </w:rPr>
        <w:t xml:space="preserve"> Available at: </w:t>
      </w:r>
      <w:hyperlink r:id="rId46">
        <w:r w:rsidRPr="24D98E9F">
          <w:rPr>
            <w:rStyle w:val="Hyperlink"/>
            <w:rFonts w:ascii="Times New Roman" w:eastAsia="Times New Roman" w:hAnsi="Times New Roman" w:cs="Times New Roman"/>
          </w:rPr>
          <w:t>https://britishbeautycouncil.com/uk-prestige-beauty-eu5/</w:t>
        </w:r>
      </w:hyperlink>
      <w:r w:rsidRPr="24D98E9F">
        <w:rPr>
          <w:rFonts w:ascii="Times New Roman" w:eastAsia="Times New Roman" w:hAnsi="Times New Roman" w:cs="Times New Roman"/>
          <w:color w:val="000000" w:themeColor="text1"/>
        </w:rPr>
        <w:t xml:space="preserve">. </w:t>
      </w:r>
      <w:r w:rsidRPr="24D98E9F">
        <w:rPr>
          <w:rFonts w:ascii="Times New Roman" w:eastAsia="Times New Roman" w:hAnsi="Times New Roman" w:cs="Times New Roman"/>
          <w:color w:val="000000" w:themeColor="text1"/>
          <w:lang w:val="en-US"/>
        </w:rPr>
        <w:t>[Accessed: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7E6F9DD3" w14:textId="4E532310"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lang w:val="en-US"/>
        </w:rPr>
        <w:t xml:space="preserve">Weaver, K., Pacchia, M.L. and Hudson, S. (2024). </w:t>
      </w:r>
      <w:r w:rsidRPr="24D98E9F">
        <w:rPr>
          <w:rFonts w:ascii="Times New Roman" w:eastAsia="Times New Roman" w:hAnsi="Times New Roman" w:cs="Times New Roman"/>
          <w:i/>
          <w:iCs/>
          <w:color w:val="000000" w:themeColor="text1"/>
          <w:lang w:val="en-US"/>
        </w:rPr>
        <w:t xml:space="preserve">The beauty boom and beyond: Can </w:t>
      </w:r>
      <w:proofErr w:type="gramStart"/>
      <w:r w:rsidRPr="24D98E9F">
        <w:rPr>
          <w:rFonts w:ascii="Times New Roman" w:eastAsia="Times New Roman" w:hAnsi="Times New Roman" w:cs="Times New Roman"/>
          <w:i/>
          <w:iCs/>
          <w:color w:val="000000" w:themeColor="text1"/>
          <w:lang w:val="en-US"/>
        </w:rPr>
        <w:t>the industry</w:t>
      </w:r>
      <w:proofErr w:type="gramEnd"/>
      <w:r w:rsidRPr="24D98E9F">
        <w:rPr>
          <w:rFonts w:ascii="Times New Roman" w:eastAsia="Times New Roman" w:hAnsi="Times New Roman" w:cs="Times New Roman"/>
          <w:i/>
          <w:iCs/>
          <w:color w:val="000000" w:themeColor="text1"/>
          <w:lang w:val="en-US"/>
        </w:rPr>
        <w:t xml:space="preserve"> maintain its growth?</w:t>
      </w:r>
      <w:r w:rsidRPr="24D98E9F">
        <w:rPr>
          <w:rFonts w:ascii="Times New Roman" w:eastAsia="Times New Roman" w:hAnsi="Times New Roman" w:cs="Times New Roman"/>
          <w:color w:val="000000" w:themeColor="text1"/>
          <w:lang w:val="en-US"/>
        </w:rPr>
        <w:t xml:space="preserve"> Available at: </w:t>
      </w:r>
      <w:hyperlink r:id="rId47">
        <w:r w:rsidRPr="24D98E9F">
          <w:rPr>
            <w:rStyle w:val="Hyperlink"/>
            <w:rFonts w:ascii="Times New Roman" w:eastAsia="Times New Roman" w:hAnsi="Times New Roman" w:cs="Times New Roman"/>
            <w:lang w:val="en-US"/>
          </w:rPr>
          <w:t>https://www.mckinsey.com/industries/consumer-</w:t>
        </w:r>
        <w:r w:rsidRPr="24D98E9F">
          <w:rPr>
            <w:rStyle w:val="Hyperlink"/>
            <w:rFonts w:ascii="Times New Roman" w:eastAsia="Times New Roman" w:hAnsi="Times New Roman" w:cs="Times New Roman"/>
            <w:lang w:val="en-US"/>
          </w:rPr>
          <w:lastRenderedPageBreak/>
          <w:t>packaged-goods/our-insights/the-beauty-boom-and-beyond-can-the-industry-maintain-its-growth</w:t>
        </w:r>
      </w:hyperlink>
      <w:r w:rsidRPr="24D98E9F">
        <w:rPr>
          <w:rFonts w:ascii="Times New Roman" w:eastAsia="Times New Roman" w:hAnsi="Times New Roman" w:cs="Times New Roman"/>
          <w:color w:val="000000" w:themeColor="text1"/>
          <w:lang w:val="en-US"/>
        </w:rPr>
        <w:t>. [Accessed: 26</w:t>
      </w:r>
      <w:r w:rsidRPr="24D98E9F">
        <w:rPr>
          <w:rFonts w:ascii="Times New Roman" w:eastAsia="Times New Roman" w:hAnsi="Times New Roman" w:cs="Times New Roman"/>
          <w:color w:val="000000" w:themeColor="text1"/>
          <w:vertAlign w:val="superscript"/>
          <w:lang w:val="en-US"/>
        </w:rPr>
        <w:t>th</w:t>
      </w:r>
      <w:r w:rsidRPr="24D98E9F">
        <w:rPr>
          <w:rFonts w:ascii="Times New Roman" w:eastAsia="Times New Roman" w:hAnsi="Times New Roman" w:cs="Times New Roman"/>
          <w:color w:val="000000" w:themeColor="text1"/>
          <w:lang w:val="en-US"/>
        </w:rPr>
        <w:t xml:space="preserve"> March 2026)</w:t>
      </w:r>
    </w:p>
    <w:p w14:paraId="57EF4373" w14:textId="5871A018"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Whittington, R., Regnér, R., Johnson, G., Angwin, D., and Scholes, K. (2020) </w:t>
      </w:r>
      <w:r w:rsidRPr="24D98E9F">
        <w:rPr>
          <w:rFonts w:ascii="Times New Roman" w:eastAsia="Times New Roman" w:hAnsi="Times New Roman" w:cs="Times New Roman"/>
          <w:i/>
          <w:iCs/>
          <w:color w:val="000000" w:themeColor="text1"/>
        </w:rPr>
        <w:t>Exploring Strategy</w:t>
      </w:r>
      <w:r w:rsidRPr="24D98E9F">
        <w:rPr>
          <w:rFonts w:ascii="Times New Roman" w:eastAsia="Times New Roman" w:hAnsi="Times New Roman" w:cs="Times New Roman"/>
          <w:color w:val="000000" w:themeColor="text1"/>
        </w:rPr>
        <w:t xml:space="preserve">. Pearson. Available at: </w:t>
      </w:r>
      <w:hyperlink r:id="rId48" w:anchor="v=onepage&amp;q&amp;f=false">
        <w:r w:rsidRPr="24D98E9F">
          <w:rPr>
            <w:rStyle w:val="Hyperlink"/>
            <w:rFonts w:ascii="Times New Roman" w:eastAsia="Times New Roman" w:hAnsi="Times New Roman" w:cs="Times New Roman"/>
          </w:rPr>
          <w:t>Exploring Strategy - Richard Whittington, Patrick Regnér, Gerry Johnson, Duncan Angwin, Kevan Scholes - Google Books</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2AB644CC" w14:textId="1151B02E" w:rsidR="6C4F050D" w:rsidRDefault="6C4F050D" w:rsidP="24D98E9F">
      <w:pPr>
        <w:rPr>
          <w:rFonts w:ascii="Times New Roman" w:eastAsia="Times New Roman" w:hAnsi="Times New Roman" w:cs="Times New Roman"/>
          <w:color w:val="000000" w:themeColor="text1"/>
        </w:rPr>
      </w:pPr>
      <w:r w:rsidRPr="24D98E9F">
        <w:rPr>
          <w:rFonts w:ascii="Times New Roman" w:eastAsia="Times New Roman" w:hAnsi="Times New Roman" w:cs="Times New Roman"/>
          <w:color w:val="000000" w:themeColor="text1"/>
        </w:rPr>
        <w:t xml:space="preserve">Yetim, M.A. and Gur, F.A. (2023) ‘When they are more than just employees: Environmentally conscious decision‐making in employee‐owned organizations’, </w:t>
      </w:r>
      <w:r w:rsidRPr="24D98E9F">
        <w:rPr>
          <w:rFonts w:ascii="Times New Roman" w:eastAsia="Times New Roman" w:hAnsi="Times New Roman" w:cs="Times New Roman"/>
          <w:i/>
          <w:iCs/>
          <w:color w:val="000000" w:themeColor="text1"/>
        </w:rPr>
        <w:t>Business strategy and the environment</w:t>
      </w:r>
      <w:r w:rsidRPr="24D98E9F">
        <w:rPr>
          <w:rFonts w:ascii="Times New Roman" w:eastAsia="Times New Roman" w:hAnsi="Times New Roman" w:cs="Times New Roman"/>
          <w:color w:val="000000" w:themeColor="text1"/>
        </w:rPr>
        <w:t xml:space="preserve">, 33(4). Available at: </w:t>
      </w:r>
      <w:hyperlink r:id="rId49">
        <w:r w:rsidRPr="24D98E9F">
          <w:rPr>
            <w:rStyle w:val="Hyperlink"/>
            <w:rFonts w:ascii="Times New Roman" w:eastAsia="Times New Roman" w:hAnsi="Times New Roman" w:cs="Times New Roman"/>
          </w:rPr>
          <w:t>https://doi.org/10.1002/bse.3626</w:t>
        </w:r>
      </w:hyperlink>
      <w:r w:rsidRPr="24D98E9F">
        <w:rPr>
          <w:rFonts w:ascii="Times New Roman" w:eastAsia="Times New Roman" w:hAnsi="Times New Roman" w:cs="Times New Roman"/>
          <w:color w:val="000000" w:themeColor="text1"/>
        </w:rPr>
        <w:t xml:space="preserve"> (Accessed: 26</w:t>
      </w:r>
      <w:r w:rsidRPr="24D98E9F">
        <w:rPr>
          <w:rFonts w:ascii="Times New Roman" w:eastAsia="Times New Roman" w:hAnsi="Times New Roman" w:cs="Times New Roman"/>
          <w:color w:val="000000" w:themeColor="text1"/>
          <w:vertAlign w:val="superscript"/>
        </w:rPr>
        <w:t>th</w:t>
      </w:r>
      <w:r w:rsidRPr="24D98E9F">
        <w:rPr>
          <w:rFonts w:ascii="Times New Roman" w:eastAsia="Times New Roman" w:hAnsi="Times New Roman" w:cs="Times New Roman"/>
          <w:color w:val="000000" w:themeColor="text1"/>
        </w:rPr>
        <w:t xml:space="preserve"> March 2026)</w:t>
      </w:r>
    </w:p>
    <w:p w14:paraId="0BF28287" w14:textId="6CB54620" w:rsidR="24D98E9F" w:rsidRDefault="24D98E9F" w:rsidP="24D98E9F"/>
    <w:p w14:paraId="3E1F620B" w14:textId="451015A5" w:rsidR="24D98E9F" w:rsidRDefault="24D98E9F" w:rsidP="24D98E9F">
      <w:pPr>
        <w:rPr>
          <w:rFonts w:ascii="Times New Roman" w:eastAsia="Times New Roman" w:hAnsi="Times New Roman" w:cs="Times New Roman"/>
          <w:color w:val="000000" w:themeColor="text1"/>
        </w:rPr>
      </w:pPr>
    </w:p>
    <w:p w14:paraId="0A8B569C" w14:textId="307164B3" w:rsidR="24D98E9F" w:rsidRDefault="24D98E9F" w:rsidP="24D98E9F"/>
    <w:sectPr w:rsidR="24D98E9F">
      <w:headerReference w:type="default" r:id="rId50"/>
      <w:footerReference w:type="default" r:id="rId5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91252" w14:textId="77777777" w:rsidR="00977FC1" w:rsidRDefault="00977FC1">
      <w:pPr>
        <w:spacing w:after="0" w:line="240" w:lineRule="auto"/>
      </w:pPr>
      <w:r>
        <w:separator/>
      </w:r>
    </w:p>
  </w:endnote>
  <w:endnote w:type="continuationSeparator" w:id="0">
    <w:p w14:paraId="141E6483" w14:textId="77777777" w:rsidR="00977FC1" w:rsidRDefault="00977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FC2BED2" w14:paraId="28DB2E7C" w14:textId="77777777" w:rsidTr="2FC2BED2">
      <w:trPr>
        <w:trHeight w:val="300"/>
      </w:trPr>
      <w:tc>
        <w:tcPr>
          <w:tcW w:w="3005" w:type="dxa"/>
        </w:tcPr>
        <w:p w14:paraId="1BB0FE99" w14:textId="4249A6DF" w:rsidR="2FC2BED2" w:rsidRDefault="2FC2BED2" w:rsidP="2FC2BED2">
          <w:pPr>
            <w:pStyle w:val="Header"/>
            <w:ind w:left="-115"/>
          </w:pPr>
        </w:p>
      </w:tc>
      <w:tc>
        <w:tcPr>
          <w:tcW w:w="3005" w:type="dxa"/>
        </w:tcPr>
        <w:p w14:paraId="19BD8D6C" w14:textId="4DE60A3A" w:rsidR="2FC2BED2" w:rsidRDefault="2FC2BED2" w:rsidP="2FC2BED2">
          <w:pPr>
            <w:pStyle w:val="Header"/>
            <w:jc w:val="center"/>
          </w:pPr>
        </w:p>
      </w:tc>
      <w:tc>
        <w:tcPr>
          <w:tcW w:w="3005" w:type="dxa"/>
        </w:tcPr>
        <w:p w14:paraId="6761738B" w14:textId="1B7C263B" w:rsidR="2FC2BED2" w:rsidRDefault="2FC2BED2" w:rsidP="2FC2BED2">
          <w:pPr>
            <w:pStyle w:val="Header"/>
            <w:ind w:right="-115"/>
            <w:jc w:val="right"/>
          </w:pPr>
        </w:p>
      </w:tc>
    </w:tr>
  </w:tbl>
  <w:p w14:paraId="2C6324D8" w14:textId="04CABF05" w:rsidR="2FC2BED2" w:rsidRDefault="2FC2BE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62E30" w14:textId="77777777" w:rsidR="00977FC1" w:rsidRDefault="00977FC1">
      <w:pPr>
        <w:spacing w:after="0" w:line="240" w:lineRule="auto"/>
      </w:pPr>
      <w:r>
        <w:separator/>
      </w:r>
    </w:p>
  </w:footnote>
  <w:footnote w:type="continuationSeparator" w:id="0">
    <w:p w14:paraId="66EA82F2" w14:textId="77777777" w:rsidR="00977FC1" w:rsidRDefault="00977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FC2BED2" w14:paraId="531C5F1A" w14:textId="77777777" w:rsidTr="2FC2BED2">
      <w:trPr>
        <w:trHeight w:val="300"/>
      </w:trPr>
      <w:tc>
        <w:tcPr>
          <w:tcW w:w="3005" w:type="dxa"/>
        </w:tcPr>
        <w:p w14:paraId="24140F79" w14:textId="748C56B9" w:rsidR="2FC2BED2" w:rsidRDefault="2FC2BED2" w:rsidP="2FC2BED2">
          <w:pPr>
            <w:pStyle w:val="Header"/>
            <w:ind w:left="-115"/>
          </w:pPr>
        </w:p>
      </w:tc>
      <w:tc>
        <w:tcPr>
          <w:tcW w:w="3005" w:type="dxa"/>
        </w:tcPr>
        <w:p w14:paraId="445D806F" w14:textId="1DECB22C" w:rsidR="2FC2BED2" w:rsidRDefault="2FC2BED2" w:rsidP="2FC2BED2">
          <w:pPr>
            <w:pStyle w:val="Header"/>
            <w:jc w:val="center"/>
          </w:pPr>
        </w:p>
      </w:tc>
      <w:tc>
        <w:tcPr>
          <w:tcW w:w="3005" w:type="dxa"/>
        </w:tcPr>
        <w:p w14:paraId="0882ABCE" w14:textId="6A83CF66" w:rsidR="2FC2BED2" w:rsidRDefault="2FC2BED2" w:rsidP="2FC2BED2">
          <w:pPr>
            <w:pStyle w:val="Header"/>
            <w:ind w:right="-115"/>
            <w:jc w:val="right"/>
          </w:pPr>
        </w:p>
      </w:tc>
    </w:tr>
  </w:tbl>
  <w:p w14:paraId="2ADF4201" w14:textId="7C1308CC" w:rsidR="2FC2BED2" w:rsidRDefault="2FC2BED2" w:rsidP="2FC2BED2">
    <w:pPr>
      <w:pStyle w:val="Header"/>
    </w:pPr>
  </w:p>
</w:hdr>
</file>

<file path=word/intelligence2.xml><?xml version="1.0" encoding="utf-8"?>
<int2:intelligence xmlns:int2="http://schemas.microsoft.com/office/intelligence/2020/intelligence" xmlns:oel="http://schemas.microsoft.com/office/2019/extlst">
  <int2:observations>
    <int2:textHash int2:hashCode="gbzz2UOqY0EzvY" int2:id="vaiGcKzX">
      <int2:state int2:value="Rejected" int2:type="spell"/>
    </int2:textHash>
    <int2:textHash int2:hashCode="+TYlLmPM6JfOhC" int2:id="tMHeiewT">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D60810"/>
    <w:rsid w:val="00220927"/>
    <w:rsid w:val="003E4949"/>
    <w:rsid w:val="004B6F81"/>
    <w:rsid w:val="00977FC1"/>
    <w:rsid w:val="00E9EB2B"/>
    <w:rsid w:val="00EB8231"/>
    <w:rsid w:val="00F042DF"/>
    <w:rsid w:val="010DAAAF"/>
    <w:rsid w:val="011A2B28"/>
    <w:rsid w:val="01238206"/>
    <w:rsid w:val="0155EBE1"/>
    <w:rsid w:val="017A7940"/>
    <w:rsid w:val="017B5F27"/>
    <w:rsid w:val="02C2392D"/>
    <w:rsid w:val="05FE3A30"/>
    <w:rsid w:val="061B599C"/>
    <w:rsid w:val="0666B964"/>
    <w:rsid w:val="0682AF2A"/>
    <w:rsid w:val="06CAA9FE"/>
    <w:rsid w:val="07CF267B"/>
    <w:rsid w:val="07DB8CC4"/>
    <w:rsid w:val="0846FDB5"/>
    <w:rsid w:val="0875BFFE"/>
    <w:rsid w:val="08C93E03"/>
    <w:rsid w:val="08F870DB"/>
    <w:rsid w:val="09498D84"/>
    <w:rsid w:val="095AEE30"/>
    <w:rsid w:val="09866379"/>
    <w:rsid w:val="09889E2D"/>
    <w:rsid w:val="0A799D7A"/>
    <w:rsid w:val="0A9B202A"/>
    <w:rsid w:val="0AC150B6"/>
    <w:rsid w:val="0AD0D87E"/>
    <w:rsid w:val="0AD46771"/>
    <w:rsid w:val="0BBBC46D"/>
    <w:rsid w:val="0BC4C880"/>
    <w:rsid w:val="0CB9543D"/>
    <w:rsid w:val="0D554A17"/>
    <w:rsid w:val="0DE7EA38"/>
    <w:rsid w:val="0E2F84CB"/>
    <w:rsid w:val="0EA7F4EA"/>
    <w:rsid w:val="0F88A260"/>
    <w:rsid w:val="100CAE1E"/>
    <w:rsid w:val="10DBB1BD"/>
    <w:rsid w:val="1159617A"/>
    <w:rsid w:val="11B89BBF"/>
    <w:rsid w:val="11F9F174"/>
    <w:rsid w:val="1246269F"/>
    <w:rsid w:val="1249912E"/>
    <w:rsid w:val="127781CF"/>
    <w:rsid w:val="1291CC5E"/>
    <w:rsid w:val="129F2FDB"/>
    <w:rsid w:val="12BAC706"/>
    <w:rsid w:val="12C882A8"/>
    <w:rsid w:val="1389A2F8"/>
    <w:rsid w:val="1390C2CF"/>
    <w:rsid w:val="1397047E"/>
    <w:rsid w:val="140404E5"/>
    <w:rsid w:val="1451B66E"/>
    <w:rsid w:val="1463CFDC"/>
    <w:rsid w:val="151EF862"/>
    <w:rsid w:val="1529410A"/>
    <w:rsid w:val="156C79CE"/>
    <w:rsid w:val="157BA151"/>
    <w:rsid w:val="15944AD7"/>
    <w:rsid w:val="15AD83C9"/>
    <w:rsid w:val="15F3C147"/>
    <w:rsid w:val="15FC48C1"/>
    <w:rsid w:val="16808EF0"/>
    <w:rsid w:val="16849F17"/>
    <w:rsid w:val="168B7279"/>
    <w:rsid w:val="1784B73C"/>
    <w:rsid w:val="1815F338"/>
    <w:rsid w:val="18BE99DE"/>
    <w:rsid w:val="1920D0D4"/>
    <w:rsid w:val="1B3AE74A"/>
    <w:rsid w:val="1C5227E9"/>
    <w:rsid w:val="1D8F1D21"/>
    <w:rsid w:val="1DB74FA9"/>
    <w:rsid w:val="1E2B3532"/>
    <w:rsid w:val="1E7C4D79"/>
    <w:rsid w:val="20033349"/>
    <w:rsid w:val="204DF5A5"/>
    <w:rsid w:val="20637001"/>
    <w:rsid w:val="2180AED3"/>
    <w:rsid w:val="223A8D09"/>
    <w:rsid w:val="2259FBD7"/>
    <w:rsid w:val="22D3FD16"/>
    <w:rsid w:val="230BA163"/>
    <w:rsid w:val="23D22B53"/>
    <w:rsid w:val="2468630F"/>
    <w:rsid w:val="24B0A615"/>
    <w:rsid w:val="24C8F26B"/>
    <w:rsid w:val="24D98E9F"/>
    <w:rsid w:val="250B5E65"/>
    <w:rsid w:val="25393D8B"/>
    <w:rsid w:val="2554CF4B"/>
    <w:rsid w:val="260058BF"/>
    <w:rsid w:val="261C8F92"/>
    <w:rsid w:val="27B84EBC"/>
    <w:rsid w:val="27F8A92F"/>
    <w:rsid w:val="285316C2"/>
    <w:rsid w:val="290E7D81"/>
    <w:rsid w:val="291E429C"/>
    <w:rsid w:val="2920AAA7"/>
    <w:rsid w:val="294FCFA2"/>
    <w:rsid w:val="2986D476"/>
    <w:rsid w:val="2994BC39"/>
    <w:rsid w:val="29FE6C70"/>
    <w:rsid w:val="2A29586C"/>
    <w:rsid w:val="2A446675"/>
    <w:rsid w:val="2A7F61B9"/>
    <w:rsid w:val="2AB1DA10"/>
    <w:rsid w:val="2B0D70F3"/>
    <w:rsid w:val="2B2BB100"/>
    <w:rsid w:val="2BA274DE"/>
    <w:rsid w:val="2C496779"/>
    <w:rsid w:val="2C6C9222"/>
    <w:rsid w:val="2DF57484"/>
    <w:rsid w:val="2E2CD0E9"/>
    <w:rsid w:val="2E59E9D0"/>
    <w:rsid w:val="2E8CED0C"/>
    <w:rsid w:val="2E9651EE"/>
    <w:rsid w:val="2E9AF6C0"/>
    <w:rsid w:val="2EE3EA71"/>
    <w:rsid w:val="2EF3F1D3"/>
    <w:rsid w:val="2F2807D8"/>
    <w:rsid w:val="2F5BCF98"/>
    <w:rsid w:val="2FC2BED2"/>
    <w:rsid w:val="300F7E33"/>
    <w:rsid w:val="303553DE"/>
    <w:rsid w:val="31199821"/>
    <w:rsid w:val="3141BF17"/>
    <w:rsid w:val="316A9A8A"/>
    <w:rsid w:val="316CC6E9"/>
    <w:rsid w:val="317A5870"/>
    <w:rsid w:val="325F4365"/>
    <w:rsid w:val="327582DD"/>
    <w:rsid w:val="33830257"/>
    <w:rsid w:val="33DA2B42"/>
    <w:rsid w:val="342170A4"/>
    <w:rsid w:val="3434D888"/>
    <w:rsid w:val="343C8E8B"/>
    <w:rsid w:val="344BA109"/>
    <w:rsid w:val="350BCF8F"/>
    <w:rsid w:val="3672EEF3"/>
    <w:rsid w:val="3689F7AE"/>
    <w:rsid w:val="369CEBAB"/>
    <w:rsid w:val="38295F6C"/>
    <w:rsid w:val="38F115F5"/>
    <w:rsid w:val="3A12293A"/>
    <w:rsid w:val="3BF0C961"/>
    <w:rsid w:val="3C316C90"/>
    <w:rsid w:val="3C3EA276"/>
    <w:rsid w:val="3C75D125"/>
    <w:rsid w:val="3CB0CC5B"/>
    <w:rsid w:val="3CBADC5C"/>
    <w:rsid w:val="3CFACE32"/>
    <w:rsid w:val="3D07ACC4"/>
    <w:rsid w:val="3DB0AC0A"/>
    <w:rsid w:val="3DF2D340"/>
    <w:rsid w:val="3E02B80E"/>
    <w:rsid w:val="3E9BCE2D"/>
    <w:rsid w:val="3ECF8768"/>
    <w:rsid w:val="4092A715"/>
    <w:rsid w:val="409B3F0E"/>
    <w:rsid w:val="41847490"/>
    <w:rsid w:val="423A316F"/>
    <w:rsid w:val="427FB1BE"/>
    <w:rsid w:val="42CCFAFE"/>
    <w:rsid w:val="42D2F0F6"/>
    <w:rsid w:val="434334FE"/>
    <w:rsid w:val="442F2478"/>
    <w:rsid w:val="443F707E"/>
    <w:rsid w:val="44922159"/>
    <w:rsid w:val="44A0C905"/>
    <w:rsid w:val="44DB41AC"/>
    <w:rsid w:val="45432F98"/>
    <w:rsid w:val="4585CC2D"/>
    <w:rsid w:val="45E54D0A"/>
    <w:rsid w:val="46320ECF"/>
    <w:rsid w:val="463FB4F7"/>
    <w:rsid w:val="4651E80B"/>
    <w:rsid w:val="4665A1B7"/>
    <w:rsid w:val="46D8FED8"/>
    <w:rsid w:val="46E4F159"/>
    <w:rsid w:val="47257F4B"/>
    <w:rsid w:val="4790AE7C"/>
    <w:rsid w:val="47BDF5E4"/>
    <w:rsid w:val="4823AD0A"/>
    <w:rsid w:val="48581174"/>
    <w:rsid w:val="487379D9"/>
    <w:rsid w:val="4882CA43"/>
    <w:rsid w:val="48DFAA5A"/>
    <w:rsid w:val="491A97F1"/>
    <w:rsid w:val="491AB4C5"/>
    <w:rsid w:val="492FE21C"/>
    <w:rsid w:val="4974BCBE"/>
    <w:rsid w:val="49A752B9"/>
    <w:rsid w:val="49D16F5A"/>
    <w:rsid w:val="49D631C6"/>
    <w:rsid w:val="4A34209C"/>
    <w:rsid w:val="4A481D6B"/>
    <w:rsid w:val="4A5D54B4"/>
    <w:rsid w:val="4A97054E"/>
    <w:rsid w:val="4ABA76F4"/>
    <w:rsid w:val="4B295A4E"/>
    <w:rsid w:val="4B2A84B6"/>
    <w:rsid w:val="4BB1947E"/>
    <w:rsid w:val="4BCCD1DC"/>
    <w:rsid w:val="4CCB02DF"/>
    <w:rsid w:val="4D2E7813"/>
    <w:rsid w:val="4D69A81B"/>
    <w:rsid w:val="4D836D73"/>
    <w:rsid w:val="4D930520"/>
    <w:rsid w:val="4E9B51C3"/>
    <w:rsid w:val="4F190FEC"/>
    <w:rsid w:val="4F23A90D"/>
    <w:rsid w:val="4F3B8271"/>
    <w:rsid w:val="4F642E55"/>
    <w:rsid w:val="4F7D5F3F"/>
    <w:rsid w:val="4FC63593"/>
    <w:rsid w:val="4FF3C0E5"/>
    <w:rsid w:val="5018D65C"/>
    <w:rsid w:val="501A89C5"/>
    <w:rsid w:val="504EB8AD"/>
    <w:rsid w:val="504EBB2C"/>
    <w:rsid w:val="5076C34E"/>
    <w:rsid w:val="508C1F9B"/>
    <w:rsid w:val="516B57B2"/>
    <w:rsid w:val="519394A8"/>
    <w:rsid w:val="51E79574"/>
    <w:rsid w:val="51FEA5F3"/>
    <w:rsid w:val="52BD0645"/>
    <w:rsid w:val="53096586"/>
    <w:rsid w:val="53530EC6"/>
    <w:rsid w:val="54177FBA"/>
    <w:rsid w:val="5463FD66"/>
    <w:rsid w:val="54D82ABE"/>
    <w:rsid w:val="5576AC78"/>
    <w:rsid w:val="55D60810"/>
    <w:rsid w:val="5657D336"/>
    <w:rsid w:val="5661E0B7"/>
    <w:rsid w:val="57A4BF8D"/>
    <w:rsid w:val="57FD5BAD"/>
    <w:rsid w:val="584A168A"/>
    <w:rsid w:val="58823FC8"/>
    <w:rsid w:val="58D5FCE2"/>
    <w:rsid w:val="59919C4B"/>
    <w:rsid w:val="59F02B97"/>
    <w:rsid w:val="5A17FDD6"/>
    <w:rsid w:val="5BB174C5"/>
    <w:rsid w:val="5C09D8CC"/>
    <w:rsid w:val="5C4400B2"/>
    <w:rsid w:val="5C57D40F"/>
    <w:rsid w:val="5D784720"/>
    <w:rsid w:val="5DCE5D5D"/>
    <w:rsid w:val="5EEAAD15"/>
    <w:rsid w:val="5F0864E5"/>
    <w:rsid w:val="5F726D8F"/>
    <w:rsid w:val="60881CAA"/>
    <w:rsid w:val="6139C330"/>
    <w:rsid w:val="61632CBC"/>
    <w:rsid w:val="6173C6EF"/>
    <w:rsid w:val="61A5797A"/>
    <w:rsid w:val="61AB3B50"/>
    <w:rsid w:val="61BD4736"/>
    <w:rsid w:val="61D5C13B"/>
    <w:rsid w:val="61DF52A5"/>
    <w:rsid w:val="620444A0"/>
    <w:rsid w:val="6266C6C2"/>
    <w:rsid w:val="62712DF8"/>
    <w:rsid w:val="6291C9D2"/>
    <w:rsid w:val="62A84D6C"/>
    <w:rsid w:val="62BC95F5"/>
    <w:rsid w:val="62C9EC7C"/>
    <w:rsid w:val="634A7E7D"/>
    <w:rsid w:val="636C5C34"/>
    <w:rsid w:val="6397B09F"/>
    <w:rsid w:val="64464942"/>
    <w:rsid w:val="6498C1E0"/>
    <w:rsid w:val="6517047C"/>
    <w:rsid w:val="65218328"/>
    <w:rsid w:val="6525AE69"/>
    <w:rsid w:val="655DF662"/>
    <w:rsid w:val="65F78AB7"/>
    <w:rsid w:val="66350A2B"/>
    <w:rsid w:val="664893BA"/>
    <w:rsid w:val="6661EDC7"/>
    <w:rsid w:val="668CA5CB"/>
    <w:rsid w:val="66DF3FAF"/>
    <w:rsid w:val="66FBC58A"/>
    <w:rsid w:val="6718DD4F"/>
    <w:rsid w:val="6771011F"/>
    <w:rsid w:val="6785703F"/>
    <w:rsid w:val="678F65C7"/>
    <w:rsid w:val="67B2C6CB"/>
    <w:rsid w:val="68D64981"/>
    <w:rsid w:val="68E86F47"/>
    <w:rsid w:val="69B49BEA"/>
    <w:rsid w:val="6A0E93D8"/>
    <w:rsid w:val="6AE45401"/>
    <w:rsid w:val="6B11D31E"/>
    <w:rsid w:val="6B2C0A65"/>
    <w:rsid w:val="6B9B5CCF"/>
    <w:rsid w:val="6BB181D3"/>
    <w:rsid w:val="6C05BB20"/>
    <w:rsid w:val="6C13163C"/>
    <w:rsid w:val="6C4E00EE"/>
    <w:rsid w:val="6C4F050D"/>
    <w:rsid w:val="6C990750"/>
    <w:rsid w:val="6CEA4396"/>
    <w:rsid w:val="6D4DBA22"/>
    <w:rsid w:val="6FBB34C4"/>
    <w:rsid w:val="6FE0C489"/>
    <w:rsid w:val="709EE4D6"/>
    <w:rsid w:val="7139F434"/>
    <w:rsid w:val="714BF362"/>
    <w:rsid w:val="71613E2D"/>
    <w:rsid w:val="71DBB94D"/>
    <w:rsid w:val="72065345"/>
    <w:rsid w:val="729C261F"/>
    <w:rsid w:val="72D0A837"/>
    <w:rsid w:val="72F4F479"/>
    <w:rsid w:val="7325BACA"/>
    <w:rsid w:val="7333A7F2"/>
    <w:rsid w:val="73F0C18B"/>
    <w:rsid w:val="74980B98"/>
    <w:rsid w:val="749BA8EE"/>
    <w:rsid w:val="749CB148"/>
    <w:rsid w:val="75130810"/>
    <w:rsid w:val="75ABB442"/>
    <w:rsid w:val="75C37781"/>
    <w:rsid w:val="75E7F2A2"/>
    <w:rsid w:val="76058FD5"/>
    <w:rsid w:val="763744A7"/>
    <w:rsid w:val="763F303C"/>
    <w:rsid w:val="76694374"/>
    <w:rsid w:val="767FCDE0"/>
    <w:rsid w:val="76C98E87"/>
    <w:rsid w:val="772149F8"/>
    <w:rsid w:val="772E471F"/>
    <w:rsid w:val="774C1FA2"/>
    <w:rsid w:val="7760BD9D"/>
    <w:rsid w:val="7787632C"/>
    <w:rsid w:val="78425380"/>
    <w:rsid w:val="787A74C8"/>
    <w:rsid w:val="791F2B73"/>
    <w:rsid w:val="794BCC7D"/>
    <w:rsid w:val="7994ADB9"/>
    <w:rsid w:val="79FD73C5"/>
    <w:rsid w:val="7B0BDDA6"/>
    <w:rsid w:val="7B71D904"/>
    <w:rsid w:val="7C11A6D7"/>
    <w:rsid w:val="7C234572"/>
    <w:rsid w:val="7C41584C"/>
    <w:rsid w:val="7C7B26F3"/>
    <w:rsid w:val="7C7F5864"/>
    <w:rsid w:val="7CEC4FC1"/>
    <w:rsid w:val="7D1717CF"/>
    <w:rsid w:val="7D64093B"/>
    <w:rsid w:val="7DAA8758"/>
    <w:rsid w:val="7E0CBD8E"/>
    <w:rsid w:val="7E710245"/>
    <w:rsid w:val="7E812047"/>
    <w:rsid w:val="7F3DCE27"/>
    <w:rsid w:val="7F4B9E2A"/>
    <w:rsid w:val="7F9D74CD"/>
    <w:rsid w:val="7FE87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0810"/>
  <w15:chartTrackingRefBased/>
  <w15:docId w15:val="{92C8B49D-3D8D-4BEB-82EB-AC2083E4B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2FC2B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FC2B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FC2BED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2FC2BED2"/>
    <w:pPr>
      <w:spacing w:after="8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2FC2BED2"/>
    <w:rPr>
      <w:rFonts w:eastAsiaTheme="majorEastAsia" w:cstheme="majorBidi"/>
      <w:color w:val="595959" w:themeColor="text1" w:themeTint="A6"/>
      <w:sz w:val="28"/>
      <w:szCs w:val="28"/>
    </w:rPr>
  </w:style>
  <w:style w:type="character" w:styleId="Hyperlink">
    <w:name w:val="Hyperlink"/>
    <w:basedOn w:val="DefaultParagraphFont"/>
    <w:uiPriority w:val="99"/>
    <w:unhideWhenUsed/>
    <w:rsid w:val="2FC2BED2"/>
    <w:rPr>
      <w:color w:val="467886"/>
      <w:u w:val="single"/>
    </w:rPr>
  </w:style>
  <w:style w:type="paragraph" w:styleId="TOC1">
    <w:name w:val="toc 1"/>
    <w:basedOn w:val="Normal"/>
    <w:next w:val="Normal"/>
    <w:uiPriority w:val="39"/>
    <w:unhideWhenUsed/>
    <w:rsid w:val="2FC2BED2"/>
    <w:pPr>
      <w:spacing w:after="100"/>
    </w:pPr>
  </w:style>
  <w:style w:type="character" w:customStyle="1" w:styleId="Heading2Char">
    <w:name w:val="Heading 2 Char"/>
    <w:basedOn w:val="DefaultParagraphFont"/>
    <w:link w:val="Heading2"/>
    <w:uiPriority w:val="9"/>
    <w:rsid w:val="2FC2BED2"/>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sid w:val="2FC2BED2"/>
    <w:rPr>
      <w:rFonts w:asciiTheme="majorHAnsi" w:eastAsiaTheme="majorEastAsia" w:hAnsiTheme="majorHAnsi" w:cstheme="majorBidi"/>
      <w:color w:val="0F4761" w:themeColor="accent1" w:themeShade="BF"/>
      <w:sz w:val="40"/>
      <w:szCs w:val="40"/>
    </w:rPr>
  </w:style>
  <w:style w:type="paragraph" w:styleId="TOC2">
    <w:name w:val="toc 2"/>
    <w:basedOn w:val="Normal"/>
    <w:next w:val="Normal"/>
    <w:uiPriority w:val="39"/>
    <w:unhideWhenUsed/>
    <w:rsid w:val="2FC2BED2"/>
    <w:pPr>
      <w:spacing w:after="100"/>
      <w:ind w:left="220"/>
    </w:pPr>
  </w:style>
  <w:style w:type="paragraph" w:styleId="Header">
    <w:name w:val="header"/>
    <w:basedOn w:val="Normal"/>
    <w:uiPriority w:val="99"/>
    <w:unhideWhenUsed/>
    <w:rsid w:val="2FC2BED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Table5Dark-Accent1">
    <w:name w:val="List Table 5 Dark Accent 1"/>
    <w:basedOn w:val="TableNormal"/>
    <w:uiPriority w:val="50"/>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TOC3">
    <w:name w:val="toc 3"/>
    <w:basedOn w:val="Normal"/>
    <w:next w:val="Normal"/>
    <w:uiPriority w:val="39"/>
    <w:unhideWhenUsed/>
    <w:rsid w:val="24D98E9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tainsightsmarket.com/news/article/sephoras-success-innovation-customer-engagement-8851" TargetMode="External"/><Relationship Id="rId18" Type="http://schemas.openxmlformats.org/officeDocument/2006/relationships/hyperlink" Target="https://assets.publishing.service.gov.uk/media/61fd3ca28fa8f5388e9781c6/Levelling_up_the_UK_white_paper.pdf" TargetMode="External"/><Relationship Id="rId26" Type="http://schemas.openxmlformats.org/officeDocument/2006/relationships/hyperlink" Target="https://www.lvmh.com/en/our-maisons/selective-retailing/sephora" TargetMode="External"/><Relationship Id="rId39" Type="http://schemas.openxmlformats.org/officeDocument/2006/relationships/hyperlink" Target="https://www.sephora.com/beauty/about-us?msockid=2c7f7558d74068c42eeb6067d6df6982" TargetMode="External"/><Relationship Id="rId21" Type="http://schemas.openxmlformats.org/officeDocument/2006/relationships/hyperlink" Target="https://latterly.org/" TargetMode="External"/><Relationship Id="rId34" Type="http://schemas.openxmlformats.org/officeDocument/2006/relationships/hyperlink" Target="https://www.renascence.io/journal/how-sephora-enhances-customer-experience-cx-through-personalization-and-digital-innovation" TargetMode="External"/><Relationship Id="rId42" Type="http://schemas.openxmlformats.org/officeDocument/2006/relationships/hyperlink" Target="https://www.similarweb.com/" TargetMode="External"/><Relationship Id="rId47" Type="http://schemas.openxmlformats.org/officeDocument/2006/relationships/hyperlink" Target="https://www.mckinsey.com/industries/consumer-packaged-goods/our-insights/the-beauty-boom-and-beyond-can-the-industry-maintain-its-growth" TargetMode="External"/><Relationship Id="rId50" Type="http://schemas.openxmlformats.org/officeDocument/2006/relationships/header" Target="header1.xml"/><Relationship Id="rId7" Type="http://schemas.openxmlformats.org/officeDocument/2006/relationships/hyperlink" Target="https://retailboss.co/sephora-uk-store-2026/" TargetMode="External"/><Relationship Id="rId2" Type="http://schemas.openxmlformats.org/officeDocument/2006/relationships/settings" Target="settings.xml"/><Relationship Id="rId16" Type="http://schemas.openxmlformats.org/officeDocument/2006/relationships/hyperlink" Target="https://www.forbes.com/sites/markfaithfull/2022/10/11/sephora-returns-to-uk-next-week-17-years-after-shutting-up-shop/" TargetMode="External"/><Relationship Id="rId29" Type="http://schemas.openxmlformats.org/officeDocument/2006/relationships/hyperlink" Target="https://www.jpmorgan.com/insights/global-research/retail/luxury-market" TargetMode="External"/><Relationship Id="rId11" Type="http://schemas.openxmlformats.org/officeDocument/2006/relationships/hyperlink" Target="https://link.springer.com/article/10.1007/s11187-021-00558-6" TargetMode="External"/><Relationship Id="rId24" Type="http://schemas.openxmlformats.org/officeDocument/2006/relationships/hyperlink" Target="https://www.lvmh.com/en/financial-calendar/2025-full-year-results" TargetMode="External"/><Relationship Id="rId32" Type="http://schemas.openxmlformats.org/officeDocument/2006/relationships/hyperlink" Target="https://beautymatter.com/articles/cost-of-living-crisis-impacting-uk-beauty" TargetMode="External"/><Relationship Id="rId37" Type="http://schemas.openxmlformats.org/officeDocument/2006/relationships/hyperlink" Target="https://digiday.com/marketing/sephora-capitalizing-limited-edition-commissioning-exclusive-products-brands/" TargetMode="External"/><Relationship Id="rId40" Type="http://schemas.openxmlformats.org/officeDocument/2006/relationships/hyperlink" Target="https://www.lvmh.com/en/our-maisons/selective-retailing/sephora" TargetMode="External"/><Relationship Id="rId45" Type="http://schemas.openxmlformats.org/officeDocument/2006/relationships/hyperlink" Target="https://www.thecosmeticregulator.com/uk-eu?gad_source=1&amp;gad_campaignid=23436943828&amp;gbraid=0AAAABCNu7bCBvqXIxa4zy9vx3a2E7Xfth&amp;gclid=CjwKCAjw687NBhB4EiwAQ645dk28cfD681bEcKcbIkUgyufvo4ZpnSewyqfOd4GMVZV5OiE0c53XVBoC3wQQAvD_BwE" TargetMode="External"/><Relationship Id="rId53"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hyperlink" Target="https://www.cleanhub.com/blog/beauty-industry-environmental-impact" TargetMode="External"/><Relationship Id="rId19" Type="http://schemas.openxmlformats.org/officeDocument/2006/relationships/hyperlink" Target="https://www.euromonitor.com/article/inflationary-pressures-encourage-beauty-consumers-to-seek-alternatives" TargetMode="External"/><Relationship Id="rId31" Type="http://schemas.openxmlformats.org/officeDocument/2006/relationships/hyperlink" Target="https://doi.org/10.35219/eai15840409472" TargetMode="External"/><Relationship Id="rId44" Type="http://schemas.openxmlformats.org/officeDocument/2006/relationships/hyperlink" Target="https://www.statista.com/outlook/cmo/beauty-personal-care/united-kingdom?srsltid=AfmBOopBThh7s1eEGDhn48cLR1gHojhFZYlliVUgLi7TeHXYv7c_aB08"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x.doi.org/10.2139/ssrn.5188091" TargetMode="External"/><Relationship Id="rId14" Type="http://schemas.openxmlformats.org/officeDocument/2006/relationships/hyperlink" Target="https://d3.harvard.edu/platform-rctom/submission/exploring-the-future-of-beauty-through-open-innovation-and-co-creation-at-loreal/" TargetMode="External"/><Relationship Id="rId22" Type="http://schemas.openxmlformats.org/officeDocument/2006/relationships/hyperlink" Target="https://www.liverpool-one.com/whats-on/sephora-opens-spring-2025/" TargetMode="External"/><Relationship Id="rId27" Type="http://schemas.openxmlformats.org/officeDocument/2006/relationships/hyperlink" Target="https://www.mintel.com/" TargetMode="External"/><Relationship Id="rId30" Type="http://schemas.openxmlformats.org/officeDocument/2006/relationships/hyperlink" Target="https://www.retailgazette.co.uk/blog/2021/09/sephora-completes-132m-acquisition-of-feelunique/" TargetMode="External"/><Relationship Id="rId35" Type="http://schemas.openxmlformats.org/officeDocument/2006/relationships/hyperlink" Target="https://www.enrichlabs.ai/case-study/sephora-social-media-strategy" TargetMode="External"/><Relationship Id="rId43" Type="http://schemas.openxmlformats.org/officeDocument/2006/relationships/hyperlink" Target="https://www.social.plus/blog/over-80-of-sephoras-sales-come-from-loyal-customers---why-emotional-loyalty-drives-growth" TargetMode="External"/><Relationship Id="rId48" Type="http://schemas.openxmlformats.org/officeDocument/2006/relationships/hyperlink" Target="https://books.google.co.uk/books?id=ieksEAAAQBAJ&amp;printsec=frontcover" TargetMode="External"/><Relationship Id="rId8" Type="http://schemas.openxmlformats.org/officeDocument/2006/relationships/hyperlink" Target="https://www.tandfonline.com/doi/full/10.1080/00343404.2025.2597466" TargetMode="External"/><Relationship Id="rId51"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www.cosmeticsdesign-europe.com/Article/2022/10/17/Sephora-absorbs-Feelunique-domain-sealing-UK-acquisition-and-kickstarting-re-entry-plans/" TargetMode="External"/><Relationship Id="rId17" Type="http://schemas.openxmlformats.org/officeDocument/2006/relationships/hyperlink" Target="https://doi.org/10.1007/s43681-023-00378-2" TargetMode="External"/><Relationship Id="rId25" Type="http://schemas.openxmlformats.org/officeDocument/2006/relationships/hyperlink" Target="https://www.lvmh.com/en/publications/2023-new-record-year-for-lvmh" TargetMode="External"/><Relationship Id="rId33" Type="http://schemas.openxmlformats.org/officeDocument/2006/relationships/hyperlink" Target="https://beautymatter.com/articles/sephoras-second-act-in-the-uk" TargetMode="External"/><Relationship Id="rId38" Type="http://schemas.openxmlformats.org/officeDocument/2006/relationships/hyperlink" Target="https://www.sephora.com/brands-list" TargetMode="External"/><Relationship Id="rId46" Type="http://schemas.openxmlformats.org/officeDocument/2006/relationships/hyperlink" Target="https://britishbeautycouncil.com/uk-prestige-beauty-eu5/" TargetMode="External"/><Relationship Id="rId20" Type="http://schemas.openxmlformats.org/officeDocument/2006/relationships/hyperlink" Target="https://doi.org/10.3390/su14106346" TargetMode="External"/><Relationship Id="rId41" Type="http://schemas.openxmlformats.org/officeDocument/2006/relationships/hyperlink" Target="https://doi.org/10.1177/02690942241258138" TargetMode="External"/><Relationship Id="rId54" Type="http://schemas.microsoft.com/office/2020/10/relationships/intelligence" Target="intelligence2.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blog.oxfordcollegeofmarketing.com/2018/04/23/what-is-mendelows-matrix-and-how-is-it-useful/" TargetMode="External"/><Relationship Id="rId23" Type="http://schemas.openxmlformats.org/officeDocument/2006/relationships/hyperlink" Target="https://cdn.bookey.app/files/pdf/book/en/the-strategy-of-indirect-approach.pdf" TargetMode="External"/><Relationship Id="rId28" Type="http://schemas.openxmlformats.org/officeDocument/2006/relationships/hyperlink" Target="https://doi.org/10.4324/9781315602172" TargetMode="External"/><Relationship Id="rId36" Type="http://schemas.openxmlformats.org/officeDocument/2006/relationships/hyperlink" Target="https://theindustry.beauty/sephora-lifts-lvmh-revenue-as-it-continues-uk-expansion/?utm_source=copilot.com" TargetMode="External"/><Relationship Id="rId49" Type="http://schemas.openxmlformats.org/officeDocument/2006/relationships/hyperlink" Target="https://doi.org/10.1002/bse.36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6991</Words>
  <Characters>39852</Characters>
  <Application>Microsoft Office Word</Application>
  <DocSecurity>0</DocSecurity>
  <Lines>332</Lines>
  <Paragraphs>93</Paragraphs>
  <ScaleCrop>false</ScaleCrop>
  <Company/>
  <LinksUpToDate>false</LinksUpToDate>
  <CharactersWithSpaces>46750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Rany Amin (2229877)</dc:creator>
  <cp:keywords/>
  <dc:description/>
  <cp:lastModifiedBy>rani amin</cp:lastModifiedBy>
  <cp:revision>2</cp:revision>
  <dcterms:created xsi:type="dcterms:W3CDTF">2026-03-27T12:26:00Z</dcterms:created>
  <dcterms:modified xsi:type="dcterms:W3CDTF">2026-03-27T12:26:00Z</dcterms:modified>
</cp:coreProperties>
</file>