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262B7" w14:textId="22FAF9EE" w:rsidR="007A4586" w:rsidRDefault="007A4586" w:rsidP="00430A66"/>
    <w:p w14:paraId="36B5094A" w14:textId="2B005FD1" w:rsidR="00430A66" w:rsidRDefault="007B0AA8" w:rsidP="00430A66">
      <w:r w:rsidRPr="007B0AA8">
        <w:t>BMIH5007- Financial Management for the Hotel Industry</w:t>
      </w:r>
    </w:p>
    <w:p w14:paraId="4868B1C3" w14:textId="737861B3" w:rsidR="007B0AA8" w:rsidRDefault="007B0AA8" w:rsidP="00430A66"/>
    <w:p w14:paraId="6C490463" w14:textId="52AA78C6" w:rsidR="007B0AA8" w:rsidRDefault="007B0AA8" w:rsidP="00430A66">
      <w:r>
        <w:t>Student’s Nam</w:t>
      </w:r>
      <w:r w:rsidR="00C81F8D">
        <w:t>e: Elsa Machado</w:t>
      </w:r>
    </w:p>
    <w:p w14:paraId="1ED3D3AE" w14:textId="0E02857A" w:rsidR="007B0AA8" w:rsidRDefault="007B0AA8" w:rsidP="00430A66">
      <w:r>
        <w:t>Student’s ID:</w:t>
      </w:r>
      <w:r w:rsidR="00C81F8D">
        <w:t>2012887</w:t>
      </w:r>
    </w:p>
    <w:p w14:paraId="57FA4941" w14:textId="78ABAE7D" w:rsidR="007B0AA8" w:rsidRDefault="007B0AA8" w:rsidP="00430A66">
      <w:r>
        <w:t>Lecturer’s Name:</w:t>
      </w:r>
      <w:r w:rsidR="00C81F8D">
        <w:t xml:space="preserve"> Dale Clarke</w:t>
      </w:r>
    </w:p>
    <w:p w14:paraId="13AD6839" w14:textId="16C74B98" w:rsidR="007B0AA8" w:rsidRDefault="007B0AA8" w:rsidP="00430A66">
      <w:r>
        <w:t>Module Code: BMIH5007</w:t>
      </w:r>
    </w:p>
    <w:p w14:paraId="76ABC41B" w14:textId="368F415C" w:rsidR="004C2802" w:rsidRDefault="004C2802" w:rsidP="00430A66"/>
    <w:p w14:paraId="30CB4283" w14:textId="00C35823" w:rsidR="004C2802" w:rsidRDefault="004C2802" w:rsidP="00430A66"/>
    <w:p w14:paraId="6118E133" w14:textId="12843AFF" w:rsidR="004C2802" w:rsidRDefault="004C2802" w:rsidP="00430A66"/>
    <w:p w14:paraId="75D802EE" w14:textId="7AF54A6F" w:rsidR="004C2802" w:rsidRDefault="004C2802" w:rsidP="00430A66"/>
    <w:p w14:paraId="2F358CC5" w14:textId="34663291" w:rsidR="004C2802" w:rsidRDefault="004C2802" w:rsidP="00430A66"/>
    <w:p w14:paraId="4FAEA5B7" w14:textId="7A182A6E" w:rsidR="004C2802" w:rsidRDefault="004C2802" w:rsidP="00430A66"/>
    <w:p w14:paraId="0C20ACB5" w14:textId="5C8E6136" w:rsidR="004C2802" w:rsidRDefault="004C2802" w:rsidP="00430A66"/>
    <w:p w14:paraId="5D343D11" w14:textId="381796F5" w:rsidR="004C2802" w:rsidRDefault="004C2802" w:rsidP="00430A66"/>
    <w:p w14:paraId="7C07106A" w14:textId="360DA36D" w:rsidR="004C2802" w:rsidRDefault="004C2802" w:rsidP="00430A66"/>
    <w:p w14:paraId="44435C3F" w14:textId="6736B9F2" w:rsidR="004C2802" w:rsidRDefault="004C2802" w:rsidP="00430A66"/>
    <w:p w14:paraId="398869AF" w14:textId="414B2036" w:rsidR="004C2802" w:rsidRDefault="004C2802" w:rsidP="00430A66"/>
    <w:p w14:paraId="7A1F95F3" w14:textId="28C87F6B" w:rsidR="004C2802" w:rsidRDefault="004C2802" w:rsidP="00430A66"/>
    <w:p w14:paraId="2ECCF454" w14:textId="07C606CC" w:rsidR="004C2802" w:rsidRDefault="004C2802" w:rsidP="00430A66"/>
    <w:p w14:paraId="52FF7023" w14:textId="2C7DD91D" w:rsidR="004C2802" w:rsidRDefault="004C2802" w:rsidP="00430A66"/>
    <w:p w14:paraId="72FF04AD" w14:textId="61394882" w:rsidR="004C2802" w:rsidRDefault="004C2802" w:rsidP="00430A66"/>
    <w:p w14:paraId="6D9F9258" w14:textId="1DBE221F" w:rsidR="00626F28" w:rsidRDefault="00626F28" w:rsidP="00430A66"/>
    <w:p w14:paraId="222FC552" w14:textId="1DB1AE43" w:rsidR="00626F28" w:rsidRDefault="00626F28" w:rsidP="00430A66"/>
    <w:p w14:paraId="44770127" w14:textId="24741394" w:rsidR="00626F28" w:rsidRDefault="00626F28" w:rsidP="00430A66"/>
    <w:p w14:paraId="141FE983" w14:textId="77777777" w:rsidR="00626F28" w:rsidRDefault="00626F28" w:rsidP="00430A66"/>
    <w:p w14:paraId="473C5356" w14:textId="7055D8EA" w:rsidR="004C2802" w:rsidRDefault="004C2802" w:rsidP="00430A66"/>
    <w:p w14:paraId="286F7E92" w14:textId="77777777" w:rsidR="004C2802" w:rsidRDefault="004C2802" w:rsidP="00430A66"/>
    <w:sdt>
      <w:sdtPr>
        <w:rPr>
          <w:rFonts w:ascii="Arial" w:eastAsiaTheme="minorHAnsi" w:hAnsi="Arial" w:cstheme="minorBidi"/>
          <w:color w:val="auto"/>
          <w:sz w:val="24"/>
          <w:szCs w:val="22"/>
        </w:rPr>
        <w:id w:val="-488255953"/>
        <w:docPartObj>
          <w:docPartGallery w:val="Table of Contents"/>
          <w:docPartUnique/>
        </w:docPartObj>
      </w:sdtPr>
      <w:sdtEndPr>
        <w:rPr>
          <w:b/>
          <w:bCs/>
          <w:noProof/>
        </w:rPr>
      </w:sdtEndPr>
      <w:sdtContent>
        <w:p w14:paraId="7E7290D3" w14:textId="129A9828" w:rsidR="004C2802" w:rsidRDefault="004C2802">
          <w:pPr>
            <w:pStyle w:val="TOCHeading"/>
          </w:pPr>
          <w:r>
            <w:t>Table of Contents</w:t>
          </w:r>
        </w:p>
        <w:p w14:paraId="7EDBCAF6" w14:textId="14BB78C7" w:rsidR="00256539" w:rsidRDefault="004C2802" w:rsidP="00256539">
          <w:pPr>
            <w:pStyle w:val="TOC1"/>
            <w:rPr>
              <w:rFonts w:asciiTheme="minorHAnsi" w:eastAsiaTheme="minorEastAsia" w:hAnsiTheme="minorHAnsi"/>
              <w:sz w:val="22"/>
              <w:lang w:val="en-GB" w:eastAsia="en-GB"/>
            </w:rPr>
          </w:pPr>
          <w:r>
            <w:rPr>
              <w:noProof w:val="0"/>
            </w:rPr>
            <w:fldChar w:fldCharType="begin"/>
          </w:r>
          <w:r>
            <w:instrText xml:space="preserve"> TOC \o "1-3" \h \z \u </w:instrText>
          </w:r>
          <w:r>
            <w:rPr>
              <w:noProof w:val="0"/>
            </w:rPr>
            <w:fldChar w:fldCharType="separate"/>
          </w:r>
          <w:hyperlink w:anchor="_Toc95850106" w:history="1">
            <w:r w:rsidR="00256539" w:rsidRPr="00C17036">
              <w:rPr>
                <w:rStyle w:val="Hyperlink"/>
              </w:rPr>
              <w:t>Executive Summary</w:t>
            </w:r>
            <w:r w:rsidR="00256539">
              <w:rPr>
                <w:webHidden/>
              </w:rPr>
              <w:tab/>
            </w:r>
            <w:r w:rsidR="00256539">
              <w:rPr>
                <w:webHidden/>
              </w:rPr>
              <w:fldChar w:fldCharType="begin"/>
            </w:r>
            <w:r w:rsidR="00256539">
              <w:rPr>
                <w:webHidden/>
              </w:rPr>
              <w:instrText xml:space="preserve"> PAGEREF _Toc95850106 \h </w:instrText>
            </w:r>
            <w:r w:rsidR="00256539">
              <w:rPr>
                <w:webHidden/>
              </w:rPr>
            </w:r>
            <w:r w:rsidR="00256539">
              <w:rPr>
                <w:webHidden/>
              </w:rPr>
              <w:fldChar w:fldCharType="separate"/>
            </w:r>
            <w:r w:rsidR="00256539">
              <w:rPr>
                <w:webHidden/>
              </w:rPr>
              <w:t>3</w:t>
            </w:r>
            <w:r w:rsidR="00256539">
              <w:rPr>
                <w:webHidden/>
              </w:rPr>
              <w:fldChar w:fldCharType="end"/>
            </w:r>
          </w:hyperlink>
        </w:p>
        <w:p w14:paraId="510647BC" w14:textId="3D408A39" w:rsidR="00256539" w:rsidRPr="00256539" w:rsidRDefault="00256539" w:rsidP="00256539">
          <w:pPr>
            <w:pStyle w:val="TOC1"/>
            <w:rPr>
              <w:rFonts w:asciiTheme="minorHAnsi" w:eastAsiaTheme="minorEastAsia" w:hAnsiTheme="minorHAnsi"/>
              <w:sz w:val="22"/>
              <w:lang w:val="en-GB" w:eastAsia="en-GB"/>
            </w:rPr>
          </w:pPr>
          <w:hyperlink w:anchor="_Toc95850107" w:history="1">
            <w:r w:rsidRPr="00256539">
              <w:rPr>
                <w:rStyle w:val="Hyperlink"/>
                <w:u w:val="none"/>
              </w:rPr>
              <w:t>Introduction</w:t>
            </w:r>
            <w:r w:rsidRPr="00256539">
              <w:rPr>
                <w:webHidden/>
              </w:rPr>
              <w:tab/>
            </w:r>
            <w:r w:rsidRPr="00256539">
              <w:rPr>
                <w:webHidden/>
              </w:rPr>
              <w:fldChar w:fldCharType="begin"/>
            </w:r>
            <w:r w:rsidRPr="00256539">
              <w:rPr>
                <w:webHidden/>
              </w:rPr>
              <w:instrText xml:space="preserve"> PAGEREF _Toc95850107 \h </w:instrText>
            </w:r>
            <w:r w:rsidRPr="00256539">
              <w:rPr>
                <w:webHidden/>
              </w:rPr>
            </w:r>
            <w:r w:rsidRPr="00256539">
              <w:rPr>
                <w:webHidden/>
              </w:rPr>
              <w:fldChar w:fldCharType="separate"/>
            </w:r>
            <w:r w:rsidRPr="00256539">
              <w:rPr>
                <w:webHidden/>
              </w:rPr>
              <w:t>4</w:t>
            </w:r>
            <w:r w:rsidRPr="00256539">
              <w:rPr>
                <w:webHidden/>
              </w:rPr>
              <w:fldChar w:fldCharType="end"/>
            </w:r>
          </w:hyperlink>
        </w:p>
        <w:p w14:paraId="78FAE79C" w14:textId="1B85F58A" w:rsidR="00256539" w:rsidRDefault="00256539" w:rsidP="00256539">
          <w:pPr>
            <w:pStyle w:val="TOC1"/>
            <w:rPr>
              <w:rFonts w:asciiTheme="minorHAnsi" w:eastAsiaTheme="minorEastAsia" w:hAnsiTheme="minorHAnsi"/>
              <w:sz w:val="22"/>
              <w:lang w:val="en-GB" w:eastAsia="en-GB"/>
            </w:rPr>
          </w:pPr>
          <w:hyperlink w:anchor="_Toc95850108" w:history="1">
            <w:r w:rsidRPr="00C17036">
              <w:rPr>
                <w:rStyle w:val="Hyperlink"/>
              </w:rPr>
              <w:t>Financial Analysis Trends</w:t>
            </w:r>
            <w:r>
              <w:rPr>
                <w:webHidden/>
              </w:rPr>
              <w:tab/>
            </w:r>
            <w:r>
              <w:rPr>
                <w:webHidden/>
              </w:rPr>
              <w:fldChar w:fldCharType="begin"/>
            </w:r>
            <w:r>
              <w:rPr>
                <w:webHidden/>
              </w:rPr>
              <w:instrText xml:space="preserve"> PAGEREF _Toc95850108 \h </w:instrText>
            </w:r>
            <w:r>
              <w:rPr>
                <w:webHidden/>
              </w:rPr>
            </w:r>
            <w:r>
              <w:rPr>
                <w:webHidden/>
              </w:rPr>
              <w:fldChar w:fldCharType="separate"/>
            </w:r>
            <w:r>
              <w:rPr>
                <w:webHidden/>
              </w:rPr>
              <w:t>7</w:t>
            </w:r>
            <w:r>
              <w:rPr>
                <w:webHidden/>
              </w:rPr>
              <w:fldChar w:fldCharType="end"/>
            </w:r>
          </w:hyperlink>
        </w:p>
        <w:p w14:paraId="4C945697" w14:textId="737BDDC9" w:rsidR="00256539" w:rsidRDefault="00256539">
          <w:pPr>
            <w:pStyle w:val="TOC2"/>
            <w:rPr>
              <w:rFonts w:asciiTheme="minorHAnsi" w:eastAsiaTheme="minorEastAsia" w:hAnsiTheme="minorHAnsi"/>
              <w:sz w:val="22"/>
              <w:lang w:val="en-GB" w:eastAsia="en-GB"/>
            </w:rPr>
          </w:pPr>
          <w:hyperlink w:anchor="_Toc95850109" w:history="1">
            <w:r w:rsidRPr="00C17036">
              <w:rPr>
                <w:rStyle w:val="Hyperlink"/>
              </w:rPr>
              <w:t>Profitability</w:t>
            </w:r>
            <w:r>
              <w:rPr>
                <w:webHidden/>
              </w:rPr>
              <w:tab/>
            </w:r>
            <w:r>
              <w:rPr>
                <w:webHidden/>
              </w:rPr>
              <w:fldChar w:fldCharType="begin"/>
            </w:r>
            <w:r>
              <w:rPr>
                <w:webHidden/>
              </w:rPr>
              <w:instrText xml:space="preserve"> PAGEREF _Toc95850109 \h </w:instrText>
            </w:r>
            <w:r>
              <w:rPr>
                <w:webHidden/>
              </w:rPr>
            </w:r>
            <w:r>
              <w:rPr>
                <w:webHidden/>
              </w:rPr>
              <w:fldChar w:fldCharType="separate"/>
            </w:r>
            <w:r>
              <w:rPr>
                <w:webHidden/>
              </w:rPr>
              <w:t>7</w:t>
            </w:r>
            <w:r>
              <w:rPr>
                <w:webHidden/>
              </w:rPr>
              <w:fldChar w:fldCharType="end"/>
            </w:r>
          </w:hyperlink>
        </w:p>
        <w:p w14:paraId="71CAAFB3" w14:textId="7C5447F8" w:rsidR="00256539" w:rsidRDefault="00256539">
          <w:pPr>
            <w:pStyle w:val="TOC2"/>
            <w:rPr>
              <w:rFonts w:asciiTheme="minorHAnsi" w:eastAsiaTheme="minorEastAsia" w:hAnsiTheme="minorHAnsi"/>
              <w:sz w:val="22"/>
              <w:lang w:val="en-GB" w:eastAsia="en-GB"/>
            </w:rPr>
          </w:pPr>
          <w:hyperlink w:anchor="_Toc95850110" w:history="1">
            <w:r w:rsidRPr="00C17036">
              <w:rPr>
                <w:rStyle w:val="Hyperlink"/>
              </w:rPr>
              <w:t>Liquidity</w:t>
            </w:r>
            <w:r>
              <w:rPr>
                <w:webHidden/>
              </w:rPr>
              <w:tab/>
            </w:r>
            <w:r>
              <w:rPr>
                <w:webHidden/>
              </w:rPr>
              <w:fldChar w:fldCharType="begin"/>
            </w:r>
            <w:r>
              <w:rPr>
                <w:webHidden/>
              </w:rPr>
              <w:instrText xml:space="preserve"> PAGEREF _Toc95850110 \h </w:instrText>
            </w:r>
            <w:r>
              <w:rPr>
                <w:webHidden/>
              </w:rPr>
            </w:r>
            <w:r>
              <w:rPr>
                <w:webHidden/>
              </w:rPr>
              <w:fldChar w:fldCharType="separate"/>
            </w:r>
            <w:r>
              <w:rPr>
                <w:webHidden/>
              </w:rPr>
              <w:t>7</w:t>
            </w:r>
            <w:r>
              <w:rPr>
                <w:webHidden/>
              </w:rPr>
              <w:fldChar w:fldCharType="end"/>
            </w:r>
          </w:hyperlink>
        </w:p>
        <w:p w14:paraId="07C365DC" w14:textId="62B9A3DF" w:rsidR="00256539" w:rsidRDefault="00256539">
          <w:pPr>
            <w:pStyle w:val="TOC2"/>
            <w:rPr>
              <w:rFonts w:asciiTheme="minorHAnsi" w:eastAsiaTheme="minorEastAsia" w:hAnsiTheme="minorHAnsi"/>
              <w:sz w:val="22"/>
              <w:lang w:val="en-GB" w:eastAsia="en-GB"/>
            </w:rPr>
          </w:pPr>
          <w:hyperlink w:anchor="_Toc95850111" w:history="1">
            <w:r w:rsidRPr="00C17036">
              <w:rPr>
                <w:rStyle w:val="Hyperlink"/>
              </w:rPr>
              <w:t>Gearing</w:t>
            </w:r>
            <w:r>
              <w:rPr>
                <w:webHidden/>
              </w:rPr>
              <w:tab/>
            </w:r>
            <w:r>
              <w:rPr>
                <w:webHidden/>
              </w:rPr>
              <w:fldChar w:fldCharType="begin"/>
            </w:r>
            <w:r>
              <w:rPr>
                <w:webHidden/>
              </w:rPr>
              <w:instrText xml:space="preserve"> PAGEREF _Toc95850111 \h </w:instrText>
            </w:r>
            <w:r>
              <w:rPr>
                <w:webHidden/>
              </w:rPr>
            </w:r>
            <w:r>
              <w:rPr>
                <w:webHidden/>
              </w:rPr>
              <w:fldChar w:fldCharType="separate"/>
            </w:r>
            <w:r>
              <w:rPr>
                <w:webHidden/>
              </w:rPr>
              <w:t>7</w:t>
            </w:r>
            <w:r>
              <w:rPr>
                <w:webHidden/>
              </w:rPr>
              <w:fldChar w:fldCharType="end"/>
            </w:r>
          </w:hyperlink>
        </w:p>
        <w:p w14:paraId="6E2757E6" w14:textId="1927FA48" w:rsidR="00256539" w:rsidRDefault="00256539" w:rsidP="00256539">
          <w:pPr>
            <w:pStyle w:val="TOC1"/>
            <w:rPr>
              <w:rFonts w:asciiTheme="minorHAnsi" w:eastAsiaTheme="minorEastAsia" w:hAnsiTheme="minorHAnsi"/>
              <w:sz w:val="22"/>
              <w:lang w:val="en-GB" w:eastAsia="en-GB"/>
            </w:rPr>
          </w:pPr>
          <w:hyperlink w:anchor="_Toc95850112" w:history="1">
            <w:r w:rsidRPr="00C17036">
              <w:rPr>
                <w:rStyle w:val="Hyperlink"/>
              </w:rPr>
              <w:t>Benefits and Limitations of Ratio Analysis</w:t>
            </w:r>
            <w:r>
              <w:rPr>
                <w:webHidden/>
              </w:rPr>
              <w:tab/>
            </w:r>
            <w:r>
              <w:rPr>
                <w:webHidden/>
              </w:rPr>
              <w:fldChar w:fldCharType="begin"/>
            </w:r>
            <w:r>
              <w:rPr>
                <w:webHidden/>
              </w:rPr>
              <w:instrText xml:space="preserve"> PAGEREF _Toc95850112 \h </w:instrText>
            </w:r>
            <w:r>
              <w:rPr>
                <w:webHidden/>
              </w:rPr>
            </w:r>
            <w:r>
              <w:rPr>
                <w:webHidden/>
              </w:rPr>
              <w:fldChar w:fldCharType="separate"/>
            </w:r>
            <w:r>
              <w:rPr>
                <w:webHidden/>
              </w:rPr>
              <w:t>8</w:t>
            </w:r>
            <w:r>
              <w:rPr>
                <w:webHidden/>
              </w:rPr>
              <w:fldChar w:fldCharType="end"/>
            </w:r>
          </w:hyperlink>
        </w:p>
        <w:p w14:paraId="76640E7C" w14:textId="4EA2A45A" w:rsidR="00256539" w:rsidRDefault="00256539" w:rsidP="00256539">
          <w:pPr>
            <w:pStyle w:val="TOC1"/>
            <w:rPr>
              <w:rFonts w:asciiTheme="minorHAnsi" w:eastAsiaTheme="minorEastAsia" w:hAnsiTheme="minorHAnsi"/>
              <w:sz w:val="22"/>
              <w:lang w:val="en-GB" w:eastAsia="en-GB"/>
            </w:rPr>
          </w:pPr>
          <w:hyperlink w:anchor="_Toc95850113" w:history="1">
            <w:r w:rsidRPr="00C17036">
              <w:rPr>
                <w:rStyle w:val="Hyperlink"/>
              </w:rPr>
              <w:t>Conclusion</w:t>
            </w:r>
            <w:r>
              <w:rPr>
                <w:webHidden/>
              </w:rPr>
              <w:tab/>
            </w:r>
            <w:r>
              <w:rPr>
                <w:webHidden/>
              </w:rPr>
              <w:fldChar w:fldCharType="begin"/>
            </w:r>
            <w:r>
              <w:rPr>
                <w:webHidden/>
              </w:rPr>
              <w:instrText xml:space="preserve"> PAGEREF _Toc95850113 \h </w:instrText>
            </w:r>
            <w:r>
              <w:rPr>
                <w:webHidden/>
              </w:rPr>
            </w:r>
            <w:r>
              <w:rPr>
                <w:webHidden/>
              </w:rPr>
              <w:fldChar w:fldCharType="separate"/>
            </w:r>
            <w:r>
              <w:rPr>
                <w:webHidden/>
              </w:rPr>
              <w:t>9</w:t>
            </w:r>
            <w:r>
              <w:rPr>
                <w:webHidden/>
              </w:rPr>
              <w:fldChar w:fldCharType="end"/>
            </w:r>
          </w:hyperlink>
        </w:p>
        <w:p w14:paraId="0C2AEF89" w14:textId="778C95AB" w:rsidR="004C2802" w:rsidRDefault="004C2802">
          <w:r>
            <w:rPr>
              <w:b/>
              <w:bCs/>
              <w:noProof/>
            </w:rPr>
            <w:fldChar w:fldCharType="end"/>
          </w:r>
        </w:p>
      </w:sdtContent>
    </w:sdt>
    <w:p w14:paraId="5429C188" w14:textId="2B074140" w:rsidR="00430A66" w:rsidRDefault="00430A66" w:rsidP="00430A66"/>
    <w:p w14:paraId="505EFFED" w14:textId="678D1278" w:rsidR="004C2802" w:rsidRDefault="004C2802" w:rsidP="00430A66"/>
    <w:p w14:paraId="2A0A6A99" w14:textId="6CA843B9" w:rsidR="004C2802" w:rsidRDefault="004C2802" w:rsidP="00430A66"/>
    <w:p w14:paraId="0E3B0FBD" w14:textId="0AD77F22" w:rsidR="004C2802" w:rsidRDefault="004C2802" w:rsidP="00430A66"/>
    <w:p w14:paraId="0834FB0B" w14:textId="738F979B" w:rsidR="004C2802" w:rsidRDefault="004C2802" w:rsidP="00430A66"/>
    <w:p w14:paraId="66B80181" w14:textId="3C1E96CB" w:rsidR="004C2802" w:rsidRDefault="004C2802" w:rsidP="00430A66"/>
    <w:p w14:paraId="7C8BB6EB" w14:textId="16F55906" w:rsidR="004C2802" w:rsidRDefault="004C2802" w:rsidP="00430A66"/>
    <w:p w14:paraId="5D64F433" w14:textId="04F92B23" w:rsidR="004C2802" w:rsidRDefault="004C2802" w:rsidP="00430A66"/>
    <w:p w14:paraId="65F892B0" w14:textId="0C2053E4" w:rsidR="004C2802" w:rsidRDefault="004C2802" w:rsidP="00430A66"/>
    <w:p w14:paraId="4F3EFF29" w14:textId="3ECF9D9D" w:rsidR="004C2802" w:rsidRDefault="004C2802" w:rsidP="00430A66"/>
    <w:p w14:paraId="3DDE6215" w14:textId="17659580" w:rsidR="004C2802" w:rsidRDefault="004C2802" w:rsidP="00430A66"/>
    <w:p w14:paraId="2F25091F" w14:textId="3ADBB7E3" w:rsidR="004C2802" w:rsidRDefault="004C2802" w:rsidP="00430A66"/>
    <w:p w14:paraId="1A2A6033" w14:textId="66B94B1C" w:rsidR="004C2802" w:rsidRDefault="004C2802" w:rsidP="00430A66"/>
    <w:p w14:paraId="6D834F0E" w14:textId="617CBCC7" w:rsidR="004C2802" w:rsidRDefault="004C2802" w:rsidP="00430A66"/>
    <w:p w14:paraId="0962FF54" w14:textId="35E9F59C" w:rsidR="004C2802" w:rsidRDefault="004C2802" w:rsidP="00430A66"/>
    <w:p w14:paraId="6B802F12" w14:textId="2F9AB7BB" w:rsidR="004C2802" w:rsidRDefault="004C2802" w:rsidP="00430A66"/>
    <w:p w14:paraId="5D8753E1" w14:textId="77777777" w:rsidR="004C2802" w:rsidRDefault="004C2802" w:rsidP="00430A66"/>
    <w:p w14:paraId="041C3E42" w14:textId="77777777" w:rsidR="00430A66" w:rsidRPr="007B0AA8" w:rsidRDefault="00430A66" w:rsidP="007B0AA8">
      <w:pPr>
        <w:pStyle w:val="Title"/>
      </w:pPr>
      <w:r w:rsidRPr="007B0AA8">
        <w:lastRenderedPageBreak/>
        <w:t>BMIH5007- Financial Management for the Hotel Industry</w:t>
      </w:r>
    </w:p>
    <w:p w14:paraId="4A8D2B2A" w14:textId="77777777" w:rsidR="00430A66" w:rsidRDefault="00430A66" w:rsidP="00430A66"/>
    <w:p w14:paraId="78C94725" w14:textId="77777777" w:rsidR="00C81F8D" w:rsidRDefault="00C81F8D" w:rsidP="007B0AA8">
      <w:pPr>
        <w:pStyle w:val="Heading1"/>
        <w:rPr>
          <w:i/>
          <w:iCs/>
        </w:rPr>
      </w:pPr>
    </w:p>
    <w:p w14:paraId="1F4102F2" w14:textId="6D51DE47" w:rsidR="00430A66" w:rsidRPr="007B0AA8" w:rsidRDefault="00430A66" w:rsidP="007B0AA8">
      <w:pPr>
        <w:pStyle w:val="Heading1"/>
        <w:rPr>
          <w:i/>
          <w:iCs/>
        </w:rPr>
      </w:pPr>
      <w:bookmarkStart w:id="0" w:name="_Toc95850106"/>
      <w:r w:rsidRPr="007B0AA8">
        <w:rPr>
          <w:i/>
          <w:iCs/>
        </w:rPr>
        <w:t>Executive Summary</w:t>
      </w:r>
      <w:bookmarkEnd w:id="0"/>
    </w:p>
    <w:p w14:paraId="49DCFAED" w14:textId="47A891A7" w:rsidR="00430A66" w:rsidRDefault="004F54E7" w:rsidP="00430A66">
      <w:r w:rsidRPr="004F54E7">
        <w:t xml:space="preserve">Jurys Inn is a hotel chain based in Dublin, Ireland, having sites in the United Kingdom, Ireland, and the Czech Republic. The company is headquartered in Dublin, Ireland, but its hotels are </w:t>
      </w:r>
      <w:r w:rsidR="00626F28">
        <w:t>spread</w:t>
      </w:r>
      <w:r w:rsidRPr="004F54E7">
        <w:t xml:space="preserve"> around Europe, with 34 locations under the main brand and seven under the Leonardo brand.</w:t>
      </w:r>
      <w:r>
        <w:t xml:space="preserve"> </w:t>
      </w:r>
      <w:r w:rsidR="0007118C" w:rsidRPr="0007118C">
        <w:t>There are 7500 rooms available to accommodate guests who wish to book a room, whether they are traveling for business or pleasure. It is also important to note that the hotel is family friendly, so if an extra bed is required in the room for the children, customers should inquire with the concierge, who will add it for a fee.</w:t>
      </w:r>
      <w:r w:rsidR="0007118C">
        <w:t xml:space="preserve"> </w:t>
      </w:r>
      <w:r w:rsidR="0007118C" w:rsidRPr="0007118C">
        <w:t>Because it employs 4000 people, it may be classified as a medium-sized hospitality firm. Its primary purpose is to meet the demands of its clients while also producing profits for the company</w:t>
      </w:r>
      <w:r w:rsidR="00C81F8D">
        <w:t xml:space="preserve"> </w:t>
      </w:r>
      <w:r w:rsidR="0007118C">
        <w:t>(</w:t>
      </w:r>
      <w:r>
        <w:t>St. James Press, 2004</w:t>
      </w:r>
      <w:r w:rsidR="00430A66">
        <w:t>)</w:t>
      </w:r>
      <w:r w:rsidR="00C81F8D">
        <w:t>.</w:t>
      </w:r>
    </w:p>
    <w:p w14:paraId="3D933D46" w14:textId="160CBF6E" w:rsidR="00430A66" w:rsidRDefault="00430A66" w:rsidP="00430A66">
      <w:r>
        <w:t>Furthermore</w:t>
      </w:r>
      <w:r w:rsidR="007B0AA8">
        <w:t>, Jurys Inn</w:t>
      </w:r>
      <w:r>
        <w:t xml:space="preserve"> is a chain of hotels that have successfully achieved a </w:t>
      </w:r>
      <w:r w:rsidR="00CE2281">
        <w:t>four-star</w:t>
      </w:r>
      <w:r>
        <w:t xml:space="preserve"> certification for most of their hotels since 2019 which means that </w:t>
      </w:r>
      <w:r w:rsidR="00CE2281">
        <w:t xml:space="preserve">it </w:t>
      </w:r>
      <w:r>
        <w:t xml:space="preserve">is a developing business that meant to </w:t>
      </w:r>
      <w:r w:rsidR="0023096F">
        <w:t>grow,</w:t>
      </w:r>
      <w:r>
        <w:t xml:space="preserve"> and it focuses on expansion and get better in the hospitality industry as providing their guests affordable prices for the rooms as well as unique experiences. There are invested huge amounts of money such a 75,000,000 pounds which means that the hotel is giving their best to develop in the </w:t>
      </w:r>
      <w:r w:rsidR="00C81F8D">
        <w:t>industry,</w:t>
      </w:r>
      <w:r>
        <w:t xml:space="preserve"> but it is also expected that all their portfolio </w:t>
      </w:r>
      <w:r w:rsidR="00CE2281">
        <w:t>w</w:t>
      </w:r>
      <w:r>
        <w:t>ill gain the AA certification for becoming four</w:t>
      </w:r>
      <w:r w:rsidR="00CE2281">
        <w:t>-</w:t>
      </w:r>
      <w:r>
        <w:t>star hotels (Eat. Drink. Sleep, 2019)</w:t>
      </w:r>
      <w:r w:rsidR="00C81F8D">
        <w:t>.</w:t>
      </w:r>
    </w:p>
    <w:p w14:paraId="424A3BEB" w14:textId="4FCF7483" w:rsidR="00CE2281" w:rsidRDefault="00071A9A" w:rsidP="00430A66">
      <w:r w:rsidRPr="00071A9A">
        <w:t>The Ratio Analysis is one tool that allows identifying details about any company regarding its liquidity, equity, debts, and profitability. In this process there are included all the types of ratios combined with other financial elements that will help in contouring a clear financial analysis. Usually, when an investor is willing to include incentives in a company, there is needed to be hired a professional ratio analyst to see how the company is managing their financial aspect as well as generating an idea of the future gains and performance (</w:t>
      </w:r>
      <w:proofErr w:type="spellStart"/>
      <w:r w:rsidRPr="00071A9A">
        <w:t>Bloomenthal</w:t>
      </w:r>
      <w:proofErr w:type="spellEnd"/>
      <w:r w:rsidRPr="00071A9A">
        <w:t>, 2021).</w:t>
      </w:r>
    </w:p>
    <w:p w14:paraId="24B44A8B" w14:textId="77777777" w:rsidR="00CE2281" w:rsidRDefault="00CE2281" w:rsidP="00430A66"/>
    <w:p w14:paraId="54A284D7" w14:textId="77777777" w:rsidR="00430A66" w:rsidRDefault="00430A66" w:rsidP="00430A66"/>
    <w:p w14:paraId="79CF00D9" w14:textId="77777777" w:rsidR="00430A66" w:rsidRDefault="00430A66" w:rsidP="00430A66"/>
    <w:p w14:paraId="15606F62" w14:textId="77777777" w:rsidR="00430A66" w:rsidRDefault="00430A66" w:rsidP="00430A66"/>
    <w:p w14:paraId="2F9DC178" w14:textId="77777777" w:rsidR="00430A66" w:rsidRPr="007B0AA8" w:rsidRDefault="00430A66" w:rsidP="007B0AA8">
      <w:pPr>
        <w:pStyle w:val="Heading1"/>
        <w:rPr>
          <w:i/>
          <w:iCs/>
        </w:rPr>
      </w:pPr>
      <w:bookmarkStart w:id="1" w:name="_Toc95850107"/>
      <w:r w:rsidRPr="007B0AA8">
        <w:rPr>
          <w:i/>
          <w:iCs/>
        </w:rPr>
        <w:lastRenderedPageBreak/>
        <w:t>Introduction</w:t>
      </w:r>
      <w:bookmarkEnd w:id="1"/>
    </w:p>
    <w:p w14:paraId="5213DB47" w14:textId="77777777" w:rsidR="00430A66" w:rsidRDefault="00430A66" w:rsidP="00430A66"/>
    <w:p w14:paraId="724D08CF" w14:textId="021892D1" w:rsidR="00430A66" w:rsidRDefault="007B0AA8" w:rsidP="00430A66">
      <w:r>
        <w:t>The</w:t>
      </w:r>
      <w:r w:rsidR="00430A66">
        <w:t xml:space="preserve"> following report will highlight </w:t>
      </w:r>
      <w:r w:rsidR="00C81F8D">
        <w:t>the</w:t>
      </w:r>
      <w:r w:rsidR="00430A66">
        <w:t xml:space="preserve"> compan</w:t>
      </w:r>
      <w:r>
        <w:t>y’</w:t>
      </w:r>
      <w:r w:rsidR="00430A66">
        <w:t>s performance financial and non</w:t>
      </w:r>
      <w:r w:rsidR="00CE2281">
        <w:t>-</w:t>
      </w:r>
      <w:r w:rsidR="00430A66">
        <w:t>financial based on the following tables and ratios that we exactly show how the development of Jurys Inn have emerged in the past three years.</w:t>
      </w:r>
    </w:p>
    <w:p w14:paraId="1663EF61" w14:textId="56AD5844" w:rsidR="00430A66" w:rsidRDefault="00430A66" w:rsidP="00430A66">
      <w:r>
        <w:t>Profitability gearing and liquidity will be further discussed within the report in order to analyze the three concepts within Jurys Inn company which is the main aim to discuss solutions for the eventual problems that are highlighted by the numbers and the results from the past years of the company regarding the above</w:t>
      </w:r>
      <w:r w:rsidR="007B0AA8">
        <w:t>-</w:t>
      </w:r>
      <w:r>
        <w:t xml:space="preserve">mentioned objectives. </w:t>
      </w:r>
    </w:p>
    <w:p w14:paraId="393A5C13" w14:textId="5B44AE91" w:rsidR="00430A66" w:rsidRDefault="00430A66" w:rsidP="00430A66">
      <w:r>
        <w:t xml:space="preserve">After carefully analyzing the profitability in revenues there is clear that the hospitality company Jurys Inn has reported an increase in </w:t>
      </w:r>
      <w:r w:rsidR="00DD63E4">
        <w:t>t</w:t>
      </w:r>
      <w:r>
        <w:t xml:space="preserve">heir income and it states that the company Is positioning itself on an ascending path. </w:t>
      </w:r>
    </w:p>
    <w:p w14:paraId="6AF3689E" w14:textId="0905ABF7" w:rsidR="00430A66" w:rsidRDefault="00430A66" w:rsidP="00430A66">
      <w:r>
        <w:t xml:space="preserve">As the calculus was made over the financial analysis table we had to look if the hospitality companies able to pay </w:t>
      </w:r>
      <w:r w:rsidR="00C81F8D">
        <w:t>its</w:t>
      </w:r>
      <w:r>
        <w:t xml:space="preserve"> short time debts</w:t>
      </w:r>
      <w:r w:rsidR="0061416C">
        <w:t>,</w:t>
      </w:r>
      <w:r>
        <w:t xml:space="preserve"> </w:t>
      </w:r>
      <w:r w:rsidR="0061416C">
        <w:t>s</w:t>
      </w:r>
      <w:r>
        <w:t>o t</w:t>
      </w:r>
      <w:r w:rsidR="0061416C">
        <w:t>o look at</w:t>
      </w:r>
      <w:r>
        <w:t xml:space="preserve"> the ratio for the year 2019 was 2.28 and for the year of 2020 it was 2.00.(CFI, 2021). For this reason, </w:t>
      </w:r>
      <w:r w:rsidR="00DD63E4">
        <w:t>i</w:t>
      </w:r>
      <w:r>
        <w:t xml:space="preserve">t is clear that Jurys </w:t>
      </w:r>
      <w:r w:rsidR="00C81F8D">
        <w:t>In</w:t>
      </w:r>
      <w:r w:rsidR="0061416C">
        <w:t>n</w:t>
      </w:r>
      <w:r w:rsidR="00C81F8D">
        <w:t xml:space="preserve"> company</w:t>
      </w:r>
      <w:r>
        <w:t xml:space="preserve"> is able to pay it short time debts and the </w:t>
      </w:r>
      <w:r w:rsidR="00C81F8D">
        <w:t>liquidity</w:t>
      </w:r>
      <w:r>
        <w:t xml:space="preserve"> will be double after paying them this may be concluded as a positive aspect for the company that is making enough revenue to be the required that and also have money for further investments. </w:t>
      </w:r>
    </w:p>
    <w:p w14:paraId="2D3D4FCD" w14:textId="2DF0A7DC" w:rsidR="00430A66" w:rsidRDefault="00430A66" w:rsidP="00430A66">
      <w:r>
        <w:t xml:space="preserve">Unfortunately, there is </w:t>
      </w:r>
      <w:r w:rsidR="00C81F8D">
        <w:t>not</w:t>
      </w:r>
      <w:r>
        <w:t xml:space="preserve"> enough </w:t>
      </w:r>
      <w:r w:rsidR="0061416C">
        <w:t xml:space="preserve">data </w:t>
      </w:r>
      <w:r>
        <w:t xml:space="preserve">that I had to have a broader </w:t>
      </w:r>
      <w:r w:rsidR="00C81F8D">
        <w:t>analysis</w:t>
      </w:r>
      <w:r>
        <w:t xml:space="preserve"> about Jurys Inn company </w:t>
      </w:r>
      <w:r w:rsidR="00C81F8D">
        <w:t>since</w:t>
      </w:r>
      <w:r>
        <w:t xml:space="preserve"> it can be stated a clear journey while looking at the history of at least five years. Also, in order to be more specific and create a very competent financial analy</w:t>
      </w:r>
      <w:r w:rsidR="007B0AA8">
        <w:t>s</w:t>
      </w:r>
      <w:r>
        <w:t xml:space="preserve">is, there is needed of more data for more years and more details about the company so we can conclude more about their development about their investments in new projects such as sustainability. </w:t>
      </w:r>
    </w:p>
    <w:p w14:paraId="28D89937" w14:textId="38E365E6" w:rsidR="00430A66" w:rsidRDefault="00C81F8D" w:rsidP="00430A66">
      <w:r>
        <w:t>However,</w:t>
      </w:r>
      <w:r w:rsidR="00430A66">
        <w:t xml:space="preserve"> the structure of the ratio is allowing the manager or the chief executive to have a </w:t>
      </w:r>
      <w:r w:rsidR="0061416C">
        <w:t>clear image about</w:t>
      </w:r>
      <w:r w:rsidR="00430A66">
        <w:t xml:space="preserve"> the funds the company is having and for this reason further opinions will be highlighted. Future planning regarding economic numbers will allow the chief executive to plan every </w:t>
      </w:r>
      <w:r w:rsidR="000A1B6F">
        <w:t>detail</w:t>
      </w:r>
      <w:r w:rsidR="00430A66">
        <w:t xml:space="preserve"> of every step that can be done from the financial point of view by Jurys Inn company but also, can see the benefit of having a high ratio and high profits Why is setting some boundaries regarding the next year’s financial plan. </w:t>
      </w:r>
    </w:p>
    <w:p w14:paraId="30625E38" w14:textId="1AB49C21" w:rsidR="00430A66" w:rsidRDefault="00430A66" w:rsidP="00430A66">
      <w:r>
        <w:t>The managers in the hospitality</w:t>
      </w:r>
      <w:r w:rsidR="007B0AA8">
        <w:t xml:space="preserve"> </w:t>
      </w:r>
      <w:r>
        <w:t xml:space="preserve">industry should be able to </w:t>
      </w:r>
      <w:r w:rsidR="00C81F8D">
        <w:t>carefully evaluate</w:t>
      </w:r>
      <w:r>
        <w:t xml:space="preserve"> every financial aspect of a hotel as </w:t>
      </w:r>
      <w:r w:rsidR="00C81F8D">
        <w:t>its</w:t>
      </w:r>
      <w:r>
        <w:t xml:space="preserve"> management to work properly and setting target to get </w:t>
      </w:r>
      <w:r w:rsidR="00C81F8D">
        <w:t>easier</w:t>
      </w:r>
      <w:r>
        <w:t xml:space="preserve">. </w:t>
      </w:r>
      <w:r w:rsidR="00C81F8D">
        <w:t>The</w:t>
      </w:r>
      <w:r>
        <w:t xml:space="preserve"> financial part of any business </w:t>
      </w:r>
      <w:r w:rsidR="000A1B6F">
        <w:t>is</w:t>
      </w:r>
      <w:r>
        <w:t xml:space="preserve"> dictating its success so for this reason the financial management and the hotel management should go hand</w:t>
      </w:r>
      <w:r w:rsidR="000A1B6F">
        <w:t xml:space="preserve"> in hand</w:t>
      </w:r>
      <w:r>
        <w:t xml:space="preserve"> </w:t>
      </w:r>
      <w:r w:rsidR="00C81F8D">
        <w:t>to</w:t>
      </w:r>
      <w:r>
        <w:t xml:space="preserve"> achieve the business targets even they do not seem to be correlated. Creating an annual budget will help the hotel management to better organize their finances for the next year </w:t>
      </w:r>
      <w:r w:rsidR="00C81F8D">
        <w:t>and</w:t>
      </w:r>
      <w:r>
        <w:t xml:space="preserve"> </w:t>
      </w:r>
      <w:r w:rsidR="00C81F8D">
        <w:t>missing</w:t>
      </w:r>
      <w:r>
        <w:t xml:space="preserve"> a financial tracking </w:t>
      </w:r>
      <w:r w:rsidR="00C81F8D">
        <w:t>Mold</w:t>
      </w:r>
      <w:r>
        <w:t xml:space="preserve"> so for the investments or access would be easily identified if they fit or not the Business</w:t>
      </w:r>
      <w:r w:rsidR="00C81F8D">
        <w:t xml:space="preserve"> </w:t>
      </w:r>
      <w:r>
        <w:t>(Gittens, 2021)</w:t>
      </w:r>
      <w:r w:rsidR="00C81F8D">
        <w:t>.</w:t>
      </w:r>
    </w:p>
    <w:p w14:paraId="5CFF8463" w14:textId="0E835377" w:rsidR="001C4F0F" w:rsidRDefault="00430A66" w:rsidP="00430A66">
      <w:r>
        <w:lastRenderedPageBreak/>
        <w:t xml:space="preserve">The financial Performance of Jurys Inn company </w:t>
      </w:r>
      <w:r w:rsidR="000A1B6F">
        <w:t>w</w:t>
      </w:r>
      <w:r>
        <w:t xml:space="preserve">ill be largely presented with the help of the ratios Compared on the </w:t>
      </w:r>
      <w:r w:rsidR="00C81F8D">
        <w:t>two-year</w:t>
      </w:r>
      <w:r>
        <w:t xml:space="preserve"> period performances. </w:t>
      </w:r>
    </w:p>
    <w:p w14:paraId="481A5229" w14:textId="77777777" w:rsidR="00C81F8D" w:rsidRDefault="00C81F8D" w:rsidP="00430A66"/>
    <w:tbl>
      <w:tblPr>
        <w:tblW w:w="7077" w:type="dxa"/>
        <w:tblLook w:val="04A0" w:firstRow="1" w:lastRow="0" w:firstColumn="1" w:lastColumn="0" w:noHBand="0" w:noVBand="1"/>
      </w:tblPr>
      <w:tblGrid>
        <w:gridCol w:w="1032"/>
        <w:gridCol w:w="1314"/>
        <w:gridCol w:w="1601"/>
        <w:gridCol w:w="1838"/>
        <w:gridCol w:w="1838"/>
      </w:tblGrid>
      <w:tr w:rsidR="00D5261F" w:rsidRPr="00D5261F" w14:paraId="10A9A5A4" w14:textId="77777777" w:rsidTr="00F2158A">
        <w:trPr>
          <w:trHeight w:val="213"/>
        </w:trPr>
        <w:tc>
          <w:tcPr>
            <w:tcW w:w="977" w:type="dxa"/>
            <w:tcBorders>
              <w:top w:val="single" w:sz="4" w:space="0" w:color="8EA9DB"/>
              <w:left w:val="single" w:sz="4" w:space="0" w:color="8EA9DB"/>
              <w:bottom w:val="single" w:sz="4" w:space="0" w:color="8EA9DB"/>
              <w:right w:val="nil"/>
            </w:tcBorders>
            <w:shd w:val="clear" w:color="4472C4" w:fill="4472C4"/>
            <w:noWrap/>
            <w:vAlign w:val="bottom"/>
            <w:hideMark/>
          </w:tcPr>
          <w:p w14:paraId="4E52B2CA"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t>Column1</w:t>
            </w:r>
          </w:p>
        </w:tc>
        <w:tc>
          <w:tcPr>
            <w:tcW w:w="1314" w:type="dxa"/>
            <w:tcBorders>
              <w:top w:val="single" w:sz="4" w:space="0" w:color="8EA9DB"/>
              <w:left w:val="nil"/>
              <w:bottom w:val="single" w:sz="4" w:space="0" w:color="8EA9DB"/>
              <w:right w:val="nil"/>
            </w:tcBorders>
            <w:shd w:val="clear" w:color="4472C4" w:fill="4472C4"/>
            <w:noWrap/>
            <w:vAlign w:val="bottom"/>
            <w:hideMark/>
          </w:tcPr>
          <w:p w14:paraId="55A1C746"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t>Column2</w:t>
            </w:r>
          </w:p>
        </w:tc>
        <w:tc>
          <w:tcPr>
            <w:tcW w:w="1601" w:type="dxa"/>
            <w:tcBorders>
              <w:top w:val="single" w:sz="4" w:space="0" w:color="8EA9DB"/>
              <w:left w:val="nil"/>
              <w:bottom w:val="single" w:sz="4" w:space="0" w:color="8EA9DB"/>
              <w:right w:val="nil"/>
            </w:tcBorders>
            <w:shd w:val="clear" w:color="4472C4" w:fill="4472C4"/>
            <w:noWrap/>
            <w:vAlign w:val="bottom"/>
            <w:hideMark/>
          </w:tcPr>
          <w:p w14:paraId="3A66A4BE"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t>Column4</w:t>
            </w:r>
          </w:p>
        </w:tc>
        <w:tc>
          <w:tcPr>
            <w:tcW w:w="1635" w:type="dxa"/>
            <w:tcBorders>
              <w:top w:val="single" w:sz="4" w:space="0" w:color="8EA9DB"/>
              <w:left w:val="nil"/>
              <w:bottom w:val="single" w:sz="4" w:space="0" w:color="8EA9DB"/>
              <w:right w:val="nil"/>
            </w:tcBorders>
            <w:shd w:val="clear" w:color="4472C4" w:fill="4472C4"/>
            <w:noWrap/>
            <w:vAlign w:val="bottom"/>
            <w:hideMark/>
          </w:tcPr>
          <w:p w14:paraId="0ECADE79"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t>Column6</w:t>
            </w:r>
          </w:p>
        </w:tc>
        <w:tc>
          <w:tcPr>
            <w:tcW w:w="1549" w:type="dxa"/>
            <w:tcBorders>
              <w:top w:val="single" w:sz="4" w:space="0" w:color="8EA9DB"/>
              <w:left w:val="nil"/>
              <w:bottom w:val="single" w:sz="4" w:space="0" w:color="8EA9DB"/>
              <w:right w:val="single" w:sz="4" w:space="0" w:color="8EA9DB"/>
            </w:tcBorders>
            <w:shd w:val="clear" w:color="4472C4" w:fill="4472C4"/>
            <w:noWrap/>
            <w:vAlign w:val="bottom"/>
            <w:hideMark/>
          </w:tcPr>
          <w:p w14:paraId="17C58C72"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t>Column8</w:t>
            </w:r>
          </w:p>
        </w:tc>
      </w:tr>
      <w:tr w:rsidR="00D5261F" w:rsidRPr="00D5261F" w14:paraId="283097B6"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D9E1F2" w:fill="D9E1F2"/>
            <w:noWrap/>
            <w:vAlign w:val="bottom"/>
            <w:hideMark/>
          </w:tcPr>
          <w:p w14:paraId="57444F35"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Formula</w:t>
            </w:r>
          </w:p>
        </w:tc>
        <w:tc>
          <w:tcPr>
            <w:tcW w:w="1314" w:type="dxa"/>
            <w:tcBorders>
              <w:top w:val="single" w:sz="4" w:space="0" w:color="8EA9DB"/>
              <w:left w:val="nil"/>
              <w:bottom w:val="single" w:sz="4" w:space="0" w:color="8EA9DB"/>
              <w:right w:val="nil"/>
            </w:tcBorders>
            <w:shd w:val="clear" w:color="D9E1F2" w:fill="D9E1F2"/>
            <w:noWrap/>
            <w:vAlign w:val="bottom"/>
            <w:hideMark/>
          </w:tcPr>
          <w:p w14:paraId="729F7ACB"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01" w:type="dxa"/>
            <w:tcBorders>
              <w:top w:val="single" w:sz="4" w:space="0" w:color="8EA9DB"/>
              <w:left w:val="nil"/>
              <w:bottom w:val="single" w:sz="4" w:space="0" w:color="8EA9DB"/>
              <w:right w:val="nil"/>
            </w:tcBorders>
            <w:shd w:val="clear" w:color="D9E1F2" w:fill="D9E1F2"/>
            <w:noWrap/>
            <w:vAlign w:val="bottom"/>
            <w:hideMark/>
          </w:tcPr>
          <w:p w14:paraId="6B36B614"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Ratio</w:t>
            </w:r>
          </w:p>
        </w:tc>
        <w:tc>
          <w:tcPr>
            <w:tcW w:w="1635" w:type="dxa"/>
            <w:tcBorders>
              <w:top w:val="single" w:sz="4" w:space="0" w:color="8EA9DB"/>
              <w:left w:val="nil"/>
              <w:bottom w:val="single" w:sz="4" w:space="0" w:color="8EA9DB"/>
              <w:right w:val="nil"/>
            </w:tcBorders>
            <w:shd w:val="clear" w:color="D9E1F2" w:fill="D9E1F2"/>
            <w:noWrap/>
            <w:vAlign w:val="bottom"/>
            <w:hideMark/>
          </w:tcPr>
          <w:p w14:paraId="2CF412AE" w14:textId="77777777" w:rsidR="00D5261F" w:rsidRPr="00D5261F" w:rsidRDefault="00D5261F" w:rsidP="00D5261F">
            <w:pPr>
              <w:spacing w:after="0" w:line="240" w:lineRule="auto"/>
              <w:jc w:val="center"/>
              <w:rPr>
                <w:rFonts w:ascii="Calibri" w:eastAsia="Times New Roman" w:hAnsi="Calibri" w:cs="Calibri"/>
                <w:color w:val="000000"/>
                <w:sz w:val="16"/>
                <w:szCs w:val="16"/>
              </w:rPr>
            </w:pPr>
            <w:r w:rsidRPr="00D5261F">
              <w:rPr>
                <w:rFonts w:ascii="Calibri" w:eastAsia="Times New Roman" w:hAnsi="Calibri" w:cs="Calibri"/>
                <w:color w:val="000000"/>
                <w:sz w:val="16"/>
                <w:szCs w:val="16"/>
              </w:rPr>
              <w:t>2019</w:t>
            </w:r>
          </w:p>
        </w:tc>
        <w:tc>
          <w:tcPr>
            <w:tcW w:w="1549" w:type="dxa"/>
            <w:tcBorders>
              <w:top w:val="single" w:sz="4" w:space="0" w:color="8EA9DB"/>
              <w:left w:val="nil"/>
              <w:bottom w:val="single" w:sz="4" w:space="0" w:color="8EA9DB"/>
              <w:right w:val="single" w:sz="4" w:space="0" w:color="8EA9DB"/>
            </w:tcBorders>
            <w:shd w:val="clear" w:color="D9E1F2" w:fill="D9E1F2"/>
            <w:noWrap/>
            <w:vAlign w:val="bottom"/>
            <w:hideMark/>
          </w:tcPr>
          <w:p w14:paraId="2A7D68F7" w14:textId="77777777" w:rsidR="00D5261F" w:rsidRPr="00D5261F" w:rsidRDefault="00D5261F" w:rsidP="00D5261F">
            <w:pPr>
              <w:spacing w:after="0" w:line="240" w:lineRule="auto"/>
              <w:jc w:val="right"/>
              <w:rPr>
                <w:rFonts w:ascii="Calibri" w:eastAsia="Times New Roman" w:hAnsi="Calibri" w:cs="Calibri"/>
                <w:color w:val="000000"/>
                <w:sz w:val="16"/>
                <w:szCs w:val="16"/>
              </w:rPr>
            </w:pPr>
            <w:r w:rsidRPr="00D5261F">
              <w:rPr>
                <w:rFonts w:ascii="Calibri" w:eastAsia="Times New Roman" w:hAnsi="Calibri" w:cs="Calibri"/>
                <w:color w:val="000000"/>
                <w:sz w:val="16"/>
                <w:szCs w:val="16"/>
              </w:rPr>
              <w:t>2020</w:t>
            </w:r>
          </w:p>
        </w:tc>
      </w:tr>
      <w:tr w:rsidR="00D5261F" w:rsidRPr="00D5261F" w14:paraId="783B60D1"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auto" w:fill="auto"/>
            <w:noWrap/>
            <w:vAlign w:val="bottom"/>
            <w:hideMark/>
          </w:tcPr>
          <w:p w14:paraId="6B38DBA2" w14:textId="77777777" w:rsidR="00D5261F" w:rsidRPr="00D5261F" w:rsidRDefault="00D5261F" w:rsidP="00D5261F">
            <w:pPr>
              <w:spacing w:after="0" w:line="240" w:lineRule="auto"/>
              <w:jc w:val="right"/>
              <w:rPr>
                <w:rFonts w:ascii="Calibri" w:eastAsia="Times New Roman" w:hAnsi="Calibri" w:cs="Calibri"/>
                <w:color w:val="000000"/>
                <w:sz w:val="16"/>
                <w:szCs w:val="16"/>
              </w:rPr>
            </w:pPr>
          </w:p>
        </w:tc>
        <w:tc>
          <w:tcPr>
            <w:tcW w:w="1314" w:type="dxa"/>
            <w:tcBorders>
              <w:top w:val="single" w:sz="4" w:space="0" w:color="8EA9DB"/>
              <w:left w:val="nil"/>
              <w:bottom w:val="single" w:sz="4" w:space="0" w:color="8EA9DB"/>
              <w:right w:val="nil"/>
            </w:tcBorders>
            <w:shd w:val="clear" w:color="auto" w:fill="auto"/>
            <w:noWrap/>
            <w:vAlign w:val="bottom"/>
            <w:hideMark/>
          </w:tcPr>
          <w:p w14:paraId="7F4ED0BB"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auto" w:fill="auto"/>
            <w:noWrap/>
            <w:vAlign w:val="bottom"/>
            <w:hideMark/>
          </w:tcPr>
          <w:p w14:paraId="0DAA91F1"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auto" w:fill="auto"/>
            <w:noWrap/>
            <w:vAlign w:val="bottom"/>
            <w:hideMark/>
          </w:tcPr>
          <w:p w14:paraId="63AD95B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1554FB5A"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5AE920AE"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18FE29D0"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Gross profits/sales x 100</w:t>
            </w:r>
          </w:p>
        </w:tc>
        <w:tc>
          <w:tcPr>
            <w:tcW w:w="1601" w:type="dxa"/>
            <w:tcBorders>
              <w:top w:val="single" w:sz="4" w:space="0" w:color="8EA9DB"/>
              <w:left w:val="nil"/>
              <w:bottom w:val="single" w:sz="4" w:space="0" w:color="8EA9DB"/>
              <w:right w:val="nil"/>
            </w:tcBorders>
            <w:shd w:val="clear" w:color="D9E1F2" w:fill="D9E1F2"/>
            <w:noWrap/>
            <w:vAlign w:val="bottom"/>
            <w:hideMark/>
          </w:tcPr>
          <w:p w14:paraId="6996DC03"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Gross profit</w:t>
            </w:r>
          </w:p>
        </w:tc>
        <w:tc>
          <w:tcPr>
            <w:tcW w:w="1635" w:type="dxa"/>
            <w:tcBorders>
              <w:top w:val="single" w:sz="4" w:space="0" w:color="8EA9DB"/>
              <w:left w:val="nil"/>
              <w:bottom w:val="single" w:sz="4" w:space="0" w:color="8EA9DB"/>
              <w:right w:val="nil"/>
            </w:tcBorders>
            <w:shd w:val="clear" w:color="D9E1F2" w:fill="D9E1F2"/>
            <w:noWrap/>
            <w:vAlign w:val="bottom"/>
            <w:hideMark/>
          </w:tcPr>
          <w:p w14:paraId="5B835BEB" w14:textId="494F8152"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5050/5500x100=92</w:t>
            </w:r>
            <w:r w:rsidR="00C81F8D">
              <w:rPr>
                <w:rFonts w:ascii="Calibri" w:eastAsia="Times New Roman" w:hAnsi="Calibri" w:cs="Calibri"/>
                <w:color w:val="000000"/>
                <w:sz w:val="16"/>
                <w:szCs w:val="16"/>
              </w:rPr>
              <w:t>%</w:t>
            </w:r>
          </w:p>
        </w:tc>
        <w:tc>
          <w:tcPr>
            <w:tcW w:w="1549" w:type="dxa"/>
            <w:tcBorders>
              <w:top w:val="single" w:sz="4" w:space="0" w:color="8EA9DB"/>
              <w:left w:val="nil"/>
              <w:bottom w:val="single" w:sz="4" w:space="0" w:color="8EA9DB"/>
              <w:right w:val="nil"/>
            </w:tcBorders>
            <w:shd w:val="clear" w:color="D9E1F2" w:fill="D9E1F2"/>
            <w:noWrap/>
            <w:vAlign w:val="bottom"/>
            <w:hideMark/>
          </w:tcPr>
          <w:p w14:paraId="596A37BD" w14:textId="0A2101FB"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5150/6000x100=86</w:t>
            </w:r>
            <w:r w:rsidR="00C81F8D">
              <w:rPr>
                <w:rFonts w:ascii="Calibri" w:eastAsia="Times New Roman" w:hAnsi="Calibri" w:cs="Calibri"/>
                <w:color w:val="000000"/>
                <w:sz w:val="16"/>
                <w:szCs w:val="16"/>
              </w:rPr>
              <w:t>%</w:t>
            </w:r>
          </w:p>
        </w:tc>
      </w:tr>
      <w:tr w:rsidR="00D5261F" w:rsidRPr="00D5261F" w14:paraId="41CF95C4"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auto" w:fill="auto"/>
            <w:noWrap/>
            <w:vAlign w:val="bottom"/>
            <w:hideMark/>
          </w:tcPr>
          <w:p w14:paraId="3C9796F1"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314" w:type="dxa"/>
            <w:tcBorders>
              <w:top w:val="single" w:sz="4" w:space="0" w:color="8EA9DB"/>
              <w:left w:val="nil"/>
              <w:bottom w:val="single" w:sz="4" w:space="0" w:color="8EA9DB"/>
              <w:right w:val="nil"/>
            </w:tcBorders>
            <w:shd w:val="clear" w:color="auto" w:fill="auto"/>
            <w:noWrap/>
            <w:vAlign w:val="bottom"/>
            <w:hideMark/>
          </w:tcPr>
          <w:p w14:paraId="1E866C5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auto" w:fill="auto"/>
            <w:noWrap/>
            <w:vAlign w:val="bottom"/>
            <w:hideMark/>
          </w:tcPr>
          <w:p w14:paraId="25F67EA6"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auto" w:fill="auto"/>
            <w:noWrap/>
            <w:vAlign w:val="bottom"/>
            <w:hideMark/>
          </w:tcPr>
          <w:p w14:paraId="7C657F9E"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5CDDBE04"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B47A3E3"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53B152C6"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Net profits of the year/ sales x 100</w:t>
            </w:r>
          </w:p>
        </w:tc>
        <w:tc>
          <w:tcPr>
            <w:tcW w:w="1601" w:type="dxa"/>
            <w:tcBorders>
              <w:top w:val="single" w:sz="4" w:space="0" w:color="8EA9DB"/>
              <w:left w:val="nil"/>
              <w:bottom w:val="single" w:sz="4" w:space="0" w:color="8EA9DB"/>
              <w:right w:val="nil"/>
            </w:tcBorders>
            <w:shd w:val="clear" w:color="D9E1F2" w:fill="D9E1F2"/>
            <w:noWrap/>
            <w:vAlign w:val="bottom"/>
            <w:hideMark/>
          </w:tcPr>
          <w:p w14:paraId="54C15636"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Net profit</w:t>
            </w:r>
          </w:p>
        </w:tc>
        <w:tc>
          <w:tcPr>
            <w:tcW w:w="1635" w:type="dxa"/>
            <w:tcBorders>
              <w:top w:val="single" w:sz="4" w:space="0" w:color="8EA9DB"/>
              <w:left w:val="nil"/>
              <w:bottom w:val="single" w:sz="4" w:space="0" w:color="8EA9DB"/>
              <w:right w:val="nil"/>
            </w:tcBorders>
            <w:shd w:val="clear" w:color="D9E1F2" w:fill="D9E1F2"/>
            <w:noWrap/>
            <w:vAlign w:val="bottom"/>
            <w:hideMark/>
          </w:tcPr>
          <w:p w14:paraId="18153F1E" w14:textId="2F55AFD5"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4008/5500x100=73</w:t>
            </w:r>
            <w:r w:rsidR="00C81F8D">
              <w:rPr>
                <w:rFonts w:ascii="Calibri" w:eastAsia="Times New Roman" w:hAnsi="Calibri" w:cs="Calibri"/>
                <w:color w:val="000000"/>
                <w:sz w:val="16"/>
                <w:szCs w:val="16"/>
              </w:rPr>
              <w:t>%</w:t>
            </w:r>
          </w:p>
        </w:tc>
        <w:tc>
          <w:tcPr>
            <w:tcW w:w="1549" w:type="dxa"/>
            <w:tcBorders>
              <w:top w:val="single" w:sz="4" w:space="0" w:color="8EA9DB"/>
              <w:left w:val="nil"/>
              <w:bottom w:val="single" w:sz="4" w:space="0" w:color="8EA9DB"/>
              <w:right w:val="nil"/>
            </w:tcBorders>
            <w:shd w:val="clear" w:color="D9E1F2" w:fill="D9E1F2"/>
            <w:noWrap/>
            <w:vAlign w:val="bottom"/>
            <w:hideMark/>
          </w:tcPr>
          <w:p w14:paraId="02233227" w14:textId="05475A52"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4073/6000x100=68</w:t>
            </w:r>
            <w:r w:rsidR="00C81F8D">
              <w:rPr>
                <w:rFonts w:ascii="Calibri" w:eastAsia="Times New Roman" w:hAnsi="Calibri" w:cs="Calibri"/>
                <w:color w:val="000000"/>
                <w:sz w:val="16"/>
                <w:szCs w:val="16"/>
              </w:rPr>
              <w:t>%</w:t>
            </w:r>
          </w:p>
        </w:tc>
      </w:tr>
      <w:tr w:rsidR="00D5261F" w:rsidRPr="00D5261F" w14:paraId="74CF3708"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auto" w:fill="auto"/>
            <w:noWrap/>
            <w:vAlign w:val="bottom"/>
            <w:hideMark/>
          </w:tcPr>
          <w:p w14:paraId="26670B45"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314" w:type="dxa"/>
            <w:tcBorders>
              <w:top w:val="single" w:sz="4" w:space="0" w:color="8EA9DB"/>
              <w:left w:val="nil"/>
              <w:bottom w:val="single" w:sz="4" w:space="0" w:color="8EA9DB"/>
              <w:right w:val="nil"/>
            </w:tcBorders>
            <w:shd w:val="clear" w:color="auto" w:fill="auto"/>
            <w:noWrap/>
            <w:vAlign w:val="bottom"/>
            <w:hideMark/>
          </w:tcPr>
          <w:p w14:paraId="5A280B5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auto" w:fill="auto"/>
            <w:noWrap/>
            <w:vAlign w:val="bottom"/>
            <w:hideMark/>
          </w:tcPr>
          <w:p w14:paraId="4D47E810"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auto" w:fill="auto"/>
            <w:noWrap/>
            <w:vAlign w:val="bottom"/>
            <w:hideMark/>
          </w:tcPr>
          <w:p w14:paraId="5A9E976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1122882F"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0C2515C"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4C7F2471"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Net profit of the year +</w:t>
            </w:r>
          </w:p>
        </w:tc>
        <w:tc>
          <w:tcPr>
            <w:tcW w:w="1601" w:type="dxa"/>
            <w:tcBorders>
              <w:top w:val="single" w:sz="4" w:space="0" w:color="8EA9DB"/>
              <w:left w:val="nil"/>
              <w:bottom w:val="single" w:sz="4" w:space="0" w:color="8EA9DB"/>
              <w:right w:val="nil"/>
            </w:tcBorders>
            <w:shd w:val="clear" w:color="D9E1F2" w:fill="D9E1F2"/>
            <w:noWrap/>
            <w:vAlign w:val="bottom"/>
            <w:hideMark/>
          </w:tcPr>
          <w:p w14:paraId="44A5EAA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ROCE</w:t>
            </w:r>
          </w:p>
        </w:tc>
        <w:tc>
          <w:tcPr>
            <w:tcW w:w="1635" w:type="dxa"/>
            <w:tcBorders>
              <w:top w:val="single" w:sz="4" w:space="0" w:color="8EA9DB"/>
              <w:left w:val="nil"/>
              <w:bottom w:val="single" w:sz="4" w:space="0" w:color="8EA9DB"/>
              <w:right w:val="nil"/>
            </w:tcBorders>
            <w:shd w:val="clear" w:color="D9E1F2" w:fill="D9E1F2"/>
            <w:noWrap/>
            <w:vAlign w:val="bottom"/>
            <w:hideMark/>
          </w:tcPr>
          <w:p w14:paraId="2C28D0B5" w14:textId="1D60AA66"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4008+20/6226x100=65</w:t>
            </w:r>
            <w:r w:rsidR="00C81F8D">
              <w:rPr>
                <w:rFonts w:ascii="Calibri" w:eastAsia="Times New Roman" w:hAnsi="Calibri" w:cs="Calibri"/>
                <w:color w:val="000000"/>
                <w:sz w:val="16"/>
                <w:szCs w:val="16"/>
              </w:rPr>
              <w:t>%</w:t>
            </w:r>
          </w:p>
        </w:tc>
        <w:tc>
          <w:tcPr>
            <w:tcW w:w="1549" w:type="dxa"/>
            <w:tcBorders>
              <w:top w:val="single" w:sz="4" w:space="0" w:color="8EA9DB"/>
              <w:left w:val="nil"/>
              <w:bottom w:val="single" w:sz="4" w:space="0" w:color="8EA9DB"/>
              <w:right w:val="nil"/>
            </w:tcBorders>
            <w:shd w:val="clear" w:color="D9E1F2" w:fill="D9E1F2"/>
            <w:noWrap/>
            <w:vAlign w:val="bottom"/>
            <w:hideMark/>
          </w:tcPr>
          <w:p w14:paraId="34DB6BC6" w14:textId="2075BDC9"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4073+18/6274x100=65</w:t>
            </w:r>
            <w:r w:rsidR="00C81F8D">
              <w:rPr>
                <w:rFonts w:ascii="Calibri" w:eastAsia="Times New Roman" w:hAnsi="Calibri" w:cs="Calibri"/>
                <w:color w:val="000000"/>
                <w:sz w:val="16"/>
                <w:szCs w:val="16"/>
              </w:rPr>
              <w:t>%</w:t>
            </w:r>
          </w:p>
        </w:tc>
      </w:tr>
      <w:tr w:rsidR="00D5261F" w:rsidRPr="00D5261F" w14:paraId="76C43A9D"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19B82CBC" w14:textId="588C030E"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loan interest/</w:t>
            </w:r>
            <w:r w:rsidR="00C81F8D" w:rsidRPr="00D5261F">
              <w:rPr>
                <w:rFonts w:ascii="Calibri" w:eastAsia="Times New Roman" w:hAnsi="Calibri" w:cs="Calibri"/>
                <w:color w:val="000000"/>
                <w:sz w:val="16"/>
                <w:szCs w:val="16"/>
              </w:rPr>
              <w:t>total</w:t>
            </w:r>
            <w:r w:rsidRPr="00D5261F">
              <w:rPr>
                <w:rFonts w:ascii="Calibri" w:eastAsia="Times New Roman" w:hAnsi="Calibri" w:cs="Calibri"/>
                <w:color w:val="000000"/>
                <w:sz w:val="16"/>
                <w:szCs w:val="16"/>
              </w:rPr>
              <w:t xml:space="preserve"> assets</w:t>
            </w:r>
          </w:p>
        </w:tc>
        <w:tc>
          <w:tcPr>
            <w:tcW w:w="1601" w:type="dxa"/>
            <w:tcBorders>
              <w:top w:val="single" w:sz="4" w:space="0" w:color="8EA9DB"/>
              <w:left w:val="nil"/>
              <w:bottom w:val="single" w:sz="4" w:space="0" w:color="8EA9DB"/>
              <w:right w:val="nil"/>
            </w:tcBorders>
            <w:shd w:val="clear" w:color="auto" w:fill="auto"/>
            <w:noWrap/>
            <w:vAlign w:val="bottom"/>
            <w:hideMark/>
          </w:tcPr>
          <w:p w14:paraId="4998FADE"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35" w:type="dxa"/>
            <w:tcBorders>
              <w:top w:val="single" w:sz="4" w:space="0" w:color="8EA9DB"/>
              <w:left w:val="nil"/>
              <w:bottom w:val="single" w:sz="4" w:space="0" w:color="8EA9DB"/>
              <w:right w:val="nil"/>
            </w:tcBorders>
            <w:shd w:val="clear" w:color="auto" w:fill="auto"/>
            <w:noWrap/>
            <w:vAlign w:val="bottom"/>
            <w:hideMark/>
          </w:tcPr>
          <w:p w14:paraId="0CDCF6EF"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13F9F1F7"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7A33274"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6109877A"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less current liability x100</w:t>
            </w:r>
          </w:p>
        </w:tc>
        <w:tc>
          <w:tcPr>
            <w:tcW w:w="1601" w:type="dxa"/>
            <w:tcBorders>
              <w:top w:val="single" w:sz="4" w:space="0" w:color="8EA9DB"/>
              <w:left w:val="nil"/>
              <w:bottom w:val="single" w:sz="4" w:space="0" w:color="8EA9DB"/>
              <w:right w:val="nil"/>
            </w:tcBorders>
            <w:shd w:val="clear" w:color="D9E1F2" w:fill="D9E1F2"/>
            <w:noWrap/>
            <w:vAlign w:val="bottom"/>
            <w:hideMark/>
          </w:tcPr>
          <w:p w14:paraId="459F49A2"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0AD89E6D"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D9E1F2" w:fill="D9E1F2"/>
            <w:noWrap/>
            <w:vAlign w:val="bottom"/>
            <w:hideMark/>
          </w:tcPr>
          <w:p w14:paraId="33427585"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106DEC1"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auto" w:fill="auto"/>
            <w:noWrap/>
            <w:vAlign w:val="bottom"/>
            <w:hideMark/>
          </w:tcPr>
          <w:p w14:paraId="6AD35C6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314" w:type="dxa"/>
            <w:tcBorders>
              <w:top w:val="single" w:sz="4" w:space="0" w:color="8EA9DB"/>
              <w:left w:val="nil"/>
              <w:bottom w:val="single" w:sz="4" w:space="0" w:color="8EA9DB"/>
              <w:right w:val="nil"/>
            </w:tcBorders>
            <w:shd w:val="clear" w:color="auto" w:fill="auto"/>
            <w:noWrap/>
            <w:vAlign w:val="bottom"/>
            <w:hideMark/>
          </w:tcPr>
          <w:p w14:paraId="498C3069"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auto" w:fill="auto"/>
            <w:noWrap/>
            <w:vAlign w:val="bottom"/>
            <w:hideMark/>
          </w:tcPr>
          <w:p w14:paraId="2229FC18"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auto" w:fill="auto"/>
            <w:noWrap/>
            <w:vAlign w:val="bottom"/>
            <w:hideMark/>
          </w:tcPr>
          <w:p w14:paraId="3FB8F74A"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35F3B22B"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83AAA98"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5F9C88B9"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Sales/total assets less</w:t>
            </w:r>
          </w:p>
        </w:tc>
        <w:tc>
          <w:tcPr>
            <w:tcW w:w="1601" w:type="dxa"/>
            <w:tcBorders>
              <w:top w:val="single" w:sz="4" w:space="0" w:color="8EA9DB"/>
              <w:left w:val="nil"/>
              <w:bottom w:val="single" w:sz="4" w:space="0" w:color="8EA9DB"/>
              <w:right w:val="nil"/>
            </w:tcBorders>
            <w:shd w:val="clear" w:color="D9E1F2" w:fill="D9E1F2"/>
            <w:noWrap/>
            <w:vAlign w:val="bottom"/>
            <w:hideMark/>
          </w:tcPr>
          <w:p w14:paraId="13360FA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Total assets turnover</w:t>
            </w:r>
          </w:p>
        </w:tc>
        <w:tc>
          <w:tcPr>
            <w:tcW w:w="1635" w:type="dxa"/>
            <w:tcBorders>
              <w:top w:val="single" w:sz="4" w:space="0" w:color="8EA9DB"/>
              <w:left w:val="nil"/>
              <w:bottom w:val="single" w:sz="4" w:space="0" w:color="8EA9DB"/>
              <w:right w:val="nil"/>
            </w:tcBorders>
            <w:shd w:val="clear" w:color="D9E1F2" w:fill="D9E1F2"/>
            <w:noWrap/>
            <w:vAlign w:val="bottom"/>
            <w:hideMark/>
          </w:tcPr>
          <w:p w14:paraId="1C034978" w14:textId="67FF206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 xml:space="preserve">5500/6226=0.88 </w:t>
            </w:r>
            <w:r w:rsidR="00C81F8D">
              <w:rPr>
                <w:rFonts w:ascii="Calibri" w:eastAsia="Times New Roman" w:hAnsi="Calibri" w:cs="Calibri"/>
                <w:color w:val="000000"/>
                <w:sz w:val="16"/>
                <w:szCs w:val="16"/>
              </w:rPr>
              <w:t>times</w:t>
            </w:r>
          </w:p>
        </w:tc>
        <w:tc>
          <w:tcPr>
            <w:tcW w:w="1549" w:type="dxa"/>
            <w:tcBorders>
              <w:top w:val="single" w:sz="4" w:space="0" w:color="8EA9DB"/>
              <w:left w:val="nil"/>
              <w:bottom w:val="single" w:sz="4" w:space="0" w:color="8EA9DB"/>
              <w:right w:val="nil"/>
            </w:tcBorders>
            <w:shd w:val="clear" w:color="D9E1F2" w:fill="D9E1F2"/>
            <w:noWrap/>
            <w:vAlign w:val="bottom"/>
            <w:hideMark/>
          </w:tcPr>
          <w:p w14:paraId="4526453A" w14:textId="1A8FFCC8"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 xml:space="preserve">6000/6274=0.95 </w:t>
            </w:r>
            <w:r w:rsidR="00C81F8D">
              <w:rPr>
                <w:rFonts w:ascii="Calibri" w:eastAsia="Times New Roman" w:hAnsi="Calibri" w:cs="Calibri"/>
                <w:color w:val="000000"/>
                <w:sz w:val="16"/>
                <w:szCs w:val="16"/>
              </w:rPr>
              <w:t>times</w:t>
            </w:r>
          </w:p>
        </w:tc>
      </w:tr>
      <w:tr w:rsidR="00D5261F" w:rsidRPr="00D5261F" w14:paraId="75C6A15F"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2DAF71F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liability</w:t>
            </w:r>
          </w:p>
        </w:tc>
        <w:tc>
          <w:tcPr>
            <w:tcW w:w="1601" w:type="dxa"/>
            <w:tcBorders>
              <w:top w:val="single" w:sz="4" w:space="0" w:color="8EA9DB"/>
              <w:left w:val="nil"/>
              <w:bottom w:val="single" w:sz="4" w:space="0" w:color="8EA9DB"/>
              <w:right w:val="nil"/>
            </w:tcBorders>
            <w:shd w:val="clear" w:color="auto" w:fill="auto"/>
            <w:noWrap/>
            <w:vAlign w:val="bottom"/>
            <w:hideMark/>
          </w:tcPr>
          <w:p w14:paraId="3EB40E63"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35" w:type="dxa"/>
            <w:tcBorders>
              <w:top w:val="single" w:sz="4" w:space="0" w:color="8EA9DB"/>
              <w:left w:val="nil"/>
              <w:bottom w:val="single" w:sz="4" w:space="0" w:color="8EA9DB"/>
              <w:right w:val="nil"/>
            </w:tcBorders>
            <w:shd w:val="clear" w:color="auto" w:fill="auto"/>
            <w:noWrap/>
            <w:vAlign w:val="bottom"/>
            <w:hideMark/>
          </w:tcPr>
          <w:p w14:paraId="1C98B6E5"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29AD3B3F"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E0D3C0C"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D9E1F2" w:fill="D9E1F2"/>
            <w:noWrap/>
            <w:vAlign w:val="bottom"/>
            <w:hideMark/>
          </w:tcPr>
          <w:p w14:paraId="6029B045"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314" w:type="dxa"/>
            <w:tcBorders>
              <w:top w:val="single" w:sz="4" w:space="0" w:color="8EA9DB"/>
              <w:left w:val="nil"/>
              <w:bottom w:val="single" w:sz="4" w:space="0" w:color="8EA9DB"/>
              <w:right w:val="nil"/>
            </w:tcBorders>
            <w:shd w:val="clear" w:color="D9E1F2" w:fill="D9E1F2"/>
            <w:noWrap/>
            <w:vAlign w:val="bottom"/>
            <w:hideMark/>
          </w:tcPr>
          <w:p w14:paraId="3A5C4386"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D9E1F2" w:fill="D9E1F2"/>
            <w:noWrap/>
            <w:vAlign w:val="bottom"/>
            <w:hideMark/>
          </w:tcPr>
          <w:p w14:paraId="00973A35"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44A0C48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D9E1F2" w:fill="D9E1F2"/>
            <w:noWrap/>
            <w:vAlign w:val="bottom"/>
            <w:hideMark/>
          </w:tcPr>
          <w:p w14:paraId="669FDDCF"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C652649"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7CC556C5"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Sales/net profit assets</w:t>
            </w:r>
          </w:p>
        </w:tc>
        <w:tc>
          <w:tcPr>
            <w:tcW w:w="1601" w:type="dxa"/>
            <w:tcBorders>
              <w:top w:val="single" w:sz="4" w:space="0" w:color="8EA9DB"/>
              <w:left w:val="nil"/>
              <w:bottom w:val="single" w:sz="4" w:space="0" w:color="8EA9DB"/>
              <w:right w:val="nil"/>
            </w:tcBorders>
            <w:shd w:val="clear" w:color="auto" w:fill="auto"/>
            <w:noWrap/>
            <w:vAlign w:val="bottom"/>
            <w:hideMark/>
          </w:tcPr>
          <w:p w14:paraId="399ECF8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Working capital turnover</w:t>
            </w:r>
          </w:p>
        </w:tc>
        <w:tc>
          <w:tcPr>
            <w:tcW w:w="1635" w:type="dxa"/>
            <w:tcBorders>
              <w:top w:val="single" w:sz="4" w:space="0" w:color="8EA9DB"/>
              <w:left w:val="nil"/>
              <w:bottom w:val="single" w:sz="4" w:space="0" w:color="8EA9DB"/>
              <w:right w:val="nil"/>
            </w:tcBorders>
            <w:shd w:val="clear" w:color="auto" w:fill="auto"/>
            <w:noWrap/>
            <w:vAlign w:val="bottom"/>
            <w:hideMark/>
          </w:tcPr>
          <w:p w14:paraId="1C8C79F0" w14:textId="1E0F5A42"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5500/</w:t>
            </w:r>
            <w:r w:rsidR="00C81F8D">
              <w:rPr>
                <w:rFonts w:ascii="Calibri" w:eastAsia="Times New Roman" w:hAnsi="Calibri" w:cs="Calibri"/>
                <w:color w:val="000000"/>
                <w:sz w:val="16"/>
                <w:szCs w:val="16"/>
              </w:rPr>
              <w:t>1726=3.19</w:t>
            </w:r>
          </w:p>
        </w:tc>
        <w:tc>
          <w:tcPr>
            <w:tcW w:w="1549" w:type="dxa"/>
            <w:tcBorders>
              <w:top w:val="single" w:sz="4" w:space="0" w:color="8EA9DB"/>
              <w:left w:val="nil"/>
              <w:bottom w:val="single" w:sz="4" w:space="0" w:color="8EA9DB"/>
              <w:right w:val="nil"/>
            </w:tcBorders>
            <w:shd w:val="clear" w:color="auto" w:fill="auto"/>
            <w:noWrap/>
            <w:vAlign w:val="bottom"/>
            <w:hideMark/>
          </w:tcPr>
          <w:p w14:paraId="542EA462" w14:textId="063AF10B"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6000/</w:t>
            </w:r>
            <w:r w:rsidR="00C81F8D">
              <w:rPr>
                <w:rFonts w:ascii="Calibri" w:eastAsia="Times New Roman" w:hAnsi="Calibri" w:cs="Calibri"/>
                <w:color w:val="000000"/>
                <w:sz w:val="16"/>
                <w:szCs w:val="16"/>
              </w:rPr>
              <w:t>1624=3.69</w:t>
            </w:r>
          </w:p>
        </w:tc>
      </w:tr>
      <w:tr w:rsidR="00D5261F" w:rsidRPr="00D5261F" w14:paraId="30365A74"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D9E1F2" w:fill="D9E1F2"/>
            <w:noWrap/>
            <w:vAlign w:val="bottom"/>
            <w:hideMark/>
          </w:tcPr>
          <w:p w14:paraId="6F7A7A76"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314" w:type="dxa"/>
            <w:tcBorders>
              <w:top w:val="single" w:sz="4" w:space="0" w:color="8EA9DB"/>
              <w:left w:val="nil"/>
              <w:bottom w:val="single" w:sz="4" w:space="0" w:color="8EA9DB"/>
              <w:right w:val="nil"/>
            </w:tcBorders>
            <w:shd w:val="clear" w:color="D9E1F2" w:fill="D9E1F2"/>
            <w:noWrap/>
            <w:vAlign w:val="bottom"/>
            <w:hideMark/>
          </w:tcPr>
          <w:p w14:paraId="48B8E6B2"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D9E1F2" w:fill="D9E1F2"/>
            <w:noWrap/>
            <w:vAlign w:val="bottom"/>
            <w:hideMark/>
          </w:tcPr>
          <w:p w14:paraId="78770ECE"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0A7FF45E"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D9E1F2" w:fill="D9E1F2"/>
            <w:noWrap/>
            <w:vAlign w:val="bottom"/>
            <w:hideMark/>
          </w:tcPr>
          <w:p w14:paraId="69CE739E"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24A9C93B"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3038D6C1" w14:textId="799B4290"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 xml:space="preserve">Current </w:t>
            </w:r>
            <w:r w:rsidR="00C81F8D" w:rsidRPr="00D5261F">
              <w:rPr>
                <w:rFonts w:ascii="Calibri" w:eastAsia="Times New Roman" w:hAnsi="Calibri" w:cs="Calibri"/>
                <w:color w:val="000000"/>
                <w:sz w:val="16"/>
                <w:szCs w:val="16"/>
              </w:rPr>
              <w:t>assets</w:t>
            </w:r>
            <w:r w:rsidRPr="00D5261F">
              <w:rPr>
                <w:rFonts w:ascii="Calibri" w:eastAsia="Times New Roman" w:hAnsi="Calibri" w:cs="Calibri"/>
                <w:color w:val="000000"/>
                <w:sz w:val="16"/>
                <w:szCs w:val="16"/>
              </w:rPr>
              <w:t xml:space="preserve"> total/</w:t>
            </w:r>
          </w:p>
        </w:tc>
        <w:tc>
          <w:tcPr>
            <w:tcW w:w="1601" w:type="dxa"/>
            <w:tcBorders>
              <w:top w:val="single" w:sz="4" w:space="0" w:color="8EA9DB"/>
              <w:left w:val="nil"/>
              <w:bottom w:val="single" w:sz="4" w:space="0" w:color="8EA9DB"/>
              <w:right w:val="nil"/>
            </w:tcBorders>
            <w:shd w:val="clear" w:color="auto" w:fill="auto"/>
            <w:noWrap/>
            <w:vAlign w:val="bottom"/>
            <w:hideMark/>
          </w:tcPr>
          <w:p w14:paraId="0F936FF3"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ratio</w:t>
            </w:r>
          </w:p>
        </w:tc>
        <w:tc>
          <w:tcPr>
            <w:tcW w:w="1635" w:type="dxa"/>
            <w:tcBorders>
              <w:top w:val="single" w:sz="4" w:space="0" w:color="8EA9DB"/>
              <w:left w:val="nil"/>
              <w:bottom w:val="single" w:sz="4" w:space="0" w:color="8EA9DB"/>
              <w:right w:val="nil"/>
            </w:tcBorders>
            <w:shd w:val="clear" w:color="auto" w:fill="auto"/>
            <w:noWrap/>
            <w:vAlign w:val="bottom"/>
            <w:hideMark/>
          </w:tcPr>
          <w:p w14:paraId="263A7BD8" w14:textId="472168BE"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3065/1339=2.2</w:t>
            </w:r>
            <w:r w:rsidR="00C81F8D">
              <w:rPr>
                <w:rFonts w:ascii="Calibri" w:eastAsia="Times New Roman" w:hAnsi="Calibri" w:cs="Calibri"/>
                <w:color w:val="000000"/>
                <w:sz w:val="16"/>
                <w:szCs w:val="16"/>
              </w:rPr>
              <w:t>9</w:t>
            </w:r>
          </w:p>
        </w:tc>
        <w:tc>
          <w:tcPr>
            <w:tcW w:w="1549" w:type="dxa"/>
            <w:tcBorders>
              <w:top w:val="single" w:sz="4" w:space="0" w:color="8EA9DB"/>
              <w:left w:val="nil"/>
              <w:bottom w:val="single" w:sz="4" w:space="0" w:color="8EA9DB"/>
              <w:right w:val="nil"/>
            </w:tcBorders>
            <w:shd w:val="clear" w:color="auto" w:fill="auto"/>
            <w:noWrap/>
            <w:vAlign w:val="bottom"/>
            <w:hideMark/>
          </w:tcPr>
          <w:p w14:paraId="2CADDAA5" w14:textId="67BC16E4"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3240/1616=2.0</w:t>
            </w:r>
          </w:p>
        </w:tc>
      </w:tr>
      <w:tr w:rsidR="00D5261F" w:rsidRPr="00D5261F" w14:paraId="3416F4DC"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20999562"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liabilities total</w:t>
            </w:r>
          </w:p>
        </w:tc>
        <w:tc>
          <w:tcPr>
            <w:tcW w:w="1601" w:type="dxa"/>
            <w:tcBorders>
              <w:top w:val="single" w:sz="4" w:space="0" w:color="8EA9DB"/>
              <w:left w:val="nil"/>
              <w:bottom w:val="single" w:sz="4" w:space="0" w:color="8EA9DB"/>
              <w:right w:val="nil"/>
            </w:tcBorders>
            <w:shd w:val="clear" w:color="D9E1F2" w:fill="D9E1F2"/>
            <w:noWrap/>
            <w:vAlign w:val="bottom"/>
            <w:hideMark/>
          </w:tcPr>
          <w:p w14:paraId="3F0485E0"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2B90C1D6"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D9E1F2" w:fill="D9E1F2"/>
            <w:noWrap/>
            <w:vAlign w:val="bottom"/>
            <w:hideMark/>
          </w:tcPr>
          <w:p w14:paraId="6B68F1F3"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34CE7E42"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auto" w:fill="auto"/>
            <w:noWrap/>
            <w:vAlign w:val="bottom"/>
            <w:hideMark/>
          </w:tcPr>
          <w:p w14:paraId="6FBC5FE1"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314" w:type="dxa"/>
            <w:tcBorders>
              <w:top w:val="single" w:sz="4" w:space="0" w:color="8EA9DB"/>
              <w:left w:val="nil"/>
              <w:bottom w:val="single" w:sz="4" w:space="0" w:color="8EA9DB"/>
              <w:right w:val="nil"/>
            </w:tcBorders>
            <w:shd w:val="clear" w:color="auto" w:fill="auto"/>
            <w:noWrap/>
            <w:vAlign w:val="bottom"/>
            <w:hideMark/>
          </w:tcPr>
          <w:p w14:paraId="28B7314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auto" w:fill="auto"/>
            <w:noWrap/>
            <w:vAlign w:val="bottom"/>
            <w:hideMark/>
          </w:tcPr>
          <w:p w14:paraId="16EA320F"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auto" w:fill="auto"/>
            <w:noWrap/>
            <w:vAlign w:val="bottom"/>
            <w:hideMark/>
          </w:tcPr>
          <w:p w14:paraId="318F24F2"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5B8913EE"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3C34CA8D"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70CE79EC"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assets total-stock/</w:t>
            </w:r>
          </w:p>
        </w:tc>
        <w:tc>
          <w:tcPr>
            <w:tcW w:w="1601" w:type="dxa"/>
            <w:tcBorders>
              <w:top w:val="single" w:sz="4" w:space="0" w:color="8EA9DB"/>
              <w:left w:val="nil"/>
              <w:bottom w:val="single" w:sz="4" w:space="0" w:color="8EA9DB"/>
              <w:right w:val="nil"/>
            </w:tcBorders>
            <w:shd w:val="clear" w:color="D9E1F2" w:fill="D9E1F2"/>
            <w:noWrap/>
            <w:vAlign w:val="bottom"/>
            <w:hideMark/>
          </w:tcPr>
          <w:p w14:paraId="3C284BAB"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Quick Ratio</w:t>
            </w:r>
          </w:p>
        </w:tc>
        <w:tc>
          <w:tcPr>
            <w:tcW w:w="1635" w:type="dxa"/>
            <w:tcBorders>
              <w:top w:val="single" w:sz="4" w:space="0" w:color="8EA9DB"/>
              <w:left w:val="nil"/>
              <w:bottom w:val="single" w:sz="4" w:space="0" w:color="8EA9DB"/>
              <w:right w:val="nil"/>
            </w:tcBorders>
            <w:shd w:val="clear" w:color="D9E1F2" w:fill="D9E1F2"/>
            <w:noWrap/>
            <w:vAlign w:val="bottom"/>
            <w:hideMark/>
          </w:tcPr>
          <w:p w14:paraId="70EBBF8D" w14:textId="6C45458F"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3065-1450/1339=1.2</w:t>
            </w:r>
            <w:r w:rsidR="00C81F8D">
              <w:rPr>
                <w:rFonts w:ascii="Calibri" w:eastAsia="Times New Roman" w:hAnsi="Calibri" w:cs="Calibri"/>
                <w:color w:val="000000"/>
                <w:sz w:val="16"/>
                <w:szCs w:val="16"/>
              </w:rPr>
              <w:t>1</w:t>
            </w:r>
          </w:p>
        </w:tc>
        <w:tc>
          <w:tcPr>
            <w:tcW w:w="1549" w:type="dxa"/>
            <w:tcBorders>
              <w:top w:val="single" w:sz="4" w:space="0" w:color="8EA9DB"/>
              <w:left w:val="nil"/>
              <w:bottom w:val="single" w:sz="4" w:space="0" w:color="8EA9DB"/>
              <w:right w:val="nil"/>
            </w:tcBorders>
            <w:shd w:val="clear" w:color="D9E1F2" w:fill="D9E1F2"/>
            <w:noWrap/>
            <w:vAlign w:val="bottom"/>
            <w:hideMark/>
          </w:tcPr>
          <w:p w14:paraId="1F207BA9" w14:textId="31E9C79D"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3240-1420/1616=1.1</w:t>
            </w:r>
            <w:r w:rsidR="00C81F8D">
              <w:rPr>
                <w:rFonts w:ascii="Calibri" w:eastAsia="Times New Roman" w:hAnsi="Calibri" w:cs="Calibri"/>
                <w:color w:val="000000"/>
                <w:sz w:val="16"/>
                <w:szCs w:val="16"/>
              </w:rPr>
              <w:t>3</w:t>
            </w:r>
          </w:p>
        </w:tc>
      </w:tr>
      <w:tr w:rsidR="00D5261F" w:rsidRPr="00D5261F" w14:paraId="1A8A3AA2"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504B59F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liabilities total</w:t>
            </w:r>
          </w:p>
        </w:tc>
        <w:tc>
          <w:tcPr>
            <w:tcW w:w="1601" w:type="dxa"/>
            <w:tcBorders>
              <w:top w:val="single" w:sz="4" w:space="0" w:color="8EA9DB"/>
              <w:left w:val="nil"/>
              <w:bottom w:val="single" w:sz="4" w:space="0" w:color="8EA9DB"/>
              <w:right w:val="nil"/>
            </w:tcBorders>
            <w:shd w:val="clear" w:color="auto" w:fill="auto"/>
            <w:noWrap/>
            <w:vAlign w:val="bottom"/>
            <w:hideMark/>
          </w:tcPr>
          <w:p w14:paraId="75C825C9"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35" w:type="dxa"/>
            <w:tcBorders>
              <w:top w:val="single" w:sz="4" w:space="0" w:color="8EA9DB"/>
              <w:left w:val="nil"/>
              <w:bottom w:val="single" w:sz="4" w:space="0" w:color="8EA9DB"/>
              <w:right w:val="nil"/>
            </w:tcBorders>
            <w:shd w:val="clear" w:color="auto" w:fill="auto"/>
            <w:noWrap/>
            <w:vAlign w:val="bottom"/>
            <w:hideMark/>
          </w:tcPr>
          <w:p w14:paraId="1A5E78EC"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3551B49A"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3FA885FF"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43F825A7"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debtorsx365 days of the year/</w:t>
            </w:r>
          </w:p>
        </w:tc>
        <w:tc>
          <w:tcPr>
            <w:tcW w:w="1601" w:type="dxa"/>
            <w:tcBorders>
              <w:top w:val="single" w:sz="4" w:space="0" w:color="8EA9DB"/>
              <w:left w:val="nil"/>
              <w:bottom w:val="single" w:sz="4" w:space="0" w:color="8EA9DB"/>
              <w:right w:val="nil"/>
            </w:tcBorders>
            <w:shd w:val="clear" w:color="D9E1F2" w:fill="D9E1F2"/>
            <w:noWrap/>
            <w:vAlign w:val="bottom"/>
            <w:hideMark/>
          </w:tcPr>
          <w:p w14:paraId="21C9587A"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44540DDF"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D9E1F2" w:fill="D9E1F2"/>
            <w:noWrap/>
            <w:vAlign w:val="bottom"/>
            <w:hideMark/>
          </w:tcPr>
          <w:p w14:paraId="67A4FDC6"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785E3261"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3F296526"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Debtorsx365 days of the year/</w:t>
            </w:r>
          </w:p>
        </w:tc>
        <w:tc>
          <w:tcPr>
            <w:tcW w:w="1601" w:type="dxa"/>
            <w:tcBorders>
              <w:top w:val="single" w:sz="4" w:space="0" w:color="8EA9DB"/>
              <w:left w:val="nil"/>
              <w:bottom w:val="single" w:sz="4" w:space="0" w:color="8EA9DB"/>
              <w:right w:val="nil"/>
            </w:tcBorders>
            <w:shd w:val="clear" w:color="auto" w:fill="auto"/>
            <w:noWrap/>
            <w:vAlign w:val="bottom"/>
            <w:hideMark/>
          </w:tcPr>
          <w:p w14:paraId="321A30A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Debtor days</w:t>
            </w:r>
          </w:p>
        </w:tc>
        <w:tc>
          <w:tcPr>
            <w:tcW w:w="1635" w:type="dxa"/>
            <w:tcBorders>
              <w:top w:val="single" w:sz="4" w:space="0" w:color="8EA9DB"/>
              <w:left w:val="nil"/>
              <w:bottom w:val="single" w:sz="4" w:space="0" w:color="8EA9DB"/>
              <w:right w:val="nil"/>
            </w:tcBorders>
            <w:shd w:val="clear" w:color="auto" w:fill="auto"/>
            <w:noWrap/>
            <w:vAlign w:val="bottom"/>
            <w:hideMark/>
          </w:tcPr>
          <w:p w14:paraId="31C96C4E" w14:textId="446B2CF9"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1600x365/5500=106</w:t>
            </w:r>
            <w:r w:rsidR="00C81F8D">
              <w:rPr>
                <w:rFonts w:ascii="Calibri" w:eastAsia="Times New Roman" w:hAnsi="Calibri" w:cs="Calibri"/>
                <w:color w:val="000000"/>
                <w:sz w:val="16"/>
                <w:szCs w:val="16"/>
              </w:rPr>
              <w:t xml:space="preserve"> days</w:t>
            </w:r>
          </w:p>
        </w:tc>
        <w:tc>
          <w:tcPr>
            <w:tcW w:w="1549" w:type="dxa"/>
            <w:tcBorders>
              <w:top w:val="single" w:sz="4" w:space="0" w:color="8EA9DB"/>
              <w:left w:val="nil"/>
              <w:bottom w:val="single" w:sz="4" w:space="0" w:color="8EA9DB"/>
              <w:right w:val="nil"/>
            </w:tcBorders>
            <w:shd w:val="clear" w:color="auto" w:fill="auto"/>
            <w:noWrap/>
            <w:vAlign w:val="bottom"/>
            <w:hideMark/>
          </w:tcPr>
          <w:p w14:paraId="174CCCEC" w14:textId="143D3400"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1800x365/6000=1</w:t>
            </w:r>
            <w:r w:rsidR="00C81F8D">
              <w:rPr>
                <w:rFonts w:ascii="Calibri" w:eastAsia="Times New Roman" w:hAnsi="Calibri" w:cs="Calibri"/>
                <w:color w:val="000000"/>
                <w:sz w:val="16"/>
                <w:szCs w:val="16"/>
              </w:rPr>
              <w:t>10 days</w:t>
            </w:r>
          </w:p>
        </w:tc>
      </w:tr>
      <w:tr w:rsidR="00D5261F" w:rsidRPr="00D5261F" w14:paraId="2A0AD46B"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D9E1F2" w:fill="D9E1F2"/>
            <w:noWrap/>
            <w:vAlign w:val="bottom"/>
            <w:hideMark/>
          </w:tcPr>
          <w:p w14:paraId="50BF995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purchases</w:t>
            </w:r>
          </w:p>
        </w:tc>
        <w:tc>
          <w:tcPr>
            <w:tcW w:w="1314" w:type="dxa"/>
            <w:tcBorders>
              <w:top w:val="single" w:sz="4" w:space="0" w:color="8EA9DB"/>
              <w:left w:val="nil"/>
              <w:bottom w:val="single" w:sz="4" w:space="0" w:color="8EA9DB"/>
              <w:right w:val="nil"/>
            </w:tcBorders>
            <w:shd w:val="clear" w:color="D9E1F2" w:fill="D9E1F2"/>
            <w:noWrap/>
            <w:vAlign w:val="bottom"/>
            <w:hideMark/>
          </w:tcPr>
          <w:p w14:paraId="616B74CD"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01" w:type="dxa"/>
            <w:tcBorders>
              <w:top w:val="single" w:sz="4" w:space="0" w:color="8EA9DB"/>
              <w:left w:val="nil"/>
              <w:bottom w:val="single" w:sz="4" w:space="0" w:color="8EA9DB"/>
              <w:right w:val="nil"/>
            </w:tcBorders>
            <w:shd w:val="clear" w:color="D9E1F2" w:fill="D9E1F2"/>
            <w:noWrap/>
            <w:vAlign w:val="bottom"/>
            <w:hideMark/>
          </w:tcPr>
          <w:p w14:paraId="726CCB8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52C86822"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D9E1F2" w:fill="D9E1F2"/>
            <w:noWrap/>
            <w:vAlign w:val="bottom"/>
            <w:hideMark/>
          </w:tcPr>
          <w:p w14:paraId="6D4FD0D1"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7086319B"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auto" w:fill="auto"/>
            <w:noWrap/>
            <w:vAlign w:val="bottom"/>
            <w:hideMark/>
          </w:tcPr>
          <w:p w14:paraId="7C83D55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314" w:type="dxa"/>
            <w:tcBorders>
              <w:top w:val="single" w:sz="4" w:space="0" w:color="8EA9DB"/>
              <w:left w:val="nil"/>
              <w:bottom w:val="single" w:sz="4" w:space="0" w:color="8EA9DB"/>
              <w:right w:val="nil"/>
            </w:tcBorders>
            <w:shd w:val="clear" w:color="auto" w:fill="auto"/>
            <w:noWrap/>
            <w:vAlign w:val="bottom"/>
            <w:hideMark/>
          </w:tcPr>
          <w:p w14:paraId="689BC3CA"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auto" w:fill="auto"/>
            <w:noWrap/>
            <w:vAlign w:val="bottom"/>
            <w:hideMark/>
          </w:tcPr>
          <w:p w14:paraId="3AB3194A"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auto" w:fill="auto"/>
            <w:noWrap/>
            <w:vAlign w:val="bottom"/>
            <w:hideMark/>
          </w:tcPr>
          <w:p w14:paraId="03DDFDDC"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76608975"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6491FDB"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6729FAEC"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Trade creditorsx365 days/</w:t>
            </w:r>
          </w:p>
        </w:tc>
        <w:tc>
          <w:tcPr>
            <w:tcW w:w="1601" w:type="dxa"/>
            <w:tcBorders>
              <w:top w:val="single" w:sz="4" w:space="0" w:color="8EA9DB"/>
              <w:left w:val="nil"/>
              <w:bottom w:val="single" w:sz="4" w:space="0" w:color="8EA9DB"/>
              <w:right w:val="nil"/>
            </w:tcBorders>
            <w:shd w:val="clear" w:color="D9E1F2" w:fill="D9E1F2"/>
            <w:noWrap/>
            <w:vAlign w:val="bottom"/>
            <w:hideMark/>
          </w:tcPr>
          <w:p w14:paraId="508C1410" w14:textId="6563A393" w:rsidR="00D5261F" w:rsidRPr="00D5261F" w:rsidRDefault="0004312C"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Creditor’s</w:t>
            </w:r>
            <w:r w:rsidR="00D5261F" w:rsidRPr="00D5261F">
              <w:rPr>
                <w:rFonts w:ascii="Calibri" w:eastAsia="Times New Roman" w:hAnsi="Calibri" w:cs="Calibri"/>
                <w:color w:val="000000"/>
                <w:sz w:val="16"/>
                <w:szCs w:val="16"/>
              </w:rPr>
              <w:t xml:space="preserve"> days</w:t>
            </w:r>
          </w:p>
        </w:tc>
        <w:tc>
          <w:tcPr>
            <w:tcW w:w="1635" w:type="dxa"/>
            <w:tcBorders>
              <w:top w:val="single" w:sz="4" w:space="0" w:color="8EA9DB"/>
              <w:left w:val="nil"/>
              <w:bottom w:val="single" w:sz="4" w:space="0" w:color="8EA9DB"/>
              <w:right w:val="nil"/>
            </w:tcBorders>
            <w:shd w:val="clear" w:color="D9E1F2" w:fill="D9E1F2"/>
            <w:noWrap/>
            <w:vAlign w:val="bottom"/>
            <w:hideMark/>
          </w:tcPr>
          <w:p w14:paraId="28EA8BF8" w14:textId="01F6E7A9"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800x365/500=584</w:t>
            </w:r>
            <w:r w:rsidR="00C81F8D">
              <w:rPr>
                <w:rFonts w:ascii="Calibri" w:eastAsia="Times New Roman" w:hAnsi="Calibri" w:cs="Calibri"/>
                <w:color w:val="000000"/>
                <w:sz w:val="16"/>
                <w:szCs w:val="16"/>
              </w:rPr>
              <w:t xml:space="preserve"> days</w:t>
            </w:r>
          </w:p>
        </w:tc>
        <w:tc>
          <w:tcPr>
            <w:tcW w:w="1549" w:type="dxa"/>
            <w:tcBorders>
              <w:top w:val="single" w:sz="4" w:space="0" w:color="8EA9DB"/>
              <w:left w:val="nil"/>
              <w:bottom w:val="single" w:sz="4" w:space="0" w:color="8EA9DB"/>
              <w:right w:val="nil"/>
            </w:tcBorders>
            <w:shd w:val="clear" w:color="D9E1F2" w:fill="D9E1F2"/>
            <w:noWrap/>
            <w:vAlign w:val="bottom"/>
            <w:hideMark/>
          </w:tcPr>
          <w:p w14:paraId="490880FC" w14:textId="4C0735D9"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870x365/850=373</w:t>
            </w:r>
            <w:r w:rsidR="00C81F8D">
              <w:rPr>
                <w:rFonts w:ascii="Calibri" w:eastAsia="Times New Roman" w:hAnsi="Calibri" w:cs="Calibri"/>
                <w:color w:val="000000"/>
                <w:sz w:val="16"/>
                <w:szCs w:val="16"/>
              </w:rPr>
              <w:t xml:space="preserve"> days</w:t>
            </w:r>
          </w:p>
        </w:tc>
      </w:tr>
      <w:tr w:rsidR="00D5261F" w:rsidRPr="00D5261F" w14:paraId="16F31C03"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auto" w:fill="auto"/>
            <w:noWrap/>
            <w:vAlign w:val="bottom"/>
            <w:hideMark/>
          </w:tcPr>
          <w:p w14:paraId="1E580C5F"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purchases</w:t>
            </w:r>
          </w:p>
        </w:tc>
        <w:tc>
          <w:tcPr>
            <w:tcW w:w="1314" w:type="dxa"/>
            <w:tcBorders>
              <w:top w:val="single" w:sz="4" w:space="0" w:color="8EA9DB"/>
              <w:left w:val="nil"/>
              <w:bottom w:val="single" w:sz="4" w:space="0" w:color="8EA9DB"/>
              <w:right w:val="nil"/>
            </w:tcBorders>
            <w:shd w:val="clear" w:color="auto" w:fill="auto"/>
            <w:noWrap/>
            <w:vAlign w:val="bottom"/>
            <w:hideMark/>
          </w:tcPr>
          <w:p w14:paraId="32DF5CFF"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01" w:type="dxa"/>
            <w:tcBorders>
              <w:top w:val="single" w:sz="4" w:space="0" w:color="8EA9DB"/>
              <w:left w:val="nil"/>
              <w:bottom w:val="single" w:sz="4" w:space="0" w:color="8EA9DB"/>
              <w:right w:val="nil"/>
            </w:tcBorders>
            <w:shd w:val="clear" w:color="auto" w:fill="auto"/>
            <w:noWrap/>
            <w:vAlign w:val="bottom"/>
            <w:hideMark/>
          </w:tcPr>
          <w:p w14:paraId="3DFF7D3A"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auto" w:fill="auto"/>
            <w:noWrap/>
            <w:vAlign w:val="bottom"/>
            <w:hideMark/>
          </w:tcPr>
          <w:p w14:paraId="0D73E4B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auto" w:fill="auto"/>
            <w:noWrap/>
            <w:vAlign w:val="bottom"/>
            <w:hideMark/>
          </w:tcPr>
          <w:p w14:paraId="32197D92"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B1A949D"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D9E1F2" w:fill="D9E1F2"/>
            <w:noWrap/>
            <w:vAlign w:val="bottom"/>
            <w:hideMark/>
          </w:tcPr>
          <w:p w14:paraId="07866DFE"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314" w:type="dxa"/>
            <w:tcBorders>
              <w:top w:val="single" w:sz="4" w:space="0" w:color="8EA9DB"/>
              <w:left w:val="nil"/>
              <w:bottom w:val="single" w:sz="4" w:space="0" w:color="8EA9DB"/>
              <w:right w:val="nil"/>
            </w:tcBorders>
            <w:shd w:val="clear" w:color="D9E1F2" w:fill="D9E1F2"/>
            <w:noWrap/>
            <w:vAlign w:val="bottom"/>
            <w:hideMark/>
          </w:tcPr>
          <w:p w14:paraId="4B36670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D9E1F2" w:fill="D9E1F2"/>
            <w:noWrap/>
            <w:vAlign w:val="bottom"/>
            <w:hideMark/>
          </w:tcPr>
          <w:p w14:paraId="011AD1B5"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7CEBCAA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D9E1F2" w:fill="D9E1F2"/>
            <w:noWrap/>
            <w:vAlign w:val="bottom"/>
            <w:hideMark/>
          </w:tcPr>
          <w:p w14:paraId="7CC9F720"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79BA3682"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75C42CF7" w14:textId="17609CA6"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 xml:space="preserve">(Total current </w:t>
            </w:r>
            <w:r w:rsidR="0017650C" w:rsidRPr="00D5261F">
              <w:rPr>
                <w:rFonts w:ascii="Calibri" w:eastAsia="Times New Roman" w:hAnsi="Calibri" w:cs="Calibri"/>
                <w:color w:val="000000"/>
                <w:sz w:val="16"/>
                <w:szCs w:val="16"/>
              </w:rPr>
              <w:t>liabilities</w:t>
            </w:r>
            <w:r w:rsidR="0017650C">
              <w:rPr>
                <w:rFonts w:ascii="Calibri" w:eastAsia="Times New Roman" w:hAnsi="Calibri" w:cs="Calibri"/>
                <w:color w:val="000000"/>
                <w:sz w:val="16"/>
                <w:szCs w:val="16"/>
              </w:rPr>
              <w:t xml:space="preserve"> </w:t>
            </w:r>
            <w:r w:rsidR="0004312C">
              <w:rPr>
                <w:rFonts w:ascii="Calibri" w:eastAsia="Times New Roman" w:hAnsi="Calibri" w:cs="Calibri"/>
                <w:color w:val="000000"/>
                <w:sz w:val="16"/>
                <w:szCs w:val="16"/>
              </w:rPr>
              <w:t>+</w:t>
            </w:r>
            <w:r w:rsidR="0017650C" w:rsidRPr="00D5261F">
              <w:rPr>
                <w:rFonts w:ascii="Calibri" w:eastAsia="Times New Roman" w:hAnsi="Calibri" w:cs="Calibri"/>
                <w:color w:val="000000"/>
                <w:sz w:val="16"/>
                <w:szCs w:val="16"/>
              </w:rPr>
              <w:t xml:space="preserve"> bank</w:t>
            </w:r>
            <w:r w:rsidRPr="00D5261F">
              <w:rPr>
                <w:rFonts w:ascii="Calibri" w:eastAsia="Times New Roman" w:hAnsi="Calibri" w:cs="Calibri"/>
                <w:color w:val="000000"/>
                <w:sz w:val="16"/>
                <w:szCs w:val="16"/>
              </w:rPr>
              <w:t xml:space="preserve"> loan)</w:t>
            </w:r>
          </w:p>
        </w:tc>
        <w:tc>
          <w:tcPr>
            <w:tcW w:w="1601" w:type="dxa"/>
            <w:tcBorders>
              <w:top w:val="single" w:sz="4" w:space="0" w:color="8EA9DB"/>
              <w:left w:val="nil"/>
              <w:bottom w:val="single" w:sz="4" w:space="0" w:color="8EA9DB"/>
              <w:right w:val="nil"/>
            </w:tcBorders>
            <w:shd w:val="clear" w:color="auto" w:fill="auto"/>
            <w:noWrap/>
            <w:vAlign w:val="bottom"/>
            <w:hideMark/>
          </w:tcPr>
          <w:p w14:paraId="01FDE929"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Debt days</w:t>
            </w:r>
          </w:p>
        </w:tc>
        <w:tc>
          <w:tcPr>
            <w:tcW w:w="1635" w:type="dxa"/>
            <w:tcBorders>
              <w:top w:val="single" w:sz="4" w:space="0" w:color="8EA9DB"/>
              <w:left w:val="nil"/>
              <w:bottom w:val="single" w:sz="4" w:space="0" w:color="8EA9DB"/>
              <w:right w:val="nil"/>
            </w:tcBorders>
            <w:shd w:val="clear" w:color="auto" w:fill="auto"/>
            <w:noWrap/>
            <w:vAlign w:val="bottom"/>
            <w:hideMark/>
          </w:tcPr>
          <w:p w14:paraId="04E66CE4"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1339+150=1489</w:t>
            </w:r>
          </w:p>
        </w:tc>
        <w:tc>
          <w:tcPr>
            <w:tcW w:w="1549" w:type="dxa"/>
            <w:tcBorders>
              <w:top w:val="single" w:sz="4" w:space="0" w:color="8EA9DB"/>
              <w:left w:val="nil"/>
              <w:bottom w:val="single" w:sz="4" w:space="0" w:color="8EA9DB"/>
              <w:right w:val="nil"/>
            </w:tcBorders>
            <w:shd w:val="clear" w:color="auto" w:fill="auto"/>
            <w:noWrap/>
            <w:vAlign w:val="bottom"/>
            <w:hideMark/>
          </w:tcPr>
          <w:p w14:paraId="16EC13A4"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1616+145=1761</w:t>
            </w:r>
          </w:p>
        </w:tc>
      </w:tr>
      <w:tr w:rsidR="00D5261F" w:rsidRPr="00D5261F" w14:paraId="00E64CF3"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77CA162B" w14:textId="6E8EAF0C"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w:t>
            </w:r>
            <w:r w:rsidR="00C81F8D" w:rsidRPr="00D5261F">
              <w:rPr>
                <w:rFonts w:ascii="Calibri" w:eastAsia="Times New Roman" w:hAnsi="Calibri" w:cs="Calibri"/>
                <w:color w:val="000000"/>
                <w:sz w:val="16"/>
                <w:szCs w:val="16"/>
              </w:rPr>
              <w:t>Total</w:t>
            </w:r>
            <w:r w:rsidRPr="00D5261F">
              <w:rPr>
                <w:rFonts w:ascii="Calibri" w:eastAsia="Times New Roman" w:hAnsi="Calibri" w:cs="Calibri"/>
                <w:color w:val="000000"/>
                <w:sz w:val="16"/>
                <w:szCs w:val="16"/>
              </w:rPr>
              <w:t xml:space="preserve"> current assets+ fixed assets)</w:t>
            </w:r>
          </w:p>
        </w:tc>
        <w:tc>
          <w:tcPr>
            <w:tcW w:w="1601" w:type="dxa"/>
            <w:tcBorders>
              <w:top w:val="single" w:sz="4" w:space="0" w:color="8EA9DB"/>
              <w:left w:val="nil"/>
              <w:bottom w:val="single" w:sz="4" w:space="0" w:color="8EA9DB"/>
              <w:right w:val="nil"/>
            </w:tcBorders>
            <w:shd w:val="clear" w:color="D9E1F2" w:fill="D9E1F2"/>
            <w:noWrap/>
            <w:vAlign w:val="bottom"/>
            <w:hideMark/>
          </w:tcPr>
          <w:p w14:paraId="1EC1584C"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7A652C01"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3065+4500=7565</w:t>
            </w:r>
          </w:p>
        </w:tc>
        <w:tc>
          <w:tcPr>
            <w:tcW w:w="1549" w:type="dxa"/>
            <w:tcBorders>
              <w:top w:val="single" w:sz="4" w:space="0" w:color="8EA9DB"/>
              <w:left w:val="nil"/>
              <w:bottom w:val="single" w:sz="4" w:space="0" w:color="8EA9DB"/>
              <w:right w:val="nil"/>
            </w:tcBorders>
            <w:shd w:val="clear" w:color="D9E1F2" w:fill="D9E1F2"/>
            <w:noWrap/>
            <w:vAlign w:val="bottom"/>
            <w:hideMark/>
          </w:tcPr>
          <w:p w14:paraId="16561EBF"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3240+4650=7890</w:t>
            </w:r>
          </w:p>
        </w:tc>
      </w:tr>
      <w:tr w:rsidR="00D5261F" w:rsidRPr="00D5261F" w14:paraId="71BD6EC8"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1E22A54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answer divided by one another</w:t>
            </w:r>
          </w:p>
        </w:tc>
        <w:tc>
          <w:tcPr>
            <w:tcW w:w="1601" w:type="dxa"/>
            <w:tcBorders>
              <w:top w:val="single" w:sz="4" w:space="0" w:color="8EA9DB"/>
              <w:left w:val="nil"/>
              <w:bottom w:val="single" w:sz="4" w:space="0" w:color="8EA9DB"/>
              <w:right w:val="nil"/>
            </w:tcBorders>
            <w:shd w:val="clear" w:color="auto" w:fill="auto"/>
            <w:noWrap/>
            <w:vAlign w:val="bottom"/>
            <w:hideMark/>
          </w:tcPr>
          <w:p w14:paraId="322C3618"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35" w:type="dxa"/>
            <w:tcBorders>
              <w:top w:val="single" w:sz="4" w:space="0" w:color="8EA9DB"/>
              <w:left w:val="nil"/>
              <w:bottom w:val="single" w:sz="4" w:space="0" w:color="8EA9DB"/>
              <w:right w:val="nil"/>
            </w:tcBorders>
            <w:shd w:val="clear" w:color="auto" w:fill="auto"/>
            <w:noWrap/>
            <w:vAlign w:val="bottom"/>
            <w:hideMark/>
          </w:tcPr>
          <w:p w14:paraId="652401C2" w14:textId="5218A606"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1489/7565=0.19</w:t>
            </w:r>
            <w:r w:rsidR="00C81F8D">
              <w:rPr>
                <w:rFonts w:ascii="Calibri" w:eastAsia="Times New Roman" w:hAnsi="Calibri" w:cs="Calibri"/>
                <w:color w:val="000000"/>
                <w:sz w:val="16"/>
                <w:szCs w:val="16"/>
              </w:rPr>
              <w:t xml:space="preserve"> days</w:t>
            </w:r>
          </w:p>
        </w:tc>
        <w:tc>
          <w:tcPr>
            <w:tcW w:w="1549" w:type="dxa"/>
            <w:tcBorders>
              <w:top w:val="single" w:sz="4" w:space="0" w:color="8EA9DB"/>
              <w:left w:val="nil"/>
              <w:bottom w:val="single" w:sz="4" w:space="0" w:color="8EA9DB"/>
              <w:right w:val="nil"/>
            </w:tcBorders>
            <w:shd w:val="clear" w:color="auto" w:fill="auto"/>
            <w:noWrap/>
            <w:vAlign w:val="bottom"/>
            <w:hideMark/>
          </w:tcPr>
          <w:p w14:paraId="3164592A" w14:textId="2F71700A"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1761/7890=0.22</w:t>
            </w:r>
            <w:r w:rsidR="00C81F8D">
              <w:rPr>
                <w:rFonts w:ascii="Calibri" w:eastAsia="Times New Roman" w:hAnsi="Calibri" w:cs="Calibri"/>
                <w:color w:val="000000"/>
                <w:sz w:val="16"/>
                <w:szCs w:val="16"/>
              </w:rPr>
              <w:t xml:space="preserve"> days</w:t>
            </w:r>
          </w:p>
        </w:tc>
      </w:tr>
      <w:tr w:rsidR="00D5261F" w:rsidRPr="00D5261F" w14:paraId="02EBA49C" w14:textId="77777777" w:rsidTr="00F2158A">
        <w:trPr>
          <w:trHeight w:val="304"/>
        </w:trPr>
        <w:tc>
          <w:tcPr>
            <w:tcW w:w="977" w:type="dxa"/>
            <w:tcBorders>
              <w:top w:val="single" w:sz="4" w:space="0" w:color="8EA9DB"/>
              <w:left w:val="single" w:sz="4" w:space="0" w:color="8EA9DB"/>
              <w:bottom w:val="single" w:sz="4" w:space="0" w:color="8EA9DB"/>
              <w:right w:val="nil"/>
            </w:tcBorders>
            <w:shd w:val="clear" w:color="D9E1F2" w:fill="D9E1F2"/>
            <w:noWrap/>
            <w:vAlign w:val="bottom"/>
            <w:hideMark/>
          </w:tcPr>
          <w:p w14:paraId="0B4FD649"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314" w:type="dxa"/>
            <w:tcBorders>
              <w:top w:val="single" w:sz="4" w:space="0" w:color="8EA9DB"/>
              <w:left w:val="nil"/>
              <w:bottom w:val="single" w:sz="4" w:space="0" w:color="8EA9DB"/>
              <w:right w:val="nil"/>
            </w:tcBorders>
            <w:shd w:val="clear" w:color="D9E1F2" w:fill="D9E1F2"/>
            <w:noWrap/>
            <w:vAlign w:val="bottom"/>
            <w:hideMark/>
          </w:tcPr>
          <w:p w14:paraId="10DC6A1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01" w:type="dxa"/>
            <w:tcBorders>
              <w:top w:val="single" w:sz="4" w:space="0" w:color="8EA9DB"/>
              <w:left w:val="nil"/>
              <w:bottom w:val="single" w:sz="4" w:space="0" w:color="8EA9DB"/>
              <w:right w:val="nil"/>
            </w:tcBorders>
            <w:shd w:val="clear" w:color="D9E1F2" w:fill="D9E1F2"/>
            <w:noWrap/>
            <w:vAlign w:val="bottom"/>
            <w:hideMark/>
          </w:tcPr>
          <w:p w14:paraId="72DEB75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652C6D4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nil"/>
            </w:tcBorders>
            <w:shd w:val="clear" w:color="D9E1F2" w:fill="D9E1F2"/>
            <w:noWrap/>
            <w:vAlign w:val="bottom"/>
            <w:hideMark/>
          </w:tcPr>
          <w:p w14:paraId="7469338D"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A5E961F"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251695DE"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Net profit of the year+</w:t>
            </w:r>
          </w:p>
        </w:tc>
        <w:tc>
          <w:tcPr>
            <w:tcW w:w="1601" w:type="dxa"/>
            <w:tcBorders>
              <w:top w:val="single" w:sz="4" w:space="0" w:color="8EA9DB"/>
              <w:left w:val="nil"/>
              <w:bottom w:val="single" w:sz="4" w:space="0" w:color="8EA9DB"/>
              <w:right w:val="nil"/>
            </w:tcBorders>
            <w:shd w:val="clear" w:color="auto" w:fill="auto"/>
            <w:noWrap/>
            <w:vAlign w:val="bottom"/>
            <w:hideMark/>
          </w:tcPr>
          <w:p w14:paraId="6E802B0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Interest cover</w:t>
            </w:r>
          </w:p>
        </w:tc>
        <w:tc>
          <w:tcPr>
            <w:tcW w:w="1635" w:type="dxa"/>
            <w:tcBorders>
              <w:top w:val="single" w:sz="4" w:space="0" w:color="8EA9DB"/>
              <w:left w:val="nil"/>
              <w:bottom w:val="single" w:sz="4" w:space="0" w:color="8EA9DB"/>
              <w:right w:val="nil"/>
            </w:tcBorders>
            <w:shd w:val="clear" w:color="auto" w:fill="auto"/>
            <w:noWrap/>
            <w:vAlign w:val="bottom"/>
            <w:hideMark/>
          </w:tcPr>
          <w:p w14:paraId="45FFCA64" w14:textId="0BEF55CE"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4008+5/20=20</w:t>
            </w:r>
            <w:r w:rsidR="00C81F8D">
              <w:rPr>
                <w:rFonts w:ascii="Calibri" w:eastAsia="Times New Roman" w:hAnsi="Calibri" w:cs="Calibri"/>
                <w:color w:val="000000"/>
                <w:sz w:val="16"/>
                <w:szCs w:val="16"/>
              </w:rPr>
              <w:t>0.65</w:t>
            </w:r>
          </w:p>
        </w:tc>
        <w:tc>
          <w:tcPr>
            <w:tcW w:w="1549" w:type="dxa"/>
            <w:tcBorders>
              <w:top w:val="single" w:sz="4" w:space="0" w:color="8EA9DB"/>
              <w:left w:val="nil"/>
              <w:bottom w:val="single" w:sz="4" w:space="0" w:color="8EA9DB"/>
              <w:right w:val="single" w:sz="4" w:space="0" w:color="8EA9DB"/>
            </w:tcBorders>
            <w:shd w:val="clear" w:color="auto" w:fill="auto"/>
            <w:noWrap/>
            <w:vAlign w:val="bottom"/>
            <w:hideMark/>
          </w:tcPr>
          <w:p w14:paraId="01043B2B" w14:textId="01C9C73A"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4073+5/18=226</w:t>
            </w:r>
            <w:r w:rsidR="00C81F8D">
              <w:rPr>
                <w:rFonts w:ascii="Calibri" w:eastAsia="Times New Roman" w:hAnsi="Calibri" w:cs="Calibri"/>
                <w:color w:val="000000"/>
                <w:sz w:val="16"/>
                <w:szCs w:val="16"/>
              </w:rPr>
              <w:t>.55</w:t>
            </w:r>
          </w:p>
        </w:tc>
      </w:tr>
      <w:tr w:rsidR="00D5261F" w:rsidRPr="00D5261F" w14:paraId="63991C8B" w14:textId="77777777" w:rsidTr="00F2158A">
        <w:trPr>
          <w:trHeight w:val="304"/>
        </w:trPr>
        <w:tc>
          <w:tcPr>
            <w:tcW w:w="2292"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39B1F144"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cash in hand/loan interest</w:t>
            </w:r>
          </w:p>
        </w:tc>
        <w:tc>
          <w:tcPr>
            <w:tcW w:w="1601" w:type="dxa"/>
            <w:tcBorders>
              <w:top w:val="single" w:sz="4" w:space="0" w:color="8EA9DB"/>
              <w:left w:val="nil"/>
              <w:bottom w:val="single" w:sz="4" w:space="0" w:color="8EA9DB"/>
              <w:right w:val="nil"/>
            </w:tcBorders>
            <w:shd w:val="clear" w:color="D9E1F2" w:fill="D9E1F2"/>
            <w:noWrap/>
            <w:vAlign w:val="bottom"/>
            <w:hideMark/>
          </w:tcPr>
          <w:p w14:paraId="7A81800D"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635" w:type="dxa"/>
            <w:tcBorders>
              <w:top w:val="single" w:sz="4" w:space="0" w:color="8EA9DB"/>
              <w:left w:val="nil"/>
              <w:bottom w:val="single" w:sz="4" w:space="0" w:color="8EA9DB"/>
              <w:right w:val="nil"/>
            </w:tcBorders>
            <w:shd w:val="clear" w:color="D9E1F2" w:fill="D9E1F2"/>
            <w:noWrap/>
            <w:vAlign w:val="bottom"/>
            <w:hideMark/>
          </w:tcPr>
          <w:p w14:paraId="551A59AC"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49" w:type="dxa"/>
            <w:tcBorders>
              <w:top w:val="single" w:sz="4" w:space="0" w:color="8EA9DB"/>
              <w:left w:val="nil"/>
              <w:bottom w:val="single" w:sz="4" w:space="0" w:color="8EA9DB"/>
              <w:right w:val="single" w:sz="4" w:space="0" w:color="8EA9DB"/>
            </w:tcBorders>
            <w:shd w:val="clear" w:color="D9E1F2" w:fill="D9E1F2"/>
            <w:noWrap/>
            <w:vAlign w:val="bottom"/>
            <w:hideMark/>
          </w:tcPr>
          <w:p w14:paraId="6EEF0B80"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bl>
    <w:p w14:paraId="60D07B1E" w14:textId="77777777" w:rsidR="00430A66" w:rsidRDefault="00430A66" w:rsidP="00430A66"/>
    <w:p w14:paraId="39100591" w14:textId="77777777" w:rsidR="00430A66" w:rsidRPr="00CA3EF5" w:rsidRDefault="00430A66" w:rsidP="00430A66">
      <w:pPr>
        <w:rPr>
          <w:i/>
          <w:iCs/>
        </w:rPr>
      </w:pPr>
    </w:p>
    <w:p w14:paraId="36B25315" w14:textId="2707E6DA" w:rsidR="00430A66" w:rsidRDefault="00C67898" w:rsidP="00430A66">
      <w:r>
        <w:rPr>
          <w:noProof/>
        </w:rPr>
        <w:drawing>
          <wp:inline distT="0" distB="0" distL="0" distR="0" wp14:anchorId="752FFA28" wp14:editId="2014C337">
            <wp:extent cx="6572250" cy="4114800"/>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572250" cy="4114800"/>
                    </a:xfrm>
                    <a:prstGeom prst="rect">
                      <a:avLst/>
                    </a:prstGeom>
                  </pic:spPr>
                </pic:pic>
              </a:graphicData>
            </a:graphic>
          </wp:inline>
        </w:drawing>
      </w:r>
    </w:p>
    <w:p w14:paraId="56AAF469" w14:textId="31E473C2" w:rsidR="00430A66" w:rsidRDefault="00430A66" w:rsidP="00430A66"/>
    <w:p w14:paraId="2439AC6D" w14:textId="539887FF" w:rsidR="00D5261F" w:rsidRDefault="00D5261F" w:rsidP="00430A66"/>
    <w:p w14:paraId="3367E4E1" w14:textId="5FDA2AB3" w:rsidR="00D5261F" w:rsidRDefault="00D5261F" w:rsidP="00430A66"/>
    <w:p w14:paraId="776F455F" w14:textId="6BECC57F" w:rsidR="00430A66" w:rsidRDefault="00430A66" w:rsidP="00430A66"/>
    <w:p w14:paraId="02C53691" w14:textId="7AEE8773" w:rsidR="00430A66" w:rsidRDefault="00430A66" w:rsidP="00430A66"/>
    <w:p w14:paraId="0E2D7504" w14:textId="47B3A542" w:rsidR="00C81F8D" w:rsidRDefault="00C81F8D" w:rsidP="005F4710">
      <w:pPr>
        <w:pStyle w:val="Heading1"/>
        <w:ind w:left="-1276" w:right="-790"/>
        <w:rPr>
          <w:i/>
          <w:iCs/>
        </w:rPr>
      </w:pPr>
    </w:p>
    <w:p w14:paraId="67A08FA0" w14:textId="77777777" w:rsidR="00C81F8D" w:rsidRDefault="00C81F8D" w:rsidP="007B0AA8">
      <w:pPr>
        <w:pStyle w:val="Heading1"/>
        <w:rPr>
          <w:i/>
          <w:iCs/>
        </w:rPr>
      </w:pPr>
    </w:p>
    <w:p w14:paraId="58A861D5" w14:textId="77777777" w:rsidR="0004312C" w:rsidRDefault="0004312C" w:rsidP="007B0AA8">
      <w:pPr>
        <w:pStyle w:val="Heading1"/>
        <w:rPr>
          <w:i/>
          <w:iCs/>
        </w:rPr>
      </w:pPr>
    </w:p>
    <w:p w14:paraId="6D2B1033" w14:textId="5F25C309" w:rsidR="0004312C" w:rsidRDefault="0004312C" w:rsidP="007B0AA8">
      <w:pPr>
        <w:pStyle w:val="Heading1"/>
        <w:rPr>
          <w:i/>
          <w:iCs/>
        </w:rPr>
      </w:pPr>
    </w:p>
    <w:p w14:paraId="46B8230F" w14:textId="77777777" w:rsidR="00FC5E11" w:rsidRPr="00FC5E11" w:rsidRDefault="00FC5E11" w:rsidP="00FC5E11"/>
    <w:p w14:paraId="62CAFF43" w14:textId="4EBE14A6" w:rsidR="00430A66" w:rsidRPr="007B0AA8" w:rsidRDefault="00430A66" w:rsidP="007B0AA8">
      <w:pPr>
        <w:pStyle w:val="Heading1"/>
        <w:rPr>
          <w:i/>
          <w:iCs/>
        </w:rPr>
      </w:pPr>
      <w:bookmarkStart w:id="2" w:name="_Toc95850108"/>
      <w:r w:rsidRPr="007B0AA8">
        <w:rPr>
          <w:i/>
          <w:iCs/>
        </w:rPr>
        <w:lastRenderedPageBreak/>
        <w:t>Financial Analysis Trends</w:t>
      </w:r>
      <w:bookmarkEnd w:id="2"/>
    </w:p>
    <w:p w14:paraId="20AF9C17" w14:textId="77777777" w:rsidR="00430A66" w:rsidRDefault="00430A66" w:rsidP="00430A66"/>
    <w:p w14:paraId="09F485C9" w14:textId="10DF5AF1" w:rsidR="00430A66" w:rsidRDefault="00430A66" w:rsidP="007B0AA8">
      <w:pPr>
        <w:pStyle w:val="Heading2"/>
      </w:pPr>
      <w:bookmarkStart w:id="3" w:name="_Toc95850109"/>
      <w:r>
        <w:t>Profitability</w:t>
      </w:r>
      <w:bookmarkEnd w:id="3"/>
    </w:p>
    <w:p w14:paraId="69941373" w14:textId="0A737A3D" w:rsidR="00430A66" w:rsidRDefault="00430A66" w:rsidP="00430A66">
      <w:r>
        <w:t xml:space="preserve">According to (Hayes, 2021), </w:t>
      </w:r>
      <w:r w:rsidR="00E9077F">
        <w:t>t</w:t>
      </w:r>
      <w:r>
        <w:t xml:space="preserve">he profitability ratios are defined as </w:t>
      </w:r>
      <w:r w:rsidR="007B0AA8">
        <w:t>a</w:t>
      </w:r>
      <w:r>
        <w:t xml:space="preserve">nd the possibility of the business to generate revenues. This Concept is based on analyzing on a certain time frame </w:t>
      </w:r>
      <w:r w:rsidR="007B0AA8">
        <w:t>t</w:t>
      </w:r>
      <w:r>
        <w:t xml:space="preserve">he balance sheet assets, Operating costs </w:t>
      </w:r>
      <w:r w:rsidR="0023096F">
        <w:t>but</w:t>
      </w:r>
      <w:r>
        <w:t xml:space="preserve"> also the shareholders equity. </w:t>
      </w:r>
    </w:p>
    <w:p w14:paraId="10055B39" w14:textId="46D0E0A0" w:rsidR="00430A66" w:rsidRDefault="00430A66" w:rsidP="00430A66">
      <w:r>
        <w:t xml:space="preserve">While analyzing the profitability ratio of Jurys Inn Hotel business it is needed to be mentioned that during the holiday </w:t>
      </w:r>
      <w:r w:rsidR="0023096F">
        <w:t>season,</w:t>
      </w:r>
      <w:r>
        <w:t xml:space="preserve"> they will register more revenues </w:t>
      </w:r>
      <w:r w:rsidR="0023096F">
        <w:t>than</w:t>
      </w:r>
      <w:r>
        <w:t xml:space="preserve"> an extra </w:t>
      </w:r>
      <w:r w:rsidR="0056005E">
        <w:t>season,</w:t>
      </w:r>
      <w:r>
        <w:t xml:space="preserve"> so the profitability ratio is not as expected. However</w:t>
      </w:r>
      <w:r w:rsidR="007B0AA8">
        <w:t>,</w:t>
      </w:r>
      <w:r>
        <w:t xml:space="preserve"> the profitability ratio of Jurys Inn </w:t>
      </w:r>
      <w:r w:rsidR="007B0AA8">
        <w:t>in</w:t>
      </w:r>
      <w:r>
        <w:t xml:space="preserve"> the year of 2019 was bigger than the profitability ratio in 2020 which means that the hotels have decreased their efficiency in 2020.</w:t>
      </w:r>
      <w:r w:rsidR="004F0605">
        <w:t xml:space="preserve"> </w:t>
      </w:r>
    </w:p>
    <w:p w14:paraId="564645A5" w14:textId="5AFAAB17" w:rsidR="004F0605" w:rsidRDefault="004F0605" w:rsidP="00430A66">
      <w:r>
        <w:t xml:space="preserve">The profitability ratio focuses on a few ratios in figure </w:t>
      </w:r>
      <w:r w:rsidR="000213A8">
        <w:t xml:space="preserve">1 </w:t>
      </w:r>
      <w:r>
        <w:t xml:space="preserve">the results show that </w:t>
      </w:r>
      <w:r w:rsidR="000213A8">
        <w:t xml:space="preserve">2020 the gross profit was 7% higher than 2019.  Net profit was 5% higher in 2019, </w:t>
      </w:r>
      <w:proofErr w:type="spellStart"/>
      <w:r w:rsidR="000213A8">
        <w:t>Roce</w:t>
      </w:r>
      <w:proofErr w:type="spellEnd"/>
      <w:r w:rsidR="000213A8">
        <w:t xml:space="preserve"> was the same in 2019 and 2020, total assets turnover was 8 times higher in 2020, working capital turnover was </w:t>
      </w:r>
      <w:r w:rsidR="007615B0">
        <w:t>higher in 2020</w:t>
      </w:r>
      <w:r w:rsidR="004860E6">
        <w:t xml:space="preserve">.  </w:t>
      </w:r>
    </w:p>
    <w:p w14:paraId="38894936" w14:textId="77777777" w:rsidR="00430A66" w:rsidRDefault="00430A66" w:rsidP="00430A66"/>
    <w:p w14:paraId="441AED92" w14:textId="167417BA" w:rsidR="00430A66" w:rsidRDefault="00430A66" w:rsidP="007B0AA8">
      <w:pPr>
        <w:pStyle w:val="Heading2"/>
      </w:pPr>
      <w:bookmarkStart w:id="4" w:name="_Toc95850110"/>
      <w:r>
        <w:t>Liquidity</w:t>
      </w:r>
      <w:bookmarkEnd w:id="4"/>
    </w:p>
    <w:p w14:paraId="4C8DA483" w14:textId="79FC0167" w:rsidR="00430A66" w:rsidRDefault="00430A66" w:rsidP="00430A66">
      <w:r>
        <w:t xml:space="preserve">The term for the </w:t>
      </w:r>
      <w:r w:rsidR="007B0AA8">
        <w:t>li</w:t>
      </w:r>
      <w:r>
        <w:t>qui</w:t>
      </w:r>
      <w:r w:rsidR="007B0AA8">
        <w:t>d</w:t>
      </w:r>
      <w:r>
        <w:t>ity can be describe about the cash money the company has</w:t>
      </w:r>
      <w:r w:rsidR="000A1B6F">
        <w:t>,</w:t>
      </w:r>
      <w:r>
        <w:t xml:space="preserve"> due to the fact that this concept also relies on the sum of money that the company can take out </w:t>
      </w:r>
      <w:r w:rsidR="000A1B6F">
        <w:t>from the company any time</w:t>
      </w:r>
      <w:r>
        <w:t xml:space="preserve"> for the investment or pi</w:t>
      </w:r>
      <w:r w:rsidR="000A1B6F">
        <w:t>ck</w:t>
      </w:r>
      <w:r>
        <w:t xml:space="preserve"> other things such as </w:t>
      </w:r>
      <w:r w:rsidR="000A1B6F">
        <w:t>debts</w:t>
      </w:r>
      <w:r>
        <w:t xml:space="preserve"> without decreasing the market price for affecting it. Partnerships and other assets such as non-collectibles are also considered liquidities for the company (Hayes &amp; Scott, 2021)</w:t>
      </w:r>
      <w:r w:rsidR="0023096F">
        <w:t>.</w:t>
      </w:r>
    </w:p>
    <w:p w14:paraId="70ED1379" w14:textId="3363EAF1" w:rsidR="00430A66" w:rsidRDefault="00430A66" w:rsidP="00430A66">
      <w:r>
        <w:t>After calculating the current ratio and quick ratio we can see that the Jurys Inn hotel chain has a positive equity which means that they are able to invest the money further without affecting their market share but also this is money that is available instantly without taking time to have access to them. It is however important to make sure that in 2019 the ratio regarding liquidity was higher than in 2020 which means that the company has registered a decrease in liquidity in 2020 and power off investing a having access to instant money lower</w:t>
      </w:r>
      <w:r w:rsidR="00071A9A">
        <w:t>s in value</w:t>
      </w:r>
      <w:r>
        <w:t>.</w:t>
      </w:r>
    </w:p>
    <w:p w14:paraId="509F63B3" w14:textId="77777777" w:rsidR="00430A66" w:rsidRDefault="00430A66" w:rsidP="00430A66"/>
    <w:p w14:paraId="3083E288" w14:textId="0519AAC6" w:rsidR="00430A66" w:rsidRDefault="00430A66" w:rsidP="00430A66">
      <w:pPr>
        <w:pStyle w:val="Heading2"/>
      </w:pPr>
      <w:bookmarkStart w:id="5" w:name="_Toc95850111"/>
      <w:r>
        <w:t>Gearing</w:t>
      </w:r>
      <w:bookmarkEnd w:id="5"/>
    </w:p>
    <w:p w14:paraId="760C7DAE" w14:textId="6F03A1AA" w:rsidR="00430A66" w:rsidRDefault="00071A9A" w:rsidP="00430A66">
      <w:r>
        <w:t>Gearing</w:t>
      </w:r>
      <w:r w:rsidR="00430A66">
        <w:t xml:space="preserve"> ratio is </w:t>
      </w:r>
      <w:r w:rsidR="0056005E">
        <w:t>looking</w:t>
      </w:r>
      <w:r w:rsidR="00430A66">
        <w:t xml:space="preserve"> after the </w:t>
      </w:r>
      <w:r w:rsidR="0023096F">
        <w:t>company’s</w:t>
      </w:r>
      <w:r w:rsidR="00430A66">
        <w:t xml:space="preserve"> fitness </w:t>
      </w:r>
      <w:r w:rsidR="00FC5E11">
        <w:t>let’s</w:t>
      </w:r>
      <w:r w:rsidR="00430A66">
        <w:t xml:space="preserve"> say like that </w:t>
      </w:r>
      <w:r w:rsidR="00204157">
        <w:t>since</w:t>
      </w:r>
      <w:r w:rsidR="00430A66">
        <w:t xml:space="preserve"> </w:t>
      </w:r>
      <w:r>
        <w:t>it</w:t>
      </w:r>
      <w:r w:rsidR="00430A66">
        <w:t xml:space="preserve"> describes and analyzes </w:t>
      </w:r>
      <w:r w:rsidR="0023096F">
        <w:t>the</w:t>
      </w:r>
      <w:r w:rsidR="00430A66">
        <w:t xml:space="preserve"> financial leverage of the company which is also related to the owner of equity to the borrowed funds</w:t>
      </w:r>
      <w:r w:rsidR="0023096F">
        <w:t xml:space="preserve"> </w:t>
      </w:r>
      <w:r w:rsidR="00430A66">
        <w:t>(</w:t>
      </w:r>
      <w:proofErr w:type="spellStart"/>
      <w:r w:rsidR="00430A66">
        <w:t>Boyte</w:t>
      </w:r>
      <w:proofErr w:type="spellEnd"/>
      <w:r w:rsidR="00430A66">
        <w:t>-White, 2021)</w:t>
      </w:r>
      <w:r w:rsidR="0023096F">
        <w:t>.</w:t>
      </w:r>
    </w:p>
    <w:p w14:paraId="39D52F77" w14:textId="7A390721" w:rsidR="00430A66" w:rsidRDefault="00430A66" w:rsidP="00430A66">
      <w:r>
        <w:t xml:space="preserve">As in the gearing subject we are looking on the </w:t>
      </w:r>
      <w:r w:rsidR="0023096F">
        <w:t>debtor’s</w:t>
      </w:r>
      <w:r>
        <w:t xml:space="preserve"> ratio of Jurys Inn, </w:t>
      </w:r>
      <w:r w:rsidR="0023096F">
        <w:t>we</w:t>
      </w:r>
      <w:r>
        <w:t xml:space="preserve"> can clearly see that it increased in 2021 into thousand 19 it was lower. He’s actually means </w:t>
      </w:r>
      <w:r>
        <w:lastRenderedPageBreak/>
        <w:t>that the company is struggling while having debts. Furthermore, we can discuss about the fact that the liquidity is decreasing while debts are increasing Which is a negative movement of the hotel chain and he needs to be fixed and better management from the financial point of view needs to be discussed within the management board.</w:t>
      </w:r>
    </w:p>
    <w:p w14:paraId="428AC345" w14:textId="77777777" w:rsidR="00430A66" w:rsidRDefault="00430A66" w:rsidP="00430A66"/>
    <w:p w14:paraId="0FE2D543" w14:textId="22E0CE57" w:rsidR="00430A66" w:rsidRPr="00430A66" w:rsidRDefault="00430A66" w:rsidP="00430A66">
      <w:pPr>
        <w:pStyle w:val="Heading1"/>
        <w:rPr>
          <w:i/>
          <w:iCs/>
        </w:rPr>
      </w:pPr>
      <w:bookmarkStart w:id="6" w:name="_Toc95850112"/>
      <w:r w:rsidRPr="00430A66">
        <w:rPr>
          <w:i/>
          <w:iCs/>
        </w:rPr>
        <w:t>Benefits and Limitations of Ratio Analysis</w:t>
      </w:r>
      <w:bookmarkEnd w:id="6"/>
    </w:p>
    <w:p w14:paraId="5EF7062C" w14:textId="480A4ED7" w:rsidR="00430A66" w:rsidRDefault="00430A66" w:rsidP="00430A66">
      <w:r>
        <w:t xml:space="preserve">As the hospitality industry is a combination of various sub-categories such as events planning, Tourist destinations or cruise lines, the Jurys Inn ratio analysis is made only regarding the hotel business except other any sub-division. One factor that benefits the stakeholders of Jurys Inn is that the current ratio shows exactly if the hotel chain is capable to pay their liabilities </w:t>
      </w:r>
      <w:r w:rsidR="0023096F">
        <w:t>and</w:t>
      </w:r>
      <w:r>
        <w:t>, to be on a positive line even when a downturn happens such as Covid-19 Pandemic that have proved that only companies with a very strong ratio were able to survive the Pandemic period (Tarver, 2021)</w:t>
      </w:r>
      <w:r w:rsidR="0023096F">
        <w:t>.</w:t>
      </w:r>
    </w:p>
    <w:p w14:paraId="45B49E7A" w14:textId="77777777" w:rsidR="00430A66" w:rsidRDefault="00430A66" w:rsidP="00430A66"/>
    <w:p w14:paraId="071E5E83" w14:textId="067BFAD8" w:rsidR="00430A66" w:rsidRDefault="00430A66" w:rsidP="00430A66">
      <w:r>
        <w:t>One of the main benefits of the Analysis is also linked to the results of the decision taken in the past. For example, if the analysis shows lower results after implementing a project within the company, it means that the decisions should be avoided in the future. Moreover, ratio Analysis changed the complicated accountability regime in transforming everything into an efficient operation. Attention regarding the certain areas that are having issues will be possible as the ratio analysis shows the management where the problem started by highlighting the low numbers in all the operations done by the hotel (</w:t>
      </w:r>
      <w:proofErr w:type="spellStart"/>
      <w:r>
        <w:t>Sureka</w:t>
      </w:r>
      <w:proofErr w:type="spellEnd"/>
      <w:r>
        <w:t>, 2020)</w:t>
      </w:r>
      <w:r w:rsidR="0023096F">
        <w:t>.</w:t>
      </w:r>
    </w:p>
    <w:p w14:paraId="331C8F13" w14:textId="045ED9D0" w:rsidR="00430A66" w:rsidRDefault="00430A66" w:rsidP="00430A66">
      <w:r>
        <w:t xml:space="preserve">In matter </w:t>
      </w:r>
      <w:r w:rsidR="0023096F">
        <w:t>of limitations</w:t>
      </w:r>
      <w:r>
        <w:t xml:space="preserve">, the Ratio Analysis does not </w:t>
      </w:r>
      <w:r w:rsidR="0056005E">
        <w:t>consider</w:t>
      </w:r>
      <w:r>
        <w:t xml:space="preserve"> the inflation regarding the changes in the price levels which means that there can be false or un-accurate results. In addition, the current ratio is not a fixed base but it includes several types of formulas which means that the results may differ, depending from which point of view the analysis is done. </w:t>
      </w:r>
      <w:r w:rsidR="00C506E5">
        <w:t>Finally</w:t>
      </w:r>
      <w:r>
        <w:t>, the ratio analysis is not a problem solver for Jurys Inn but rather identifies where things are not functioning on a positive way (Thakur, 2022)</w:t>
      </w:r>
      <w:r w:rsidR="0023096F">
        <w:t>.</w:t>
      </w:r>
    </w:p>
    <w:p w14:paraId="69A98A51" w14:textId="77777777" w:rsidR="00430A66" w:rsidRDefault="00430A66" w:rsidP="00430A66"/>
    <w:p w14:paraId="417B9112" w14:textId="77777777" w:rsidR="00430A66" w:rsidRDefault="00430A66" w:rsidP="00430A66"/>
    <w:p w14:paraId="0EDDE104" w14:textId="77777777" w:rsidR="001925E9" w:rsidRDefault="001925E9" w:rsidP="00430A66">
      <w:pPr>
        <w:pStyle w:val="Heading1"/>
        <w:rPr>
          <w:i/>
          <w:iCs/>
        </w:rPr>
      </w:pPr>
    </w:p>
    <w:p w14:paraId="42BF5FB6" w14:textId="77777777" w:rsidR="001925E9" w:rsidRDefault="001925E9" w:rsidP="00430A66">
      <w:pPr>
        <w:pStyle w:val="Heading1"/>
        <w:rPr>
          <w:i/>
          <w:iCs/>
        </w:rPr>
      </w:pPr>
    </w:p>
    <w:p w14:paraId="48FD5A0C" w14:textId="77777777" w:rsidR="001925E9" w:rsidRDefault="001925E9" w:rsidP="00430A66">
      <w:pPr>
        <w:pStyle w:val="Heading1"/>
        <w:rPr>
          <w:i/>
          <w:iCs/>
        </w:rPr>
      </w:pPr>
    </w:p>
    <w:p w14:paraId="3C793E19" w14:textId="3285904B" w:rsidR="00430A66" w:rsidRPr="00430A66" w:rsidRDefault="00430A66" w:rsidP="00430A66">
      <w:pPr>
        <w:pStyle w:val="Heading1"/>
        <w:rPr>
          <w:i/>
          <w:iCs/>
        </w:rPr>
      </w:pPr>
      <w:bookmarkStart w:id="7" w:name="_Toc95850113"/>
      <w:r w:rsidRPr="00430A66">
        <w:rPr>
          <w:i/>
          <w:iCs/>
        </w:rPr>
        <w:t>Conclusion</w:t>
      </w:r>
      <w:bookmarkEnd w:id="7"/>
    </w:p>
    <w:p w14:paraId="125027C4" w14:textId="77777777" w:rsidR="00430A66" w:rsidRDefault="00430A66" w:rsidP="00430A66"/>
    <w:p w14:paraId="6019DF44" w14:textId="7BBA979D" w:rsidR="00430A66" w:rsidRDefault="00430A66" w:rsidP="00430A66">
      <w:r>
        <w:t xml:space="preserve">The debt ratio should be positive in the case of a hospitality company such as Jurys Inn due to the fact that long-term liabilities such as busses or transportation companies should be paid in order to deliver the required services for the hotel’s guests. </w:t>
      </w:r>
    </w:p>
    <w:p w14:paraId="51D1C6E9" w14:textId="738AF8DD" w:rsidR="00430A66" w:rsidRDefault="00430A66" w:rsidP="00430A66">
      <w:r>
        <w:t xml:space="preserve">However, we can observe a significant decrease   Regarding the gross profit which is actually generated by the services of Jurys Inn, so the chef executive should be aware of making smart improvements within the services in order to attract more customers and the numbers to rise in the following years. </w:t>
      </w:r>
    </w:p>
    <w:p w14:paraId="6AF25F84" w14:textId="59528EF7" w:rsidR="00430A66" w:rsidRDefault="00430A66" w:rsidP="00430A66">
      <w:r>
        <w:t xml:space="preserve">Looking at the net profit margins, the same decrease </w:t>
      </w:r>
      <w:r w:rsidR="0023096F">
        <w:t>happens</w:t>
      </w:r>
      <w:r>
        <w:t xml:space="preserve"> when comparing 2019 with 2020 which may generate a certain absence of the investors </w:t>
      </w:r>
      <w:r w:rsidR="00C506E5">
        <w:t>since</w:t>
      </w:r>
      <w:r>
        <w:t xml:space="preserve"> usually, they are comparing the net profit margins in order to see where the hotel is positioned among competitors. </w:t>
      </w:r>
    </w:p>
    <w:p w14:paraId="6F473FC4" w14:textId="07B6ED64" w:rsidR="00430A66" w:rsidRDefault="00430A66" w:rsidP="00430A66">
      <w:r>
        <w:t xml:space="preserve">In conclusion, Jurys Inn should develop a strategic plan in order to increase the numbers of the ratio analysis and bring the company on an ascending path. </w:t>
      </w:r>
    </w:p>
    <w:p w14:paraId="1B6622F0" w14:textId="77777777" w:rsidR="00430A66" w:rsidRDefault="00430A66" w:rsidP="00430A66"/>
    <w:p w14:paraId="1D73C22D" w14:textId="77777777" w:rsidR="001925E9" w:rsidRDefault="001925E9" w:rsidP="00430A66"/>
    <w:p w14:paraId="281CEF75" w14:textId="77777777" w:rsidR="001925E9" w:rsidRDefault="001925E9" w:rsidP="00430A66"/>
    <w:p w14:paraId="1EAA3E64" w14:textId="77777777" w:rsidR="001925E9" w:rsidRDefault="001925E9" w:rsidP="00430A66"/>
    <w:p w14:paraId="193148A5" w14:textId="77777777" w:rsidR="001925E9" w:rsidRDefault="001925E9" w:rsidP="00430A66"/>
    <w:p w14:paraId="67FC38B2" w14:textId="77777777" w:rsidR="001925E9" w:rsidRDefault="001925E9" w:rsidP="00430A66"/>
    <w:p w14:paraId="7C57A326" w14:textId="77777777" w:rsidR="001925E9" w:rsidRDefault="001925E9" w:rsidP="00430A66"/>
    <w:p w14:paraId="26309D15" w14:textId="77777777" w:rsidR="001925E9" w:rsidRDefault="001925E9" w:rsidP="00430A66"/>
    <w:p w14:paraId="4FA3BA62" w14:textId="77777777" w:rsidR="001925E9" w:rsidRDefault="001925E9" w:rsidP="00430A66"/>
    <w:p w14:paraId="37483BC0" w14:textId="77777777" w:rsidR="001925E9" w:rsidRDefault="001925E9" w:rsidP="00430A66"/>
    <w:p w14:paraId="6701E9F3" w14:textId="77777777" w:rsidR="001925E9" w:rsidRDefault="001925E9" w:rsidP="00430A66"/>
    <w:p w14:paraId="6D8E0A51" w14:textId="77777777" w:rsidR="001925E9" w:rsidRDefault="001925E9" w:rsidP="00430A66"/>
    <w:p w14:paraId="21500AF7" w14:textId="4F78EFA2" w:rsidR="00430A66" w:rsidRDefault="00430A66" w:rsidP="00430A66">
      <w:r>
        <w:lastRenderedPageBreak/>
        <w:t>References</w:t>
      </w:r>
    </w:p>
    <w:p w14:paraId="04910DBB" w14:textId="5A915808" w:rsidR="001E3E75" w:rsidRDefault="001E3E75" w:rsidP="001E3E75">
      <w:pPr>
        <w:pStyle w:val="ListParagraph"/>
        <w:numPr>
          <w:ilvl w:val="0"/>
          <w:numId w:val="1"/>
        </w:numPr>
        <w:spacing w:line="240" w:lineRule="auto"/>
      </w:pPr>
      <w:proofErr w:type="spellStart"/>
      <w:r>
        <w:t>Bloomenthal</w:t>
      </w:r>
      <w:proofErr w:type="spellEnd"/>
      <w:r>
        <w:t xml:space="preserve"> A., (2021)</w:t>
      </w:r>
      <w:r w:rsidR="0023096F">
        <w:t>.</w:t>
      </w:r>
      <w:r>
        <w:t xml:space="preserve"> </w:t>
      </w:r>
      <w:r w:rsidRPr="00430A66">
        <w:rPr>
          <w:i/>
          <w:iCs/>
        </w:rPr>
        <w:t xml:space="preserve">Ratio </w:t>
      </w:r>
      <w:r w:rsidR="0023096F" w:rsidRPr="00430A66">
        <w:rPr>
          <w:i/>
          <w:iCs/>
        </w:rPr>
        <w:t>Analysis</w:t>
      </w:r>
      <w:r w:rsidR="0023096F">
        <w:t>. (Accessed</w:t>
      </w:r>
      <w:r>
        <w:t xml:space="preserve"> on February 5</w:t>
      </w:r>
      <w:r w:rsidRPr="0056005E">
        <w:rPr>
          <w:vertAlign w:val="superscript"/>
        </w:rPr>
        <w:t>th</w:t>
      </w:r>
      <w:r w:rsidR="0056005E">
        <w:t>,</w:t>
      </w:r>
      <w:r>
        <w:t>2022</w:t>
      </w:r>
      <w:r w:rsidR="0023096F">
        <w:t>)</w:t>
      </w:r>
      <w:r>
        <w:t xml:space="preserve">. </w:t>
      </w:r>
    </w:p>
    <w:p w14:paraId="4BC863DF" w14:textId="0C727F5F" w:rsidR="001E3E75" w:rsidRDefault="001E3E75" w:rsidP="001E3E75">
      <w:pPr>
        <w:pStyle w:val="ListParagraph"/>
        <w:numPr>
          <w:ilvl w:val="0"/>
          <w:numId w:val="1"/>
        </w:numPr>
        <w:spacing w:line="240" w:lineRule="auto"/>
      </w:pPr>
      <w:proofErr w:type="spellStart"/>
      <w:r>
        <w:t>Boyte</w:t>
      </w:r>
      <w:proofErr w:type="spellEnd"/>
      <w:r>
        <w:t>-White C., (2021</w:t>
      </w:r>
      <w:r w:rsidR="0023096F">
        <w:t>.</w:t>
      </w:r>
      <w:r>
        <w:t xml:space="preserve"> </w:t>
      </w:r>
      <w:r w:rsidRPr="00430A66">
        <w:rPr>
          <w:i/>
          <w:iCs/>
        </w:rPr>
        <w:t xml:space="preserve">What is Good or Bag Gearing </w:t>
      </w:r>
      <w:r w:rsidR="0023096F" w:rsidRPr="00430A66">
        <w:rPr>
          <w:i/>
          <w:iCs/>
        </w:rPr>
        <w:t>Ratio</w:t>
      </w:r>
      <w:r w:rsidR="0023096F">
        <w:rPr>
          <w:i/>
          <w:iCs/>
        </w:rPr>
        <w:t xml:space="preserve">. </w:t>
      </w:r>
      <w:r w:rsidR="0023096F">
        <w:t>(</w:t>
      </w:r>
      <w:r>
        <w:t>Accessed on February 5th</w:t>
      </w:r>
      <w:r w:rsidR="0023096F">
        <w:t>, 2022)</w:t>
      </w:r>
      <w:r>
        <w:t xml:space="preserve">. </w:t>
      </w:r>
    </w:p>
    <w:p w14:paraId="61AC50E7" w14:textId="65DCAC88" w:rsidR="001E3E75" w:rsidRDefault="001E3E75" w:rsidP="001E3E75">
      <w:pPr>
        <w:pStyle w:val="ListParagraph"/>
        <w:numPr>
          <w:ilvl w:val="0"/>
          <w:numId w:val="1"/>
        </w:numPr>
        <w:spacing w:line="240" w:lineRule="auto"/>
      </w:pPr>
      <w:r>
        <w:t>CFI</w:t>
      </w:r>
      <w:r w:rsidR="0023096F">
        <w:t>.</w:t>
      </w:r>
      <w:r>
        <w:t>, (2021</w:t>
      </w:r>
      <w:r w:rsidRPr="00430A66">
        <w:rPr>
          <w:i/>
          <w:iCs/>
        </w:rPr>
        <w:t>)</w:t>
      </w:r>
      <w:r w:rsidR="0023096F">
        <w:rPr>
          <w:i/>
          <w:iCs/>
        </w:rPr>
        <w:t>.</w:t>
      </w:r>
      <w:r w:rsidRPr="00430A66">
        <w:rPr>
          <w:i/>
          <w:iCs/>
        </w:rPr>
        <w:t xml:space="preserve"> Liquidity Ratio</w:t>
      </w:r>
      <w:r w:rsidR="0023096F">
        <w:t>. (</w:t>
      </w:r>
      <w:r>
        <w:t>Accessed on February 5th</w:t>
      </w:r>
      <w:r w:rsidR="0023096F">
        <w:t>, 2022)</w:t>
      </w:r>
      <w:r>
        <w:t xml:space="preserve">. </w:t>
      </w:r>
    </w:p>
    <w:p w14:paraId="2AA8A787" w14:textId="09C1B84F" w:rsidR="001E3E75" w:rsidRDefault="001E3E75" w:rsidP="001E3E75">
      <w:pPr>
        <w:pStyle w:val="ListParagraph"/>
        <w:numPr>
          <w:ilvl w:val="0"/>
          <w:numId w:val="1"/>
        </w:numPr>
        <w:spacing w:line="240" w:lineRule="auto"/>
      </w:pPr>
      <w:r>
        <w:t>Eat. Drink. Sleep</w:t>
      </w:r>
      <w:r w:rsidR="0023096F">
        <w:t>.</w:t>
      </w:r>
      <w:r>
        <w:t>, (2019)</w:t>
      </w:r>
      <w:r w:rsidR="0023096F">
        <w:t>.</w:t>
      </w:r>
      <w:r>
        <w:t xml:space="preserve"> </w:t>
      </w:r>
      <w:r w:rsidRPr="00430A66">
        <w:rPr>
          <w:i/>
          <w:iCs/>
        </w:rPr>
        <w:t xml:space="preserve">Jurys Inn and Leonardo Hotels Announce Four Star AA </w:t>
      </w:r>
      <w:r w:rsidR="0056005E" w:rsidRPr="00430A66">
        <w:rPr>
          <w:i/>
          <w:iCs/>
        </w:rPr>
        <w:t>Accreditations</w:t>
      </w:r>
      <w:r w:rsidRPr="00430A66">
        <w:rPr>
          <w:i/>
          <w:iCs/>
        </w:rPr>
        <w:t xml:space="preserve"> Across UK Hotels</w:t>
      </w:r>
      <w:r w:rsidR="0023096F">
        <w:rPr>
          <w:i/>
          <w:iCs/>
        </w:rPr>
        <w:t>.</w:t>
      </w:r>
      <w:r w:rsidR="0023096F">
        <w:t xml:space="preserve"> (</w:t>
      </w:r>
      <w:r>
        <w:t>Accessed on February 5th</w:t>
      </w:r>
      <w:r w:rsidR="0023096F">
        <w:t>, 2022)</w:t>
      </w:r>
      <w:r>
        <w:t xml:space="preserve">. </w:t>
      </w:r>
    </w:p>
    <w:p w14:paraId="232FB851" w14:textId="0168C77D" w:rsidR="001E3E75" w:rsidRDefault="001E3E75" w:rsidP="001E3E75">
      <w:pPr>
        <w:pStyle w:val="ListParagraph"/>
        <w:numPr>
          <w:ilvl w:val="0"/>
          <w:numId w:val="1"/>
        </w:numPr>
        <w:spacing w:line="240" w:lineRule="auto"/>
      </w:pPr>
      <w:r>
        <w:t>Gittens C., (2021)</w:t>
      </w:r>
      <w:r w:rsidR="0023096F">
        <w:t>.</w:t>
      </w:r>
      <w:r>
        <w:t xml:space="preserve"> </w:t>
      </w:r>
      <w:r w:rsidRPr="00430A66">
        <w:rPr>
          <w:i/>
          <w:iCs/>
        </w:rPr>
        <w:t>Financial management in the hospitality industry</w:t>
      </w:r>
      <w:r w:rsidR="0023096F">
        <w:t>. (</w:t>
      </w:r>
      <w:r>
        <w:t>Accessed on February 5th, 2022</w:t>
      </w:r>
      <w:r w:rsidR="0023096F">
        <w:t>).</w:t>
      </w:r>
    </w:p>
    <w:p w14:paraId="78BEBFD5" w14:textId="698D1FA0" w:rsidR="001E3E75" w:rsidRDefault="001E3E75" w:rsidP="001E3E75">
      <w:pPr>
        <w:pStyle w:val="ListParagraph"/>
        <w:numPr>
          <w:ilvl w:val="0"/>
          <w:numId w:val="1"/>
        </w:numPr>
        <w:spacing w:line="240" w:lineRule="auto"/>
      </w:pPr>
      <w:r>
        <w:t>Hayes A., (2021</w:t>
      </w:r>
      <w:r w:rsidRPr="00430A66">
        <w:rPr>
          <w:i/>
          <w:iCs/>
        </w:rPr>
        <w:t>)</w:t>
      </w:r>
      <w:r w:rsidR="0023096F">
        <w:rPr>
          <w:i/>
          <w:iCs/>
        </w:rPr>
        <w:t>.</w:t>
      </w:r>
      <w:r w:rsidRPr="00430A66">
        <w:rPr>
          <w:i/>
          <w:iCs/>
        </w:rPr>
        <w:t xml:space="preserve"> Profitability Ratios</w:t>
      </w:r>
      <w:r w:rsidR="0023096F">
        <w:t>. (</w:t>
      </w:r>
      <w:r>
        <w:t>Accessed on February 7</w:t>
      </w:r>
      <w:r w:rsidRPr="0023096F">
        <w:rPr>
          <w:vertAlign w:val="superscript"/>
        </w:rPr>
        <w:t>th</w:t>
      </w:r>
      <w:r w:rsidR="0023096F">
        <w:t>,</w:t>
      </w:r>
      <w:r>
        <w:t>2022</w:t>
      </w:r>
      <w:r w:rsidR="0023096F">
        <w:t>)</w:t>
      </w:r>
      <w:r>
        <w:t xml:space="preserve">. </w:t>
      </w:r>
    </w:p>
    <w:p w14:paraId="48D2485D" w14:textId="66032559" w:rsidR="001E3E75" w:rsidRDefault="001E3E75" w:rsidP="001E3E75">
      <w:pPr>
        <w:pStyle w:val="ListParagraph"/>
        <w:numPr>
          <w:ilvl w:val="0"/>
          <w:numId w:val="1"/>
        </w:numPr>
        <w:spacing w:line="240" w:lineRule="auto"/>
      </w:pPr>
      <w:r>
        <w:t xml:space="preserve">Hayes A., Scott G., (2021), </w:t>
      </w:r>
      <w:r w:rsidRPr="00430A66">
        <w:rPr>
          <w:i/>
          <w:iCs/>
        </w:rPr>
        <w:t>Liquidity</w:t>
      </w:r>
      <w:r w:rsidR="0023096F">
        <w:t>. (</w:t>
      </w:r>
      <w:r>
        <w:t xml:space="preserve">Accessed on February 5th </w:t>
      </w:r>
      <w:r w:rsidR="0023096F">
        <w:t>,</w:t>
      </w:r>
      <w:r>
        <w:t>2022</w:t>
      </w:r>
      <w:r w:rsidR="0023096F">
        <w:t>)</w:t>
      </w:r>
      <w:r>
        <w:t xml:space="preserve">. </w:t>
      </w:r>
    </w:p>
    <w:p w14:paraId="104EEBF1" w14:textId="4547A725" w:rsidR="001E3E75" w:rsidRDefault="001E3E75" w:rsidP="001E3E75">
      <w:pPr>
        <w:pStyle w:val="ListParagraph"/>
        <w:numPr>
          <w:ilvl w:val="0"/>
          <w:numId w:val="1"/>
        </w:numPr>
        <w:spacing w:line="240" w:lineRule="auto"/>
      </w:pPr>
      <w:r>
        <w:t>St. James Press</w:t>
      </w:r>
      <w:r w:rsidR="0023096F">
        <w:t>.</w:t>
      </w:r>
      <w:r>
        <w:t>, (2004</w:t>
      </w:r>
      <w:r w:rsidR="0023096F">
        <w:t>.</w:t>
      </w:r>
      <w:r>
        <w:t xml:space="preserve">, </w:t>
      </w:r>
      <w:r w:rsidRPr="001E3E75">
        <w:rPr>
          <w:i/>
          <w:iCs/>
        </w:rPr>
        <w:t>International Directory of Company Histories</w:t>
      </w:r>
      <w:r w:rsidRPr="001E3E75">
        <w:t>, Vol.64</w:t>
      </w:r>
      <w:r w:rsidR="0056005E">
        <w:t>. (</w:t>
      </w:r>
      <w:r>
        <w:t>Accessed on February 10</w:t>
      </w:r>
      <w:r w:rsidRPr="001E3E75">
        <w:rPr>
          <w:vertAlign w:val="superscript"/>
        </w:rPr>
        <w:t>th</w:t>
      </w:r>
      <w:r>
        <w:t xml:space="preserve"> </w:t>
      </w:r>
      <w:r w:rsidR="0056005E">
        <w:t>,</w:t>
      </w:r>
      <w:r>
        <w:t>2022</w:t>
      </w:r>
      <w:r w:rsidR="0056005E">
        <w:t>)</w:t>
      </w:r>
      <w:r>
        <w:t>.</w:t>
      </w:r>
    </w:p>
    <w:p w14:paraId="3EBE2BAE" w14:textId="0D292F58" w:rsidR="001E3E75" w:rsidRDefault="001E3E75" w:rsidP="001E3E75">
      <w:pPr>
        <w:pStyle w:val="ListParagraph"/>
        <w:numPr>
          <w:ilvl w:val="0"/>
          <w:numId w:val="1"/>
        </w:numPr>
        <w:spacing w:line="240" w:lineRule="auto"/>
      </w:pPr>
      <w:proofErr w:type="spellStart"/>
      <w:r>
        <w:t>Sureka</w:t>
      </w:r>
      <w:proofErr w:type="spellEnd"/>
      <w:r>
        <w:t xml:space="preserve"> S., (2020)</w:t>
      </w:r>
      <w:r w:rsidR="0023096F">
        <w:t>.</w:t>
      </w:r>
      <w:r>
        <w:t xml:space="preserve"> </w:t>
      </w:r>
      <w:r w:rsidRPr="00430A66">
        <w:rPr>
          <w:i/>
          <w:iCs/>
        </w:rPr>
        <w:t>Advantages of Ratio Analysis</w:t>
      </w:r>
      <w:r w:rsidR="0056005E">
        <w:rPr>
          <w:i/>
          <w:iCs/>
        </w:rPr>
        <w:t xml:space="preserve">. </w:t>
      </w:r>
      <w:r w:rsidR="0056005E">
        <w:t>(</w:t>
      </w:r>
      <w:r>
        <w:t xml:space="preserve">Accessed on February 5th </w:t>
      </w:r>
      <w:r w:rsidR="0056005E">
        <w:t>,</w:t>
      </w:r>
      <w:r>
        <w:t>2022</w:t>
      </w:r>
      <w:r w:rsidR="0056005E">
        <w:t>)</w:t>
      </w:r>
      <w:r>
        <w:t>.</w:t>
      </w:r>
    </w:p>
    <w:p w14:paraId="209E95B8" w14:textId="585BB1E2" w:rsidR="001E3E75" w:rsidRDefault="001E3E75" w:rsidP="001E3E75">
      <w:pPr>
        <w:pStyle w:val="ListParagraph"/>
        <w:numPr>
          <w:ilvl w:val="0"/>
          <w:numId w:val="1"/>
        </w:numPr>
        <w:spacing w:line="240" w:lineRule="auto"/>
      </w:pPr>
      <w:r>
        <w:t>Tarver E., (2021)</w:t>
      </w:r>
      <w:r w:rsidR="0023096F">
        <w:t>.</w:t>
      </w:r>
      <w:r>
        <w:t xml:space="preserve"> </w:t>
      </w:r>
      <w:r w:rsidRPr="00430A66">
        <w:rPr>
          <w:i/>
          <w:iCs/>
        </w:rPr>
        <w:t>Key Financial Ratios to Analyze the Hospitality Industry</w:t>
      </w:r>
      <w:r w:rsidR="0023096F">
        <w:t>. (</w:t>
      </w:r>
      <w:r>
        <w:t xml:space="preserve">Accessed on February 5th </w:t>
      </w:r>
      <w:r w:rsidR="0056005E">
        <w:t>,</w:t>
      </w:r>
      <w:r>
        <w:t>2022</w:t>
      </w:r>
      <w:r w:rsidR="0023096F">
        <w:t>)</w:t>
      </w:r>
      <w:r>
        <w:t xml:space="preserve">. </w:t>
      </w:r>
    </w:p>
    <w:p w14:paraId="7EE26FB5" w14:textId="6E9157D6" w:rsidR="001E3E75" w:rsidRPr="00430A66" w:rsidRDefault="001E3E75" w:rsidP="001E3E75">
      <w:pPr>
        <w:pStyle w:val="ListParagraph"/>
        <w:numPr>
          <w:ilvl w:val="0"/>
          <w:numId w:val="1"/>
        </w:numPr>
        <w:spacing w:line="240" w:lineRule="auto"/>
      </w:pPr>
      <w:r>
        <w:t>Thakur M., (2021</w:t>
      </w:r>
      <w:r w:rsidRPr="00430A66">
        <w:rPr>
          <w:i/>
          <w:iCs/>
        </w:rPr>
        <w:t>)</w:t>
      </w:r>
      <w:r w:rsidR="0056005E">
        <w:rPr>
          <w:i/>
          <w:iCs/>
        </w:rPr>
        <w:t>.</w:t>
      </w:r>
      <w:r w:rsidRPr="00430A66">
        <w:rPr>
          <w:i/>
          <w:iCs/>
        </w:rPr>
        <w:t xml:space="preserve"> Limitations of Ratio Analysis</w:t>
      </w:r>
      <w:r w:rsidR="0056005E">
        <w:t>. (</w:t>
      </w:r>
      <w:r>
        <w:t xml:space="preserve">Accessed February 5th </w:t>
      </w:r>
      <w:r w:rsidR="00882537">
        <w:t>,</w:t>
      </w:r>
      <w:r>
        <w:t>2022</w:t>
      </w:r>
      <w:r w:rsidR="0056005E">
        <w:t>)</w:t>
      </w:r>
      <w:r>
        <w:t>.</w:t>
      </w:r>
    </w:p>
    <w:sectPr w:rsidR="001E3E75" w:rsidRPr="00430A66" w:rsidSect="00F215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24FBA"/>
    <w:multiLevelType w:val="hybridMultilevel"/>
    <w:tmpl w:val="90F0C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A66"/>
    <w:rsid w:val="000213A8"/>
    <w:rsid w:val="0004312C"/>
    <w:rsid w:val="0007118C"/>
    <w:rsid w:val="00071A9A"/>
    <w:rsid w:val="000A1B6F"/>
    <w:rsid w:val="001675B5"/>
    <w:rsid w:val="0017650C"/>
    <w:rsid w:val="001925E9"/>
    <w:rsid w:val="001C4F0F"/>
    <w:rsid w:val="001E3E75"/>
    <w:rsid w:val="00204157"/>
    <w:rsid w:val="0023096F"/>
    <w:rsid w:val="00256539"/>
    <w:rsid w:val="00301C13"/>
    <w:rsid w:val="00333137"/>
    <w:rsid w:val="0035072B"/>
    <w:rsid w:val="00430A66"/>
    <w:rsid w:val="004860E6"/>
    <w:rsid w:val="004C2802"/>
    <w:rsid w:val="004F0605"/>
    <w:rsid w:val="004F54E7"/>
    <w:rsid w:val="0056005E"/>
    <w:rsid w:val="005F4710"/>
    <w:rsid w:val="0061416C"/>
    <w:rsid w:val="00626F28"/>
    <w:rsid w:val="007615B0"/>
    <w:rsid w:val="007A4586"/>
    <w:rsid w:val="007B0AA8"/>
    <w:rsid w:val="00882537"/>
    <w:rsid w:val="00A064CD"/>
    <w:rsid w:val="00C506E5"/>
    <w:rsid w:val="00C67898"/>
    <w:rsid w:val="00C81F8D"/>
    <w:rsid w:val="00CA3EF5"/>
    <w:rsid w:val="00CE2281"/>
    <w:rsid w:val="00CE4177"/>
    <w:rsid w:val="00D5261F"/>
    <w:rsid w:val="00D778C8"/>
    <w:rsid w:val="00DD63E4"/>
    <w:rsid w:val="00E165D5"/>
    <w:rsid w:val="00E9077F"/>
    <w:rsid w:val="00E96F33"/>
    <w:rsid w:val="00ED31AB"/>
    <w:rsid w:val="00F2158A"/>
    <w:rsid w:val="00FC5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F5E62"/>
  <w15:chartTrackingRefBased/>
  <w15:docId w15:val="{968B70B7-B6EB-405E-8327-CADC0DC47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0A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A66"/>
    <w:pPr>
      <w:ind w:left="720"/>
      <w:contextualSpacing/>
    </w:pPr>
  </w:style>
  <w:style w:type="character" w:customStyle="1" w:styleId="Heading1Char">
    <w:name w:val="Heading 1 Char"/>
    <w:basedOn w:val="DefaultParagraphFont"/>
    <w:link w:val="Heading1"/>
    <w:uiPriority w:val="9"/>
    <w:rsid w:val="00430A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30A6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7B0A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AA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C2802"/>
    <w:pPr>
      <w:outlineLvl w:val="9"/>
    </w:pPr>
  </w:style>
  <w:style w:type="paragraph" w:styleId="TOC1">
    <w:name w:val="toc 1"/>
    <w:basedOn w:val="Normal"/>
    <w:next w:val="Normal"/>
    <w:autoRedefine/>
    <w:uiPriority w:val="39"/>
    <w:unhideWhenUsed/>
    <w:rsid w:val="00256539"/>
    <w:pPr>
      <w:tabs>
        <w:tab w:val="right" w:leader="dot" w:pos="9350"/>
      </w:tabs>
      <w:spacing w:after="100"/>
    </w:pPr>
    <w:rPr>
      <w:i/>
      <w:iCs/>
      <w:noProof/>
    </w:rPr>
  </w:style>
  <w:style w:type="paragraph" w:styleId="TOC2">
    <w:name w:val="toc 2"/>
    <w:basedOn w:val="Normal"/>
    <w:next w:val="Normal"/>
    <w:autoRedefine/>
    <w:uiPriority w:val="39"/>
    <w:unhideWhenUsed/>
    <w:rsid w:val="0035072B"/>
    <w:pPr>
      <w:tabs>
        <w:tab w:val="right" w:leader="dot" w:pos="9350"/>
      </w:tabs>
      <w:spacing w:after="100"/>
    </w:pPr>
    <w:rPr>
      <w:noProof/>
    </w:rPr>
  </w:style>
  <w:style w:type="character" w:styleId="Hyperlink">
    <w:name w:val="Hyperlink"/>
    <w:basedOn w:val="DefaultParagraphFont"/>
    <w:uiPriority w:val="99"/>
    <w:unhideWhenUsed/>
    <w:rsid w:val="004C28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62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98EEA1-E384-4304-B41E-6848493BE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10</Pages>
  <Words>2115</Words>
  <Characters>12057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machado</dc:creator>
  <cp:keywords/>
  <dc:description/>
  <cp:lastModifiedBy>elsa machado</cp:lastModifiedBy>
  <cp:revision>9</cp:revision>
  <dcterms:created xsi:type="dcterms:W3CDTF">2022-02-15T09:06:00Z</dcterms:created>
  <dcterms:modified xsi:type="dcterms:W3CDTF">2022-02-15T20:41:00Z</dcterms:modified>
</cp:coreProperties>
</file>