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3415B" w14:textId="73116C44" w:rsidR="00910706" w:rsidRDefault="00802134" w:rsidP="00A1138A">
      <w:pPr>
        <w:spacing w:line="360" w:lineRule="auto"/>
        <w:jc w:val="both"/>
      </w:pPr>
      <w:r>
        <w:rPr>
          <w:noProof/>
        </w:rPr>
        <w:drawing>
          <wp:inline distT="0" distB="0" distL="0" distR="0" wp14:anchorId="10F857D5" wp14:editId="302ABFEB">
            <wp:extent cx="2298700" cy="723900"/>
            <wp:effectExtent l="0" t="0" r="0" b="0"/>
            <wp:docPr id="1123297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97397" name="Picture 1123297397"/>
                    <pic:cNvPicPr/>
                  </pic:nvPicPr>
                  <pic:blipFill>
                    <a:blip r:embed="rId8">
                      <a:extLst>
                        <a:ext uri="{28A0092B-C50C-407E-A947-70E740481C1C}">
                          <a14:useLocalDpi xmlns:a14="http://schemas.microsoft.com/office/drawing/2010/main" val="0"/>
                        </a:ext>
                      </a:extLst>
                    </a:blip>
                    <a:stretch>
                      <a:fillRect/>
                    </a:stretch>
                  </pic:blipFill>
                  <pic:spPr>
                    <a:xfrm>
                      <a:off x="0" y="0"/>
                      <a:ext cx="2298700" cy="723900"/>
                    </a:xfrm>
                    <a:prstGeom prst="rect">
                      <a:avLst/>
                    </a:prstGeom>
                  </pic:spPr>
                </pic:pic>
              </a:graphicData>
            </a:graphic>
          </wp:inline>
        </w:drawing>
      </w:r>
    </w:p>
    <w:p w14:paraId="5F584519" w14:textId="77777777" w:rsidR="009C2CCF" w:rsidRDefault="009C2CCF" w:rsidP="00A1138A">
      <w:pPr>
        <w:spacing w:line="360" w:lineRule="auto"/>
        <w:jc w:val="both"/>
      </w:pPr>
    </w:p>
    <w:p w14:paraId="0BB6015A" w14:textId="77777777" w:rsidR="00802134" w:rsidRDefault="00802134" w:rsidP="00802134">
      <w:pPr>
        <w:pStyle w:val="Heading1"/>
        <w:spacing w:before="0"/>
        <w:rPr>
          <w:rFonts w:ascii="Segoe UI" w:hAnsi="Segoe UI" w:cs="Segoe UI"/>
          <w:color w:val="1D2125"/>
        </w:rPr>
      </w:pPr>
      <w:bookmarkStart w:id="0" w:name="_Toc222056061"/>
      <w:r>
        <w:rPr>
          <w:rFonts w:ascii="Segoe UI" w:hAnsi="Segoe UI" w:cs="Segoe UI"/>
          <w:color w:val="1D2125"/>
        </w:rPr>
        <w:t>FINAL Research Proposal (BMHP5019 - Component 1 - January 2026)</w:t>
      </w:r>
      <w:bookmarkEnd w:id="0"/>
    </w:p>
    <w:p w14:paraId="70FA709C" w14:textId="77777777" w:rsidR="009C2CCF" w:rsidRDefault="009C2CCF" w:rsidP="00A1138A">
      <w:pPr>
        <w:spacing w:line="360" w:lineRule="auto"/>
        <w:jc w:val="both"/>
      </w:pPr>
    </w:p>
    <w:p w14:paraId="04D7EB7E" w14:textId="77777777" w:rsidR="009C2CCF" w:rsidRDefault="009C2CCF" w:rsidP="00A1138A">
      <w:pPr>
        <w:spacing w:line="360" w:lineRule="auto"/>
        <w:jc w:val="both"/>
      </w:pPr>
    </w:p>
    <w:p w14:paraId="326059A7" w14:textId="77777777" w:rsidR="009C2CCF" w:rsidRDefault="009C2CCF" w:rsidP="00A1138A">
      <w:pPr>
        <w:spacing w:line="360" w:lineRule="auto"/>
        <w:jc w:val="both"/>
      </w:pPr>
    </w:p>
    <w:p w14:paraId="2D63AF10" w14:textId="77777777" w:rsidR="009C2CCF" w:rsidRDefault="009C2CCF" w:rsidP="00A1138A">
      <w:pPr>
        <w:spacing w:line="360" w:lineRule="auto"/>
        <w:jc w:val="both"/>
      </w:pPr>
    </w:p>
    <w:p w14:paraId="7F3F0550" w14:textId="77777777" w:rsidR="009C2CCF" w:rsidRDefault="009C2CCF" w:rsidP="00A1138A">
      <w:pPr>
        <w:spacing w:line="360" w:lineRule="auto"/>
        <w:jc w:val="both"/>
      </w:pPr>
    </w:p>
    <w:p w14:paraId="4FC89C33" w14:textId="77777777" w:rsidR="009C2CCF" w:rsidRDefault="009C2CCF" w:rsidP="00A1138A">
      <w:pPr>
        <w:spacing w:line="360" w:lineRule="auto"/>
        <w:jc w:val="both"/>
      </w:pPr>
    </w:p>
    <w:p w14:paraId="1E769AC4" w14:textId="77777777" w:rsidR="009C2CCF" w:rsidRDefault="009C2CCF" w:rsidP="00A1138A">
      <w:pPr>
        <w:spacing w:line="360" w:lineRule="auto"/>
        <w:jc w:val="both"/>
      </w:pPr>
    </w:p>
    <w:p w14:paraId="194574E0" w14:textId="77777777" w:rsidR="009C2CCF" w:rsidRDefault="009C2CCF" w:rsidP="00A1138A">
      <w:pPr>
        <w:spacing w:line="360" w:lineRule="auto"/>
        <w:jc w:val="both"/>
      </w:pPr>
    </w:p>
    <w:p w14:paraId="0708F94A" w14:textId="77777777" w:rsidR="009C2CCF" w:rsidRDefault="009C2CCF" w:rsidP="00A1138A">
      <w:pPr>
        <w:spacing w:line="360" w:lineRule="auto"/>
        <w:jc w:val="both"/>
      </w:pPr>
    </w:p>
    <w:p w14:paraId="66622C30" w14:textId="77777777" w:rsidR="009C2CCF" w:rsidRDefault="009C2CCF" w:rsidP="00A1138A">
      <w:pPr>
        <w:spacing w:line="360" w:lineRule="auto"/>
        <w:jc w:val="both"/>
      </w:pPr>
    </w:p>
    <w:p w14:paraId="2097122B" w14:textId="77777777" w:rsidR="009C2CCF" w:rsidRDefault="009C2CCF" w:rsidP="00A1138A">
      <w:pPr>
        <w:spacing w:line="360" w:lineRule="auto"/>
        <w:jc w:val="both"/>
      </w:pPr>
    </w:p>
    <w:p w14:paraId="58780093" w14:textId="77777777" w:rsidR="009C2CCF" w:rsidRDefault="009C2CCF" w:rsidP="00A1138A">
      <w:pPr>
        <w:spacing w:line="360" w:lineRule="auto"/>
        <w:jc w:val="both"/>
      </w:pPr>
    </w:p>
    <w:p w14:paraId="36CC663E" w14:textId="77777777" w:rsidR="009C2CCF" w:rsidRDefault="009C2CCF" w:rsidP="00A1138A">
      <w:pPr>
        <w:spacing w:line="360" w:lineRule="auto"/>
        <w:jc w:val="both"/>
      </w:pPr>
    </w:p>
    <w:p w14:paraId="415981B4" w14:textId="77777777" w:rsidR="009C2CCF" w:rsidRDefault="009C2CCF" w:rsidP="00A1138A">
      <w:pPr>
        <w:spacing w:line="360" w:lineRule="auto"/>
        <w:jc w:val="both"/>
      </w:pPr>
    </w:p>
    <w:p w14:paraId="014EFC8B" w14:textId="77777777" w:rsidR="009C2CCF" w:rsidRDefault="009C2CCF" w:rsidP="00A1138A">
      <w:pPr>
        <w:spacing w:line="360" w:lineRule="auto"/>
        <w:jc w:val="both"/>
      </w:pPr>
    </w:p>
    <w:p w14:paraId="3809BE49" w14:textId="77777777" w:rsidR="009C2CCF" w:rsidRDefault="009C2CCF" w:rsidP="009C2CCF">
      <w:pPr>
        <w:spacing w:line="360" w:lineRule="auto"/>
        <w:jc w:val="both"/>
        <w:rPr>
          <w:b/>
          <w:bCs/>
        </w:rPr>
      </w:pPr>
    </w:p>
    <w:p w14:paraId="6746B702" w14:textId="77777777" w:rsidR="00802134" w:rsidRDefault="00802134" w:rsidP="009C2CCF">
      <w:pPr>
        <w:spacing w:line="360" w:lineRule="auto"/>
        <w:jc w:val="both"/>
        <w:rPr>
          <w:b/>
          <w:bCs/>
        </w:rPr>
      </w:pPr>
    </w:p>
    <w:sdt>
      <w:sdtPr>
        <w:id w:val="-722216218"/>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25965F5E" w14:textId="352BC03A" w:rsidR="00802134" w:rsidRDefault="00802134">
          <w:pPr>
            <w:pStyle w:val="TOCHeading"/>
          </w:pPr>
          <w:r>
            <w:t>Table of Contents</w:t>
          </w:r>
        </w:p>
        <w:p w14:paraId="5D4AF70E" w14:textId="38162ACE" w:rsidR="00802134" w:rsidRDefault="00802134">
          <w:pPr>
            <w:pStyle w:val="TOC1"/>
            <w:tabs>
              <w:tab w:val="right" w:leader="dot" w:pos="9350"/>
            </w:tabs>
            <w:rPr>
              <w:rFonts w:eastAsiaTheme="minorEastAsia"/>
              <w:b w:val="0"/>
              <w:bCs w:val="0"/>
              <w:i w:val="0"/>
              <w:iCs w:val="0"/>
              <w:noProof/>
              <w:kern w:val="2"/>
              <w:lang w:val="en-KW"/>
              <w14:ligatures w14:val="standardContextual"/>
            </w:rPr>
          </w:pPr>
          <w:r>
            <w:rPr>
              <w:b w:val="0"/>
              <w:bCs w:val="0"/>
            </w:rPr>
            <w:fldChar w:fldCharType="begin"/>
          </w:r>
          <w:r>
            <w:instrText xml:space="preserve"> TOC \o "1-3" \h \z \u </w:instrText>
          </w:r>
          <w:r>
            <w:rPr>
              <w:b w:val="0"/>
              <w:bCs w:val="0"/>
            </w:rPr>
            <w:fldChar w:fldCharType="separate"/>
          </w:r>
          <w:hyperlink w:anchor="_Toc222056061" w:history="1">
            <w:r w:rsidRPr="00425BEF">
              <w:rPr>
                <w:rStyle w:val="Hyperlink"/>
                <w:rFonts w:ascii="Segoe UI" w:hAnsi="Segoe UI" w:cs="Segoe UI"/>
                <w:noProof/>
              </w:rPr>
              <w:t>FINAL Research Proposal (BMHP5019 - Component 1 - January 2026)</w:t>
            </w:r>
            <w:r>
              <w:rPr>
                <w:noProof/>
                <w:webHidden/>
              </w:rPr>
              <w:tab/>
            </w:r>
            <w:r>
              <w:rPr>
                <w:noProof/>
                <w:webHidden/>
              </w:rPr>
              <w:fldChar w:fldCharType="begin"/>
            </w:r>
            <w:r>
              <w:rPr>
                <w:noProof/>
                <w:webHidden/>
              </w:rPr>
              <w:instrText xml:space="preserve"> PAGEREF _Toc222056061 \h </w:instrText>
            </w:r>
            <w:r>
              <w:rPr>
                <w:noProof/>
                <w:webHidden/>
              </w:rPr>
            </w:r>
            <w:r>
              <w:rPr>
                <w:noProof/>
                <w:webHidden/>
              </w:rPr>
              <w:fldChar w:fldCharType="separate"/>
            </w:r>
            <w:r>
              <w:rPr>
                <w:noProof/>
                <w:webHidden/>
              </w:rPr>
              <w:t>1</w:t>
            </w:r>
            <w:r>
              <w:rPr>
                <w:noProof/>
                <w:webHidden/>
              </w:rPr>
              <w:fldChar w:fldCharType="end"/>
            </w:r>
          </w:hyperlink>
        </w:p>
        <w:p w14:paraId="14D550C0" w14:textId="4575041E" w:rsidR="00802134" w:rsidRDefault="00802134">
          <w:r>
            <w:rPr>
              <w:b/>
              <w:bCs/>
              <w:noProof/>
            </w:rPr>
            <w:fldChar w:fldCharType="end"/>
          </w:r>
        </w:p>
      </w:sdtContent>
    </w:sdt>
    <w:p w14:paraId="38225E5B" w14:textId="77777777" w:rsidR="00802134" w:rsidRDefault="00802134" w:rsidP="009C2CCF">
      <w:pPr>
        <w:spacing w:line="360" w:lineRule="auto"/>
        <w:jc w:val="both"/>
        <w:rPr>
          <w:b/>
          <w:bCs/>
        </w:rPr>
      </w:pPr>
    </w:p>
    <w:p w14:paraId="03AA0175" w14:textId="77777777" w:rsidR="00802134" w:rsidRDefault="00802134" w:rsidP="009C2CCF">
      <w:pPr>
        <w:spacing w:line="360" w:lineRule="auto"/>
        <w:jc w:val="both"/>
        <w:rPr>
          <w:b/>
          <w:bCs/>
        </w:rPr>
      </w:pPr>
    </w:p>
    <w:p w14:paraId="1161A6CD" w14:textId="77777777" w:rsidR="00802134" w:rsidRDefault="00802134" w:rsidP="009C2CCF">
      <w:pPr>
        <w:spacing w:line="360" w:lineRule="auto"/>
        <w:jc w:val="both"/>
        <w:rPr>
          <w:b/>
          <w:bCs/>
        </w:rPr>
      </w:pPr>
    </w:p>
    <w:p w14:paraId="0611EE6C" w14:textId="77777777" w:rsidR="00802134" w:rsidRDefault="00802134" w:rsidP="009C2CCF">
      <w:pPr>
        <w:spacing w:line="360" w:lineRule="auto"/>
        <w:jc w:val="both"/>
        <w:rPr>
          <w:b/>
          <w:bCs/>
        </w:rPr>
      </w:pPr>
    </w:p>
    <w:p w14:paraId="52BF5B7C" w14:textId="77777777" w:rsidR="00802134" w:rsidRDefault="00802134" w:rsidP="009C2CCF">
      <w:pPr>
        <w:spacing w:line="360" w:lineRule="auto"/>
        <w:jc w:val="both"/>
        <w:rPr>
          <w:b/>
          <w:bCs/>
        </w:rPr>
      </w:pPr>
    </w:p>
    <w:p w14:paraId="441336DC" w14:textId="77777777" w:rsidR="00802134" w:rsidRDefault="00802134" w:rsidP="009C2CCF">
      <w:pPr>
        <w:spacing w:line="360" w:lineRule="auto"/>
        <w:jc w:val="both"/>
        <w:rPr>
          <w:b/>
          <w:bCs/>
        </w:rPr>
      </w:pPr>
    </w:p>
    <w:p w14:paraId="346F1603" w14:textId="77777777" w:rsidR="00802134" w:rsidRDefault="00802134" w:rsidP="009C2CCF">
      <w:pPr>
        <w:spacing w:line="360" w:lineRule="auto"/>
        <w:jc w:val="both"/>
        <w:rPr>
          <w:b/>
          <w:bCs/>
        </w:rPr>
      </w:pPr>
    </w:p>
    <w:p w14:paraId="7F5EEE2A" w14:textId="77777777" w:rsidR="00802134" w:rsidRDefault="00802134" w:rsidP="009C2CCF">
      <w:pPr>
        <w:spacing w:line="360" w:lineRule="auto"/>
        <w:jc w:val="both"/>
        <w:rPr>
          <w:b/>
          <w:bCs/>
        </w:rPr>
      </w:pPr>
    </w:p>
    <w:p w14:paraId="7947C92D" w14:textId="77777777" w:rsidR="00802134" w:rsidRDefault="00802134" w:rsidP="009C2CCF">
      <w:pPr>
        <w:spacing w:line="360" w:lineRule="auto"/>
        <w:jc w:val="both"/>
        <w:rPr>
          <w:b/>
          <w:bCs/>
        </w:rPr>
      </w:pPr>
    </w:p>
    <w:p w14:paraId="1068FCC8" w14:textId="77777777" w:rsidR="00802134" w:rsidRDefault="00802134" w:rsidP="009C2CCF">
      <w:pPr>
        <w:spacing w:line="360" w:lineRule="auto"/>
        <w:jc w:val="both"/>
        <w:rPr>
          <w:b/>
          <w:bCs/>
        </w:rPr>
      </w:pPr>
    </w:p>
    <w:p w14:paraId="38CD93ED" w14:textId="77777777" w:rsidR="00802134" w:rsidRDefault="00802134" w:rsidP="009C2CCF">
      <w:pPr>
        <w:spacing w:line="360" w:lineRule="auto"/>
        <w:jc w:val="both"/>
        <w:rPr>
          <w:b/>
          <w:bCs/>
        </w:rPr>
      </w:pPr>
    </w:p>
    <w:p w14:paraId="371B0A5E" w14:textId="77777777" w:rsidR="00802134" w:rsidRDefault="00802134" w:rsidP="009C2CCF">
      <w:pPr>
        <w:spacing w:line="360" w:lineRule="auto"/>
        <w:jc w:val="both"/>
        <w:rPr>
          <w:b/>
          <w:bCs/>
        </w:rPr>
      </w:pPr>
    </w:p>
    <w:p w14:paraId="21ED6149" w14:textId="77777777" w:rsidR="00802134" w:rsidRDefault="00802134" w:rsidP="009C2CCF">
      <w:pPr>
        <w:spacing w:line="360" w:lineRule="auto"/>
        <w:jc w:val="both"/>
        <w:rPr>
          <w:b/>
          <w:bCs/>
        </w:rPr>
      </w:pPr>
    </w:p>
    <w:p w14:paraId="3AE1E6D0" w14:textId="77777777" w:rsidR="00802134" w:rsidRDefault="00802134" w:rsidP="009C2CCF">
      <w:pPr>
        <w:spacing w:line="360" w:lineRule="auto"/>
        <w:jc w:val="both"/>
        <w:rPr>
          <w:b/>
          <w:bCs/>
        </w:rPr>
      </w:pPr>
    </w:p>
    <w:p w14:paraId="1FF7FD19" w14:textId="77777777" w:rsidR="00802134" w:rsidRDefault="00802134" w:rsidP="009C2CCF">
      <w:pPr>
        <w:spacing w:line="360" w:lineRule="auto"/>
        <w:jc w:val="both"/>
        <w:rPr>
          <w:b/>
          <w:bCs/>
        </w:rPr>
      </w:pPr>
    </w:p>
    <w:p w14:paraId="587435D9" w14:textId="77777777" w:rsidR="00802134" w:rsidRDefault="00802134" w:rsidP="009C2CCF">
      <w:pPr>
        <w:spacing w:line="360" w:lineRule="auto"/>
        <w:jc w:val="both"/>
        <w:rPr>
          <w:b/>
          <w:bCs/>
        </w:rPr>
      </w:pPr>
    </w:p>
    <w:p w14:paraId="7EFA4667" w14:textId="77777777" w:rsidR="00802134" w:rsidRDefault="00802134" w:rsidP="009C2CCF">
      <w:pPr>
        <w:spacing w:line="360" w:lineRule="auto"/>
        <w:jc w:val="both"/>
        <w:rPr>
          <w:b/>
          <w:bCs/>
        </w:rPr>
      </w:pPr>
    </w:p>
    <w:p w14:paraId="61105843" w14:textId="77777777" w:rsidR="00802134" w:rsidRDefault="00802134" w:rsidP="009C2CCF">
      <w:pPr>
        <w:spacing w:line="360" w:lineRule="auto"/>
        <w:jc w:val="both"/>
        <w:rPr>
          <w:b/>
          <w:bCs/>
        </w:rPr>
      </w:pPr>
    </w:p>
    <w:p w14:paraId="4B061479" w14:textId="77777777" w:rsidR="00802134" w:rsidRDefault="00802134" w:rsidP="009C2CCF">
      <w:pPr>
        <w:spacing w:line="360" w:lineRule="auto"/>
        <w:jc w:val="both"/>
        <w:rPr>
          <w:b/>
          <w:bCs/>
        </w:rPr>
      </w:pPr>
    </w:p>
    <w:p w14:paraId="5E60B07B" w14:textId="77777777" w:rsidR="00802134" w:rsidRPr="009C2CCF" w:rsidRDefault="00802134" w:rsidP="009C2CCF">
      <w:pPr>
        <w:spacing w:line="360" w:lineRule="auto"/>
        <w:jc w:val="both"/>
        <w:rPr>
          <w:b/>
          <w:bCs/>
        </w:rPr>
      </w:pPr>
    </w:p>
    <w:p w14:paraId="4858E047" w14:textId="77777777" w:rsidR="009C2CCF" w:rsidRPr="009C2CCF" w:rsidRDefault="009C2CCF" w:rsidP="009C2CCF">
      <w:pPr>
        <w:spacing w:line="360" w:lineRule="auto"/>
        <w:jc w:val="both"/>
        <w:rPr>
          <w:b/>
          <w:bCs/>
        </w:rPr>
      </w:pPr>
      <w:r w:rsidRPr="009C2CCF">
        <w:rPr>
          <w:b/>
          <w:bCs/>
        </w:rPr>
        <w:t>Introduction</w:t>
      </w:r>
    </w:p>
    <w:p w14:paraId="14A0D32F" w14:textId="2614C760" w:rsidR="009C2CCF" w:rsidRPr="005F04DB" w:rsidRDefault="005F04DB" w:rsidP="009C2CCF">
      <w:pPr>
        <w:spacing w:line="360" w:lineRule="auto"/>
        <w:jc w:val="both"/>
      </w:pPr>
      <w:r w:rsidRPr="005F04DB">
        <w:t>Empowerment is important to social work and care. It involves equipping individuals to make good decisions, take action, and use their rights. Power is connected. Different groups' influence over material, human, and intellectual resources is called power. This article examines power and empowerment via Mia, a 20-year-old woman with cerebral palsy and a learning disability who wishes to live independently. To determine what regulations apply and how the social worker can help her keep her freedom. Conversation has three basic parts:</w:t>
      </w:r>
    </w:p>
    <w:p w14:paraId="78D26399" w14:textId="32112D1B" w:rsidR="009C2CCF" w:rsidRPr="005F04DB" w:rsidRDefault="005F04DB" w:rsidP="009C2CCF">
      <w:pPr>
        <w:numPr>
          <w:ilvl w:val="0"/>
          <w:numId w:val="7"/>
        </w:numPr>
        <w:spacing w:line="360" w:lineRule="auto"/>
        <w:jc w:val="both"/>
      </w:pPr>
      <w:r w:rsidRPr="005F04DB">
        <w:rPr>
          <w:i/>
          <w:iCs/>
        </w:rPr>
        <w:t>What is power in social care, its types, and how bias and discrimination effect power relationships.</w:t>
      </w:r>
    </w:p>
    <w:p w14:paraId="3A43E742" w14:textId="77777777" w:rsidR="009C2CCF" w:rsidRPr="009C2CCF" w:rsidRDefault="009C2CCF" w:rsidP="009C2CCF">
      <w:pPr>
        <w:numPr>
          <w:ilvl w:val="0"/>
          <w:numId w:val="7"/>
        </w:numPr>
        <w:spacing w:line="360" w:lineRule="auto"/>
        <w:jc w:val="both"/>
      </w:pPr>
      <w:r w:rsidRPr="009C2CCF">
        <w:rPr>
          <w:i/>
          <w:iCs/>
        </w:rPr>
        <w:t>Empowerment</w:t>
      </w:r>
      <w:r w:rsidRPr="009C2CCF">
        <w:t> – principles and why it is promoted in social care practice.</w:t>
      </w:r>
    </w:p>
    <w:p w14:paraId="5A0BA06C" w14:textId="77777777" w:rsidR="009C2CCF" w:rsidRPr="009C2CCF" w:rsidRDefault="009C2CCF" w:rsidP="009C2CCF">
      <w:pPr>
        <w:numPr>
          <w:ilvl w:val="0"/>
          <w:numId w:val="7"/>
        </w:numPr>
        <w:spacing w:line="360" w:lineRule="auto"/>
        <w:jc w:val="both"/>
      </w:pPr>
      <w:r w:rsidRPr="009C2CCF">
        <w:rPr>
          <w:i/>
          <w:iCs/>
        </w:rPr>
        <w:t>Applying empowerment to Mia’s case</w:t>
      </w:r>
      <w:r w:rsidRPr="009C2CCF">
        <w:t> – practical strategies, relevant professionals and legislation.</w:t>
      </w:r>
    </w:p>
    <w:p w14:paraId="0B163A16" w14:textId="0221C1CF" w:rsidR="009C2CCF" w:rsidRPr="005F04DB" w:rsidRDefault="005F04DB" w:rsidP="009C2CCF">
      <w:pPr>
        <w:spacing w:line="360" w:lineRule="auto"/>
        <w:jc w:val="both"/>
      </w:pPr>
      <w:r w:rsidRPr="005F04DB">
        <w:t>The conclusion summarizes the important points and discusses how empowerment might help Mia become more independent.</w:t>
      </w:r>
    </w:p>
    <w:p w14:paraId="6EBF1237" w14:textId="77777777" w:rsidR="009C2CCF" w:rsidRPr="009C2CCF" w:rsidRDefault="009C2CCF" w:rsidP="009C2CCF">
      <w:pPr>
        <w:spacing w:line="360" w:lineRule="auto"/>
        <w:jc w:val="both"/>
        <w:rPr>
          <w:b/>
          <w:bCs/>
        </w:rPr>
      </w:pPr>
      <w:r w:rsidRPr="009C2CCF">
        <w:rPr>
          <w:b/>
          <w:bCs/>
        </w:rPr>
        <w:t>Power in Social Care</w:t>
      </w:r>
    </w:p>
    <w:p w14:paraId="332AB8F9" w14:textId="77777777" w:rsidR="009C2CCF" w:rsidRPr="009C2CCF" w:rsidRDefault="009C2CCF" w:rsidP="009C2CCF">
      <w:pPr>
        <w:spacing w:line="360" w:lineRule="auto"/>
        <w:jc w:val="both"/>
        <w:rPr>
          <w:b/>
          <w:bCs/>
        </w:rPr>
      </w:pPr>
      <w:r w:rsidRPr="009C2CCF">
        <w:rPr>
          <w:b/>
          <w:bCs/>
        </w:rPr>
        <w:t>Definition of Power</w:t>
      </w:r>
    </w:p>
    <w:p w14:paraId="0906FF01" w14:textId="4FCE7817" w:rsidR="009C2CCF" w:rsidRPr="005F04DB" w:rsidRDefault="005F04DB" w:rsidP="009C2CCF">
      <w:pPr>
        <w:spacing w:line="360" w:lineRule="auto"/>
        <w:jc w:val="both"/>
      </w:pPr>
      <w:r w:rsidRPr="005F04DB">
        <w:t>Power is multifaceted and abstract. The Powercube framework defines power as influence over money, people, and ideas. Power is dynamic and relational in social, economic, and political relationships. Some groups control resources, while others do not. Gender, age, handicap, social divisions, and family, school, and the law maintain these distinctions. Therefore, power determines who can use services and resources. Social care specialists use resources, assess service users, and keep them safe, giving them a lot of influence. Thus, power can empower or limit, create inequality, or aid individuals.</w:t>
      </w:r>
    </w:p>
    <w:p w14:paraId="6C7174F8" w14:textId="77777777" w:rsidR="009C2CCF" w:rsidRPr="009C2CCF" w:rsidRDefault="009C2CCF" w:rsidP="009C2CCF">
      <w:pPr>
        <w:spacing w:line="360" w:lineRule="auto"/>
        <w:jc w:val="both"/>
        <w:rPr>
          <w:b/>
          <w:bCs/>
        </w:rPr>
      </w:pPr>
      <w:r w:rsidRPr="009C2CCF">
        <w:rPr>
          <w:b/>
          <w:bCs/>
        </w:rPr>
        <w:lastRenderedPageBreak/>
        <w:t>Types of Power</w:t>
      </w:r>
    </w:p>
    <w:p w14:paraId="57A1435B" w14:textId="77777777" w:rsidR="009C2CCF" w:rsidRPr="009C2CCF" w:rsidRDefault="009C2CCF" w:rsidP="009C2CCF">
      <w:pPr>
        <w:spacing w:line="360" w:lineRule="auto"/>
        <w:jc w:val="both"/>
      </w:pPr>
      <w:r w:rsidRPr="009C2CCF">
        <w:t>The literature identifies several forms of power:</w:t>
      </w:r>
    </w:p>
    <w:p w14:paraId="60A1DE3C" w14:textId="7D562CA6" w:rsidR="009C2CCF" w:rsidRPr="005F04DB" w:rsidRDefault="005F04DB" w:rsidP="009C2CCF">
      <w:pPr>
        <w:numPr>
          <w:ilvl w:val="0"/>
          <w:numId w:val="8"/>
        </w:numPr>
        <w:spacing w:line="360" w:lineRule="auto"/>
        <w:jc w:val="both"/>
      </w:pPr>
      <w:r w:rsidRPr="005F04DB">
        <w:rPr>
          <w:bCs/>
        </w:rPr>
        <w:t xml:space="preserve">Ordinarily, power means overpowering someone. </w:t>
      </w:r>
      <w:r>
        <w:rPr>
          <w:bCs/>
        </w:rPr>
        <w:t>Groups or individuals who make decisions for others frequently hold this power (Rossi, 2025).</w:t>
      </w:r>
      <w:r w:rsidRPr="005F04DB">
        <w:rPr>
          <w:bCs/>
        </w:rPr>
        <w:t xml:space="preserve"> </w:t>
      </w:r>
      <w:r>
        <w:rPr>
          <w:bCs/>
        </w:rPr>
        <w:t>Social workers judge if a client needs help, therefore they have influence over them (MIAA NHS, n.d.).</w:t>
      </w:r>
    </w:p>
    <w:p w14:paraId="3CD79E61" w14:textId="57336D9E" w:rsidR="009C2CCF" w:rsidRPr="005F04DB" w:rsidRDefault="005F04DB" w:rsidP="009C2CCF">
      <w:pPr>
        <w:numPr>
          <w:ilvl w:val="0"/>
          <w:numId w:val="8"/>
        </w:numPr>
        <w:spacing w:line="360" w:lineRule="auto"/>
        <w:jc w:val="both"/>
      </w:pPr>
      <w:r w:rsidRPr="005F04DB">
        <w:rPr>
          <w:bCs/>
        </w:rPr>
        <w:t xml:space="preserve">Two or more persons or groups share power via mutual support and togetherness. Collaboration and partnerships are the goal. </w:t>
      </w:r>
      <w:r>
        <w:rPr>
          <w:bCs/>
        </w:rPr>
        <w:t>In social care, this entails helping service users find answers and respecting their knowledge of their life (National Network, 2025).</w:t>
      </w:r>
    </w:p>
    <w:p w14:paraId="36E3CF5F" w14:textId="5182B21D" w:rsidR="009C2CCF" w:rsidRPr="005F04DB" w:rsidRDefault="005F04DB" w:rsidP="009C2CCF">
      <w:pPr>
        <w:numPr>
          <w:ilvl w:val="0"/>
          <w:numId w:val="8"/>
        </w:numPr>
        <w:spacing w:line="360" w:lineRule="auto"/>
        <w:jc w:val="both"/>
      </w:pPr>
      <w:r w:rsidRPr="005F04DB">
        <w:rPr>
          <w:bCs/>
        </w:rPr>
        <w:t xml:space="preserve">Someone with power can act to achieve their goals. </w:t>
      </w:r>
      <w:r>
        <w:rPr>
          <w:bCs/>
        </w:rPr>
        <w:t>This sort of power emphasizes skill and independence and is crucial to empowering people (National Network, 2025).</w:t>
      </w:r>
      <w:r w:rsidRPr="005F04DB">
        <w:rPr>
          <w:bCs/>
        </w:rPr>
        <w:t xml:space="preserve"> </w:t>
      </w:r>
      <w:r>
        <w:rPr>
          <w:bCs/>
        </w:rPr>
        <w:t>It encompasses individual and group knowledge, skills, and talents (NSPCC Learning, 2026).</w:t>
      </w:r>
    </w:p>
    <w:p w14:paraId="5C974B13" w14:textId="0090BE56" w:rsidR="009C2CCF" w:rsidRPr="005F04DB" w:rsidRDefault="005F04DB" w:rsidP="009C2CCF">
      <w:pPr>
        <w:numPr>
          <w:ilvl w:val="0"/>
          <w:numId w:val="8"/>
        </w:numPr>
        <w:spacing w:line="360" w:lineRule="auto"/>
        <w:jc w:val="both"/>
      </w:pPr>
      <w:r w:rsidRPr="005F04DB">
        <w:rPr>
          <w:bCs/>
        </w:rPr>
        <w:t xml:space="preserve">Inner strength, or faith. </w:t>
      </w:r>
      <w:r>
        <w:rPr>
          <w:bCs/>
        </w:rPr>
        <w:t>Self-esteem and the ability to change are involved (Berry Street, 2024).</w:t>
      </w:r>
    </w:p>
    <w:p w14:paraId="3327F065" w14:textId="21F42D59" w:rsidR="009C2CCF" w:rsidRPr="005F04DB" w:rsidRDefault="005F04DB" w:rsidP="009C2CCF">
      <w:pPr>
        <w:spacing w:line="360" w:lineRule="auto"/>
        <w:jc w:val="both"/>
      </w:pPr>
      <w:r w:rsidRPr="005F04DB">
        <w:t xml:space="preserve">In social care, power interactions exist. </w:t>
      </w:r>
      <w:r>
        <w:t>Social workers can regulate their clients or engage with them to empower them to act and gain confidence (National Network, 2025).</w:t>
      </w:r>
    </w:p>
    <w:p w14:paraId="1E3E1A07" w14:textId="77777777" w:rsidR="009C2CCF" w:rsidRPr="009C2CCF" w:rsidRDefault="009C2CCF" w:rsidP="009C2CCF">
      <w:pPr>
        <w:spacing w:line="360" w:lineRule="auto"/>
        <w:jc w:val="both"/>
        <w:rPr>
          <w:b/>
          <w:bCs/>
        </w:rPr>
      </w:pPr>
      <w:r w:rsidRPr="009C2CCF">
        <w:rPr>
          <w:b/>
          <w:bCs/>
        </w:rPr>
        <w:t>Power, Discrimination and Prejudice</w:t>
      </w:r>
    </w:p>
    <w:p w14:paraId="4F792F05" w14:textId="575167EC" w:rsidR="009C2CCF" w:rsidRPr="005F04DB" w:rsidRDefault="005F04DB" w:rsidP="009C2CCF">
      <w:pPr>
        <w:spacing w:line="360" w:lineRule="auto"/>
        <w:jc w:val="both"/>
      </w:pPr>
      <w:r w:rsidRPr="005F04DB">
        <w:t xml:space="preserve">Discrimination and racism make disabled individuals feel powerless. </w:t>
      </w:r>
      <w:r>
        <w:t>The 2010 Equality Act protects disabled and other protected groups against discrimination (Coeliac UK, 2025).</w:t>
      </w:r>
      <w:r w:rsidRPr="005F04DB">
        <w:t xml:space="preserve"> The Act consolidates all anti-discrimination laws. It also establishes basic norms to prevent direct and indirect discrimination, abuse, and victimization in public services. It explicitly covers job, school, and service discrimination. </w:t>
      </w:r>
      <w:r>
        <w:t>The Act requires service providers to treat disabled individuals equitably and the government to make reasonable improvements to ensure everyone may participate (McConnell, 2025).</w:t>
      </w:r>
    </w:p>
    <w:p w14:paraId="770DC0A9" w14:textId="77777777" w:rsidR="009C2CCF" w:rsidRPr="009C2CCF" w:rsidRDefault="009C2CCF" w:rsidP="009C2CCF">
      <w:pPr>
        <w:spacing w:line="360" w:lineRule="auto"/>
        <w:jc w:val="both"/>
      </w:pPr>
      <w:r w:rsidRPr="009C2CCF">
        <w:t>Discrimination can manifest in various forms:</w:t>
      </w:r>
    </w:p>
    <w:p w14:paraId="65A4F82C" w14:textId="5306C30F" w:rsidR="009C2CCF" w:rsidRPr="009C2CCF" w:rsidRDefault="005F04DB" w:rsidP="009C2CCF">
      <w:pPr>
        <w:numPr>
          <w:ilvl w:val="0"/>
          <w:numId w:val="9"/>
        </w:numPr>
        <w:spacing w:line="360" w:lineRule="auto"/>
        <w:jc w:val="both"/>
      </w:pPr>
      <w:r>
        <w:rPr>
          <w:b/>
          <w:bCs/>
        </w:rPr>
        <w:lastRenderedPageBreak/>
        <w:t>Direct discrimination – treating someone less favourably because of their disability (Yin, 2014).</w:t>
      </w:r>
    </w:p>
    <w:p w14:paraId="04D195AA" w14:textId="2E5343C0" w:rsidR="009C2CCF" w:rsidRPr="005F04DB" w:rsidRDefault="005F04DB" w:rsidP="009C2CCF">
      <w:pPr>
        <w:numPr>
          <w:ilvl w:val="0"/>
          <w:numId w:val="9"/>
        </w:numPr>
        <w:spacing w:line="360" w:lineRule="auto"/>
        <w:jc w:val="both"/>
      </w:pPr>
      <w:r>
        <w:rPr>
          <w:bCs/>
        </w:rPr>
        <w:t>Indirect discrimination occurs when fair policies or practices harm disabled people without cause (NSPCC Learning, 2026).</w:t>
      </w:r>
    </w:p>
    <w:p w14:paraId="776760E3" w14:textId="15935CA0" w:rsidR="009C2CCF" w:rsidRPr="005F04DB" w:rsidRDefault="005F04DB" w:rsidP="009C2CCF">
      <w:pPr>
        <w:numPr>
          <w:ilvl w:val="0"/>
          <w:numId w:val="9"/>
        </w:numPr>
        <w:spacing w:line="360" w:lineRule="auto"/>
        <w:jc w:val="both"/>
      </w:pPr>
      <w:r>
        <w:rPr>
          <w:bCs/>
        </w:rPr>
        <w:t>An insulting or hostile conduct based on a protected trait is harassment (McConnell, 2025).</w:t>
      </w:r>
    </w:p>
    <w:p w14:paraId="53FCE544" w14:textId="049B1138" w:rsidR="009C2CCF" w:rsidRPr="005F04DB" w:rsidRDefault="005F04DB" w:rsidP="009C2CCF">
      <w:pPr>
        <w:spacing w:line="360" w:lineRule="auto"/>
        <w:jc w:val="both"/>
      </w:pPr>
      <w:r w:rsidRPr="005F04DB">
        <w:t xml:space="preserve">Mia may face direct discrimination if landlords refuse to rent to her due to her disability. </w:t>
      </w:r>
      <w:r>
        <w:t>Insufficient housing conditions could lead to indirect discrimination (NSPCC Learning, 2026).</w:t>
      </w:r>
      <w:r w:rsidRPr="005F04DB">
        <w:t xml:space="preserve"> The Equality Act requires sensible adjustments to remove these impediments. Article 8 of the Human Rights Act 1998 protects Mia's privacy and family life. This right involves the freedom to meet acquaintances, create relationships, and attend key social events. </w:t>
      </w:r>
      <w:r>
        <w:t>Thus, preventing Mia from living alone may violate her human rights (Berry Street, 2024).</w:t>
      </w:r>
    </w:p>
    <w:p w14:paraId="27F444D6" w14:textId="77777777" w:rsidR="009C2CCF" w:rsidRPr="009C2CCF" w:rsidRDefault="009C2CCF" w:rsidP="009C2CCF">
      <w:pPr>
        <w:spacing w:line="360" w:lineRule="auto"/>
        <w:jc w:val="both"/>
        <w:rPr>
          <w:b/>
          <w:bCs/>
        </w:rPr>
      </w:pPr>
      <w:r w:rsidRPr="009C2CCF">
        <w:rPr>
          <w:b/>
          <w:bCs/>
        </w:rPr>
        <w:t>Power and Social Care Practice</w:t>
      </w:r>
    </w:p>
    <w:p w14:paraId="61018521" w14:textId="76494B44" w:rsidR="009C2CCF" w:rsidRPr="005F04DB" w:rsidRDefault="005F04DB" w:rsidP="009C2CCF">
      <w:pPr>
        <w:spacing w:line="360" w:lineRule="auto"/>
        <w:jc w:val="both"/>
      </w:pPr>
      <w:r w:rsidRPr="005F04DB">
        <w:t xml:space="preserve">Experts and social care users may have unequal power. Social workers determine eligibility and resource allocation. </w:t>
      </w:r>
      <w:r>
        <w:t>This power can reinforce prejudices and make individuals dependent without thinking (Lakhanpaul et al., 2020).</w:t>
      </w:r>
      <w:r w:rsidRPr="005F04DB">
        <w:t xml:space="preserve"> </w:t>
      </w:r>
      <w:r>
        <w:t>Workers who fight oppression are more likely to notice and speak out against discrimination and inequality (Aberdeen University, 2024).</w:t>
      </w:r>
      <w:r w:rsidRPr="005F04DB">
        <w:t xml:space="preserve"> Social workers must use their power responsibly and involve clients in decision-making. </w:t>
      </w:r>
      <w:r>
        <w:t>Anti-oppressive practise emphasises respecting independence and working together rather than believing professionals know best (Berry Street, 2024).</w:t>
      </w:r>
      <w:r w:rsidRPr="005F04DB">
        <w:t xml:space="preserve"> Understanding power enables liberation.</w:t>
      </w:r>
    </w:p>
    <w:p w14:paraId="125D3675" w14:textId="77777777" w:rsidR="009C2CCF" w:rsidRPr="009C2CCF" w:rsidRDefault="009C2CCF" w:rsidP="009C2CCF">
      <w:pPr>
        <w:spacing w:line="360" w:lineRule="auto"/>
        <w:jc w:val="both"/>
        <w:rPr>
          <w:b/>
          <w:bCs/>
        </w:rPr>
      </w:pPr>
      <w:r w:rsidRPr="009C2CCF">
        <w:rPr>
          <w:b/>
          <w:bCs/>
        </w:rPr>
        <w:t>Empowerment</w:t>
      </w:r>
    </w:p>
    <w:p w14:paraId="1CFED676" w14:textId="77777777" w:rsidR="009C2CCF" w:rsidRPr="009C2CCF" w:rsidRDefault="009C2CCF" w:rsidP="009C2CCF">
      <w:pPr>
        <w:spacing w:line="360" w:lineRule="auto"/>
        <w:jc w:val="both"/>
        <w:rPr>
          <w:b/>
          <w:bCs/>
        </w:rPr>
      </w:pPr>
      <w:r w:rsidRPr="009C2CCF">
        <w:rPr>
          <w:b/>
          <w:bCs/>
        </w:rPr>
        <w:t>Defining Empowerment</w:t>
      </w:r>
    </w:p>
    <w:p w14:paraId="777629EE" w14:textId="4C8BCAFF" w:rsidR="009C2CCF" w:rsidRPr="005F04DB" w:rsidRDefault="005F04DB" w:rsidP="009C2CCF">
      <w:pPr>
        <w:spacing w:line="360" w:lineRule="auto"/>
        <w:jc w:val="both"/>
      </w:pPr>
      <w:r w:rsidRPr="005F04DB">
        <w:t xml:space="preserve">Empowerment in social work includes helping individuals take charge of their life, know their rights, and exercise them. </w:t>
      </w:r>
      <w:r>
        <w:t>Democracy, social justice, and human rights provide everyone a say (Lewisham Safeguarding Adults Board, 2021).</w:t>
      </w:r>
      <w:r w:rsidRPr="005F04DB">
        <w:t xml:space="preserve"> </w:t>
      </w:r>
      <w:r>
        <w:t>Empowerment involves creating situations that make people feel stronger, safer, and in control (Coeliac UK, 2025).</w:t>
      </w:r>
    </w:p>
    <w:p w14:paraId="0B339117" w14:textId="2F236E0A" w:rsidR="009C2CCF" w:rsidRPr="005F04DB" w:rsidRDefault="005F04DB" w:rsidP="009C2CCF">
      <w:pPr>
        <w:spacing w:line="360" w:lineRule="auto"/>
        <w:jc w:val="both"/>
      </w:pPr>
      <w:r w:rsidRPr="005F04DB">
        <w:lastRenderedPageBreak/>
        <w:t xml:space="preserve">In its empowerment and anti-oppressive practice guidelines, the Open University states empowerment is the power to improve lives. It states that social workers often have a lot of authority over service delivery, which can make users feel powerless. </w:t>
      </w:r>
      <w:r>
        <w:t>Thus, practitioners must effectively involve service users in problem-solving and encourage them to collaborate to overcome hurdles (Daniels et al., 2025).</w:t>
      </w:r>
      <w:r w:rsidRPr="005F04DB">
        <w:t xml:space="preserve"> </w:t>
      </w:r>
      <w:r>
        <w:t>It indicates that empowering people is linked to opposing injustice, since social workers must fight institutional biases and barriers (Lewisham Safeguarding Adults Board, 2021).</w:t>
      </w:r>
    </w:p>
    <w:p w14:paraId="5451DBF9" w14:textId="77777777" w:rsidR="009C2CCF" w:rsidRPr="009C2CCF" w:rsidRDefault="009C2CCF" w:rsidP="009C2CCF">
      <w:pPr>
        <w:spacing w:line="360" w:lineRule="auto"/>
        <w:jc w:val="both"/>
        <w:rPr>
          <w:b/>
          <w:bCs/>
        </w:rPr>
      </w:pPr>
      <w:r w:rsidRPr="009C2CCF">
        <w:rPr>
          <w:b/>
          <w:bCs/>
        </w:rPr>
        <w:t>Key Principles of Empowerment</w:t>
      </w:r>
    </w:p>
    <w:p w14:paraId="6370B745" w14:textId="77777777" w:rsidR="009C2CCF" w:rsidRPr="009C2CCF" w:rsidRDefault="009C2CCF" w:rsidP="009C2CCF">
      <w:pPr>
        <w:spacing w:line="360" w:lineRule="auto"/>
        <w:jc w:val="both"/>
      </w:pPr>
      <w:r w:rsidRPr="009C2CCF">
        <w:t>Several core principles underpin empowerment in social care:</w:t>
      </w:r>
    </w:p>
    <w:p w14:paraId="7633CDC5" w14:textId="004747C5" w:rsidR="009C2CCF" w:rsidRPr="005F04DB" w:rsidRDefault="005F04DB" w:rsidP="009C2CCF">
      <w:pPr>
        <w:numPr>
          <w:ilvl w:val="0"/>
          <w:numId w:val="10"/>
        </w:numPr>
        <w:spacing w:line="360" w:lineRule="auto"/>
        <w:jc w:val="both"/>
      </w:pPr>
      <w:r w:rsidRPr="005F04DB">
        <w:rPr>
          <w:bCs/>
        </w:rPr>
        <w:t xml:space="preserve">Respect for liberty and self-determination—each person knows their life best and should be helped to make decisions. </w:t>
      </w:r>
      <w:r>
        <w:rPr>
          <w:bCs/>
        </w:rPr>
        <w:t>Giving people the information and guidance they need to make smart decisions is empowerment (Lakhanpaul et al., 2014).</w:t>
      </w:r>
      <w:r w:rsidRPr="005F04DB">
        <w:rPr>
          <w:bCs/>
        </w:rPr>
        <w:t xml:space="preserve"> </w:t>
      </w:r>
      <w:r>
        <w:rPr>
          <w:bCs/>
        </w:rPr>
        <w:t>This shifts from experts making decisions for service users to a collaborative model where they participate (CourseSidekick, 2024).</w:t>
      </w:r>
    </w:p>
    <w:p w14:paraId="3C69FA80" w14:textId="740D6489" w:rsidR="009C2CCF" w:rsidRPr="005F04DB" w:rsidRDefault="005F04DB" w:rsidP="009C2CCF">
      <w:pPr>
        <w:numPr>
          <w:ilvl w:val="0"/>
          <w:numId w:val="10"/>
        </w:numPr>
        <w:spacing w:line="360" w:lineRule="auto"/>
        <w:jc w:val="both"/>
      </w:pPr>
      <w:r w:rsidRPr="005F04DB">
        <w:rPr>
          <w:bCs/>
        </w:rPr>
        <w:t xml:space="preserve">Equality and inclusion: empowering people eliminates power difficulties and other barriers to aid and information. </w:t>
      </w:r>
      <w:r>
        <w:rPr>
          <w:bCs/>
        </w:rPr>
        <w:t>It promotes equality by acknowledging and embracing everyone's unique opinions and experiences, including the excluded (Denecke et al., 2024).</w:t>
      </w:r>
    </w:p>
    <w:p w14:paraId="48BBC49C" w14:textId="461C35A9" w:rsidR="009C2CCF" w:rsidRPr="005F04DB" w:rsidRDefault="005F04DB" w:rsidP="009C2CCF">
      <w:pPr>
        <w:numPr>
          <w:ilvl w:val="0"/>
          <w:numId w:val="10"/>
        </w:numPr>
        <w:spacing w:line="360" w:lineRule="auto"/>
        <w:jc w:val="both"/>
      </w:pPr>
      <w:r w:rsidRPr="005F04DB">
        <w:rPr>
          <w:bCs/>
        </w:rPr>
        <w:t xml:space="preserve">Empowering individuals requires good communication and teamwork—listening and speaking clearly. </w:t>
      </w:r>
      <w:r>
        <w:rPr>
          <w:bCs/>
        </w:rPr>
        <w:t>Practitioners must ensure that clients can comprehend and express their needs (Denecke et al., 2024).</w:t>
      </w:r>
      <w:r w:rsidRPr="005F04DB">
        <w:rPr>
          <w:bCs/>
        </w:rPr>
        <w:t xml:space="preserve"> Working together builds trust and respect between staff, service users, and their families.</w:t>
      </w:r>
    </w:p>
    <w:p w14:paraId="667272C8" w14:textId="502FEA2E" w:rsidR="009C2CCF" w:rsidRPr="005F04DB" w:rsidRDefault="005F04DB" w:rsidP="009C2CCF">
      <w:pPr>
        <w:numPr>
          <w:ilvl w:val="0"/>
          <w:numId w:val="10"/>
        </w:numPr>
        <w:spacing w:line="360" w:lineRule="auto"/>
        <w:jc w:val="both"/>
      </w:pPr>
      <w:r w:rsidRPr="005F04DB">
        <w:rPr>
          <w:bCs/>
        </w:rPr>
        <w:t xml:space="preserve">Empowerment implies giving people the tools, information, and chances to choose. This involves providing resources and assistance. </w:t>
      </w:r>
      <w:r>
        <w:rPr>
          <w:bCs/>
        </w:rPr>
        <w:t>This could entail recommending services, advocating for them, or training (CourseSidekick, 2024).</w:t>
      </w:r>
    </w:p>
    <w:p w14:paraId="4FAA41E4" w14:textId="6FC762DA" w:rsidR="009C2CCF" w:rsidRPr="005F04DB" w:rsidRDefault="005F04DB" w:rsidP="009C2CCF">
      <w:pPr>
        <w:numPr>
          <w:ilvl w:val="0"/>
          <w:numId w:val="10"/>
        </w:numPr>
        <w:spacing w:line="360" w:lineRule="auto"/>
        <w:jc w:val="both"/>
      </w:pPr>
      <w:r w:rsidRPr="005F04DB">
        <w:rPr>
          <w:bCs/>
        </w:rPr>
        <w:lastRenderedPageBreak/>
        <w:t xml:space="preserve">Instead of difficulties, a strengths-based approach emphasises people's qualities, abilities, and resilience. </w:t>
      </w:r>
      <w:r>
        <w:rPr>
          <w:bCs/>
        </w:rPr>
        <w:t>Through skill development, social workers boost confidence and capability (Daniels et al., 2025).</w:t>
      </w:r>
    </w:p>
    <w:p w14:paraId="51AE9C7F" w14:textId="3A489604" w:rsidR="009C2CCF" w:rsidRPr="005F04DB" w:rsidRDefault="005F04DB" w:rsidP="009C2CCF">
      <w:pPr>
        <w:numPr>
          <w:ilvl w:val="0"/>
          <w:numId w:val="10"/>
        </w:numPr>
        <w:spacing w:line="360" w:lineRule="auto"/>
        <w:jc w:val="both"/>
      </w:pPr>
      <w:r w:rsidRPr="005F04DB">
        <w:rPr>
          <w:bCs/>
        </w:rPr>
        <w:t xml:space="preserve">Physical, emotional, social, and exterior aspects of a person's life are considered in empowerment. </w:t>
      </w:r>
      <w:r>
        <w:rPr>
          <w:bCs/>
        </w:rPr>
        <w:t>It recognises that individuals, groups, and communities may be empowered (Lakhanpaul et al., 2014).</w:t>
      </w:r>
    </w:p>
    <w:p w14:paraId="32B697B8" w14:textId="77777777" w:rsidR="009C2CCF" w:rsidRPr="009C2CCF" w:rsidRDefault="009C2CCF" w:rsidP="009C2CCF">
      <w:pPr>
        <w:spacing w:line="360" w:lineRule="auto"/>
        <w:jc w:val="both"/>
        <w:rPr>
          <w:b/>
          <w:bCs/>
        </w:rPr>
      </w:pPr>
      <w:r w:rsidRPr="009C2CCF">
        <w:rPr>
          <w:b/>
          <w:bCs/>
        </w:rPr>
        <w:t>Promoting Empowerment in Social Care</w:t>
      </w:r>
    </w:p>
    <w:p w14:paraId="21E730AF" w14:textId="0EE6E404" w:rsidR="009C2CCF" w:rsidRPr="005F04DB" w:rsidRDefault="005F04DB" w:rsidP="009C2CCF">
      <w:pPr>
        <w:spacing w:line="360" w:lineRule="auto"/>
        <w:jc w:val="both"/>
      </w:pPr>
      <w:r w:rsidRPr="005F04DB">
        <w:t xml:space="preserve">Individuals and groups benefit from empowerment. Giving people more authority improves health because they are more likely to follow their treatment programs and perform healthy behaviours, according to the QCS. </w:t>
      </w:r>
      <w:r>
        <w:t>People are pleased with services and feel more in control and responsible when empowered (MIAA NHS, 2021).</w:t>
      </w:r>
      <w:r w:rsidRPr="005F04DB">
        <w:t xml:space="preserve"> </w:t>
      </w:r>
      <w:r>
        <w:t>Social work empowers people to acquire strength, self-reliance, and self-efficacy while eliminating dependence (Witherslack Group, 2024).</w:t>
      </w:r>
    </w:p>
    <w:p w14:paraId="3D435DF3" w14:textId="77777777" w:rsidR="009C2CCF" w:rsidRPr="009C2CCF" w:rsidRDefault="009C2CCF" w:rsidP="009C2CCF">
      <w:pPr>
        <w:spacing w:line="360" w:lineRule="auto"/>
        <w:jc w:val="both"/>
        <w:rPr>
          <w:b/>
          <w:bCs/>
        </w:rPr>
      </w:pPr>
      <w:r w:rsidRPr="009C2CCF">
        <w:rPr>
          <w:b/>
          <w:bCs/>
        </w:rPr>
        <w:t>Empowerment and the Mental Capacity Act 2005</w:t>
      </w:r>
    </w:p>
    <w:p w14:paraId="5C780BD7" w14:textId="10D44D95" w:rsidR="009C2CCF" w:rsidRPr="005F04DB" w:rsidRDefault="005F04DB" w:rsidP="009C2CCF">
      <w:pPr>
        <w:spacing w:line="360" w:lineRule="auto"/>
        <w:jc w:val="both"/>
      </w:pPr>
      <w:r w:rsidRPr="005F04DB">
        <w:t>Major laws like the Mental capacity Act (MCA) 2005 protect and empower people without mental capacity. Adults in England and Wales who are 16 or older are encouraged to make legal decisions by the MCA. When people can make decisions, it empowers them, and a flexible framework protects those who can't. The Act's five statutory concepts demonstrate empowerment in practice:</w:t>
      </w:r>
    </w:p>
    <w:p w14:paraId="046B2BC6" w14:textId="0D821414" w:rsidR="009C2CCF" w:rsidRPr="005F04DB" w:rsidRDefault="005F04DB" w:rsidP="009C2CCF">
      <w:pPr>
        <w:numPr>
          <w:ilvl w:val="0"/>
          <w:numId w:val="11"/>
        </w:numPr>
        <w:spacing w:line="360" w:lineRule="auto"/>
        <w:jc w:val="both"/>
      </w:pPr>
      <w:r w:rsidRPr="005F04DB">
        <w:rPr>
          <w:bCs/>
        </w:rPr>
        <w:t xml:space="preserve">Anyone over 18 is presumed to have mental competence to make decisions unless proven differently. </w:t>
      </w:r>
      <w:r>
        <w:rPr>
          <w:bCs/>
        </w:rPr>
        <w:t>Medical professionals can't claim someone can't accomplish something because of an illness or handicap (Lakhanpaul et al., 2014).</w:t>
      </w:r>
    </w:p>
    <w:p w14:paraId="1E7AF74A" w14:textId="5DB94EC3" w:rsidR="009C2CCF" w:rsidRPr="005F04DB" w:rsidRDefault="005F04DB" w:rsidP="009C2CCF">
      <w:pPr>
        <w:numPr>
          <w:ilvl w:val="0"/>
          <w:numId w:val="11"/>
        </w:numPr>
        <w:spacing w:line="360" w:lineRule="auto"/>
        <w:jc w:val="both"/>
      </w:pPr>
      <w:r w:rsidRPr="005F04DB">
        <w:rPr>
          <w:bCs/>
        </w:rPr>
        <w:t xml:space="preserve">People should be given all the help they can get to make their own choices. </w:t>
      </w:r>
      <w:r>
        <w:rPr>
          <w:bCs/>
        </w:rPr>
        <w:t>This includes providing clear information and extra assistance (Lewisham Safeguarding Adults Board, 2021).</w:t>
      </w:r>
    </w:p>
    <w:p w14:paraId="6E6D99BD" w14:textId="529F6898" w:rsidR="009C2CCF" w:rsidRPr="005F04DB" w:rsidRDefault="005F04DB" w:rsidP="009C2CCF">
      <w:pPr>
        <w:numPr>
          <w:ilvl w:val="0"/>
          <w:numId w:val="11"/>
        </w:numPr>
        <w:spacing w:line="360" w:lineRule="auto"/>
        <w:jc w:val="both"/>
      </w:pPr>
      <w:r w:rsidRPr="005F04DB">
        <w:rPr>
          <w:bCs/>
        </w:rPr>
        <w:lastRenderedPageBreak/>
        <w:t xml:space="preserve">Making terrible decisions—bad choices don't indicate mental illness. </w:t>
      </w:r>
      <w:r>
        <w:rPr>
          <w:bCs/>
        </w:rPr>
        <w:t>Respecting liberty implies accepting choices that differ from job or family preferences (Lewisham Safeguarding Adults Board, 2021).</w:t>
      </w:r>
    </w:p>
    <w:p w14:paraId="7DAFC8EA" w14:textId="2B945940" w:rsidR="009C2CCF" w:rsidRPr="005F04DB" w:rsidRDefault="005F04DB" w:rsidP="009C2CCF">
      <w:pPr>
        <w:numPr>
          <w:ilvl w:val="0"/>
          <w:numId w:val="11"/>
        </w:numPr>
        <w:spacing w:line="360" w:lineRule="auto"/>
        <w:jc w:val="both"/>
      </w:pPr>
      <w:r w:rsidRPr="005F04DB">
        <w:rPr>
          <w:bCs/>
        </w:rPr>
        <w:t xml:space="preserve">If someone can't make decisions, those made for them must be best. </w:t>
      </w:r>
      <w:r>
        <w:rPr>
          <w:bCs/>
        </w:rPr>
        <w:t>This entails considering the person's desires, beliefs, and feelings (Long, 2025).</w:t>
      </w:r>
    </w:p>
    <w:p w14:paraId="5BBBB05E" w14:textId="5C0B7845" w:rsidR="009C2CCF" w:rsidRPr="005F04DB" w:rsidRDefault="005F04DB" w:rsidP="009C2CCF">
      <w:pPr>
        <w:numPr>
          <w:ilvl w:val="0"/>
          <w:numId w:val="11"/>
        </w:numPr>
        <w:spacing w:line="360" w:lineRule="auto"/>
        <w:jc w:val="both"/>
      </w:pPr>
      <w:r>
        <w:rPr>
          <w:bCs/>
        </w:rPr>
        <w:t>Any action on behalf of a mentally incompetent individual must limit their basic rights and freedoms the least (CourseSidekick, 2024).</w:t>
      </w:r>
    </w:p>
    <w:p w14:paraId="4A69EDA0" w14:textId="0FB1A566" w:rsidR="009C2CCF" w:rsidRPr="005F04DB" w:rsidRDefault="005F04DB" w:rsidP="009C2CCF">
      <w:pPr>
        <w:spacing w:line="360" w:lineRule="auto"/>
        <w:jc w:val="both"/>
      </w:pPr>
      <w:r w:rsidRPr="005F04DB">
        <w:t xml:space="preserve">These concepts emphasise support, involvement, and autonomy, which increase power. </w:t>
      </w:r>
      <w:r>
        <w:t>Even if the person cannot, professionals must involve them as much as possible and promote independence, according to the Act (MIAA NHS, n.d.).</w:t>
      </w:r>
    </w:p>
    <w:p w14:paraId="5CCDE70B" w14:textId="77777777" w:rsidR="009C2CCF" w:rsidRPr="009C2CCF" w:rsidRDefault="009C2CCF" w:rsidP="009C2CCF">
      <w:pPr>
        <w:spacing w:line="360" w:lineRule="auto"/>
        <w:jc w:val="both"/>
        <w:rPr>
          <w:b/>
          <w:bCs/>
        </w:rPr>
      </w:pPr>
      <w:r w:rsidRPr="009C2CCF">
        <w:rPr>
          <w:b/>
          <w:bCs/>
        </w:rPr>
        <w:t>Applying Empowerment to the Case Study</w:t>
      </w:r>
    </w:p>
    <w:p w14:paraId="62257B9E" w14:textId="77777777" w:rsidR="009C2CCF" w:rsidRPr="009C2CCF" w:rsidRDefault="009C2CCF" w:rsidP="009C2CCF">
      <w:pPr>
        <w:spacing w:line="360" w:lineRule="auto"/>
        <w:jc w:val="both"/>
        <w:rPr>
          <w:b/>
          <w:bCs/>
        </w:rPr>
      </w:pPr>
      <w:r w:rsidRPr="009C2CCF">
        <w:rPr>
          <w:b/>
          <w:bCs/>
        </w:rPr>
        <w:t>Power Dynamics in Mia’s Situation</w:t>
      </w:r>
    </w:p>
    <w:p w14:paraId="53044872" w14:textId="616B955B" w:rsidR="009C2CCF" w:rsidRPr="005F04DB" w:rsidRDefault="005F04DB" w:rsidP="009C2CCF">
      <w:pPr>
        <w:spacing w:line="360" w:lineRule="auto"/>
        <w:jc w:val="both"/>
      </w:pPr>
      <w:r w:rsidRPr="005F04DB">
        <w:t xml:space="preserve">Mia is 17 and lives with her parents. She has learning disabilities and cerebral palsy. </w:t>
      </w:r>
      <w:r>
        <w:t>They help her with personal care and cooking, and she becomes frightened when meeting new people (NSPCC Learning, 2026).</w:t>
      </w:r>
      <w:r w:rsidRPr="005F04DB">
        <w:t xml:space="preserve"> </w:t>
      </w:r>
      <w:r>
        <w:t>Mia wants her own place because her older brother, Malachi, has moved out (NSPCC Learning, 2026).</w:t>
      </w:r>
      <w:r w:rsidRPr="005F04DB">
        <w:t xml:space="preserve"> Her parents won't let her because they're concerned she won't be able to handle it. </w:t>
      </w:r>
      <w:r>
        <w:t>Power struggles ensue: Mia desires independence, but her parents make decisions and aid her daily (Yin, 2014).</w:t>
      </w:r>
    </w:p>
    <w:p w14:paraId="665C1467" w14:textId="29D66CA0" w:rsidR="009C2CCF" w:rsidRPr="005F04DB" w:rsidRDefault="005F04DB" w:rsidP="009C2CCF">
      <w:pPr>
        <w:spacing w:line="360" w:lineRule="auto"/>
        <w:jc w:val="both"/>
      </w:pPr>
      <w:r w:rsidRPr="005F04DB">
        <w:t xml:space="preserve">As social care workers, they run the institution. They will determine Mia's eligibility and needs. </w:t>
      </w:r>
      <w:r>
        <w:t>Without careful practice, the SCW could encourage paternalistic ideas by following the parents' choices or choosing Mia's fear of taking risks over her own (McConnell, 2025).</w:t>
      </w:r>
    </w:p>
    <w:p w14:paraId="7587AF32" w14:textId="77777777" w:rsidR="009C2CCF" w:rsidRPr="009C2CCF" w:rsidRDefault="009C2CCF" w:rsidP="009C2CCF">
      <w:pPr>
        <w:spacing w:line="360" w:lineRule="auto"/>
        <w:jc w:val="both"/>
        <w:rPr>
          <w:b/>
          <w:bCs/>
        </w:rPr>
      </w:pPr>
      <w:r w:rsidRPr="009C2CCF">
        <w:rPr>
          <w:b/>
          <w:bCs/>
        </w:rPr>
        <w:t>How the Social Care Worker Can Empower Mia</w:t>
      </w:r>
    </w:p>
    <w:p w14:paraId="71591410" w14:textId="77777777" w:rsidR="009C2CCF" w:rsidRPr="009C2CCF" w:rsidRDefault="009C2CCF" w:rsidP="009C2CCF">
      <w:pPr>
        <w:spacing w:line="360" w:lineRule="auto"/>
        <w:jc w:val="both"/>
      </w:pPr>
      <w:r w:rsidRPr="009C2CCF">
        <w:t>The SCW can promote empowerment through several strategies:</w:t>
      </w:r>
    </w:p>
    <w:p w14:paraId="0163903E" w14:textId="6A509D39" w:rsidR="009C2CCF" w:rsidRPr="005F04DB" w:rsidRDefault="005F04DB" w:rsidP="009C2CCF">
      <w:pPr>
        <w:numPr>
          <w:ilvl w:val="0"/>
          <w:numId w:val="12"/>
        </w:numPr>
        <w:spacing w:line="360" w:lineRule="auto"/>
        <w:jc w:val="both"/>
      </w:pPr>
      <w:r w:rsidRPr="005F04DB">
        <w:rPr>
          <w:bCs/>
        </w:rPr>
        <w:t>Be strengths-based and person-centred.</w:t>
      </w:r>
      <w:r>
        <w:rPr>
          <w:bCs/>
        </w:rPr>
        <w:t>Instead of Mia's shortcomings, the SCW should focus on her aspirations and skills (Long, 2025).</w:t>
      </w:r>
      <w:r w:rsidRPr="005F04DB">
        <w:rPr>
          <w:bCs/>
        </w:rPr>
        <w:t xml:space="preserve"> This requires learning what Mia can do, what she needs, and her future outlook. The Care Act 2014 well-being </w:t>
      </w:r>
      <w:r w:rsidRPr="005F04DB">
        <w:rPr>
          <w:bCs/>
        </w:rPr>
        <w:lastRenderedPageBreak/>
        <w:t>obligation requires local governments to promote independence, dignity, and safety. Strengths-based assessments fulfil this task. They must consider the person's thoughts, wants, and beliefs in every decision.</w:t>
      </w:r>
    </w:p>
    <w:p w14:paraId="63A159B0" w14:textId="1979C215" w:rsidR="009C2CCF" w:rsidRPr="005F04DB" w:rsidRDefault="005F04DB" w:rsidP="009C2CCF">
      <w:pPr>
        <w:numPr>
          <w:ilvl w:val="0"/>
          <w:numId w:val="12"/>
        </w:numPr>
        <w:spacing w:line="360" w:lineRule="auto"/>
        <w:jc w:val="both"/>
      </w:pPr>
      <w:r w:rsidRPr="005F04DB">
        <w:rPr>
          <w:bCs/>
        </w:rPr>
        <w:t>Help individuals decide for themselves.</w:t>
      </w:r>
      <w:r>
        <w:rPr>
          <w:bCs/>
        </w:rPr>
        <w:t>The MCA believes Mia can select where she lives unless shown otherwise (Lewisham Safeguarding Adults Board, 2021).</w:t>
      </w:r>
      <w:r w:rsidRPr="005F04DB">
        <w:rPr>
          <w:bCs/>
        </w:rPr>
        <w:t xml:space="preserve"> The SCW should make housing choices, financial impacts, and support services clear to understand. This might mean graphics, easy-to-read text, or assistive technology. If Mia struggles to grasp decisions, the SCW can hire an Independent Mental Capacity Advocate (IMCA) as required by the MCA.</w:t>
      </w:r>
    </w:p>
    <w:p w14:paraId="3FFA9380" w14:textId="5A033FC9" w:rsidR="009C2CCF" w:rsidRPr="005F04DB" w:rsidRDefault="005F04DB" w:rsidP="009C2CCF">
      <w:pPr>
        <w:numPr>
          <w:ilvl w:val="0"/>
          <w:numId w:val="12"/>
        </w:numPr>
        <w:spacing w:line="360" w:lineRule="auto"/>
        <w:jc w:val="both"/>
      </w:pPr>
      <w:r w:rsidRPr="005F04DB">
        <w:rPr>
          <w:bCs/>
        </w:rPr>
        <w:t>Make tools and support networks available.</w:t>
      </w:r>
      <w:r>
        <w:rPr>
          <w:bCs/>
        </w:rPr>
        <w:t>The SCW should connect Mia to occupational, speech, and language therapists and personal aids (Aberdeen University, 2024).</w:t>
      </w:r>
      <w:r w:rsidRPr="005F04DB">
        <w:rPr>
          <w:bCs/>
        </w:rPr>
        <w:t xml:space="preserve"> Occupational therapists can assess housing needs and recommend adjustments. </w:t>
      </w:r>
      <w:r>
        <w:rPr>
          <w:bCs/>
        </w:rPr>
        <w:t>Speech-language pathologists can help Mia confidently express herself (Daniels et al., 2025).</w:t>
      </w:r>
      <w:r w:rsidRPr="005F04DB">
        <w:rPr>
          <w:bCs/>
        </w:rPr>
        <w:t xml:space="preserve"> A personal helper or domiciliary caretaker could aid her with personal care and cooking, reducing her reliance on her parents. The SCW may also suggest Mia join local clubs or peer support programs to make friends and feel less alone.</w:t>
      </w:r>
    </w:p>
    <w:p w14:paraId="0AF95D49" w14:textId="53D51265" w:rsidR="009C2CCF" w:rsidRPr="005F04DB" w:rsidRDefault="005F04DB" w:rsidP="009C2CCF">
      <w:pPr>
        <w:numPr>
          <w:ilvl w:val="0"/>
          <w:numId w:val="12"/>
        </w:numPr>
        <w:spacing w:line="360" w:lineRule="auto"/>
        <w:jc w:val="both"/>
      </w:pPr>
      <w:r w:rsidRPr="005F04DB">
        <w:rPr>
          <w:bCs/>
        </w:rPr>
        <w:t>Help with family counselling and teaching.</w:t>
      </w:r>
      <w:r>
        <w:rPr>
          <w:bCs/>
        </w:rPr>
        <w:t>Mia and her parents argue about her leaving (Desklib, 2023).</w:t>
      </w:r>
      <w:r w:rsidRPr="005F04DB">
        <w:rPr>
          <w:bCs/>
        </w:rPr>
        <w:t xml:space="preserve"> </w:t>
      </w:r>
      <w:r>
        <w:rPr>
          <w:bCs/>
        </w:rPr>
        <w:t>The SCW can explain Mia's Equality Act and MCA rights (Long, 2025).</w:t>
      </w:r>
      <w:r w:rsidRPr="005F04DB">
        <w:rPr>
          <w:bCs/>
        </w:rPr>
        <w:t xml:space="preserve"> They should emphasise that Mia has the right to be capable and make wrong decisions. </w:t>
      </w:r>
      <w:r>
        <w:rPr>
          <w:bCs/>
        </w:rPr>
        <w:t>They can also reassure parents by discussing support services and reminding them that independence does not equal independence without help (Desklib, 2023).</w:t>
      </w:r>
    </w:p>
    <w:p w14:paraId="1B7C6D73" w14:textId="7CAE78AC" w:rsidR="009C2CCF" w:rsidRPr="005F04DB" w:rsidRDefault="005F04DB" w:rsidP="009C2CCF">
      <w:pPr>
        <w:numPr>
          <w:ilvl w:val="0"/>
          <w:numId w:val="12"/>
        </w:numPr>
        <w:spacing w:line="360" w:lineRule="auto"/>
        <w:jc w:val="both"/>
      </w:pPr>
      <w:r w:rsidRPr="005F04DB">
        <w:rPr>
          <w:bCs/>
        </w:rPr>
        <w:t>Promote collaboration and "power with." Instead of making decisions for Mia, the SCW should work with her family. Cooperative problem-solving increases "power with.</w:t>
      </w:r>
      <w:r>
        <w:rPr>
          <w:bCs/>
        </w:rPr>
        <w:t>" They may arrange for Mia to spend more time at her brother's residence while learning to live alone (Rossi, 2025).</w:t>
      </w:r>
      <w:r w:rsidRPr="005F04DB">
        <w:rPr>
          <w:bCs/>
        </w:rPr>
        <w:t xml:space="preserve"> </w:t>
      </w:r>
      <w:r>
        <w:rPr>
          <w:bCs/>
        </w:rPr>
        <w:t>This collaboration makes everyone feel heard and appreciated, building trust (Daniels et al., 2025).</w:t>
      </w:r>
    </w:p>
    <w:p w14:paraId="0F7F8389" w14:textId="27A5634E" w:rsidR="009C2CCF" w:rsidRPr="005F04DB" w:rsidRDefault="005F04DB" w:rsidP="009C2CCF">
      <w:pPr>
        <w:numPr>
          <w:ilvl w:val="0"/>
          <w:numId w:val="12"/>
        </w:numPr>
        <w:spacing w:line="360" w:lineRule="auto"/>
        <w:jc w:val="both"/>
      </w:pPr>
      <w:r w:rsidRPr="005F04DB">
        <w:rPr>
          <w:bCs/>
        </w:rPr>
        <w:lastRenderedPageBreak/>
        <w:t>Push for fair changes and accessible housing.</w:t>
      </w:r>
      <w:r>
        <w:rPr>
          <w:bCs/>
        </w:rPr>
        <w:t>The 2010 Equality Act requires service companies to reasonably assist disabled individuals (Coeliac UK, 2025).</w:t>
      </w:r>
      <w:r w:rsidRPr="005F04DB">
        <w:rPr>
          <w:bCs/>
        </w:rPr>
        <w:t xml:space="preserve"> The SCW should ensure Mia's housing options have wheelchair-accessible entrances, updated toilets, and assistive technology. The SCW can help Mia launch a discrimination case if local housing providers couldn't.</w:t>
      </w:r>
    </w:p>
    <w:p w14:paraId="29E5DF6F" w14:textId="687DEE9E" w:rsidR="009C2CCF" w:rsidRPr="005F04DB" w:rsidRDefault="005F04DB" w:rsidP="009C2CCF">
      <w:pPr>
        <w:numPr>
          <w:ilvl w:val="0"/>
          <w:numId w:val="12"/>
        </w:numPr>
        <w:spacing w:line="360" w:lineRule="auto"/>
        <w:jc w:val="both"/>
      </w:pPr>
      <w:r w:rsidRPr="005F04DB">
        <w:rPr>
          <w:bCs/>
        </w:rPr>
        <w:t xml:space="preserve">Be creative in your communication.Mia gets nervous talking to strangers. </w:t>
      </w:r>
      <w:r>
        <w:rPr>
          <w:bCs/>
        </w:rPr>
        <w:t>The SCW could provide communication support or speech-generating devices to enable her communicate with faith (Daniels et al., 2025).</w:t>
      </w:r>
      <w:r w:rsidRPr="005F04DB">
        <w:rPr>
          <w:bCs/>
        </w:rPr>
        <w:t xml:space="preserve"> She will feel less anxious as you get to know her and put her in comfortable surroundings.</w:t>
      </w:r>
    </w:p>
    <w:p w14:paraId="72B975CB" w14:textId="250DB808" w:rsidR="009C2CCF" w:rsidRPr="005F04DB" w:rsidRDefault="005F04DB" w:rsidP="009C2CCF">
      <w:pPr>
        <w:numPr>
          <w:ilvl w:val="0"/>
          <w:numId w:val="12"/>
        </w:numPr>
        <w:spacing w:line="360" w:lineRule="auto"/>
        <w:jc w:val="both"/>
      </w:pPr>
      <w:r w:rsidRPr="005F04DB">
        <w:rPr>
          <w:bCs/>
        </w:rPr>
        <w:t xml:space="preserve">Invite others to join neighbourhood and peer networks.Mia lacks close friends and professional experience. Feeling powerless alone can worsen. </w:t>
      </w:r>
      <w:r>
        <w:rPr>
          <w:bCs/>
        </w:rPr>
        <w:t>The SCW should investigate education, volunteering, and supported employment (MIAA NHS, 2021).</w:t>
      </w:r>
      <w:r w:rsidRPr="005F04DB">
        <w:rPr>
          <w:bCs/>
        </w:rPr>
        <w:t xml:space="preserve"> </w:t>
      </w:r>
      <w:r>
        <w:rPr>
          <w:bCs/>
        </w:rPr>
        <w:t>Young adults with disabilities can enhance their social skills, self-confidence, and "power within (MIAA NHS, 2021).</w:t>
      </w:r>
      <w:r w:rsidRPr="005F04DB">
        <w:rPr>
          <w:bCs/>
        </w:rPr>
        <w:t>" by attending local groups.</w:t>
      </w:r>
    </w:p>
    <w:p w14:paraId="4FE8F018" w14:textId="77777777" w:rsidR="009C2CCF" w:rsidRPr="009C2CCF" w:rsidRDefault="009C2CCF" w:rsidP="009C2CCF">
      <w:pPr>
        <w:spacing w:line="360" w:lineRule="auto"/>
        <w:jc w:val="both"/>
        <w:rPr>
          <w:b/>
          <w:bCs/>
        </w:rPr>
      </w:pPr>
      <w:r w:rsidRPr="009C2CCF">
        <w:rPr>
          <w:b/>
          <w:bCs/>
        </w:rPr>
        <w:t>Role of Other Professionals</w:t>
      </w:r>
    </w:p>
    <w:p w14:paraId="364FB298" w14:textId="77777777" w:rsidR="009C2CCF" w:rsidRPr="009C2CCF" w:rsidRDefault="009C2CCF" w:rsidP="009C2CCF">
      <w:pPr>
        <w:spacing w:line="360" w:lineRule="auto"/>
        <w:jc w:val="both"/>
      </w:pPr>
      <w:r w:rsidRPr="009C2CCF">
        <w:t>Empowering Mia will require collaboration among various professionals and agencies:</w:t>
      </w:r>
    </w:p>
    <w:p w14:paraId="2A833DF2" w14:textId="31FEF50F" w:rsidR="009C2CCF" w:rsidRPr="005F04DB" w:rsidRDefault="005F04DB" w:rsidP="009C2CCF">
      <w:pPr>
        <w:numPr>
          <w:ilvl w:val="0"/>
          <w:numId w:val="13"/>
        </w:numPr>
        <w:spacing w:line="360" w:lineRule="auto"/>
        <w:jc w:val="both"/>
      </w:pPr>
      <w:r w:rsidRPr="005F04DB">
        <w:rPr>
          <w:bCs/>
        </w:rPr>
        <w:t xml:space="preserve">Mia's physical abilities and environmental demands are assessed by an occupational therapist (OT). </w:t>
      </w:r>
      <w:r>
        <w:rPr>
          <w:bCs/>
        </w:rPr>
        <w:t>They then advise improvements and educate her daily tasks (National Network, 2025).</w:t>
      </w:r>
    </w:p>
    <w:p w14:paraId="07EC46C2" w14:textId="0A61A191" w:rsidR="009C2CCF" w:rsidRPr="005F04DB" w:rsidRDefault="005F04DB" w:rsidP="009C2CCF">
      <w:pPr>
        <w:numPr>
          <w:ilvl w:val="0"/>
          <w:numId w:val="13"/>
        </w:numPr>
        <w:spacing w:line="360" w:lineRule="auto"/>
        <w:jc w:val="both"/>
      </w:pPr>
      <w:r>
        <w:rPr>
          <w:bCs/>
        </w:rPr>
        <w:t>Speech and language therapist (SLT): helps Mia communicate, say what she wants, and reduces her social anxiety (Lakhanpaul et al., 2020).</w:t>
      </w:r>
    </w:p>
    <w:p w14:paraId="0E632BCA" w14:textId="0CC25B02" w:rsidR="009C2CCF" w:rsidRPr="005F04DB" w:rsidRDefault="005F04DB" w:rsidP="009C2CCF">
      <w:pPr>
        <w:numPr>
          <w:ilvl w:val="0"/>
          <w:numId w:val="13"/>
        </w:numPr>
        <w:spacing w:line="360" w:lineRule="auto"/>
        <w:jc w:val="both"/>
      </w:pPr>
      <w:r>
        <w:rPr>
          <w:bCs/>
        </w:rPr>
        <w:t>The housing officer identifies accessible accommodation and ensures Equality Act reasonable adjustments are satisfied (Aberdeen University, 2024).</w:t>
      </w:r>
    </w:p>
    <w:p w14:paraId="0D93976A" w14:textId="04E9C260" w:rsidR="009C2CCF" w:rsidRPr="005F04DB" w:rsidRDefault="005F04DB" w:rsidP="009C2CCF">
      <w:pPr>
        <w:numPr>
          <w:ilvl w:val="0"/>
          <w:numId w:val="13"/>
        </w:numPr>
        <w:spacing w:line="360" w:lineRule="auto"/>
        <w:jc w:val="both"/>
      </w:pPr>
      <w:r w:rsidRPr="005F04DB">
        <w:rPr>
          <w:bCs/>
        </w:rPr>
        <w:t xml:space="preserve">Mia has an independent advocate who assists her with tests and informs her of her rights and options. </w:t>
      </w:r>
      <w:r>
        <w:rPr>
          <w:bCs/>
        </w:rPr>
        <w:t>The Care Act requires advocacy for those who have problems interacting and no one else can help (Daniels et al., 2025).</w:t>
      </w:r>
    </w:p>
    <w:p w14:paraId="7224655E" w14:textId="24781691" w:rsidR="009C2CCF" w:rsidRPr="005F04DB" w:rsidRDefault="005F04DB" w:rsidP="009C2CCF">
      <w:pPr>
        <w:numPr>
          <w:ilvl w:val="0"/>
          <w:numId w:val="13"/>
        </w:numPr>
        <w:spacing w:line="360" w:lineRule="auto"/>
        <w:jc w:val="both"/>
      </w:pPr>
      <w:r>
        <w:rPr>
          <w:bCs/>
        </w:rPr>
        <w:lastRenderedPageBreak/>
        <w:t>A community support worker or personal helper supports Mia with personal care and cooking so she may live alone (Coeliac UK, 2025).</w:t>
      </w:r>
    </w:p>
    <w:p w14:paraId="7951B943" w14:textId="77777777" w:rsidR="009C2CCF" w:rsidRPr="009C2CCF" w:rsidRDefault="009C2CCF" w:rsidP="009C2CCF">
      <w:pPr>
        <w:numPr>
          <w:ilvl w:val="0"/>
          <w:numId w:val="13"/>
        </w:numPr>
        <w:spacing w:line="360" w:lineRule="auto"/>
        <w:jc w:val="both"/>
      </w:pPr>
      <w:r w:rsidRPr="009C2CCF">
        <w:rPr>
          <w:b/>
          <w:bCs/>
        </w:rPr>
        <w:t>Psychologist or counsellor:</w:t>
      </w:r>
      <w:r w:rsidRPr="009C2CCF">
        <w:t> addresses anxiety and supports emotional wellbeing.</w:t>
      </w:r>
    </w:p>
    <w:p w14:paraId="4F3D31C1" w14:textId="77777777" w:rsidR="009C2CCF" w:rsidRPr="009C2CCF" w:rsidRDefault="009C2CCF" w:rsidP="009C2CCF">
      <w:pPr>
        <w:spacing w:line="360" w:lineRule="auto"/>
        <w:jc w:val="both"/>
        <w:rPr>
          <w:b/>
          <w:bCs/>
        </w:rPr>
      </w:pPr>
      <w:r w:rsidRPr="009C2CCF">
        <w:rPr>
          <w:b/>
          <w:bCs/>
        </w:rPr>
        <w:t>Relevant Legislation and Policies</w:t>
      </w:r>
    </w:p>
    <w:p w14:paraId="79AAA109" w14:textId="6999C421" w:rsidR="009C2CCF" w:rsidRPr="005F04DB" w:rsidRDefault="005F04DB" w:rsidP="009C2CCF">
      <w:pPr>
        <w:numPr>
          <w:ilvl w:val="0"/>
          <w:numId w:val="14"/>
        </w:numPr>
        <w:spacing w:line="360" w:lineRule="auto"/>
        <w:jc w:val="both"/>
      </w:pPr>
      <w:r w:rsidRPr="005F04DB">
        <w:rPr>
          <w:bCs/>
        </w:rPr>
        <w:t xml:space="preserve">The 2010 Equality Act prohibits discrimination against disabled individuals and requires service providers to make reasonable modifications. </w:t>
      </w:r>
      <w:r>
        <w:rPr>
          <w:bCs/>
        </w:rPr>
        <w:t>Mia's disability doesn't prevent her from acquiring housing, a job, or benefits under the Act (Lakhanpaul et al., 2020).</w:t>
      </w:r>
    </w:p>
    <w:p w14:paraId="21F0D400" w14:textId="7CD8F5E7" w:rsidR="009C2CCF" w:rsidRPr="005F04DB" w:rsidRDefault="005F04DB" w:rsidP="009C2CCF">
      <w:pPr>
        <w:numPr>
          <w:ilvl w:val="0"/>
          <w:numId w:val="14"/>
        </w:numPr>
        <w:spacing w:line="360" w:lineRule="auto"/>
        <w:jc w:val="both"/>
      </w:pPr>
      <w:r w:rsidRPr="005F04DB">
        <w:rPr>
          <w:bCs/>
        </w:rPr>
        <w:t xml:space="preserve">England's adult social care is governed by the Care Act 2014. </w:t>
      </w:r>
      <w:r>
        <w:rPr>
          <w:bCs/>
        </w:rPr>
        <w:t>Local governments must monitor people's health and well-being, assess outcomes and daily living, and create tailored care plans (Coeliac UK, 2025).</w:t>
      </w:r>
      <w:r w:rsidRPr="005F04DB">
        <w:rPr>
          <w:bCs/>
        </w:rPr>
        <w:t xml:space="preserve"> Section 1 promotes freedom and respect. The Act also requires people to prevent needs from worsening and provide information and assistance. The government must consider how to support Mia's desire to live independently while keeping her secure.</w:t>
      </w:r>
    </w:p>
    <w:p w14:paraId="2F01D5E6" w14:textId="5905F340" w:rsidR="009C2CCF" w:rsidRPr="005F04DB" w:rsidRDefault="005F04DB" w:rsidP="009C2CCF">
      <w:pPr>
        <w:numPr>
          <w:ilvl w:val="0"/>
          <w:numId w:val="14"/>
        </w:numPr>
        <w:spacing w:line="360" w:lineRule="auto"/>
        <w:jc w:val="both"/>
      </w:pPr>
      <w:r w:rsidRPr="005F04DB">
        <w:rPr>
          <w:bCs/>
        </w:rPr>
        <w:t xml:space="preserve">The 2005 Mental Capacity Act protects those who can't make decisions and empowers those who can. </w:t>
      </w:r>
      <w:r>
        <w:rPr>
          <w:bCs/>
        </w:rPr>
        <w:t>The SCW must believe Mia can make decisions and assist her (Daniels et al., 2025).</w:t>
      </w:r>
      <w:r w:rsidRPr="005F04DB">
        <w:rPr>
          <w:bCs/>
        </w:rPr>
        <w:t xml:space="preserve"> </w:t>
      </w:r>
      <w:r>
        <w:rPr>
          <w:bCs/>
        </w:rPr>
        <w:t>If she cannot make decisions, the Act requires them to be decided in her best interests and in the least restrictive way (Aberdeen University, 2024).</w:t>
      </w:r>
      <w:r w:rsidRPr="005F04DB">
        <w:rPr>
          <w:bCs/>
        </w:rPr>
        <w:t xml:space="preserve"> </w:t>
      </w:r>
      <w:r>
        <w:rPr>
          <w:bCs/>
        </w:rPr>
        <w:t>If no family member can help, an IMCA may (Denecke et al., 2024).</w:t>
      </w:r>
    </w:p>
    <w:p w14:paraId="7477A07C" w14:textId="7901E66A" w:rsidR="009C2CCF" w:rsidRPr="005F04DB" w:rsidRDefault="005F04DB" w:rsidP="009C2CCF">
      <w:pPr>
        <w:numPr>
          <w:ilvl w:val="0"/>
          <w:numId w:val="14"/>
        </w:numPr>
        <w:spacing w:line="360" w:lineRule="auto"/>
        <w:jc w:val="both"/>
      </w:pPr>
      <w:r w:rsidRPr="005F04DB">
        <w:rPr>
          <w:bCs/>
        </w:rPr>
        <w:t xml:space="preserve">The 1998 Human Rights Act safeguards privacy and family life. Interference with this right must be fair. </w:t>
      </w:r>
      <w:r>
        <w:rPr>
          <w:bCs/>
        </w:rPr>
        <w:t>Unless there are serious health and safety issues, stopping Mia from living alone may violate her Article 8 rights (Witherslack Group, 2024).</w:t>
      </w:r>
    </w:p>
    <w:p w14:paraId="2C549D46" w14:textId="2951AC34" w:rsidR="009C2CCF" w:rsidRPr="005F04DB" w:rsidRDefault="005F04DB" w:rsidP="009C2CCF">
      <w:pPr>
        <w:numPr>
          <w:ilvl w:val="0"/>
          <w:numId w:val="14"/>
        </w:numPr>
        <w:spacing w:line="360" w:lineRule="auto"/>
        <w:jc w:val="both"/>
      </w:pPr>
      <w:r w:rsidRPr="005F04DB">
        <w:rPr>
          <w:bCs/>
        </w:rPr>
        <w:t xml:space="preserve">The UN Convention on the Rights of Persons with Disabilities (CRPD) states that disabled individuals should live independently and participate in society. </w:t>
      </w:r>
      <w:r>
        <w:rPr>
          <w:bCs/>
        </w:rPr>
        <w:t>The CRPD is not immediately enforceable in UK law, but it guides best practise and public policy and reminds individuals to appreciate choice and autonomy (NSPCC Learning, 2026).</w:t>
      </w:r>
    </w:p>
    <w:p w14:paraId="45225362" w14:textId="77777777" w:rsidR="009C2CCF" w:rsidRPr="009C2CCF" w:rsidRDefault="009C2CCF" w:rsidP="009C2CCF">
      <w:pPr>
        <w:spacing w:line="360" w:lineRule="auto"/>
        <w:jc w:val="both"/>
        <w:rPr>
          <w:b/>
          <w:bCs/>
        </w:rPr>
      </w:pPr>
      <w:r w:rsidRPr="009C2CCF">
        <w:rPr>
          <w:b/>
          <w:bCs/>
        </w:rPr>
        <w:t>Ethical Considerations</w:t>
      </w:r>
    </w:p>
    <w:p w14:paraId="50E59EFB" w14:textId="1A7CE8CA" w:rsidR="009C2CCF" w:rsidRPr="005F04DB" w:rsidRDefault="005F04DB" w:rsidP="009C2CCF">
      <w:pPr>
        <w:spacing w:line="360" w:lineRule="auto"/>
        <w:jc w:val="both"/>
      </w:pPr>
      <w:r w:rsidRPr="005F04DB">
        <w:lastRenderedPageBreak/>
        <w:t xml:space="preserve">Moral issues arise when Mia is empowered. The SCW must balance freedom and safety. The MCA's "presumption of capacity" recognises that disabled persons can make choices, even if others condemn them. </w:t>
      </w:r>
      <w:r>
        <w:t>Ethics requires respecting bad decisions to prevent paternalism (MIAA NHS, n.d.).</w:t>
      </w:r>
      <w:r w:rsidRPr="005F04DB">
        <w:t xml:space="preserve"> The SCW must also protect Mia. Careful risk assessment and help planning are essential. Giving someone power means letting them take calculated risks with safety nets.</w:t>
      </w:r>
    </w:p>
    <w:p w14:paraId="1410EEDC" w14:textId="7066B909" w:rsidR="009C2CCF" w:rsidRPr="005F04DB" w:rsidRDefault="005F04DB" w:rsidP="009C2CCF">
      <w:pPr>
        <w:spacing w:line="360" w:lineRule="auto"/>
        <w:jc w:val="both"/>
      </w:pPr>
      <w:r w:rsidRPr="005F04DB">
        <w:t xml:space="preserve">Privacy and secrecy matter too. </w:t>
      </w:r>
      <w:r>
        <w:t>Mia has the right to privacy, so she can meet friends and discover herself (Lewisham Safeguarding Adults Board, 2021).</w:t>
      </w:r>
      <w:r w:rsidRPr="005F04DB">
        <w:t xml:space="preserve"> </w:t>
      </w:r>
      <w:r>
        <w:t>Thus, the SCW should respect her privacy and only release information with her consent or when required by law (Lakhanpaul et al., 2014).</w:t>
      </w:r>
    </w:p>
    <w:p w14:paraId="68A82212" w14:textId="77777777" w:rsidR="009C2CCF" w:rsidRPr="009C2CCF" w:rsidRDefault="009C2CCF" w:rsidP="009C2CCF">
      <w:pPr>
        <w:spacing w:line="360" w:lineRule="auto"/>
        <w:jc w:val="both"/>
        <w:rPr>
          <w:b/>
          <w:bCs/>
        </w:rPr>
      </w:pPr>
      <w:r w:rsidRPr="009C2CCF">
        <w:rPr>
          <w:b/>
          <w:bCs/>
        </w:rPr>
        <w:t>Potential Barriers and Solutions</w:t>
      </w:r>
    </w:p>
    <w:p w14:paraId="152FF691" w14:textId="77777777" w:rsidR="009C2CCF" w:rsidRPr="009C2CCF" w:rsidRDefault="009C2CCF" w:rsidP="009C2CCF">
      <w:pPr>
        <w:spacing w:line="360" w:lineRule="auto"/>
        <w:jc w:val="both"/>
      </w:pPr>
      <w:r w:rsidRPr="009C2CCF">
        <w:t>Barriers to empowerment may include:</w:t>
      </w:r>
    </w:p>
    <w:p w14:paraId="6C12CCF9" w14:textId="2CAD3EBD" w:rsidR="009C2CCF" w:rsidRPr="005F04DB" w:rsidRDefault="005F04DB" w:rsidP="009C2CCF">
      <w:pPr>
        <w:numPr>
          <w:ilvl w:val="0"/>
          <w:numId w:val="15"/>
        </w:numPr>
        <w:spacing w:line="360" w:lineRule="auto"/>
        <w:jc w:val="both"/>
      </w:pPr>
      <w:r w:rsidRPr="005F04DB">
        <w:rPr>
          <w:bCs/>
        </w:rPr>
        <w:t>Overprotected by parents.</w:t>
      </w:r>
      <w:r>
        <w:rPr>
          <w:bCs/>
        </w:rPr>
        <w:t>Mia's family may assume her condition prevents her from living alone (Berry Street, 2024).</w:t>
      </w:r>
      <w:r w:rsidRPr="005F04DB">
        <w:rPr>
          <w:bCs/>
        </w:rPr>
        <w:t xml:space="preserve"> </w:t>
      </w:r>
      <w:r>
        <w:rPr>
          <w:bCs/>
        </w:rPr>
        <w:t>Learning about rights and support choices reduces fears (National Network, 2025).</w:t>
      </w:r>
    </w:p>
    <w:p w14:paraId="284E646B" w14:textId="496DF65A" w:rsidR="009C2CCF" w:rsidRPr="005F04DB" w:rsidRDefault="005F04DB" w:rsidP="009C2CCF">
      <w:pPr>
        <w:numPr>
          <w:ilvl w:val="0"/>
          <w:numId w:val="15"/>
        </w:numPr>
        <w:spacing w:line="360" w:lineRule="auto"/>
        <w:jc w:val="both"/>
      </w:pPr>
      <w:r w:rsidRPr="005F04DB">
        <w:rPr>
          <w:bCs/>
        </w:rPr>
        <w:t>The service is available.</w:t>
      </w:r>
      <w:r>
        <w:rPr>
          <w:bCs/>
        </w:rPr>
        <w:t>Lack of accessible accommodation or personal assistance services may limit options (Desklib, 2023).</w:t>
      </w:r>
      <w:r w:rsidRPr="005F04DB">
        <w:rPr>
          <w:bCs/>
        </w:rPr>
        <w:t xml:space="preserve"> </w:t>
      </w:r>
      <w:r>
        <w:rPr>
          <w:bCs/>
        </w:rPr>
        <w:t>The SCW should negotiate appropriate improvements with housing officials (Witherslack Group, 2024).</w:t>
      </w:r>
    </w:p>
    <w:p w14:paraId="626F2F5E" w14:textId="7395E359" w:rsidR="009C2CCF" w:rsidRPr="005F04DB" w:rsidRDefault="005F04DB" w:rsidP="009C2CCF">
      <w:pPr>
        <w:numPr>
          <w:ilvl w:val="0"/>
          <w:numId w:val="15"/>
        </w:numPr>
        <w:spacing w:line="360" w:lineRule="auto"/>
        <w:jc w:val="both"/>
      </w:pPr>
      <w:r w:rsidRPr="005F04DB">
        <w:rPr>
          <w:bCs/>
        </w:rPr>
        <w:t>Being alone and worried.</w:t>
      </w:r>
      <w:r>
        <w:rPr>
          <w:bCs/>
        </w:rPr>
        <w:t>Mia may have problems fitting in because she has few friends and is shy with new people (Coeliac UK, 2025).</w:t>
      </w:r>
      <w:r w:rsidRPr="005F04DB">
        <w:rPr>
          <w:bCs/>
        </w:rPr>
        <w:t xml:space="preserve"> Social groups and therapy boost confidence.</w:t>
      </w:r>
    </w:p>
    <w:p w14:paraId="5E790276" w14:textId="2D7FD873" w:rsidR="009C2CCF" w:rsidRPr="005F04DB" w:rsidRDefault="005F04DB" w:rsidP="009C2CCF">
      <w:pPr>
        <w:numPr>
          <w:ilvl w:val="0"/>
          <w:numId w:val="15"/>
        </w:numPr>
        <w:spacing w:line="360" w:lineRule="auto"/>
        <w:jc w:val="both"/>
      </w:pPr>
      <w:r w:rsidRPr="005F04DB">
        <w:rPr>
          <w:bCs/>
        </w:rPr>
        <w:t>Funding constraints.</w:t>
      </w:r>
      <w:r>
        <w:rPr>
          <w:bCs/>
        </w:rPr>
        <w:t>It may not be possible to fund special helpers or adaptations (CourseSidekick, 2024).</w:t>
      </w:r>
      <w:r w:rsidRPr="005F04DB">
        <w:rPr>
          <w:bCs/>
        </w:rPr>
        <w:t xml:space="preserve"> The SCW should investigate direct funds, personal budgets, and welfare assistance to provide Mia maximum freedom.</w:t>
      </w:r>
    </w:p>
    <w:p w14:paraId="6360567C" w14:textId="77777777" w:rsidR="009C2CCF" w:rsidRPr="009C2CCF" w:rsidRDefault="009C2CCF" w:rsidP="009C2CCF">
      <w:pPr>
        <w:spacing w:line="360" w:lineRule="auto"/>
        <w:jc w:val="both"/>
        <w:rPr>
          <w:b/>
          <w:bCs/>
        </w:rPr>
      </w:pPr>
      <w:r w:rsidRPr="009C2CCF">
        <w:rPr>
          <w:b/>
          <w:bCs/>
        </w:rPr>
        <w:t>Conclusion</w:t>
      </w:r>
    </w:p>
    <w:p w14:paraId="01E2C94A" w14:textId="68F11EAF" w:rsidR="009C2CCF" w:rsidRPr="005F04DB" w:rsidRDefault="005F04DB" w:rsidP="009C2CCF">
      <w:pPr>
        <w:spacing w:line="360" w:lineRule="auto"/>
        <w:jc w:val="both"/>
      </w:pPr>
      <w:r w:rsidRPr="005F04DB">
        <w:lastRenderedPageBreak/>
        <w:t>This essay examined power and freedom in social care through Mia, a young woman with cerebral palsy and a learning disability who wishes to live alone. Social care defines "power" as financial and decision-making control. It fluctuates with societal diversity and institutional functioning. Laws like the Equality Act 2010 protect disabled individuals from unjust treatment since discrimination and prejudice worsen power inequalities. Human Rights Act 1998 protects private and family life more.</w:t>
      </w:r>
    </w:p>
    <w:p w14:paraId="7450C11F" w14:textId="7D2630F5" w:rsidR="009C2CCF" w:rsidRPr="005F04DB" w:rsidRDefault="005F04DB" w:rsidP="009C2CCF">
      <w:pPr>
        <w:spacing w:line="360" w:lineRule="auto"/>
        <w:jc w:val="both"/>
      </w:pPr>
      <w:r w:rsidRPr="005F04DB">
        <w:t>Empowering people to take ownership of their life is central to social work. Liberty, equality, communication, and resource availability are central. Empowerment laws like the Mental Capacity Act 2005 assume people can make decisions and require help. The Care Act 2014 requires local governments to improve health and freedom.</w:t>
      </w:r>
    </w:p>
    <w:p w14:paraId="590DA6AB" w14:textId="6554FEA7" w:rsidR="009C2CCF" w:rsidRPr="005F04DB" w:rsidRDefault="005F04DB" w:rsidP="009C2CCF">
      <w:pPr>
        <w:spacing w:line="360" w:lineRule="auto"/>
        <w:jc w:val="both"/>
      </w:pPr>
      <w:r w:rsidRPr="005F04DB">
        <w:t>Mia's social worker must utilise a strengths-based, person-centred approach to assist her make decisions, find resources, address family issues, and advocate for changes. Working with occupational, speech, and language therapists, housing police, and activists is crucial. When the SCW observes freedom and the law, they can help Mia gain confidence, skills, and support to live independently.</w:t>
      </w:r>
    </w:p>
    <w:p w14:paraId="4DE6ED32" w14:textId="77777777" w:rsidR="009C2CCF" w:rsidRDefault="009C2CCF" w:rsidP="00A1138A">
      <w:pPr>
        <w:spacing w:line="360" w:lineRule="auto"/>
        <w:jc w:val="both"/>
      </w:pPr>
    </w:p>
    <w:p w14:paraId="71459F79" w14:textId="02518266" w:rsidR="009C2CCF" w:rsidRDefault="009C2CCF" w:rsidP="00A1138A">
      <w:pPr>
        <w:spacing w:line="360" w:lineRule="auto"/>
        <w:jc w:val="both"/>
      </w:pPr>
      <w:r>
        <w:t>REFERENCES:</w:t>
      </w:r>
    </w:p>
    <w:p w14:paraId="399A0BA0" w14:textId="77777777" w:rsidR="009C2CCF" w:rsidRPr="009C2CCF" w:rsidRDefault="009C2CCF" w:rsidP="009C2CCF">
      <w:pPr>
        <w:numPr>
          <w:ilvl w:val="0"/>
          <w:numId w:val="16"/>
        </w:numPr>
        <w:spacing w:line="360" w:lineRule="auto"/>
        <w:jc w:val="both"/>
      </w:pPr>
      <w:r w:rsidRPr="009C2CCF">
        <w:t>Aberdeen University (2024) </w:t>
      </w:r>
      <w:r w:rsidRPr="009C2CCF">
        <w:rPr>
          <w:i/>
          <w:iCs/>
        </w:rPr>
        <w:t>More breast cancers detected in first evaluation of AI tool Mia</w:t>
      </w:r>
      <w:r w:rsidRPr="009C2CCF">
        <w:t>. Available at: </w:t>
      </w:r>
      <w:hyperlink r:id="rId9" w:tgtFrame="_blank" w:history="1">
        <w:r w:rsidRPr="009C2CCF">
          <w:rPr>
            <w:rStyle w:val="Hyperlink"/>
            <w:b/>
            <w:bCs/>
          </w:rPr>
          <w:t>https://www.abdn.ac.uk/news/22964/</w:t>
        </w:r>
      </w:hyperlink>
      <w:r w:rsidRPr="009C2CCF">
        <w:t> (Accessed: 17 January 2026).​</w:t>
      </w:r>
    </w:p>
    <w:p w14:paraId="65BCCC5E" w14:textId="77777777" w:rsidR="009C2CCF" w:rsidRPr="009C2CCF" w:rsidRDefault="009C2CCF" w:rsidP="009C2CCF">
      <w:pPr>
        <w:numPr>
          <w:ilvl w:val="0"/>
          <w:numId w:val="16"/>
        </w:numPr>
        <w:spacing w:line="360" w:lineRule="auto"/>
        <w:jc w:val="both"/>
      </w:pPr>
      <w:r w:rsidRPr="009C2CCF">
        <w:t>Berry Street (2024) </w:t>
      </w:r>
      <w:r w:rsidRPr="009C2CCF">
        <w:rPr>
          <w:i/>
          <w:iCs/>
        </w:rPr>
        <w:t>Therapeutic Life Story Work helps Mia heal from childhood wounds</w:t>
      </w:r>
      <w:r w:rsidRPr="009C2CCF">
        <w:t>. Available at: </w:t>
      </w:r>
      <w:hyperlink r:id="rId10" w:tgtFrame="_blank" w:history="1">
        <w:r w:rsidRPr="009C2CCF">
          <w:rPr>
            <w:rStyle w:val="Hyperlink"/>
            <w:b/>
            <w:bCs/>
          </w:rPr>
          <w:t>https://www.berrystreet.org.au/news/therapeutic-life-story-work-helps-mia-heal-from-childhood-wounds/</w:t>
        </w:r>
      </w:hyperlink>
      <w:r w:rsidRPr="009C2CCF">
        <w:t> (Accessed: 17 January 2026).​</w:t>
      </w:r>
    </w:p>
    <w:p w14:paraId="16F92AC9" w14:textId="77777777" w:rsidR="009C2CCF" w:rsidRPr="009C2CCF" w:rsidRDefault="009C2CCF" w:rsidP="009C2CCF">
      <w:pPr>
        <w:numPr>
          <w:ilvl w:val="0"/>
          <w:numId w:val="16"/>
        </w:numPr>
        <w:spacing w:line="360" w:lineRule="auto"/>
        <w:jc w:val="both"/>
      </w:pPr>
      <w:r w:rsidRPr="009C2CCF">
        <w:t>Coeliac UK (2025) </w:t>
      </w:r>
      <w:r w:rsidRPr="009C2CCF">
        <w:rPr>
          <w:i/>
          <w:iCs/>
        </w:rPr>
        <w:t>Mia's story - Coeliac disease</w:t>
      </w:r>
      <w:r w:rsidRPr="009C2CCF">
        <w:t>. Available at: </w:t>
      </w:r>
      <w:hyperlink r:id="rId11" w:tgtFrame="_blank" w:history="1">
        <w:r w:rsidRPr="009C2CCF">
          <w:rPr>
            <w:rStyle w:val="Hyperlink"/>
            <w:b/>
            <w:bCs/>
          </w:rPr>
          <w:t>https://gutscharity.org.uk/awareness/personal-stories/mias-story-coeliac-disease/</w:t>
        </w:r>
      </w:hyperlink>
      <w:r w:rsidRPr="009C2CCF">
        <w:t> (Accessed: 17 January 2026).​</w:t>
      </w:r>
    </w:p>
    <w:p w14:paraId="6FEB256D" w14:textId="77777777" w:rsidR="009C2CCF" w:rsidRPr="009C2CCF" w:rsidRDefault="009C2CCF" w:rsidP="009C2CCF">
      <w:pPr>
        <w:numPr>
          <w:ilvl w:val="0"/>
          <w:numId w:val="16"/>
        </w:numPr>
        <w:spacing w:line="360" w:lineRule="auto"/>
        <w:jc w:val="both"/>
      </w:pPr>
      <w:r w:rsidRPr="009C2CCF">
        <w:lastRenderedPageBreak/>
        <w:t>CourseSidekick (2024) </w:t>
      </w:r>
      <w:r w:rsidRPr="009C2CCF">
        <w:rPr>
          <w:i/>
          <w:iCs/>
        </w:rPr>
        <w:t>Case Study Response for Mia: Implications of personal history on professional social work practice</w:t>
      </w:r>
      <w:r w:rsidRPr="009C2CCF">
        <w:t>. Available at: </w:t>
      </w:r>
      <w:hyperlink r:id="rId12" w:tgtFrame="_blank" w:history="1">
        <w:r w:rsidRPr="009C2CCF">
          <w:rPr>
            <w:rStyle w:val="Hyperlink"/>
            <w:b/>
            <w:bCs/>
          </w:rPr>
          <w:t>https://www.coursesidekick.com/sociology/23159122</w:t>
        </w:r>
      </w:hyperlink>
      <w:r w:rsidRPr="009C2CCF">
        <w:t> (Accessed: 17 January 2026).​</w:t>
      </w:r>
    </w:p>
    <w:p w14:paraId="2B07C095" w14:textId="77777777" w:rsidR="009C2CCF" w:rsidRPr="009C2CCF" w:rsidRDefault="009C2CCF" w:rsidP="009C2CCF">
      <w:pPr>
        <w:numPr>
          <w:ilvl w:val="0"/>
          <w:numId w:val="16"/>
        </w:numPr>
        <w:spacing w:line="360" w:lineRule="auto"/>
        <w:jc w:val="both"/>
      </w:pPr>
      <w:r w:rsidRPr="009C2CCF">
        <w:t>Daniels, K. et al. (2025) </w:t>
      </w:r>
      <w:r w:rsidRPr="009C2CCF">
        <w:rPr>
          <w:i/>
          <w:iCs/>
        </w:rPr>
        <w:t>Exploring the Feasibility of a 5-Week mHealth Intervention to Promote Physical Activity Among Inactive Older Adults: Mixed Methods Feasibility Study</w:t>
      </w:r>
      <w:r w:rsidRPr="009C2CCF">
        <w:t>, JMIR Aging, 10(1), p. e63348. Available at: </w:t>
      </w:r>
      <w:hyperlink r:id="rId13" w:tgtFrame="_blank" w:history="1">
        <w:r w:rsidRPr="009C2CCF">
          <w:rPr>
            <w:rStyle w:val="Hyperlink"/>
            <w:b/>
            <w:bCs/>
          </w:rPr>
          <w:t>https://aging.jmir.org/2025/1/e63348/</w:t>
        </w:r>
      </w:hyperlink>
      <w:r w:rsidRPr="009C2CCF">
        <w:t> (Accessed: 17 January 2026).</w:t>
      </w:r>
    </w:p>
    <w:p w14:paraId="6373E2E0" w14:textId="77777777" w:rsidR="009C2CCF" w:rsidRPr="009C2CCF" w:rsidRDefault="009C2CCF" w:rsidP="009C2CCF">
      <w:pPr>
        <w:numPr>
          <w:ilvl w:val="0"/>
          <w:numId w:val="16"/>
        </w:numPr>
        <w:spacing w:line="360" w:lineRule="auto"/>
        <w:jc w:val="both"/>
      </w:pPr>
      <w:r w:rsidRPr="009C2CCF">
        <w:t>Denecke, K. et al. (2024) </w:t>
      </w:r>
      <w:r w:rsidRPr="009C2CCF">
        <w:rPr>
          <w:i/>
          <w:iCs/>
        </w:rPr>
        <w:t>Person-based design and evaluation of MIA, a digital medical intervention assistant</w:t>
      </w:r>
      <w:r w:rsidRPr="009C2CCF">
        <w:t>, Frontiers in Digital Health. Available at: </w:t>
      </w:r>
      <w:hyperlink r:id="rId14" w:tgtFrame="_blank" w:history="1">
        <w:r w:rsidRPr="009C2CCF">
          <w:rPr>
            <w:rStyle w:val="Hyperlink"/>
            <w:b/>
            <w:bCs/>
          </w:rPr>
          <w:t>https://pmc.ncbi.nlm.nih.gov/articles/PMC11363708/</w:t>
        </w:r>
      </w:hyperlink>
      <w:r w:rsidRPr="009C2CCF">
        <w:t> (Accessed: 17 January 2026).​</w:t>
      </w:r>
    </w:p>
    <w:p w14:paraId="6FD3A7E7" w14:textId="77777777" w:rsidR="009C2CCF" w:rsidRPr="009C2CCF" w:rsidRDefault="009C2CCF" w:rsidP="009C2CCF">
      <w:pPr>
        <w:numPr>
          <w:ilvl w:val="0"/>
          <w:numId w:val="16"/>
        </w:numPr>
        <w:spacing w:line="360" w:lineRule="auto"/>
        <w:jc w:val="both"/>
      </w:pPr>
      <w:r w:rsidRPr="009C2CCF">
        <w:t>Desklib (2023) </w:t>
      </w:r>
      <w:r w:rsidRPr="009C2CCF">
        <w:rPr>
          <w:i/>
          <w:iCs/>
        </w:rPr>
        <w:t>Child and Adolescent Health: Mia's Case Study Analysis</w:t>
      </w:r>
      <w:r w:rsidRPr="009C2CCF">
        <w:t>. Available at: </w:t>
      </w:r>
      <w:hyperlink r:id="rId15" w:tgtFrame="_blank" w:history="1">
        <w:r w:rsidRPr="009C2CCF">
          <w:rPr>
            <w:rStyle w:val="Hyperlink"/>
            <w:b/>
            <w:bCs/>
          </w:rPr>
          <w:t>https://desklib.com/study-documents/child-abuse-mia-case-study/</w:t>
        </w:r>
      </w:hyperlink>
      <w:r w:rsidRPr="009C2CCF">
        <w:t> (Accessed: 17 January 2026).​</w:t>
      </w:r>
    </w:p>
    <w:p w14:paraId="25DD44C7" w14:textId="77777777" w:rsidR="009C2CCF" w:rsidRPr="009C2CCF" w:rsidRDefault="009C2CCF" w:rsidP="009C2CCF">
      <w:pPr>
        <w:numPr>
          <w:ilvl w:val="0"/>
          <w:numId w:val="16"/>
        </w:numPr>
        <w:spacing w:line="360" w:lineRule="auto"/>
        <w:jc w:val="both"/>
      </w:pPr>
      <w:r w:rsidRPr="009C2CCF">
        <w:t>Lakhanpaul, M. et al. (2014) </w:t>
      </w:r>
      <w:r w:rsidRPr="009C2CCF">
        <w:rPr>
          <w:i/>
          <w:iCs/>
        </w:rPr>
        <w:t>The use of a collaborative structured methodology for the development of a multifaceted intervention programme for the management of asthma (MIA), tailored to the needs of children and families of South Asian origin</w:t>
      </w:r>
      <w:r w:rsidRPr="009C2CCF">
        <w:t>, Health Services and Delivery Research, 2(28). Available at: </w:t>
      </w:r>
      <w:hyperlink r:id="rId16" w:tgtFrame="_blank" w:history="1">
        <w:r w:rsidRPr="009C2CCF">
          <w:rPr>
            <w:rStyle w:val="Hyperlink"/>
            <w:b/>
            <w:bCs/>
          </w:rPr>
          <w:t>https://www.journalslibrary.nihr.ac.uk/hsdr/HSDR02280</w:t>
        </w:r>
      </w:hyperlink>
      <w:r w:rsidRPr="009C2CCF">
        <w:t> (Accessed: 17 January 2026).​</w:t>
      </w:r>
    </w:p>
    <w:p w14:paraId="34A44383" w14:textId="77777777" w:rsidR="009C2CCF" w:rsidRPr="009C2CCF" w:rsidRDefault="009C2CCF" w:rsidP="009C2CCF">
      <w:pPr>
        <w:numPr>
          <w:ilvl w:val="0"/>
          <w:numId w:val="16"/>
        </w:numPr>
        <w:spacing w:line="360" w:lineRule="auto"/>
        <w:jc w:val="both"/>
      </w:pPr>
      <w:r w:rsidRPr="009C2CCF">
        <w:t>Lakhanpaul, M. et al. (2020) </w:t>
      </w:r>
      <w:r w:rsidRPr="009C2CCF">
        <w:rPr>
          <w:i/>
          <w:iCs/>
        </w:rPr>
        <w:t>A structured collaborative approach to intervention design using a modified intervention mapping approach: a case study using the Management and Interventions for Asthma (MIA) project</w:t>
      </w:r>
      <w:r w:rsidRPr="009C2CCF">
        <w:t>, Pilot and Feasibility Studies, 6(1), p. 169. Available at: </w:t>
      </w:r>
      <w:hyperlink r:id="rId17" w:tgtFrame="_blank" w:history="1">
        <w:r w:rsidRPr="009C2CCF">
          <w:rPr>
            <w:rStyle w:val="Hyperlink"/>
            <w:b/>
            <w:bCs/>
          </w:rPr>
          <w:t>https://pmc.ncbi.nlm.nih.gov/articles/PMC7607819/</w:t>
        </w:r>
      </w:hyperlink>
      <w:r w:rsidRPr="009C2CCF">
        <w:t> (Accessed: 17 January 2026).​</w:t>
      </w:r>
    </w:p>
    <w:p w14:paraId="1CBEBB6E" w14:textId="77777777" w:rsidR="009C2CCF" w:rsidRPr="009C2CCF" w:rsidRDefault="009C2CCF" w:rsidP="009C2CCF">
      <w:pPr>
        <w:numPr>
          <w:ilvl w:val="0"/>
          <w:numId w:val="16"/>
        </w:numPr>
        <w:spacing w:line="360" w:lineRule="auto"/>
        <w:jc w:val="both"/>
      </w:pPr>
      <w:r w:rsidRPr="009C2CCF">
        <w:t>Lewisham Safeguarding Adults Board (2021) </w:t>
      </w:r>
      <w:r w:rsidRPr="009C2CCF">
        <w:rPr>
          <w:i/>
          <w:iCs/>
        </w:rPr>
        <w:t>Safeguarding Adults Review for Mia</w:t>
      </w:r>
      <w:r w:rsidRPr="009C2CCF">
        <w:t xml:space="preserve">. Available </w:t>
      </w:r>
      <w:r w:rsidRPr="009C2CCF">
        <w:lastRenderedPageBreak/>
        <w:t>at: </w:t>
      </w:r>
      <w:hyperlink r:id="rId18" w:tgtFrame="_blank" w:history="1">
        <w:r w:rsidRPr="009C2CCF">
          <w:rPr>
            <w:rStyle w:val="Hyperlink"/>
            <w:b/>
            <w:bCs/>
          </w:rPr>
          <w:t>https://nationalnetwork.org.uk/2021/Lewisham_Safeguarding_Adults_Board_Safeguarding_Adults_Review_for_Mia.pdf</w:t>
        </w:r>
      </w:hyperlink>
      <w:r w:rsidRPr="009C2CCF">
        <w:t> (Accessed: 17 January 2026).​</w:t>
      </w:r>
    </w:p>
    <w:p w14:paraId="5C291F56" w14:textId="77777777" w:rsidR="009C2CCF" w:rsidRPr="009C2CCF" w:rsidRDefault="009C2CCF" w:rsidP="009C2CCF">
      <w:pPr>
        <w:numPr>
          <w:ilvl w:val="0"/>
          <w:numId w:val="16"/>
        </w:numPr>
        <w:spacing w:line="360" w:lineRule="auto"/>
        <w:jc w:val="both"/>
      </w:pPr>
      <w:r w:rsidRPr="009C2CCF">
        <w:t>Long, T.T. (2025) </w:t>
      </w:r>
      <w:r w:rsidRPr="009C2CCF">
        <w:rPr>
          <w:i/>
          <w:iCs/>
        </w:rPr>
        <w:t>Case Studies in Clinical Medicine: Practical Approaches for Modern Practice</w:t>
      </w:r>
      <w:r w:rsidRPr="009C2CCF">
        <w:t>. Amazon Digital Services LLC - KDP. Available at: </w:t>
      </w:r>
      <w:hyperlink r:id="rId19" w:tgtFrame="_blank" w:history="1">
        <w:r w:rsidRPr="009C2CCF">
          <w:rPr>
            <w:rStyle w:val="Hyperlink"/>
            <w:b/>
            <w:bCs/>
          </w:rPr>
          <w:t>https://books.google.com/books/about/Case_Studies_in_Clinical_Medicine.html?id=DL2T0QEACAAJ</w:t>
        </w:r>
      </w:hyperlink>
      <w:r w:rsidRPr="009C2CCF">
        <w:t> (Accessed: 17 January 2026).​</w:t>
      </w:r>
    </w:p>
    <w:p w14:paraId="30A3FECF" w14:textId="77777777" w:rsidR="009C2CCF" w:rsidRPr="009C2CCF" w:rsidRDefault="009C2CCF" w:rsidP="009C2CCF">
      <w:pPr>
        <w:numPr>
          <w:ilvl w:val="0"/>
          <w:numId w:val="16"/>
        </w:numPr>
        <w:spacing w:line="360" w:lineRule="auto"/>
        <w:jc w:val="both"/>
      </w:pPr>
      <w:r w:rsidRPr="009C2CCF">
        <w:t>McConnell, C.R. (2025) </w:t>
      </w:r>
      <w:r w:rsidRPr="009C2CCF">
        <w:rPr>
          <w:i/>
          <w:iCs/>
        </w:rPr>
        <w:t>Case Studies in Health Care Supervision</w:t>
      </w:r>
      <w:r w:rsidRPr="009C2CCF">
        <w:t>. Available at: </w:t>
      </w:r>
      <w:hyperlink r:id="rId20" w:tgtFrame="_blank" w:history="1">
        <w:r w:rsidRPr="009C2CCF">
          <w:rPr>
            <w:rStyle w:val="Hyperlink"/>
            <w:b/>
            <w:bCs/>
          </w:rPr>
          <w:t>https://bookauthority.org/books/best-selling-health-case-books</w:t>
        </w:r>
      </w:hyperlink>
      <w:r w:rsidRPr="009C2CCF">
        <w:t> (Accessed: 17 January 2026).​</w:t>
      </w:r>
    </w:p>
    <w:p w14:paraId="1E731980" w14:textId="77777777" w:rsidR="009C2CCF" w:rsidRPr="009C2CCF" w:rsidRDefault="009C2CCF" w:rsidP="009C2CCF">
      <w:pPr>
        <w:numPr>
          <w:ilvl w:val="0"/>
          <w:numId w:val="16"/>
        </w:numPr>
        <w:spacing w:line="360" w:lineRule="auto"/>
        <w:jc w:val="both"/>
      </w:pPr>
      <w:r w:rsidRPr="009C2CCF">
        <w:t>MIAA NHS (2021) </w:t>
      </w:r>
      <w:r w:rsidRPr="009C2CCF">
        <w:rPr>
          <w:i/>
          <w:iCs/>
        </w:rPr>
        <w:t>Continuing Healthcare Case Study</w:t>
      </w:r>
      <w:r w:rsidRPr="009C2CCF">
        <w:t>. Available at: </w:t>
      </w:r>
      <w:hyperlink r:id="rId21" w:tgtFrame="_blank" w:history="1">
        <w:r w:rsidRPr="009C2CCF">
          <w:rPr>
            <w:rStyle w:val="Hyperlink"/>
            <w:b/>
            <w:bCs/>
          </w:rPr>
          <w:t>https://www.miaa.nhs.uk/services/solutions/continuing-healthcare-case-study/</w:t>
        </w:r>
      </w:hyperlink>
      <w:r w:rsidRPr="009C2CCF">
        <w:t> (Accessed: 17 January 2026).​</w:t>
      </w:r>
    </w:p>
    <w:p w14:paraId="40A61639" w14:textId="77777777" w:rsidR="009C2CCF" w:rsidRPr="009C2CCF" w:rsidRDefault="009C2CCF" w:rsidP="009C2CCF">
      <w:pPr>
        <w:numPr>
          <w:ilvl w:val="0"/>
          <w:numId w:val="16"/>
        </w:numPr>
        <w:spacing w:line="360" w:lineRule="auto"/>
        <w:jc w:val="both"/>
      </w:pPr>
      <w:r w:rsidRPr="009C2CCF">
        <w:t>MIAA NHS (n.d.) </w:t>
      </w:r>
      <w:r w:rsidRPr="009C2CCF">
        <w:rPr>
          <w:i/>
          <w:iCs/>
        </w:rPr>
        <w:t>Case Studies - Liverpool</w:t>
      </w:r>
      <w:r w:rsidRPr="009C2CCF">
        <w:t>. Available at: </w:t>
      </w:r>
      <w:hyperlink r:id="rId22" w:tgtFrame="_blank" w:history="1">
        <w:r w:rsidRPr="009C2CCF">
          <w:rPr>
            <w:rStyle w:val="Hyperlink"/>
            <w:b/>
            <w:bCs/>
          </w:rPr>
          <w:t>https://www.miaa.nhs.uk/news-publications/case-studies/</w:t>
        </w:r>
      </w:hyperlink>
      <w:r w:rsidRPr="009C2CCF">
        <w:t> (Accessed: 17 January 2026).​</w:t>
      </w:r>
    </w:p>
    <w:p w14:paraId="3EAF5090" w14:textId="77777777" w:rsidR="009C2CCF" w:rsidRPr="009C2CCF" w:rsidRDefault="009C2CCF" w:rsidP="009C2CCF">
      <w:pPr>
        <w:numPr>
          <w:ilvl w:val="0"/>
          <w:numId w:val="16"/>
        </w:numPr>
        <w:spacing w:line="360" w:lineRule="auto"/>
        <w:jc w:val="both"/>
      </w:pPr>
      <w:r w:rsidRPr="009C2CCF">
        <w:t>National Network (2025) </w:t>
      </w:r>
      <w:r w:rsidRPr="009C2CCF">
        <w:rPr>
          <w:i/>
          <w:iCs/>
        </w:rPr>
        <w:t>Case Study 1: Mia's Encounter with EMS, Hospital, and Behavioral</w:t>
      </w:r>
      <w:r w:rsidRPr="009C2CCF">
        <w:t>. Available at: </w:t>
      </w:r>
      <w:hyperlink r:id="rId23" w:tgtFrame="_blank" w:history="1">
        <w:r w:rsidRPr="009C2CCF">
          <w:rPr>
            <w:rStyle w:val="Hyperlink"/>
            <w:b/>
            <w:bCs/>
          </w:rPr>
          <w:t>https://www.ncacc.org/wp-content/uploads/2025/01/TICP-Activity-3-Journey-through-the-Service-System_01152025.pdf</w:t>
        </w:r>
      </w:hyperlink>
      <w:r w:rsidRPr="009C2CCF">
        <w:t> (Accessed: 17 January 2026).​</w:t>
      </w:r>
    </w:p>
    <w:p w14:paraId="66B28591" w14:textId="77777777" w:rsidR="009C2CCF" w:rsidRPr="009C2CCF" w:rsidRDefault="009C2CCF" w:rsidP="009C2CCF">
      <w:pPr>
        <w:numPr>
          <w:ilvl w:val="0"/>
          <w:numId w:val="16"/>
        </w:numPr>
        <w:spacing w:line="360" w:lineRule="auto"/>
        <w:jc w:val="both"/>
      </w:pPr>
      <w:r w:rsidRPr="009C2CCF">
        <w:t>NSPCC Learning (2026) </w:t>
      </w:r>
      <w:r w:rsidRPr="009C2CCF">
        <w:rPr>
          <w:i/>
          <w:iCs/>
        </w:rPr>
        <w:t>Recently published case reviews</w:t>
      </w:r>
      <w:r w:rsidRPr="009C2CCF">
        <w:t>. Available at: </w:t>
      </w:r>
      <w:hyperlink r:id="rId24" w:tgtFrame="_blank" w:history="1">
        <w:r w:rsidRPr="009C2CCF">
          <w:rPr>
            <w:rStyle w:val="Hyperlink"/>
            <w:b/>
            <w:bCs/>
          </w:rPr>
          <w:t>https://learning.nspcc.org.uk/case-reviews/recently-published-case-reviews</w:t>
        </w:r>
      </w:hyperlink>
      <w:r w:rsidRPr="009C2CCF">
        <w:t> (Accessed: 17 January 2026).​</w:t>
      </w:r>
    </w:p>
    <w:p w14:paraId="69BB0309" w14:textId="77777777" w:rsidR="009C2CCF" w:rsidRPr="009C2CCF" w:rsidRDefault="009C2CCF" w:rsidP="009C2CCF">
      <w:pPr>
        <w:numPr>
          <w:ilvl w:val="0"/>
          <w:numId w:val="16"/>
        </w:numPr>
        <w:spacing w:line="360" w:lineRule="auto"/>
        <w:jc w:val="both"/>
      </w:pPr>
      <w:r w:rsidRPr="009C2CCF">
        <w:t>Rossi, P.A. (2025) </w:t>
      </w:r>
      <w:r w:rsidRPr="009C2CCF">
        <w:rPr>
          <w:i/>
          <w:iCs/>
        </w:rPr>
        <w:t>Case Management in Health Care: A Practical Guide</w:t>
      </w:r>
      <w:r w:rsidRPr="009C2CCF">
        <w:t>. Available at: </w:t>
      </w:r>
      <w:hyperlink r:id="rId25" w:tgtFrame="_blank" w:history="1">
        <w:r w:rsidRPr="009C2CCF">
          <w:rPr>
            <w:rStyle w:val="Hyperlink"/>
            <w:b/>
            <w:bCs/>
          </w:rPr>
          <w:t>https://bookauthority.org/books/best-selling-health-case-books</w:t>
        </w:r>
      </w:hyperlink>
      <w:r w:rsidRPr="009C2CCF">
        <w:t> (Accessed: 17 January 2026).​</w:t>
      </w:r>
    </w:p>
    <w:p w14:paraId="467057AC" w14:textId="77777777" w:rsidR="009C2CCF" w:rsidRPr="009C2CCF" w:rsidRDefault="009C2CCF" w:rsidP="009C2CCF">
      <w:pPr>
        <w:numPr>
          <w:ilvl w:val="0"/>
          <w:numId w:val="16"/>
        </w:numPr>
        <w:spacing w:line="360" w:lineRule="auto"/>
        <w:jc w:val="both"/>
      </w:pPr>
      <w:r w:rsidRPr="009C2CCF">
        <w:lastRenderedPageBreak/>
        <w:t>Witherslack Group (2024) </w:t>
      </w:r>
      <w:r w:rsidRPr="009C2CCF">
        <w:rPr>
          <w:i/>
          <w:iCs/>
        </w:rPr>
        <w:t>Mia's Story</w:t>
      </w:r>
      <w:r w:rsidRPr="009C2CCF">
        <w:t>. Available at: </w:t>
      </w:r>
      <w:hyperlink r:id="rId26" w:tgtFrame="_blank" w:history="1">
        <w:r w:rsidRPr="009C2CCF">
          <w:rPr>
            <w:rStyle w:val="Hyperlink"/>
            <w:b/>
            <w:bCs/>
          </w:rPr>
          <w:t>https://www.witherslackgroup.co.uk/who-we-are/our-impact/case-studies/mias-story/</w:t>
        </w:r>
      </w:hyperlink>
      <w:r w:rsidRPr="009C2CCF">
        <w:t> (Accessed: 17 January 2026).​</w:t>
      </w:r>
    </w:p>
    <w:p w14:paraId="5EE02E6F" w14:textId="77777777" w:rsidR="009C2CCF" w:rsidRPr="009C2CCF" w:rsidRDefault="009C2CCF" w:rsidP="009C2CCF">
      <w:pPr>
        <w:numPr>
          <w:ilvl w:val="0"/>
          <w:numId w:val="16"/>
        </w:numPr>
        <w:spacing w:line="360" w:lineRule="auto"/>
        <w:jc w:val="both"/>
      </w:pPr>
      <w:r w:rsidRPr="009C2CCF">
        <w:t>Yin, R.K. (2014) </w:t>
      </w:r>
      <w:r w:rsidRPr="009C2CCF">
        <w:rPr>
          <w:i/>
          <w:iCs/>
        </w:rPr>
        <w:t>The MIA study: a community-based, participatory study</w:t>
      </w:r>
      <w:r w:rsidRPr="009C2CCF">
        <w:t>, BMJ Open, 4(12), p. e006298. Available at: </w:t>
      </w:r>
      <w:hyperlink r:id="rId27" w:tgtFrame="_blank" w:history="1">
        <w:r w:rsidRPr="009C2CCF">
          <w:rPr>
            <w:rStyle w:val="Hyperlink"/>
            <w:b/>
            <w:bCs/>
          </w:rPr>
          <w:t>https://pubmed.ncbi.nlm.nih.gov/25642522/</w:t>
        </w:r>
      </w:hyperlink>
      <w:r w:rsidRPr="009C2CCF">
        <w:t> (Accessed: 17 January 2026).​</w:t>
      </w:r>
    </w:p>
    <w:p w14:paraId="17E959E1" w14:textId="77777777" w:rsidR="009C2CCF" w:rsidRDefault="009C2CCF" w:rsidP="00A1138A">
      <w:pPr>
        <w:spacing w:line="360" w:lineRule="auto"/>
        <w:jc w:val="both"/>
      </w:pPr>
    </w:p>
    <w:p w14:paraId="07DAB158" w14:textId="77777777" w:rsidR="009C2CCF" w:rsidRDefault="009C2CCF" w:rsidP="00A1138A">
      <w:pPr>
        <w:spacing w:line="360" w:lineRule="auto"/>
        <w:jc w:val="both"/>
      </w:pPr>
    </w:p>
    <w:p w14:paraId="77CA8BE7" w14:textId="77777777" w:rsidR="009C2CCF" w:rsidRDefault="009C2CCF" w:rsidP="00A1138A">
      <w:pPr>
        <w:spacing w:line="360" w:lineRule="auto"/>
        <w:jc w:val="both"/>
      </w:pPr>
    </w:p>
    <w:p w14:paraId="5A1BAD20" w14:textId="77777777" w:rsidR="009C2CCF" w:rsidRPr="00A1138A" w:rsidRDefault="009C2CCF" w:rsidP="00A1138A">
      <w:pPr>
        <w:spacing w:line="360" w:lineRule="auto"/>
        <w:jc w:val="both"/>
      </w:pPr>
    </w:p>
    <w:sectPr w:rsidR="009C2CCF" w:rsidRPr="00A1138A">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FE9B8" w14:textId="77777777" w:rsidR="00914DC2" w:rsidRDefault="00914DC2">
      <w:pPr>
        <w:spacing w:after="0"/>
      </w:pPr>
      <w:r>
        <w:separator/>
      </w:r>
    </w:p>
  </w:endnote>
  <w:endnote w:type="continuationSeparator" w:id="0">
    <w:p w14:paraId="2928CA4C" w14:textId="77777777" w:rsidR="00914DC2" w:rsidRDefault="00914DC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DF1EC" w14:textId="77777777" w:rsidR="00914DC2" w:rsidRDefault="00914DC2">
      <w:r>
        <w:separator/>
      </w:r>
    </w:p>
  </w:footnote>
  <w:footnote w:type="continuationSeparator" w:id="0">
    <w:p w14:paraId="037DCEF2" w14:textId="77777777" w:rsidR="00914DC2" w:rsidRDefault="00914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DD42A8F8"/>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4328CCC0"/>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A99411"/>
    <w:multiLevelType w:val="multilevel"/>
    <w:tmpl w:val="43847D74"/>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3" w15:restartNumberingAfterBreak="0">
    <w:nsid w:val="00AB5279"/>
    <w:multiLevelType w:val="multilevel"/>
    <w:tmpl w:val="7E702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24678E2"/>
    <w:multiLevelType w:val="multilevel"/>
    <w:tmpl w:val="7228F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37261CA"/>
    <w:multiLevelType w:val="multilevel"/>
    <w:tmpl w:val="C0F2A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3E64C95"/>
    <w:multiLevelType w:val="multilevel"/>
    <w:tmpl w:val="69DA437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6E52D4D"/>
    <w:multiLevelType w:val="multilevel"/>
    <w:tmpl w:val="4B4E5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F631A7"/>
    <w:multiLevelType w:val="multilevel"/>
    <w:tmpl w:val="3F5AE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EE7866"/>
    <w:multiLevelType w:val="multilevel"/>
    <w:tmpl w:val="6A103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1E6A5D"/>
    <w:multiLevelType w:val="multilevel"/>
    <w:tmpl w:val="9742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4886052"/>
    <w:multiLevelType w:val="multilevel"/>
    <w:tmpl w:val="FA6A6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9C0C32"/>
    <w:multiLevelType w:val="multilevel"/>
    <w:tmpl w:val="0AC2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5B16C3"/>
    <w:multiLevelType w:val="multilevel"/>
    <w:tmpl w:val="C2527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0E6F98"/>
    <w:multiLevelType w:val="multilevel"/>
    <w:tmpl w:val="E09A2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9939788">
    <w:abstractNumId w:val="0"/>
  </w:num>
  <w:num w:numId="2" w16cid:durableId="26997084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2350428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38337977">
    <w:abstractNumId w:val="1"/>
  </w:num>
  <w:num w:numId="5" w16cid:durableId="463081958">
    <w:abstractNumId w:val="6"/>
  </w:num>
  <w:num w:numId="6" w16cid:durableId="39979533">
    <w:abstractNumId w:val="5"/>
  </w:num>
  <w:num w:numId="7" w16cid:durableId="1944998335">
    <w:abstractNumId w:val="13"/>
  </w:num>
  <w:num w:numId="8" w16cid:durableId="227693207">
    <w:abstractNumId w:val="12"/>
  </w:num>
  <w:num w:numId="9" w16cid:durableId="1236403181">
    <w:abstractNumId w:val="9"/>
  </w:num>
  <w:num w:numId="10" w16cid:durableId="257253322">
    <w:abstractNumId w:val="11"/>
  </w:num>
  <w:num w:numId="11" w16cid:durableId="1295212860">
    <w:abstractNumId w:val="3"/>
  </w:num>
  <w:num w:numId="12" w16cid:durableId="23798759">
    <w:abstractNumId w:val="7"/>
  </w:num>
  <w:num w:numId="13" w16cid:durableId="1132288051">
    <w:abstractNumId w:val="4"/>
  </w:num>
  <w:num w:numId="14" w16cid:durableId="54545840">
    <w:abstractNumId w:val="14"/>
  </w:num>
  <w:num w:numId="15" w16cid:durableId="1093358909">
    <w:abstractNumId w:val="8"/>
  </w:num>
  <w:num w:numId="16" w16cid:durableId="4068777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3CC"/>
    <w:rsid w:val="000868AC"/>
    <w:rsid w:val="000C5040"/>
    <w:rsid w:val="0033231F"/>
    <w:rsid w:val="00407F13"/>
    <w:rsid w:val="0045754D"/>
    <w:rsid w:val="004F31EE"/>
    <w:rsid w:val="005F04DB"/>
    <w:rsid w:val="00634DD9"/>
    <w:rsid w:val="00687326"/>
    <w:rsid w:val="006B1EE8"/>
    <w:rsid w:val="006C7145"/>
    <w:rsid w:val="007A7AF3"/>
    <w:rsid w:val="00802134"/>
    <w:rsid w:val="00910706"/>
    <w:rsid w:val="00914DC2"/>
    <w:rsid w:val="009C2CCF"/>
    <w:rsid w:val="00A1138A"/>
    <w:rsid w:val="00B6017E"/>
    <w:rsid w:val="00E03419"/>
    <w:rsid w:val="00F933CC"/>
  </w:rsids>
  <m:mathPr>
    <m:mathFont m:val="Cambria Math"/>
    <m:brkBin m:val="before"/>
    <m:brkBinSub m:val="--"/>
    <m:smallFrac m:val="0"/>
    <m:dispDef/>
    <m:lMargin m:val="0"/>
    <m:rMargin m:val="0"/>
    <m:defJc m:val="centerGroup"/>
    <m:wrapRight/>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6AC45"/>
  <w15:docId w15:val="{77AD74AA-F00C-AE41-99A0-F589E7440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
    <w:name w:val="Abstract"/>
    <w:basedOn w:val="Normal"/>
    <w:next w:val="BodyText"/>
    <w:qFormat/>
    <w:pPr>
      <w:keepNext/>
      <w:keepLines/>
      <w:spacing w:before="3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NormalWeb">
    <w:name w:val="Normal (Web)"/>
    <w:basedOn w:val="Normal"/>
    <w:uiPriority w:val="99"/>
    <w:unhideWhenUsed/>
    <w:rsid w:val="0045754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45754D"/>
    <w:rPr>
      <w:b/>
      <w:bCs/>
    </w:rPr>
  </w:style>
  <w:style w:type="character" w:styleId="Emphasis">
    <w:name w:val="Emphasis"/>
    <w:basedOn w:val="DefaultParagraphFont"/>
    <w:uiPriority w:val="20"/>
    <w:qFormat/>
    <w:rsid w:val="0045754D"/>
    <w:rPr>
      <w:i/>
      <w:iCs/>
    </w:rPr>
  </w:style>
  <w:style w:type="paragraph" w:styleId="TOC1">
    <w:name w:val="toc 1"/>
    <w:basedOn w:val="Normal"/>
    <w:next w:val="Normal"/>
    <w:autoRedefine/>
    <w:uiPriority w:val="39"/>
    <w:rsid w:val="00A1138A"/>
    <w:pPr>
      <w:spacing w:before="120" w:after="0"/>
    </w:pPr>
    <w:rPr>
      <w:rFonts w:cs="Times New Roman"/>
      <w:b/>
      <w:bCs/>
      <w:i/>
      <w:iCs/>
      <w:szCs w:val="28"/>
    </w:rPr>
  </w:style>
  <w:style w:type="paragraph" w:styleId="TOC2">
    <w:name w:val="toc 2"/>
    <w:basedOn w:val="Normal"/>
    <w:next w:val="Normal"/>
    <w:autoRedefine/>
    <w:uiPriority w:val="39"/>
    <w:rsid w:val="00A1138A"/>
    <w:pPr>
      <w:spacing w:before="120" w:after="0"/>
      <w:ind w:left="240"/>
    </w:pPr>
    <w:rPr>
      <w:rFonts w:cs="Times New Roman"/>
      <w:b/>
      <w:bCs/>
      <w:sz w:val="22"/>
      <w:szCs w:val="26"/>
    </w:rPr>
  </w:style>
  <w:style w:type="paragraph" w:styleId="TOC3">
    <w:name w:val="toc 3"/>
    <w:basedOn w:val="Normal"/>
    <w:next w:val="Normal"/>
    <w:autoRedefine/>
    <w:uiPriority w:val="39"/>
    <w:rsid w:val="00A1138A"/>
    <w:pPr>
      <w:spacing w:after="0"/>
      <w:ind w:left="480"/>
    </w:pPr>
    <w:rPr>
      <w:rFonts w:cs="Times New Roman"/>
      <w:sz w:val="20"/>
    </w:rPr>
  </w:style>
  <w:style w:type="paragraph" w:styleId="TOC4">
    <w:name w:val="toc 4"/>
    <w:basedOn w:val="Normal"/>
    <w:next w:val="Normal"/>
    <w:autoRedefine/>
    <w:rsid w:val="00A1138A"/>
    <w:pPr>
      <w:spacing w:after="0"/>
      <w:ind w:left="720"/>
    </w:pPr>
    <w:rPr>
      <w:rFonts w:cs="Times New Roman"/>
      <w:sz w:val="20"/>
    </w:rPr>
  </w:style>
  <w:style w:type="paragraph" w:styleId="TOC5">
    <w:name w:val="toc 5"/>
    <w:basedOn w:val="Normal"/>
    <w:next w:val="Normal"/>
    <w:autoRedefine/>
    <w:rsid w:val="00A1138A"/>
    <w:pPr>
      <w:spacing w:after="0"/>
      <w:ind w:left="960"/>
    </w:pPr>
    <w:rPr>
      <w:rFonts w:cs="Times New Roman"/>
      <w:sz w:val="20"/>
    </w:rPr>
  </w:style>
  <w:style w:type="paragraph" w:styleId="TOC6">
    <w:name w:val="toc 6"/>
    <w:basedOn w:val="Normal"/>
    <w:next w:val="Normal"/>
    <w:autoRedefine/>
    <w:rsid w:val="00A1138A"/>
    <w:pPr>
      <w:spacing w:after="0"/>
      <w:ind w:left="1200"/>
    </w:pPr>
    <w:rPr>
      <w:rFonts w:cs="Times New Roman"/>
      <w:sz w:val="20"/>
    </w:rPr>
  </w:style>
  <w:style w:type="paragraph" w:styleId="TOC7">
    <w:name w:val="toc 7"/>
    <w:basedOn w:val="Normal"/>
    <w:next w:val="Normal"/>
    <w:autoRedefine/>
    <w:rsid w:val="00A1138A"/>
    <w:pPr>
      <w:spacing w:after="0"/>
      <w:ind w:left="1440"/>
    </w:pPr>
    <w:rPr>
      <w:rFonts w:cs="Times New Roman"/>
      <w:sz w:val="20"/>
    </w:rPr>
  </w:style>
  <w:style w:type="paragraph" w:styleId="TOC8">
    <w:name w:val="toc 8"/>
    <w:basedOn w:val="Normal"/>
    <w:next w:val="Normal"/>
    <w:autoRedefine/>
    <w:rsid w:val="00A1138A"/>
    <w:pPr>
      <w:spacing w:after="0"/>
      <w:ind w:left="1680"/>
    </w:pPr>
    <w:rPr>
      <w:rFonts w:cs="Times New Roman"/>
      <w:sz w:val="20"/>
    </w:rPr>
  </w:style>
  <w:style w:type="paragraph" w:styleId="TOC9">
    <w:name w:val="toc 9"/>
    <w:basedOn w:val="Normal"/>
    <w:next w:val="Normal"/>
    <w:autoRedefine/>
    <w:rsid w:val="00A1138A"/>
    <w:pPr>
      <w:spacing w:after="0"/>
      <w:ind w:left="1920"/>
    </w:pPr>
    <w:rPr>
      <w:rFonts w:cs="Times New Roman"/>
      <w:sz w:val="20"/>
    </w:rPr>
  </w:style>
  <w:style w:type="character" w:styleId="UnresolvedMention">
    <w:name w:val="Unresolved Mention"/>
    <w:basedOn w:val="DefaultParagraphFont"/>
    <w:uiPriority w:val="99"/>
    <w:semiHidden/>
    <w:unhideWhenUsed/>
    <w:rsid w:val="00A113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502745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ging.jmir.org/2025/1/e63348/" TargetMode="External"/><Relationship Id="rId18" Type="http://schemas.openxmlformats.org/officeDocument/2006/relationships/hyperlink" Target="https://nationalnetwork.org.uk/2021/Lewisham_Safeguarding_Adults_Board_Safeguarding_Adults_Review_for_Mia.pdf" TargetMode="External"/><Relationship Id="rId26" Type="http://schemas.openxmlformats.org/officeDocument/2006/relationships/hyperlink" Target="https://www.witherslackgroup.co.uk/who-we-are/our-impact/case-studies/mias-story/" TargetMode="External"/><Relationship Id="rId3" Type="http://schemas.openxmlformats.org/officeDocument/2006/relationships/styles" Target="styles.xml"/><Relationship Id="rId21" Type="http://schemas.openxmlformats.org/officeDocument/2006/relationships/hyperlink" Target="https://www.miaa.nhs.uk/services/solutions/continuing-healthcare-case-study/" TargetMode="External"/><Relationship Id="rId7" Type="http://schemas.openxmlformats.org/officeDocument/2006/relationships/endnotes" Target="endnotes.xml"/><Relationship Id="rId12" Type="http://schemas.openxmlformats.org/officeDocument/2006/relationships/hyperlink" Target="https://www.coursesidekick.com/sociology/23159122" TargetMode="External"/><Relationship Id="rId17" Type="http://schemas.openxmlformats.org/officeDocument/2006/relationships/hyperlink" Target="https://pmc.ncbi.nlm.nih.gov/articles/PMC7607819/" TargetMode="External"/><Relationship Id="rId25" Type="http://schemas.openxmlformats.org/officeDocument/2006/relationships/hyperlink" Target="https://bookauthority.org/books/best-selling-health-case-books" TargetMode="External"/><Relationship Id="rId2" Type="http://schemas.openxmlformats.org/officeDocument/2006/relationships/numbering" Target="numbering.xml"/><Relationship Id="rId16" Type="http://schemas.openxmlformats.org/officeDocument/2006/relationships/hyperlink" Target="https://www.journalslibrary.nihr.ac.uk/hsdr/HSDR02280" TargetMode="External"/><Relationship Id="rId20" Type="http://schemas.openxmlformats.org/officeDocument/2006/relationships/hyperlink" Target="https://bookauthority.org/books/best-selling-health-case-book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utscharity.org.uk/awareness/personal-stories/mias-story-coeliac-disease/" TargetMode="External"/><Relationship Id="rId24" Type="http://schemas.openxmlformats.org/officeDocument/2006/relationships/hyperlink" Target="https://learning.nspcc.org.uk/case-reviews/recently-published-case-reviews" TargetMode="External"/><Relationship Id="rId5" Type="http://schemas.openxmlformats.org/officeDocument/2006/relationships/webSettings" Target="webSettings.xml"/><Relationship Id="rId15" Type="http://schemas.openxmlformats.org/officeDocument/2006/relationships/hyperlink" Target="https://desklib.com/study-documents/child-abuse-mia-case-study/" TargetMode="External"/><Relationship Id="rId23" Type="http://schemas.openxmlformats.org/officeDocument/2006/relationships/hyperlink" Target="https://www.ncacc.org/wp-content/uploads/2025/01/TICP-Activity-3-Journey-through-the-Service-System_01152025.pdf" TargetMode="External"/><Relationship Id="rId28" Type="http://schemas.openxmlformats.org/officeDocument/2006/relationships/fontTable" Target="fontTable.xml"/><Relationship Id="rId10" Type="http://schemas.openxmlformats.org/officeDocument/2006/relationships/hyperlink" Target="https://www.berrystreet.org.au/news/therapeutic-life-story-work-helps-mia-heal-from-childhood-wounds/" TargetMode="External"/><Relationship Id="rId19" Type="http://schemas.openxmlformats.org/officeDocument/2006/relationships/hyperlink" Target="https://books.google.com/books/about/Case_Studies_in_Clinical_Medicine.html?id=DL2T0QEACAAJ" TargetMode="External"/><Relationship Id="rId4" Type="http://schemas.openxmlformats.org/officeDocument/2006/relationships/settings" Target="settings.xml"/><Relationship Id="rId9" Type="http://schemas.openxmlformats.org/officeDocument/2006/relationships/hyperlink" Target="https://www.abdn.ac.uk/news/22964/" TargetMode="External"/><Relationship Id="rId14" Type="http://schemas.openxmlformats.org/officeDocument/2006/relationships/hyperlink" Target="https://pmc.ncbi.nlm.nih.gov/articles/PMC11363708/" TargetMode="External"/><Relationship Id="rId22" Type="http://schemas.openxmlformats.org/officeDocument/2006/relationships/hyperlink" Target="https://www.miaa.nhs.uk/news-publications/case-studies/" TargetMode="External"/><Relationship Id="rId27" Type="http://schemas.openxmlformats.org/officeDocument/2006/relationships/hyperlink" Target="https://pubmed.ncbi.nlm.nih.gov/25642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06EA46-DEA5-884D-B4D3-307B542F798B}">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0BD170-EE2C-B444-B776-179F58159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3407</Words>
  <Characters>22289</Characters>
  <Application>Microsoft Office Word</Application>
  <DocSecurity>0</DocSecurity>
  <Lines>371</Lines>
  <Paragraphs>79</Paragraphs>
  <ScaleCrop>false</ScaleCrop>
  <Company/>
  <LinksUpToDate>false</LinksUpToDate>
  <CharactersWithSpaces>25617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Andrei Bucur</dc:creator>
  <cp:keywords/>
  <cp:lastModifiedBy>Iulian Butica</cp:lastModifiedBy>
  <cp:revision>2</cp:revision>
  <dcterms:created xsi:type="dcterms:W3CDTF">2026-02-15T13:54:00Z</dcterms:created>
  <dcterms:modified xsi:type="dcterms:W3CDTF">2026-02-15T13:54:00Z</dcterms:modified>
</cp:coreProperties>
</file>