
<file path=[Content_Types].xml><?xml version="1.0" encoding="utf-8"?>
<Types xmlns="http://schemas.openxmlformats.org/package/2006/content-types">
  <Default Extension="xml" ContentType="application/xml"/>
  <Default Extension="png" ContentType="image/png"/>
  <Default Extension="rels" ContentType="application/vnd.openxmlformats-package.relationship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footnotes.xml" ContentType="application/vnd.openxmlformats-officedocument.wordprocessingml.foot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dgm="http://schemas.openxmlformats.org/drawingml/2006/diagram">
  <w:body>
    <w:p w14:paraId="00000005">
      <w:r>
        <w:rPr/>
        <w:drawing xmlns:mc="http://schemas.openxmlformats.org/markup-compatibility/2006">
          <wp:inline distT="0" distB="0" distL="0" distR="0">
            <wp:extent cx="2971800" cy="1295400"/>
            <wp:effectExtent l="0" t="0" r="0" b="0"/>
            <wp:docPr id="87616232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76162323" name="Picture 1"/>
                    <pic:cNvPicPr>
                      <a:picLocks noChangeAspect="1" noChangeArrowheads="1"/>
                    </pic:cNvPicPr>
                  </pic:nvPicPr>
                  <pic:blipFill>
                    <a:blip r:embed="rId12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2971800" cy="1295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0000006">
      <w:pPr>
        <w:jc w:val="center"/>
        <w:rPr>
          <w:b/>
          <w:bCs/>
          <w:sz w:val="44"/>
          <w:szCs w:val="40"/>
        </w:rPr>
      </w:pPr>
    </w:p>
    <w:p w14:paraId="00000007">
      <w:pPr>
        <w:jc w:val="center"/>
        <w:rPr>
          <w:b/>
          <w:bCs/>
          <w:sz w:val="44"/>
          <w:szCs w:val="40"/>
        </w:rPr>
      </w:pPr>
    </w:p>
    <w:p w14:paraId="00000008">
      <w:pPr>
        <w:jc w:val="center"/>
        <w:rPr>
          <w:b/>
          <w:bCs/>
          <w:sz w:val="44"/>
          <w:szCs w:val="40"/>
        </w:rPr>
      </w:pPr>
    </w:p>
    <w:p w14:paraId="00000009">
      <w:pPr>
        <w:jc w:val="center"/>
        <w:rPr>
          <w:b/>
          <w:bCs/>
          <w:sz w:val="44"/>
          <w:szCs w:val="40"/>
        </w:rPr>
      </w:pPr>
    </w:p>
    <w:p w14:paraId="0000000A">
      <w:pPr>
        <w:spacing w:before="120" w:after="120" w:line="360" w:lineRule="auto"/>
        <w:jc w:val="center"/>
        <w:rPr>
          <w:b/>
          <w:bCs/>
          <w:sz w:val="28"/>
          <w:szCs w:val="24"/>
        </w:rPr>
      </w:pPr>
      <w:r>
        <w:rPr>
          <w:b/>
          <w:bCs/>
          <w:sz w:val="28"/>
          <w:szCs w:val="24"/>
        </w:rPr>
        <w:t>BMIH6007</w:t>
      </w:r>
      <w:r>
        <w:rPr>
          <w:b/>
          <w:bCs/>
          <w:sz w:val="28"/>
          <w:szCs w:val="24"/>
        </w:rPr>
        <w:t xml:space="preserve"> </w:t>
      </w:r>
      <w:r>
        <w:rPr>
          <w:b/>
          <w:bCs/>
          <w:sz w:val="28"/>
          <w:szCs w:val="24"/>
        </w:rPr>
        <w:t>International Meetings Management</w:t>
      </w:r>
    </w:p>
    <w:p w14:paraId="0000000B">
      <w:pPr>
        <w:spacing w:before="120" w:after="120" w:line="360" w:lineRule="auto"/>
        <w:jc w:val="center"/>
        <w:rPr>
          <w:b/>
          <w:bCs/>
          <w:sz w:val="28"/>
          <w:szCs w:val="24"/>
        </w:rPr>
      </w:pPr>
      <w:r>
        <w:rPr>
          <w:b/>
          <w:bCs/>
          <w:sz w:val="28"/>
          <w:szCs w:val="24"/>
        </w:rPr>
        <w:t>Ass</w:t>
      </w:r>
      <w:r>
        <w:rPr>
          <w:b/>
          <w:bCs/>
          <w:sz w:val="28"/>
          <w:szCs w:val="24"/>
        </w:rPr>
        <w:t>essment 2</w:t>
      </w:r>
      <w:r>
        <w:rPr>
          <w:b/>
          <w:bCs/>
          <w:sz w:val="28"/>
          <w:szCs w:val="24"/>
        </w:rPr>
        <w:t xml:space="preserve">: </w:t>
      </w:r>
      <w:r>
        <w:rPr>
          <w:b/>
          <w:bCs/>
          <w:sz w:val="28"/>
          <w:szCs w:val="24"/>
        </w:rPr>
        <w:t>Planning and Delivering an International Meeting/Event.</w:t>
      </w:r>
    </w:p>
    <w:p w14:paraId="0000000C">
      <w:pPr>
        <w:spacing w:before="120" w:after="120" w:line="360" w:lineRule="auto"/>
        <w:jc w:val="center"/>
        <w:rPr>
          <w:b/>
          <w:bCs/>
          <w:sz w:val="28"/>
          <w:szCs w:val="24"/>
        </w:rPr>
      </w:pPr>
      <w:r>
        <w:rPr>
          <w:b/>
          <w:bCs/>
          <w:sz w:val="28"/>
          <w:szCs w:val="24"/>
        </w:rPr>
        <w:t>Report</w:t>
      </w:r>
    </w:p>
    <w:p w14:paraId="0000000D">
      <w:pPr>
        <w:spacing w:before="120" w:after="120" w:line="360" w:lineRule="auto"/>
        <w:jc w:val="center"/>
        <w:rPr>
          <w:b/>
          <w:bCs/>
          <w:sz w:val="28"/>
          <w:szCs w:val="24"/>
        </w:rPr>
      </w:pPr>
    </w:p>
    <w:p w14:paraId="0000000E">
      <w:pPr>
        <w:spacing w:before="120" w:after="120" w:line="360" w:lineRule="auto"/>
        <w:jc w:val="center"/>
        <w:rPr>
          <w:b/>
          <w:bCs/>
          <w:sz w:val="28"/>
          <w:szCs w:val="24"/>
        </w:rPr>
      </w:pPr>
    </w:p>
    <w:p w14:paraId="0000000F">
      <w:pPr>
        <w:spacing w:before="120" w:after="120" w:line="360" w:lineRule="auto"/>
        <w:jc w:val="center"/>
        <w:rPr>
          <w:b/>
          <w:bCs/>
          <w:sz w:val="28"/>
          <w:szCs w:val="24"/>
        </w:rPr>
      </w:pPr>
    </w:p>
    <w:p w14:paraId="00000010">
      <w:pPr>
        <w:spacing w:before="120" w:after="120" w:line="360" w:lineRule="auto"/>
        <w:jc w:val="center"/>
        <w:rPr>
          <w:b/>
          <w:bCs/>
          <w:sz w:val="28"/>
          <w:szCs w:val="24"/>
        </w:rPr>
      </w:pPr>
      <w:r>
        <w:rPr>
          <w:b/>
          <w:bCs/>
          <w:sz w:val="28"/>
          <w:szCs w:val="24"/>
        </w:rPr>
        <w:t>Lecturer</w:t>
      </w:r>
      <w:r>
        <w:rPr>
          <w:b/>
          <w:bCs/>
          <w:sz w:val="28"/>
          <w:szCs w:val="24"/>
        </w:rPr>
        <w:t xml:space="preserve"> </w:t>
      </w:r>
      <w:r>
        <w:rPr>
          <w:b/>
          <w:bCs/>
          <w:sz w:val="28"/>
          <w:szCs w:val="24"/>
        </w:rPr>
        <w:t>N</w:t>
      </w:r>
      <w:r>
        <w:rPr>
          <w:b/>
          <w:bCs/>
          <w:sz w:val="28"/>
          <w:szCs w:val="24"/>
        </w:rPr>
        <w:t>ame</w:t>
      </w:r>
      <w:r>
        <w:rPr>
          <w:b/>
          <w:bCs/>
          <w:sz w:val="28"/>
          <w:szCs w:val="24"/>
        </w:rPr>
        <w:t>: Philippa Fitzgerald</w:t>
      </w:r>
    </w:p>
    <w:p w14:paraId="00000011">
      <w:pPr>
        <w:spacing w:before="120" w:after="120" w:line="360" w:lineRule="auto"/>
        <w:jc w:val="center"/>
        <w:rPr>
          <w:b/>
          <w:bCs/>
          <w:sz w:val="28"/>
          <w:szCs w:val="24"/>
        </w:rPr>
      </w:pPr>
      <w:r>
        <w:rPr>
          <w:b/>
          <w:bCs/>
          <w:sz w:val="28"/>
          <w:szCs w:val="24"/>
        </w:rPr>
        <w:t>Student Name: Marius Stroe</w:t>
      </w:r>
    </w:p>
    <w:p w14:paraId="00000012">
      <w:pPr>
        <w:spacing w:before="120" w:after="120" w:line="360" w:lineRule="auto"/>
        <w:jc w:val="center"/>
        <w:rPr>
          <w:b/>
          <w:bCs/>
          <w:sz w:val="28"/>
          <w:szCs w:val="24"/>
        </w:rPr>
      </w:pPr>
      <w:r>
        <w:rPr>
          <w:b/>
          <w:bCs/>
          <w:sz w:val="28"/>
          <w:szCs w:val="24"/>
        </w:rPr>
        <w:t xml:space="preserve">Student </w:t>
      </w:r>
      <w:r>
        <w:rPr>
          <w:b/>
          <w:bCs/>
          <w:sz w:val="28"/>
          <w:szCs w:val="24"/>
        </w:rPr>
        <w:t>N</w:t>
      </w:r>
      <w:r>
        <w:rPr>
          <w:b/>
          <w:bCs/>
          <w:sz w:val="28"/>
          <w:szCs w:val="24"/>
        </w:rPr>
        <w:t>umber: 2117199</w:t>
      </w:r>
    </w:p>
    <w:p w14:paraId="00000013">
      <w:pPr>
        <w:spacing w:before="120" w:after="120" w:line="360" w:lineRule="auto"/>
        <w:rPr>
          <w:b/>
          <w:bCs/>
          <w:sz w:val="44"/>
          <w:szCs w:val="40"/>
        </w:rPr>
      </w:pPr>
      <w:r>
        <w:rPr>
          <w:b/>
          <w:bCs/>
          <w:sz w:val="44"/>
          <w:szCs w:val="40"/>
        </w:rPr>
        <w:br w:type="page"/>
      </w:r>
    </w:p>
    <w:p w14:paraId="00000014">
      <w:r>
        <w:t>Table of Contents</w:t>
      </w:r>
    </w:p>
    <w:p w14:paraId="00000015">
      <w:pPr>
        <w:pStyle w:val="Toc1"/>
        <w:tabs>
          <w:tab w:val="right" w:leader="dot" w:pos="9350"/>
        </w:tabs>
        <w:rPr>
          <w:rFonts w:asciiTheme="minorHAnsi" w:eastAsiaTheme="minorEastAsia" w:hAnsiTheme="minorHAnsi"/>
          <w:sz w:val="22"/>
          <w:lang w:val="en-US"/>
        </w:rPr>
      </w:pPr>
      <w:r>
        <w:fldChar w:fldCharType="begin"/>
      </w:r>
      <w:r>
        <w:instrText xml:space="preserve"> TOC \o "1-3" \h \z \u </w:instrText>
      </w:r>
      <w:r>
        <w:fldChar w:fldCharType="separate"/>
      </w:r>
      <w:r>
        <w:fldChar w:fldCharType="begin"/>
      </w:r>
      <w:r>
        <w:instrText xml:space="preserve">HYPERLINK \l "_Toc157595082" </w:instrText>
      </w:r>
      <w:r>
        <w:fldChar w:fldCharType="separate"/>
      </w:r>
      <w:r>
        <w:rPr>
          <w:rStyle w:val="Hyperlink"/>
        </w:rPr>
        <w:t>1. Introduction</w:t>
      </w:r>
      <w:r>
        <w:tab/>
      </w:r>
      <w:r>
        <w:fldChar w:fldCharType="begin"/>
      </w:r>
      <w:r>
        <w:instrText xml:space="preserve"> PAGEREF _Toc157595082 \h </w:instrText>
      </w:r>
      <w:r>
        <w:fldChar w:fldCharType="separate"/>
      </w:r>
      <w:r>
        <w:t>3</w:t>
      </w:r>
      <w:r>
        <w:fldChar w:fldCharType="end"/>
      </w:r>
      <w:r>
        <w:fldChar w:fldCharType="end"/>
      </w:r>
    </w:p>
    <w:p w14:paraId="00000016">
      <w:pPr>
        <w:pStyle w:val="Toc1"/>
        <w:tabs>
          <w:tab w:val="right" w:leader="dot" w:pos="9350"/>
        </w:tabs>
        <w:rPr>
          <w:rFonts w:asciiTheme="minorHAnsi" w:eastAsiaTheme="minorEastAsia" w:hAnsiTheme="minorHAnsi"/>
          <w:sz w:val="22"/>
          <w:lang w:val="en-US"/>
        </w:rPr>
      </w:pPr>
      <w:r>
        <w:fldChar w:fldCharType="begin"/>
      </w:r>
      <w:r>
        <w:instrText xml:space="preserve">HYPERLINK \l "_Toc157595083" </w:instrText>
      </w:r>
      <w:r>
        <w:fldChar w:fldCharType="separate"/>
      </w:r>
      <w:r>
        <w:rPr>
          <w:rStyle w:val="Hyperlink"/>
        </w:rPr>
        <w:t>2. Event Cycle</w:t>
      </w:r>
      <w:r>
        <w:tab/>
      </w:r>
      <w:r>
        <w:fldChar w:fldCharType="begin"/>
      </w:r>
      <w:r>
        <w:instrText xml:space="preserve"> PAGEREF _Toc157595083 \h </w:instrText>
      </w:r>
      <w:r>
        <w:fldChar w:fldCharType="separate"/>
      </w:r>
      <w:r>
        <w:t>4</w:t>
      </w:r>
      <w:r>
        <w:fldChar w:fldCharType="end"/>
      </w:r>
      <w:r>
        <w:fldChar w:fldCharType="end"/>
      </w:r>
    </w:p>
    <w:p w14:paraId="00000017">
      <w:pPr>
        <w:pStyle w:val="Toc1"/>
        <w:tabs>
          <w:tab w:val="right" w:leader="dot" w:pos="9350"/>
        </w:tabs>
        <w:rPr>
          <w:rFonts w:asciiTheme="minorHAnsi" w:eastAsiaTheme="minorEastAsia" w:hAnsiTheme="minorHAnsi"/>
          <w:sz w:val="22"/>
          <w:lang w:val="en-US"/>
        </w:rPr>
      </w:pPr>
      <w:r>
        <w:fldChar w:fldCharType="begin"/>
      </w:r>
      <w:r>
        <w:instrText xml:space="preserve">HYPERLINK \l "_Toc157595084" </w:instrText>
      </w:r>
      <w:r>
        <w:fldChar w:fldCharType="separate"/>
      </w:r>
      <w:r>
        <w:rPr>
          <w:rStyle w:val="Hyperlink"/>
        </w:rPr>
        <w:t>Application to "Gastronomic Grandeur Affair”</w:t>
      </w:r>
      <w:r>
        <w:tab/>
      </w:r>
      <w:r>
        <w:fldChar w:fldCharType="begin"/>
      </w:r>
      <w:r>
        <w:instrText xml:space="preserve"> PAGEREF _Toc157595084 \h </w:instrText>
      </w:r>
      <w:r>
        <w:fldChar w:fldCharType="separate"/>
      </w:r>
      <w:r>
        <w:t>4</w:t>
      </w:r>
      <w:r>
        <w:fldChar w:fldCharType="end"/>
      </w:r>
      <w:r>
        <w:fldChar w:fldCharType="end"/>
      </w:r>
    </w:p>
    <w:p w14:paraId="00000018">
      <w:pPr>
        <w:pStyle w:val="Toc1"/>
        <w:tabs>
          <w:tab w:val="right" w:leader="dot" w:pos="9350"/>
        </w:tabs>
        <w:rPr>
          <w:rFonts w:asciiTheme="minorHAnsi" w:eastAsiaTheme="minorEastAsia" w:hAnsiTheme="minorHAnsi"/>
          <w:sz w:val="22"/>
          <w:lang w:val="en-US"/>
        </w:rPr>
      </w:pPr>
      <w:r>
        <w:fldChar w:fldCharType="begin"/>
      </w:r>
      <w:r>
        <w:instrText xml:space="preserve">HYPERLINK \l "_Toc157595085" </w:instrText>
      </w:r>
      <w:r>
        <w:fldChar w:fldCharType="separate"/>
      </w:r>
      <w:r>
        <w:rPr>
          <w:rStyle w:val="Hyperlink"/>
        </w:rPr>
        <w:t>4. Event Concept: The Gastronomic Grandeur Affair</w:t>
      </w:r>
      <w:r>
        <w:tab/>
      </w:r>
      <w:r>
        <w:fldChar w:fldCharType="begin"/>
      </w:r>
      <w:r>
        <w:instrText xml:space="preserve"> PAGEREF _Toc157595085 \h </w:instrText>
      </w:r>
      <w:r>
        <w:fldChar w:fldCharType="separate"/>
      </w:r>
      <w:r>
        <w:t>6</w:t>
      </w:r>
      <w:r>
        <w:fldChar w:fldCharType="end"/>
      </w:r>
      <w:r>
        <w:fldChar w:fldCharType="end"/>
      </w:r>
    </w:p>
    <w:p w14:paraId="00000019">
      <w:pPr>
        <w:pStyle w:val="Toc2"/>
        <w:tabs>
          <w:tab w:val="right" w:leader="dot" w:pos="9350"/>
        </w:tabs>
        <w:rPr>
          <w:rFonts w:asciiTheme="minorHAnsi" w:eastAsiaTheme="minorEastAsia" w:hAnsiTheme="minorHAnsi"/>
          <w:sz w:val="22"/>
          <w:lang w:val="en-US"/>
        </w:rPr>
      </w:pPr>
      <w:r>
        <w:fldChar w:fldCharType="begin"/>
      </w:r>
      <w:r>
        <w:instrText xml:space="preserve">HYPERLINK \l "_Toc157595086" </w:instrText>
      </w:r>
      <w:r>
        <w:fldChar w:fldCharType="separate"/>
      </w:r>
      <w:r>
        <w:rPr>
          <w:rStyle w:val="Hyperlink"/>
        </w:rPr>
        <w:t>Itinerary:</w:t>
      </w:r>
      <w:r>
        <w:tab/>
      </w:r>
      <w:r>
        <w:fldChar w:fldCharType="begin"/>
      </w:r>
      <w:r>
        <w:instrText xml:space="preserve"> PAGEREF _Toc157595086 \h </w:instrText>
      </w:r>
      <w:r>
        <w:fldChar w:fldCharType="separate"/>
      </w:r>
      <w:r>
        <w:t>6</w:t>
      </w:r>
      <w:r>
        <w:fldChar w:fldCharType="end"/>
      </w:r>
      <w:r>
        <w:fldChar w:fldCharType="end"/>
      </w:r>
    </w:p>
    <w:p w14:paraId="0000001A">
      <w:pPr>
        <w:pStyle w:val="Toc1"/>
        <w:tabs>
          <w:tab w:val="right" w:leader="dot" w:pos="9350"/>
        </w:tabs>
        <w:rPr>
          <w:rFonts w:asciiTheme="minorHAnsi" w:eastAsiaTheme="minorEastAsia" w:hAnsiTheme="minorHAnsi"/>
          <w:sz w:val="22"/>
          <w:lang w:val="en-US"/>
        </w:rPr>
      </w:pPr>
      <w:r>
        <w:fldChar w:fldCharType="begin"/>
      </w:r>
      <w:r>
        <w:instrText xml:space="preserve">HYPERLINK \l "_Toc157595087" </w:instrText>
      </w:r>
      <w:r>
        <w:fldChar w:fldCharType="separate"/>
      </w:r>
      <w:r>
        <w:rPr>
          <w:rStyle w:val="Hyperlink"/>
        </w:rPr>
        <w:t>5. Aim:</w:t>
      </w:r>
      <w:r>
        <w:tab/>
      </w:r>
      <w:r>
        <w:fldChar w:fldCharType="begin"/>
      </w:r>
      <w:r>
        <w:instrText xml:space="preserve"> PAGEREF _Toc157595087 \h </w:instrText>
      </w:r>
      <w:r>
        <w:fldChar w:fldCharType="separate"/>
      </w:r>
      <w:r>
        <w:t>7</w:t>
      </w:r>
      <w:r>
        <w:fldChar w:fldCharType="end"/>
      </w:r>
      <w:r>
        <w:fldChar w:fldCharType="end"/>
      </w:r>
    </w:p>
    <w:p w14:paraId="0000001B">
      <w:pPr>
        <w:pStyle w:val="Toc2"/>
        <w:tabs>
          <w:tab w:val="right" w:leader="dot" w:pos="9350"/>
        </w:tabs>
        <w:rPr>
          <w:rFonts w:asciiTheme="minorHAnsi" w:eastAsiaTheme="minorEastAsia" w:hAnsiTheme="minorHAnsi"/>
          <w:sz w:val="22"/>
          <w:lang w:val="en-US"/>
        </w:rPr>
      </w:pPr>
      <w:r>
        <w:fldChar w:fldCharType="begin"/>
      </w:r>
      <w:r>
        <w:instrText xml:space="preserve">HYPERLINK \l "_Toc157595088" </w:instrText>
      </w:r>
      <w:r>
        <w:fldChar w:fldCharType="separate"/>
      </w:r>
      <w:r>
        <w:rPr>
          <w:rStyle w:val="Hyperlink"/>
        </w:rPr>
        <w:t>SMART Objectives:</w:t>
      </w:r>
      <w:r>
        <w:tab/>
      </w:r>
      <w:r>
        <w:fldChar w:fldCharType="begin"/>
      </w:r>
      <w:r>
        <w:instrText xml:space="preserve"> PAGEREF _Toc157595088 \h </w:instrText>
      </w:r>
      <w:r>
        <w:fldChar w:fldCharType="separate"/>
      </w:r>
      <w:r>
        <w:t>7</w:t>
      </w:r>
      <w:r>
        <w:fldChar w:fldCharType="end"/>
      </w:r>
      <w:r>
        <w:fldChar w:fldCharType="end"/>
      </w:r>
    </w:p>
    <w:p w14:paraId="0000001C">
      <w:pPr>
        <w:pStyle w:val="Toc1"/>
        <w:tabs>
          <w:tab w:val="right" w:leader="dot" w:pos="9350"/>
        </w:tabs>
        <w:rPr>
          <w:rFonts w:asciiTheme="minorHAnsi" w:eastAsiaTheme="minorEastAsia" w:hAnsiTheme="minorHAnsi"/>
          <w:sz w:val="22"/>
          <w:lang w:val="en-US"/>
        </w:rPr>
      </w:pPr>
      <w:r>
        <w:fldChar w:fldCharType="begin"/>
      </w:r>
      <w:r>
        <w:instrText xml:space="preserve">HYPERLINK \l "_Toc157595089" </w:instrText>
      </w:r>
      <w:r>
        <w:fldChar w:fldCharType="separate"/>
      </w:r>
      <w:r>
        <w:rPr>
          <w:rStyle w:val="Hyperlink"/>
        </w:rPr>
        <w:t>6. Event Operations: Skills and Resources for the Gastronomic Grandeur Affair</w:t>
      </w:r>
      <w:r>
        <w:tab/>
      </w:r>
      <w:r>
        <w:fldChar w:fldCharType="begin"/>
      </w:r>
      <w:r>
        <w:instrText xml:space="preserve"> PAGEREF _Toc157595089 \h </w:instrText>
      </w:r>
      <w:r>
        <w:fldChar w:fldCharType="separate"/>
      </w:r>
      <w:r>
        <w:t>8</w:t>
      </w:r>
      <w:r>
        <w:fldChar w:fldCharType="end"/>
      </w:r>
      <w:r>
        <w:fldChar w:fldCharType="end"/>
      </w:r>
    </w:p>
    <w:p w14:paraId="0000001D">
      <w:pPr>
        <w:pStyle w:val="Toc1"/>
        <w:tabs>
          <w:tab w:val="right" w:leader="dot" w:pos="9350"/>
        </w:tabs>
        <w:rPr>
          <w:rFonts w:asciiTheme="minorHAnsi" w:eastAsiaTheme="minorEastAsia" w:hAnsiTheme="minorHAnsi"/>
          <w:sz w:val="22"/>
          <w:lang w:val="en-US"/>
        </w:rPr>
      </w:pPr>
      <w:r>
        <w:fldChar w:fldCharType="begin"/>
      </w:r>
      <w:r>
        <w:instrText xml:space="preserve">HYPERLINK \l "_Toc157595090" </w:instrText>
      </w:r>
      <w:r>
        <w:fldChar w:fldCharType="separate"/>
      </w:r>
      <w:r>
        <w:rPr>
          <w:rStyle w:val="Hyperlink"/>
        </w:rPr>
        <w:t>7. Event Budget: Gastronomic Grandeur Affair</w:t>
      </w:r>
      <w:r>
        <w:tab/>
      </w:r>
      <w:r>
        <w:fldChar w:fldCharType="begin"/>
      </w:r>
      <w:r>
        <w:instrText xml:space="preserve"> PAGEREF _Toc157595090 \h </w:instrText>
      </w:r>
      <w:r>
        <w:fldChar w:fldCharType="separate"/>
      </w:r>
      <w:r>
        <w:t>9</w:t>
      </w:r>
      <w:r>
        <w:fldChar w:fldCharType="end"/>
      </w:r>
      <w:r>
        <w:fldChar w:fldCharType="end"/>
      </w:r>
    </w:p>
    <w:p w14:paraId="0000001E">
      <w:pPr>
        <w:pStyle w:val="Toc1"/>
        <w:tabs>
          <w:tab w:val="right" w:leader="dot" w:pos="9350"/>
        </w:tabs>
        <w:rPr>
          <w:rFonts w:asciiTheme="minorHAnsi" w:eastAsiaTheme="minorEastAsia" w:hAnsiTheme="minorHAnsi"/>
          <w:sz w:val="22"/>
          <w:lang w:val="en-US"/>
        </w:rPr>
      </w:pPr>
      <w:r>
        <w:fldChar w:fldCharType="begin"/>
      </w:r>
      <w:r>
        <w:instrText xml:space="preserve">HYPERLINK \l "_Toc157595091" </w:instrText>
      </w:r>
      <w:r>
        <w:fldChar w:fldCharType="separate"/>
      </w:r>
      <w:r>
        <w:rPr>
          <w:rStyle w:val="Hyperlink"/>
        </w:rPr>
        <w:t>8. Industry Trends Linked to Meetings/Events:</w:t>
      </w:r>
      <w:r>
        <w:tab/>
      </w:r>
      <w:r>
        <w:fldChar w:fldCharType="begin"/>
      </w:r>
      <w:r>
        <w:instrText xml:space="preserve"> PAGEREF _Toc157595091 \h </w:instrText>
      </w:r>
      <w:r>
        <w:fldChar w:fldCharType="separate"/>
      </w:r>
      <w:r>
        <w:t>11</w:t>
      </w:r>
      <w:r>
        <w:fldChar w:fldCharType="end"/>
      </w:r>
      <w:r>
        <w:fldChar w:fldCharType="end"/>
      </w:r>
    </w:p>
    <w:p w14:paraId="0000001F">
      <w:pPr>
        <w:pStyle w:val="Toc1"/>
        <w:tabs>
          <w:tab w:val="right" w:leader="dot" w:pos="9350"/>
        </w:tabs>
        <w:rPr>
          <w:rFonts w:asciiTheme="minorHAnsi" w:eastAsiaTheme="minorEastAsia" w:hAnsiTheme="minorHAnsi"/>
          <w:sz w:val="22"/>
          <w:lang w:val="en-US"/>
        </w:rPr>
      </w:pPr>
      <w:r>
        <w:fldChar w:fldCharType="begin"/>
      </w:r>
      <w:r>
        <w:instrText xml:space="preserve">HYPERLINK \l "_Toc157595092" </w:instrText>
      </w:r>
      <w:r>
        <w:fldChar w:fldCharType="separate"/>
      </w:r>
      <w:r>
        <w:rPr>
          <w:rStyle w:val="Hyperlink"/>
        </w:rPr>
        <w:t>9. Cultural and Situational Considerations for the Gastronomic Grandeur Affair:</w:t>
      </w:r>
      <w:r>
        <w:tab/>
      </w:r>
      <w:r>
        <w:fldChar w:fldCharType="begin"/>
      </w:r>
      <w:r>
        <w:instrText xml:space="preserve"> PAGEREF _Toc157595092 \h </w:instrText>
      </w:r>
      <w:r>
        <w:fldChar w:fldCharType="separate"/>
      </w:r>
      <w:r>
        <w:t>13</w:t>
      </w:r>
      <w:r>
        <w:fldChar w:fldCharType="end"/>
      </w:r>
      <w:r>
        <w:fldChar w:fldCharType="end"/>
      </w:r>
    </w:p>
    <w:p w14:paraId="00000020">
      <w:pPr>
        <w:pStyle w:val="Toc2"/>
        <w:tabs>
          <w:tab w:val="right" w:leader="dot" w:pos="9350"/>
        </w:tabs>
        <w:rPr>
          <w:rFonts w:asciiTheme="minorHAnsi" w:eastAsiaTheme="minorEastAsia" w:hAnsiTheme="minorHAnsi"/>
          <w:sz w:val="22"/>
          <w:lang w:val="en-US"/>
        </w:rPr>
      </w:pPr>
      <w:r>
        <w:fldChar w:fldCharType="begin"/>
      </w:r>
      <w:r>
        <w:instrText xml:space="preserve">HYPERLINK \l "_Toc157595093" </w:instrText>
      </w:r>
      <w:r>
        <w:fldChar w:fldCharType="separate"/>
      </w:r>
      <w:r>
        <w:rPr>
          <w:rStyle w:val="Hyperlink"/>
        </w:rPr>
        <w:t>Weather and Seasonal Considerations:</w:t>
      </w:r>
      <w:r>
        <w:tab/>
      </w:r>
      <w:r>
        <w:fldChar w:fldCharType="begin"/>
      </w:r>
      <w:r>
        <w:instrText xml:space="preserve"> PAGEREF _Toc157595093 \h </w:instrText>
      </w:r>
      <w:r>
        <w:fldChar w:fldCharType="separate"/>
      </w:r>
      <w:r>
        <w:t>13</w:t>
      </w:r>
      <w:r>
        <w:fldChar w:fldCharType="end"/>
      </w:r>
      <w:r>
        <w:fldChar w:fldCharType="end"/>
      </w:r>
    </w:p>
    <w:p w14:paraId="00000021">
      <w:pPr>
        <w:pStyle w:val="Toc1"/>
        <w:tabs>
          <w:tab w:val="right" w:leader="dot" w:pos="9350"/>
        </w:tabs>
        <w:rPr>
          <w:rFonts w:asciiTheme="minorHAnsi" w:eastAsiaTheme="minorEastAsia" w:hAnsiTheme="minorHAnsi"/>
          <w:sz w:val="22"/>
          <w:lang w:val="en-US"/>
        </w:rPr>
      </w:pPr>
      <w:r>
        <w:fldChar w:fldCharType="begin"/>
      </w:r>
      <w:r>
        <w:instrText xml:space="preserve">HYPERLINK \l "_Toc157595094" </w:instrText>
      </w:r>
      <w:r>
        <w:fldChar w:fldCharType="separate"/>
      </w:r>
      <w:r>
        <w:rPr>
          <w:rStyle w:val="Hyperlink"/>
        </w:rPr>
        <w:t>Conclusion</w:t>
      </w:r>
      <w:r>
        <w:tab/>
      </w:r>
      <w:r>
        <w:fldChar w:fldCharType="begin"/>
      </w:r>
      <w:r>
        <w:instrText xml:space="preserve"> PAGEREF _Toc157595094 \h </w:instrText>
      </w:r>
      <w:r>
        <w:fldChar w:fldCharType="separate"/>
      </w:r>
      <w:r>
        <w:t>14</w:t>
      </w:r>
      <w:r>
        <w:fldChar w:fldCharType="end"/>
      </w:r>
      <w:r>
        <w:fldChar w:fldCharType="end"/>
      </w:r>
    </w:p>
    <w:p w14:paraId="00000022">
      <w:pPr>
        <w:pStyle w:val="Toc1"/>
        <w:tabs>
          <w:tab w:val="right" w:leader="dot" w:pos="9350"/>
        </w:tabs>
        <w:rPr>
          <w:rFonts w:asciiTheme="minorHAnsi" w:eastAsiaTheme="minorEastAsia" w:hAnsiTheme="minorHAnsi"/>
          <w:sz w:val="22"/>
          <w:lang w:val="en-US"/>
        </w:rPr>
      </w:pPr>
      <w:r>
        <w:fldChar w:fldCharType="begin"/>
      </w:r>
      <w:r>
        <w:instrText xml:space="preserve">HYPERLINK \l "_Toc157595095" </w:instrText>
      </w:r>
      <w:r>
        <w:fldChar w:fldCharType="separate"/>
      </w:r>
      <w:r>
        <w:rPr>
          <w:rStyle w:val="Hyperlink"/>
        </w:rPr>
        <w:t>References</w:t>
      </w:r>
      <w:r>
        <w:tab/>
      </w:r>
      <w:r>
        <w:fldChar w:fldCharType="begin"/>
      </w:r>
      <w:r>
        <w:instrText xml:space="preserve"> PAGEREF _Toc157595095 \h </w:instrText>
      </w:r>
      <w:r>
        <w:fldChar w:fldCharType="separate"/>
      </w:r>
      <w:r>
        <w:t>15</w:t>
      </w:r>
      <w:r>
        <w:fldChar w:fldCharType="end"/>
      </w:r>
      <w:r>
        <w:fldChar w:fldCharType="end"/>
      </w:r>
    </w:p>
    <w:p w14:paraId="00000023">
      <w:pPr>
        <w:spacing w:before="120" w:after="120" w:line="360" w:lineRule="auto"/>
        <w:rPr/>
      </w:pPr>
      <w:r>
        <w:fldChar w:fldCharType="end"/>
      </w:r>
    </w:p>
    <w:p w14:paraId="00000024">
      <w:pPr>
        <w:jc w:val="left"/>
        <w:rPr>
          <w:b/>
          <w:bCs/>
          <w:szCs w:val="24"/>
        </w:rPr>
      </w:pPr>
      <w:r>
        <w:rPr>
          <w:b/>
          <w:bCs/>
          <w:szCs w:val="24"/>
        </w:rPr>
        <w:br w:type="page"/>
      </w:r>
    </w:p>
    <w:p w14:paraId="00000025">
      <w:pPr>
        <w:pStyle w:val="Heading1"/>
        <w:numPr>
          <w:ilvl w:val="0"/>
          <w:numId w:val="0"/>
        </w:numPr>
        <w:rPr/>
      </w:pPr>
      <w:bookmarkStart w:id="0" w:name="_Toc157595082"/>
      <w:r>
        <w:t>1.</w:t>
      </w:r>
      <w:r>
        <w:t xml:space="preserve"> </w:t>
      </w:r>
      <w:r>
        <w:t>Introduction</w:t>
      </w:r>
      <w:bookmarkEnd w:id="0"/>
    </w:p>
    <w:p w14:paraId="00000026">
      <w:pPr>
        <w:spacing w:before="120" w:after="120" w:line="360" w:lineRule="auto"/>
        <w:rPr/>
      </w:pPr>
      <w:r>
        <w:t>T</w:t>
      </w:r>
      <w:r>
        <w:t xml:space="preserve">he </w:t>
      </w:r>
      <w:r>
        <w:t xml:space="preserve">strategic planning </w:t>
      </w:r>
      <w:r>
        <w:t xml:space="preserve">report for the "Gastronomic </w:t>
      </w:r>
      <w:r>
        <w:t>Grandeur Affair</w:t>
      </w:r>
      <w:r>
        <w:t xml:space="preserve">." This record outlines the picky planning and transport considerations for a distinctive culinary experience. Examining the point, targets, event cycle, and industry floats, this report </w:t>
      </w:r>
      <w:r>
        <w:t>aims</w:t>
      </w:r>
      <w:r>
        <w:t xml:space="preserve"> to ensure a steady, socially fragile, and exceptional event that acclaims the apex of gastronomic significance.  </w:t>
      </w:r>
      <w:r>
        <w:rPr/>
        <w:br w:type="page"/>
      </w:r>
    </w:p>
    <w:p w14:paraId="00000027">
      <w:pPr>
        <w:pStyle w:val="Heading1"/>
        <w:numPr>
          <w:ilvl w:val="0"/>
          <w:numId w:val="0"/>
        </w:numPr>
        <w:rPr/>
      </w:pPr>
      <w:bookmarkStart w:id="1" w:name="_Toc157595083"/>
      <w:r>
        <w:t>2.</w:t>
      </w:r>
      <w:r>
        <w:t xml:space="preserve"> </w:t>
      </w:r>
      <w:r>
        <w:t>Event Cycle</w:t>
      </w:r>
      <w:bookmarkEnd w:id="1"/>
    </w:p>
    <w:p w14:paraId="00000028">
      <w:pPr>
        <w:spacing w:before="120" w:after="120" w:line="360" w:lineRule="auto"/>
        <w:rPr/>
      </w:pPr>
      <w:r>
        <w:t xml:space="preserve">The Gastronomic </w:t>
      </w:r>
      <w:r>
        <w:t>Grandeur Affair</w:t>
      </w:r>
      <w:r>
        <w:t xml:space="preserve"> spreads out through a carefully organi</w:t>
      </w:r>
      <w:r>
        <w:t>s</w:t>
      </w:r>
      <w:r>
        <w:t xml:space="preserve">ed event cycle, ensuring a steady and </w:t>
      </w:r>
      <w:r>
        <w:t>enamouring</w:t>
      </w:r>
      <w:r>
        <w:t xml:space="preserve"> involvement for </w:t>
      </w:r>
      <w:r>
        <w:t>attendees</w:t>
      </w:r>
      <w:r>
        <w:t xml:space="preserve">. Beginning with pre-occasion orchestrating, the establishment incorporates key coordination, dealer joint </w:t>
      </w:r>
      <w:r>
        <w:t>endeavours</w:t>
      </w:r>
      <w:r>
        <w:t>, key diversion plans, and assigned publici</w:t>
      </w:r>
      <w:r>
        <w:t>s</w:t>
      </w:r>
      <w:r>
        <w:t xml:space="preserve">ing drives. Event graduation indicates the </w:t>
      </w:r>
      <w:r>
        <w:t>marvellous</w:t>
      </w:r>
      <w:r>
        <w:t xml:space="preserve"> unveiling, where culinary lovers submerge themselves in a universe of gastronomic wonders, creative presentations, and instinctive experiences.</w:t>
      </w:r>
    </w:p>
    <w:p w14:paraId="00000029">
      <w:pPr>
        <w:spacing w:before="120" w:after="120" w:line="360" w:lineRule="auto"/>
        <w:rPr/>
      </w:pPr>
      <w:r>
        <w:t xml:space="preserve">Moving to event execution, famous gourmet </w:t>
      </w:r>
      <w:r>
        <w:t>chefs</w:t>
      </w:r>
      <w:r>
        <w:t xml:space="preserve"> </w:t>
      </w:r>
      <w:r>
        <w:t xml:space="preserve">make delightful </w:t>
      </w:r>
      <w:r>
        <w:t>masterpieces</w:t>
      </w:r>
      <w:r>
        <w:t xml:space="preserve">, drawing in members with striking studios and tastings. Procedures spread out reliably, guaranteeing </w:t>
      </w:r>
      <w:r>
        <w:t>a</w:t>
      </w:r>
      <w:r>
        <w:t xml:space="preserve"> faultless execution. Wrapping up in </w:t>
      </w:r>
      <w:r>
        <w:t xml:space="preserve">the </w:t>
      </w:r>
      <w:r>
        <w:t xml:space="preserve">event </w:t>
      </w:r>
      <w:r>
        <w:t xml:space="preserve">on </w:t>
      </w:r>
      <w:r>
        <w:t xml:space="preserve">the board, the </w:t>
      </w:r>
      <w:r>
        <w:t>orchestration</w:t>
      </w:r>
      <w:r>
        <w:t xml:space="preserve"> </w:t>
      </w:r>
      <w:r>
        <w:t>of errands ensures a smooth stream, from arranging culinary showings to directing key perspectives.</w:t>
      </w:r>
    </w:p>
    <w:p w14:paraId="0000002A">
      <w:pPr>
        <w:spacing w:before="120" w:after="120" w:line="360" w:lineRule="auto"/>
        <w:rPr/>
      </w:pPr>
      <w:r>
        <w:t xml:space="preserve">Post-occasion appraisal gets to be essential, considering </w:t>
      </w:r>
      <w:r>
        <w:t>attendee</w:t>
      </w:r>
      <w:r>
        <w:t xml:space="preserve"> </w:t>
      </w:r>
      <w:r>
        <w:t>feedback, financial comes about, and useful efficiency. Bits of information procured direct future updates, ensuring steady change.</w:t>
      </w:r>
    </w:p>
    <w:p w14:paraId="0000002B">
      <w:pPr>
        <w:spacing w:before="120" w:after="120" w:line="360" w:lineRule="auto"/>
        <w:rPr/>
      </w:pPr>
      <w:r>
        <w:t xml:space="preserve">This repetitive trip may be </w:t>
      </w:r>
      <w:r>
        <w:t>an</w:t>
      </w:r>
      <w:r>
        <w:t xml:space="preserve"> exhibit of the </w:t>
      </w:r>
      <w:r>
        <w:t>event's</w:t>
      </w:r>
      <w:r>
        <w:t xml:space="preserve"> </w:t>
      </w:r>
      <w:r>
        <w:t xml:space="preserve">commitment to significance, from cautious pre-intending to post-occasion reflection. Each </w:t>
      </w:r>
      <w:r>
        <w:t>arranged</w:t>
      </w:r>
      <w:r>
        <w:t xml:space="preserve"> laces, including the Gastronomic </w:t>
      </w:r>
      <w:r>
        <w:t>Grandeur Affair's</w:t>
      </w:r>
      <w:r>
        <w:t xml:space="preserve"> </w:t>
      </w:r>
      <w:r>
        <w:t>identity</w:t>
      </w:r>
      <w:r>
        <w:t xml:space="preserve"> as a chief around the </w:t>
      </w:r>
      <w:r>
        <w:t>global</w:t>
      </w:r>
      <w:r>
        <w:t xml:space="preserve"> </w:t>
      </w:r>
      <w:r>
        <w:t xml:space="preserve">gastronomic involvement, where eagerness and exactness combine in </w:t>
      </w:r>
      <w:r>
        <w:t>a</w:t>
      </w:r>
      <w:r>
        <w:t xml:space="preserve"> friendly celebration of culinary imagination. </w:t>
      </w:r>
      <w:r>
        <w:t xml:space="preserve"> (Arjona, 2021)</w:t>
      </w:r>
      <w:r>
        <w:t>. </w:t>
      </w:r>
    </w:p>
    <w:p w14:paraId="0000002C">
      <w:pPr>
        <w:pStyle w:val="Heading1"/>
        <w:numPr>
          <w:ilvl w:val="0"/>
          <w:numId w:val="0"/>
        </w:numPr>
        <w:rPr/>
      </w:pPr>
      <w:bookmarkStart w:id="2" w:name="_Toc157595084"/>
      <w:r>
        <w:t>Application to "Gastronomic Grandeur Affair</w:t>
      </w:r>
      <w:r>
        <w:t>”</w:t>
      </w:r>
      <w:bookmarkEnd w:id="2"/>
    </w:p>
    <w:p w14:paraId="0000002D">
      <w:pPr>
        <w:spacing w:before="120" w:after="120" w:line="360" w:lineRule="auto"/>
        <w:rPr/>
      </w:pPr>
      <w:r>
        <w:t>The "</w:t>
      </w:r>
      <w:r>
        <w:t xml:space="preserve">Sustainability of </w:t>
      </w:r>
      <w:r>
        <w:t xml:space="preserve">Gastronomic </w:t>
      </w:r>
      <w:r>
        <w:t>Grandeur Affair</w:t>
      </w:r>
      <w:r>
        <w:t xml:space="preserve">" applies </w:t>
      </w:r>
      <w:r>
        <w:t xml:space="preserve">to </w:t>
      </w:r>
      <w:r>
        <w:t>a particular Event Cycle</w:t>
      </w:r>
      <w:r>
        <w:t>.</w:t>
      </w:r>
      <w:r>
        <w:t xml:space="preserve"> This culinary-driven framework ensures a reliable and immaculate involvement. Within the pre-occasion </w:t>
      </w:r>
      <w:r>
        <w:t>organisation</w:t>
      </w:r>
      <w:r>
        <w:t>, the accentuation is on characteri</w:t>
      </w:r>
      <w:r>
        <w:t>s</w:t>
      </w:r>
      <w:r>
        <w:t xml:space="preserve">ing an unmistakable culinary point, choosing popular cooks, and altering the program to gastronomic designs. Event </w:t>
      </w:r>
      <w:r>
        <w:t xml:space="preserve">initiation </w:t>
      </w:r>
      <w:r>
        <w:t xml:space="preserve">incorporates </w:t>
      </w:r>
      <w:r>
        <w:t xml:space="preserve">a </w:t>
      </w:r>
      <w:r>
        <w:t>picky arrangement of a far-reaching menu, securing organi</w:t>
      </w:r>
      <w:r>
        <w:t>s</w:t>
      </w:r>
      <w:r>
        <w:t>ations with adjacent producers, and making momentous devouring experiences</w:t>
      </w:r>
      <w:r>
        <w:t xml:space="preserve"> (Bagri, Dhodi and Junaid, 2022)</w:t>
      </w:r>
      <w:r>
        <w:t xml:space="preserve">. Amid the event execution, the emphasis is on arranging kitchen exercises and passing on extraordinary devouring experiences. </w:t>
      </w:r>
      <w:r>
        <w:t>The continuous</w:t>
      </w:r>
      <w:r>
        <w:t xml:space="preserve"> </w:t>
      </w:r>
      <w:r>
        <w:t>organisation</w:t>
      </w:r>
      <w:r>
        <w:t xml:space="preserve"> ensures the smooth execution </w:t>
      </w:r>
      <w:r>
        <w:t>of live cooking shows. Post-occasion evaluation incorporates breaking down member feedback and experiences for future refinements within the space of gastronomic events. </w:t>
      </w:r>
    </w:p>
    <w:p w14:paraId="0000002E">
      <w:pPr>
        <w:rPr>
          <w:b/>
          <w:bCs/>
        </w:rPr>
      </w:pPr>
      <w:r>
        <w:rPr>
          <w:b/>
          <w:bCs/>
        </w:rPr>
        <w:t>Pre-event Planning:</w:t>
      </w:r>
    </w:p>
    <w:p w14:paraId="0000002F">
      <w:pPr>
        <w:spacing w:before="120" w:after="120" w:line="360" w:lineRule="auto"/>
        <w:rPr/>
      </w:pPr>
      <w:r>
        <w:t>Within the pre-</w:t>
      </w:r>
      <w:r>
        <w:t>event</w:t>
      </w:r>
      <w:r>
        <w:t xml:space="preserve"> </w:t>
      </w:r>
      <w:r>
        <w:t>planning</w:t>
      </w:r>
      <w:r>
        <w:t xml:space="preserve"> </w:t>
      </w:r>
      <w:r>
        <w:t>arrangement</w:t>
      </w:r>
      <w:r>
        <w:t xml:space="preserve">, </w:t>
      </w:r>
      <w:r>
        <w:t>Picky Thought</w:t>
      </w:r>
      <w:r>
        <w:t xml:space="preserve"> is committed to </w:t>
      </w:r>
      <w:r>
        <w:t>moulding</w:t>
      </w:r>
      <w:r>
        <w:t xml:space="preserve"> the Around the </w:t>
      </w:r>
      <w:r>
        <w:t>International</w:t>
      </w:r>
      <w:r>
        <w:t xml:space="preserve"> </w:t>
      </w:r>
      <w:r>
        <w:t xml:space="preserve">Culinary Highlight. This </w:t>
      </w:r>
      <w:r>
        <w:t>arrangement</w:t>
      </w:r>
      <w:r>
        <w:t xml:space="preserve"> incorporates key coordination, dealer joint </w:t>
      </w:r>
      <w:r>
        <w:t>endeavours’</w:t>
      </w:r>
      <w:r>
        <w:t xml:space="preserve">, calculated courses of activity, and displaying drives. With an emphasis on exactness and desire, pre-occasion orchestrating sets up the foundation for reliable execution, ensuring that each component alters pleasantly to communicate </w:t>
      </w:r>
      <w:r>
        <w:t>a</w:t>
      </w:r>
      <w:r>
        <w:t xml:space="preserve"> </w:t>
      </w:r>
      <w:r>
        <w:t>first-class</w:t>
      </w:r>
      <w:r>
        <w:t xml:space="preserve"> gastronomic experience. </w:t>
      </w:r>
      <w:r>
        <w:t> </w:t>
      </w:r>
    </w:p>
    <w:p w14:paraId="00000030">
      <w:pPr>
        <w:rPr>
          <w:b/>
          <w:bCs/>
        </w:rPr>
      </w:pPr>
      <w:r>
        <w:rPr>
          <w:b/>
          <w:bCs/>
        </w:rPr>
        <w:t>Event Initiation:</w:t>
      </w:r>
    </w:p>
    <w:p w14:paraId="00000031">
      <w:pPr>
        <w:spacing w:before="120" w:after="120" w:line="360" w:lineRule="auto"/>
        <w:rPr/>
      </w:pPr>
      <w:r>
        <w:t xml:space="preserve">As the </w:t>
      </w:r>
      <w:r>
        <w:t xml:space="preserve">curtain rises </w:t>
      </w:r>
      <w:r>
        <w:t xml:space="preserve">on the </w:t>
      </w:r>
      <w:r>
        <w:t xml:space="preserve">International </w:t>
      </w:r>
      <w:r>
        <w:t xml:space="preserve">Culinary Display, event initiation indicates the pinnacle of cautious planning and desire. Members submerge themselves in a universe of gastronomic wonders, grasping culinary assortment, inventive presentations, and instinctive experiences. The carefully organized event </w:t>
      </w:r>
      <w:r>
        <w:t xml:space="preserve">of </w:t>
      </w:r>
      <w:r>
        <w:t xml:space="preserve">graduation astonishes identifies, making way for a sumptuous trip. </w:t>
      </w:r>
      <w:r>
        <w:t>With the</w:t>
      </w:r>
      <w:r>
        <w:t xml:space="preserve"> flawlessness of wide pre-occasion orchestrating, this </w:t>
      </w:r>
      <w:r>
        <w:t>ground-breaking</w:t>
      </w:r>
      <w:r>
        <w:t xml:space="preserve"> graduation ensures an exceptional union of </w:t>
      </w:r>
      <w:r>
        <w:t>global</w:t>
      </w:r>
      <w:r>
        <w:t xml:space="preserve"> </w:t>
      </w:r>
      <w:r>
        <w:t xml:space="preserve">flavours </w:t>
      </w:r>
      <w:r>
        <w:t xml:space="preserve">and culinary </w:t>
      </w:r>
      <w:r>
        <w:t>specialists</w:t>
      </w:r>
      <w:r>
        <w:t>. </w:t>
      </w:r>
    </w:p>
    <w:p w14:paraId="00000032">
      <w:pPr>
        <w:rPr>
          <w:b/>
          <w:bCs/>
        </w:rPr>
      </w:pPr>
      <w:r>
        <w:rPr>
          <w:b/>
          <w:bCs/>
        </w:rPr>
        <w:t>Event Implementation:</w:t>
      </w:r>
    </w:p>
    <w:p w14:paraId="00000033">
      <w:pPr>
        <w:spacing w:before="120" w:after="120" w:line="360" w:lineRule="auto"/>
        <w:rPr/>
      </w:pPr>
      <w:r>
        <w:t>During</w:t>
      </w:r>
      <w:r>
        <w:t xml:space="preserve"> </w:t>
      </w:r>
      <w:r>
        <w:t>the event execution</w:t>
      </w:r>
      <w:r>
        <w:t>,</w:t>
      </w:r>
      <w:r>
        <w:t xml:space="preserve"> the </w:t>
      </w:r>
      <w:r>
        <w:t>International</w:t>
      </w:r>
      <w:r>
        <w:t xml:space="preserve"> </w:t>
      </w:r>
      <w:r>
        <w:t xml:space="preserve">Culinary Display changes into </w:t>
      </w:r>
      <w:r>
        <w:t>an</w:t>
      </w:r>
      <w:r>
        <w:t xml:space="preserve"> energetic weaving of culinary enormity. Prestigious culinary </w:t>
      </w:r>
      <w:r>
        <w:t>chefs</w:t>
      </w:r>
      <w:r>
        <w:t xml:space="preserve"> </w:t>
      </w:r>
      <w:r>
        <w:t xml:space="preserve">make wonderful magnum creations, drawing in members with distinctive studios and tastings. Facilitated operations reliably spread out, ensuring a flawless experience. From culinary </w:t>
      </w:r>
      <w:r>
        <w:t>dialogues</w:t>
      </w:r>
      <w:r>
        <w:t xml:space="preserve"> to natural </w:t>
      </w:r>
      <w:r>
        <w:t>appearances</w:t>
      </w:r>
      <w:r>
        <w:t xml:space="preserve">, circumstance execution spreads out as </w:t>
      </w:r>
      <w:r>
        <w:t>an</w:t>
      </w:r>
      <w:r>
        <w:t xml:space="preserve"> energetic and exceptional celebration of world gastronomy. </w:t>
      </w:r>
      <w:r>
        <w:t> </w:t>
      </w:r>
    </w:p>
    <w:p w14:paraId="00000034">
      <w:pPr>
        <w:rPr>
          <w:b/>
          <w:bCs/>
        </w:rPr>
      </w:pPr>
      <w:r>
        <w:rPr>
          <w:b/>
          <w:bCs/>
        </w:rPr>
        <w:t>Event Management:</w:t>
      </w:r>
    </w:p>
    <w:p w14:paraId="00000035">
      <w:pPr>
        <w:spacing w:before="120" w:after="120" w:line="360" w:lineRule="auto"/>
        <w:rPr>
          <w:b/>
          <w:bCs/>
        </w:rPr>
      </w:pPr>
      <w:r>
        <w:t xml:space="preserve"> </w:t>
      </w:r>
      <w:r>
        <w:t>Event management for the International Culinary Highlight incorporates organi</w:t>
      </w:r>
      <w:r>
        <w:t>s</w:t>
      </w:r>
      <w:r>
        <w:t>ing steady assignments. From organi</w:t>
      </w:r>
      <w:r>
        <w:t>s</w:t>
      </w:r>
      <w:r>
        <w:t xml:space="preserve">ing culinary appears to </w:t>
      </w:r>
      <w:r>
        <w:t>coordinate</w:t>
      </w:r>
      <w:r>
        <w:t xml:space="preserve"> key perspectives, the </w:t>
      </w:r>
      <w:r>
        <w:t>gathering</w:t>
      </w:r>
      <w:r>
        <w:t xml:space="preserve"> ensures the occasion's smooth stream. This </w:t>
      </w:r>
      <w:r>
        <w:t>organ</w:t>
      </w:r>
      <w:r>
        <w:t xml:space="preserve"> typifies precision, with staff supervising distinctive highlights, guaranteeing that members savour each depiction of the gastronomic presentation. </w:t>
      </w:r>
      <w:r>
        <w:t>Picky</w:t>
      </w:r>
      <w:r>
        <w:t xml:space="preserve"> event </w:t>
      </w:r>
      <w:r>
        <w:t>management</w:t>
      </w:r>
      <w:r>
        <w:t xml:space="preserve"> ensures a neighbourly and basic involvement for all individuals</w:t>
      </w:r>
      <w:r>
        <w:t xml:space="preserve"> </w:t>
      </w:r>
      <w:r>
        <w:t xml:space="preserve">(Brunt, Horner and </w:t>
      </w:r>
      <w:r>
        <w:t>Semley</w:t>
      </w:r>
      <w:r>
        <w:t>, 2017)</w:t>
      </w:r>
      <w:r>
        <w:t>.</w:t>
      </w:r>
    </w:p>
    <w:p w14:paraId="00000036">
      <w:pPr>
        <w:rPr>
          <w:b/>
          <w:bCs/>
        </w:rPr>
      </w:pPr>
      <w:r>
        <w:rPr>
          <w:b/>
          <w:bCs/>
        </w:rPr>
        <w:t>Post-event Evaluation:</w:t>
      </w:r>
    </w:p>
    <w:p w14:paraId="00000037">
      <w:pPr>
        <w:spacing w:before="120" w:after="120" w:line="360" w:lineRule="auto"/>
        <w:rPr/>
      </w:pPr>
      <w:r>
        <w:t xml:space="preserve"> </w:t>
      </w:r>
      <w:r>
        <w:t>Post-</w:t>
      </w:r>
      <w:r>
        <w:t>event</w:t>
      </w:r>
      <w:r>
        <w:t xml:space="preserve"> evaluation for the </w:t>
      </w:r>
      <w:r>
        <w:t>International</w:t>
      </w:r>
      <w:r>
        <w:t xml:space="preserve"> </w:t>
      </w:r>
      <w:r>
        <w:t xml:space="preserve">Culinary Include incorporates a </w:t>
      </w:r>
      <w:r>
        <w:t>reflective analysis</w:t>
      </w:r>
      <w:r>
        <w:t xml:space="preserve"> of its impact. Looking over </w:t>
      </w:r>
      <w:r>
        <w:t>attendee</w:t>
      </w:r>
      <w:r>
        <w:t xml:space="preserve"> </w:t>
      </w:r>
      <w:r>
        <w:t xml:space="preserve">feedback, </w:t>
      </w:r>
      <w:r>
        <w:t>financial-related</w:t>
      </w:r>
      <w:r>
        <w:t xml:space="preserve"> </w:t>
      </w:r>
      <w:r>
        <w:t>outcomes</w:t>
      </w:r>
      <w:r>
        <w:t xml:space="preserve">, and utilitarian capability, this </w:t>
      </w:r>
      <w:r>
        <w:t>organises</w:t>
      </w:r>
      <w:r>
        <w:t xml:space="preserve"> checks </w:t>
      </w:r>
      <w:r>
        <w:t xml:space="preserve">of </w:t>
      </w:r>
      <w:r>
        <w:t xml:space="preserve">the </w:t>
      </w:r>
      <w:r>
        <w:t>event's</w:t>
      </w:r>
      <w:r>
        <w:t xml:space="preserve"> </w:t>
      </w:r>
      <w:r>
        <w:t>success</w:t>
      </w:r>
      <w:r>
        <w:t xml:space="preserve">. Bits of information obtained direct future updates, ensuring the steady enhancement of the </w:t>
      </w:r>
      <w:r>
        <w:t>show-off</w:t>
      </w:r>
      <w:r>
        <w:t xml:space="preserve">. Post-occasion evaluation </w:t>
      </w:r>
      <w:r>
        <w:t>plays</w:t>
      </w:r>
      <w:r>
        <w:t xml:space="preserve"> a crucial portion in refining methods and keeping up with the occasion's </w:t>
      </w:r>
      <w:r>
        <w:t>circumstances</w:t>
      </w:r>
      <w:r>
        <w:t xml:space="preserve"> as a chief around the </w:t>
      </w:r>
      <w:r>
        <w:t>global</w:t>
      </w:r>
      <w:r>
        <w:t xml:space="preserve"> </w:t>
      </w:r>
      <w:r>
        <w:t>gastronomic encounter</w:t>
      </w:r>
      <w:r>
        <w:t xml:space="preserve"> </w:t>
      </w:r>
      <w:r>
        <w:t>(Burke and Hughes, 2018)</w:t>
      </w:r>
      <w:r>
        <w:t>. </w:t>
      </w:r>
    </w:p>
    <w:p w14:paraId="00000038">
      <w:pPr>
        <w:pStyle w:val="Heading1"/>
        <w:numPr>
          <w:ilvl w:val="0"/>
          <w:numId w:val="0"/>
        </w:numPr>
        <w:rPr/>
      </w:pPr>
      <w:bookmarkStart w:id="3" w:name="_Toc157595085"/>
      <w:r>
        <w:t>4.</w:t>
      </w:r>
      <w:r>
        <w:t xml:space="preserve"> </w:t>
      </w:r>
      <w:r>
        <w:t>Event Concept: The Gastronomic Grandeur Affair</w:t>
      </w:r>
      <w:bookmarkEnd w:id="3"/>
    </w:p>
    <w:p w14:paraId="00000039">
      <w:pPr>
        <w:spacing w:before="120" w:after="120" w:line="360" w:lineRule="auto"/>
        <w:rPr/>
      </w:pPr>
      <w:r>
        <w:t xml:space="preserve">The "Gastronomic Grandeur Affair " may be a striking culinary experience expecting to laud the inventiveness of gastronomy and raise resources through </w:t>
      </w:r>
      <w:r>
        <w:t>a</w:t>
      </w:r>
      <w:r>
        <w:t xml:space="preserve"> </w:t>
      </w:r>
      <w:r>
        <w:t xml:space="preserve">journey </w:t>
      </w:r>
      <w:r>
        <w:t xml:space="preserve">of superb </w:t>
      </w:r>
      <w:r>
        <w:t>flavours</w:t>
      </w:r>
      <w:r>
        <w:t xml:space="preserve">. Members will appreciate </w:t>
      </w:r>
      <w:r>
        <w:t>a</w:t>
      </w:r>
      <w:r>
        <w:t xml:space="preserve"> </w:t>
      </w:r>
      <w:r>
        <w:t xml:space="preserve">curated </w:t>
      </w:r>
      <w:r>
        <w:t>organised</w:t>
      </w:r>
      <w:r>
        <w:t xml:space="preserve"> culinary party highlighting popular cooks, premium fixings, and uncommon eating experiences</w:t>
      </w:r>
      <w:r>
        <w:t xml:space="preserve"> (</w:t>
      </w:r>
      <w:r>
        <w:t>Campon</w:t>
      </w:r>
      <w:r>
        <w:t xml:space="preserve">-Cerro, Hernandez-Mogollon and </w:t>
      </w:r>
      <w:r>
        <w:t>Folgado</w:t>
      </w:r>
      <w:r>
        <w:t>-Fernandez, 2018)</w:t>
      </w:r>
      <w:r>
        <w:t>. </w:t>
      </w:r>
    </w:p>
    <w:p w14:paraId="0000003A">
      <w:pPr>
        <w:pStyle w:val="Heading2"/>
        <w:rPr/>
      </w:pPr>
      <w:bookmarkStart w:id="4" w:name="_Toc157595086"/>
      <w:r>
        <w:t>Itinerary:</w:t>
      </w:r>
      <w:bookmarkEnd w:id="4"/>
    </w:p>
    <w:p w14:paraId="0000003B">
      <w:pPr>
        <w:rPr>
          <w:b/>
          <w:bCs/>
        </w:rPr>
      </w:pPr>
      <w:r>
        <w:rPr>
          <w:b/>
          <w:bCs/>
        </w:rPr>
        <w:t>Morning Gourmet Brunch (10:00 AM - 12:00 PM):</w:t>
      </w:r>
    </w:p>
    <w:p w14:paraId="0000003C">
      <w:pPr>
        <w:spacing w:before="120" w:after="120" w:line="360" w:lineRule="auto"/>
        <w:rPr/>
      </w:pPr>
      <w:r>
        <w:t>Welcome with a stamp blended drink gathering.</w:t>
      </w:r>
    </w:p>
    <w:p w14:paraId="0000003D">
      <w:pPr>
        <w:spacing w:before="120" w:after="120" w:line="360" w:lineRule="auto"/>
        <w:rPr/>
      </w:pPr>
      <w:r>
        <w:t>Live cooking shows by Michelin-featured culinary masters showing breakfast delights.</w:t>
      </w:r>
    </w:p>
    <w:p w14:paraId="0000003E">
      <w:pPr>
        <w:spacing w:before="120" w:after="120" w:line="360" w:lineRule="auto"/>
        <w:rPr/>
      </w:pPr>
      <w:r>
        <w:t>Natural studios on unmistakable coffee maturing and cake making. </w:t>
      </w:r>
    </w:p>
    <w:p w14:paraId="0000003F">
      <w:pPr>
        <w:rPr>
          <w:b/>
          <w:bCs/>
        </w:rPr>
      </w:pPr>
      <w:r>
        <w:rPr>
          <w:b/>
          <w:bCs/>
        </w:rPr>
        <w:t>Afternoon Culinary Safari (1:00 PM - 3:00 PM):</w:t>
      </w:r>
    </w:p>
    <w:p w14:paraId="00000040">
      <w:pPr>
        <w:spacing w:before="120" w:after="120" w:line="360" w:lineRule="auto"/>
        <w:rPr/>
      </w:pPr>
      <w:r>
        <w:t>Luxurious cuisine slows down highlighting global foods.</w:t>
      </w:r>
    </w:p>
    <w:p w14:paraId="00000041">
      <w:pPr>
        <w:spacing w:before="120" w:after="120" w:line="360" w:lineRule="auto"/>
        <w:rPr/>
      </w:pPr>
      <w:r>
        <w:t>Directed tastings of interesting and extraordinary fixings.</w:t>
      </w:r>
    </w:p>
    <w:p w14:paraId="00000042">
      <w:pPr>
        <w:spacing w:before="120" w:after="120" w:line="360" w:lineRule="auto"/>
        <w:rPr/>
      </w:pPr>
      <w:r>
        <w:t>Culinary contests with crowd interest.</w:t>
      </w:r>
    </w:p>
    <w:p w14:paraId="00000043">
      <w:pPr>
        <w:rPr>
          <w:b/>
          <w:bCs/>
        </w:rPr>
      </w:pPr>
      <w:r>
        <w:rPr>
          <w:b/>
          <w:bCs/>
        </w:rPr>
        <w:t>Gastronomic Symposium (3:30 PM - 5:30 PM):</w:t>
      </w:r>
    </w:p>
    <w:p w14:paraId="00000044">
      <w:pPr>
        <w:spacing w:before="120" w:after="120" w:line="360" w:lineRule="auto"/>
        <w:rPr>
          <w:b/>
          <w:bCs/>
        </w:rPr>
      </w:pPr>
      <w:r>
        <w:rPr>
          <w:b/>
          <w:bCs/>
        </w:rPr>
        <w:t>Board conversations on culinary patterns and advancements.</w:t>
      </w:r>
    </w:p>
    <w:p w14:paraId="00000045">
      <w:pPr>
        <w:spacing w:before="120" w:after="120" w:line="360" w:lineRule="auto"/>
        <w:rPr>
          <w:b/>
          <w:bCs/>
        </w:rPr>
      </w:pPr>
      <w:r>
        <w:rPr>
          <w:b/>
          <w:bCs/>
        </w:rPr>
        <w:t>Feature addresses by industry specialists.</w:t>
      </w:r>
    </w:p>
    <w:p w14:paraId="00000046">
      <w:pPr>
        <w:spacing w:before="120" w:after="120" w:line="360" w:lineRule="auto"/>
        <w:rPr>
          <w:b/>
          <w:bCs/>
        </w:rPr>
      </w:pPr>
      <w:r>
        <w:rPr>
          <w:b/>
          <w:bCs/>
        </w:rPr>
        <w:t>Question and Answer sessions with the crowd.</w:t>
      </w:r>
    </w:p>
    <w:p w14:paraId="00000047">
      <w:pPr>
        <w:rPr>
          <w:b/>
          <w:bCs/>
        </w:rPr>
      </w:pPr>
      <w:r>
        <w:rPr>
          <w:b/>
          <w:bCs/>
        </w:rPr>
        <w:t>Dazzling Evening Gala (7:00 PM - 11:00 PM):</w:t>
      </w:r>
    </w:p>
    <w:p w14:paraId="00000048">
      <w:pPr>
        <w:spacing w:before="120" w:after="120" w:line="360" w:lineRule="auto"/>
        <w:rPr/>
      </w:pPr>
      <w:r>
        <w:t>Privileged pathway appearance with welcome blended drinks.</w:t>
      </w:r>
    </w:p>
    <w:p w14:paraId="00000049">
      <w:pPr>
        <w:spacing w:before="120" w:after="120" w:line="360" w:lineRule="auto"/>
        <w:rPr/>
      </w:pPr>
      <w:r>
        <w:t>Multi-course celebration dinner orchestrated by VIP culinary specialists.</w:t>
      </w:r>
    </w:p>
    <w:p w14:paraId="0000004A">
      <w:pPr>
        <w:spacing w:before="120" w:after="120" w:line="360" w:lineRule="auto"/>
        <w:rPr/>
      </w:pPr>
      <w:r>
        <w:t>Live beguilement with music, movement, and striking culinary presentations.</w:t>
      </w:r>
    </w:p>
    <w:p w14:paraId="0000004B">
      <w:pPr>
        <w:spacing w:before="120" w:after="120" w:line="360" w:lineRule="auto"/>
        <w:rPr/>
      </w:pPr>
      <w:r>
        <w:t xml:space="preserve">Wrap up with a sweet occasion and an awesome light </w:t>
      </w:r>
      <w:r>
        <w:t>appears</w:t>
      </w:r>
      <w:r>
        <w:t>. </w:t>
      </w:r>
    </w:p>
    <w:p w14:paraId="0000004C">
      <w:pPr>
        <w:pStyle w:val="Heading1"/>
        <w:numPr>
          <w:ilvl w:val="0"/>
          <w:numId w:val="0"/>
        </w:numPr>
        <w:rPr/>
      </w:pPr>
      <w:bookmarkStart w:id="5" w:name="_Toc157595087"/>
      <w:r>
        <w:t>5.</w:t>
      </w:r>
      <w:r>
        <w:t xml:space="preserve"> </w:t>
      </w:r>
      <w:r>
        <w:t>Aim:</w:t>
      </w:r>
      <w:bookmarkEnd w:id="5"/>
    </w:p>
    <w:p w14:paraId="0000004D">
      <w:pPr>
        <w:spacing w:before="120" w:after="120" w:line="360" w:lineRule="auto"/>
        <w:rPr/>
      </w:pPr>
      <w:r>
        <w:t xml:space="preserve">The point of the "Gastronomic </w:t>
      </w:r>
      <w:r>
        <w:t xml:space="preserve">Grandeur Affair </w:t>
      </w:r>
      <w:r>
        <w:t>" is to organi</w:t>
      </w:r>
      <w:r>
        <w:t>s</w:t>
      </w:r>
      <w:r>
        <w:t xml:space="preserve">e an unmatched culinary show, joining celebrated </w:t>
      </w:r>
      <w:r>
        <w:t>renowned chefs</w:t>
      </w:r>
      <w:r>
        <w:t xml:space="preserve">, premium fixings, and culinary aficionados. Through a striking </w:t>
      </w:r>
      <w:r>
        <w:t>journey</w:t>
      </w:r>
      <w:r>
        <w:t xml:space="preserve">, the event tries to show the pinnacle of gastronomic significance, empowering inspiration, </w:t>
      </w:r>
      <w:r>
        <w:t>preparation</w:t>
      </w:r>
      <w:r>
        <w:t xml:space="preserve">, and </w:t>
      </w:r>
      <w:r>
        <w:t>captivating</w:t>
      </w:r>
      <w:r>
        <w:t xml:space="preserve"> members</w:t>
      </w:r>
      <w:r>
        <w:t xml:space="preserve"> (Evans, 2024)</w:t>
      </w:r>
      <w:r>
        <w:t xml:space="preserve">. The by and large objective is to set up a climate where the masterfulness of gastronomy is lauded, pushing the limits of culinary headway, and making a lasting engrave on the sense of taste and brains of each one of the individuals who take an interest in this </w:t>
      </w:r>
      <w:r>
        <w:t>Marvellous</w:t>
      </w:r>
      <w:r>
        <w:t xml:space="preserve"> gastronomic </w:t>
      </w:r>
      <w:r>
        <w:t>experience</w:t>
      </w:r>
      <w:r>
        <w:t>. </w:t>
      </w:r>
    </w:p>
    <w:p w14:paraId="0000004E">
      <w:pPr>
        <w:pStyle w:val="Heading2"/>
        <w:rPr/>
      </w:pPr>
      <w:bookmarkStart w:id="6" w:name="_Toc157595088"/>
      <w:r>
        <w:t>SMART Objectives:</w:t>
      </w:r>
      <w:bookmarkEnd w:id="6"/>
    </w:p>
    <w:p w14:paraId="0000004F">
      <w:pPr>
        <w:rPr>
          <w:b/>
          <w:bCs/>
        </w:rPr>
      </w:pPr>
      <w:r>
        <w:rPr>
          <w:b/>
          <w:bCs/>
        </w:rPr>
        <w:t>Increase Attendee Engagement:</w:t>
      </w:r>
    </w:p>
    <w:p w14:paraId="00000050">
      <w:pPr>
        <w:spacing w:before="120" w:after="120" w:line="360" w:lineRule="auto"/>
        <w:rPr>
          <w:b/>
          <w:bCs/>
        </w:rPr>
      </w:pPr>
      <w:r>
        <w:t>Elevating</w:t>
      </w:r>
      <w:r>
        <w:t xml:space="preserve"> </w:t>
      </w:r>
      <w:r>
        <w:t xml:space="preserve">member </w:t>
      </w:r>
      <w:r>
        <w:t>engagement</w:t>
      </w:r>
      <w:r>
        <w:t xml:space="preserve"> </w:t>
      </w:r>
      <w:r>
        <w:t xml:space="preserve">at the Around the </w:t>
      </w:r>
      <w:r>
        <w:t>World</w:t>
      </w:r>
      <w:r>
        <w:t xml:space="preserve"> Culinary Highlight incorporates energetic methods. Cleverly culinary studios, live </w:t>
      </w:r>
      <w:r>
        <w:t>chef interactions</w:t>
      </w:r>
      <w:r>
        <w:t>, and progressing virtual excitement make a distinctive experience. Utili</w:t>
      </w:r>
      <w:r>
        <w:t>s</w:t>
      </w:r>
      <w:r>
        <w:t xml:space="preserve">ing </w:t>
      </w:r>
      <w:r>
        <w:t xml:space="preserve">a </w:t>
      </w:r>
      <w:r>
        <w:t>state of craftsmanship advancement, customi</w:t>
      </w:r>
      <w:r>
        <w:t>s</w:t>
      </w:r>
      <w:r>
        <w:t xml:space="preserve">ed experiences, and </w:t>
      </w:r>
      <w:r>
        <w:t>shrewd</w:t>
      </w:r>
      <w:r>
        <w:t xml:space="preserve"> components ensures that individuals are energetic advocates, empowering a more significant affiliation with the </w:t>
      </w:r>
      <w:r>
        <w:t>around-the-world</w:t>
      </w:r>
      <w:r>
        <w:t xml:space="preserve"> gastronomic trip organi</w:t>
      </w:r>
      <w:r>
        <w:t>s</w:t>
      </w:r>
      <w:r>
        <w:t>ed at the event. </w:t>
      </w:r>
      <w:r>
        <w:t> </w:t>
      </w:r>
    </w:p>
    <w:p w14:paraId="00000051">
      <w:pPr>
        <w:rPr>
          <w:b/>
          <w:bCs/>
        </w:rPr>
      </w:pPr>
      <w:r>
        <w:rPr>
          <w:b/>
          <w:bCs/>
        </w:rPr>
        <w:t>Promote Culinary Innovation:</w:t>
      </w:r>
    </w:p>
    <w:p w14:paraId="00000052">
      <w:pPr>
        <w:spacing w:before="120" w:after="120" w:line="360" w:lineRule="auto"/>
        <w:rPr/>
      </w:pPr>
      <w:r>
        <w:t xml:space="preserve">Progressing culinary improvement at the Around the </w:t>
      </w:r>
      <w:r>
        <w:t>World</w:t>
      </w:r>
      <w:r>
        <w:t xml:space="preserve"> Culinary </w:t>
      </w:r>
      <w:r>
        <w:t>Show-off</w:t>
      </w:r>
      <w:r>
        <w:t xml:space="preserve"> incorporates </w:t>
      </w:r>
      <w:r>
        <w:t>a</w:t>
      </w:r>
      <w:r>
        <w:t xml:space="preserve"> basic strategy. Prominent gourmet </w:t>
      </w:r>
      <w:r>
        <w:t>chefs</w:t>
      </w:r>
      <w:r>
        <w:t xml:space="preserve"> </w:t>
      </w:r>
      <w:r>
        <w:t xml:space="preserve">include significant strategies, combination </w:t>
      </w:r>
      <w:r>
        <w:t>flavours</w:t>
      </w:r>
      <w:r>
        <w:t>, and vanguard presentations. By organi</w:t>
      </w:r>
      <w:r>
        <w:t>s</w:t>
      </w:r>
      <w:r>
        <w:t xml:space="preserve">ing </w:t>
      </w:r>
      <w:r>
        <w:t>an</w:t>
      </w:r>
      <w:r>
        <w:t xml:space="preserve"> arrange that acclaims creativity and trial and mistake, the event turns into an impulse for culinary designs. Drawing in individuals with novel thoughts and distinctive experiences pushes the include as a </w:t>
      </w:r>
      <w:r>
        <w:t>hub</w:t>
      </w:r>
      <w:r>
        <w:t xml:space="preserve"> </w:t>
      </w:r>
      <w:r>
        <w:t xml:space="preserve">for </w:t>
      </w:r>
      <w:r>
        <w:t xml:space="preserve">the </w:t>
      </w:r>
      <w:r>
        <w:t>state of craftsmanship gastronomic advancements. </w:t>
      </w:r>
    </w:p>
    <w:p w14:paraId="00000053">
      <w:pPr>
        <w:rPr>
          <w:b/>
          <w:bCs/>
        </w:rPr>
      </w:pPr>
      <w:r>
        <w:rPr>
          <w:b/>
          <w:bCs/>
        </w:rPr>
        <w:t>Enhance Culinary Education:</w:t>
      </w:r>
    </w:p>
    <w:p w14:paraId="00000054">
      <w:pPr>
        <w:spacing w:before="120" w:after="120" w:line="360" w:lineRule="auto"/>
        <w:rPr/>
      </w:pPr>
      <w:r>
        <w:t xml:space="preserve">Updating culinary tutoring at the Worldwide Culinary Highlight incorporates a </w:t>
      </w:r>
      <w:r>
        <w:t>different</w:t>
      </w:r>
      <w:r>
        <w:t xml:space="preserve"> strategy. Prestigious gourmet </w:t>
      </w:r>
      <w:r>
        <w:t>chefs</w:t>
      </w:r>
      <w:r>
        <w:t xml:space="preserve"> </w:t>
      </w:r>
      <w:r>
        <w:t xml:space="preserve">have instructive gatherings, burrowing into distinctive </w:t>
      </w:r>
      <w:r>
        <w:t>around-the-world</w:t>
      </w:r>
      <w:r>
        <w:t xml:space="preserve"> cooking styles, culinary procedures, and social nuances. Shrewdly </w:t>
      </w:r>
      <w:r>
        <w:t>Studios</w:t>
      </w:r>
      <w:r>
        <w:t xml:space="preserve"> </w:t>
      </w:r>
      <w:r>
        <w:t>empowers</w:t>
      </w:r>
      <w:r>
        <w:t xml:space="preserve"> members to refine their culinary capacities. By empowering a learning </w:t>
      </w:r>
      <w:r>
        <w:t>environment</w:t>
      </w:r>
      <w:r>
        <w:t xml:space="preserve">, the event turns into a culinary establishment, giving data and persuading a more significant appreciation for the make of gastronomy. Culinary </w:t>
      </w:r>
      <w:r>
        <w:t>preparation</w:t>
      </w:r>
      <w:r>
        <w:t xml:space="preserve"> is raised as individuals take off on </w:t>
      </w:r>
      <w:r>
        <w:t>a</w:t>
      </w:r>
      <w:r>
        <w:t xml:space="preserve"> progressing trip of disclosure. </w:t>
      </w:r>
    </w:p>
    <w:p w14:paraId="00000055">
      <w:pPr>
        <w:pStyle w:val="Heading1"/>
        <w:numPr>
          <w:ilvl w:val="0"/>
          <w:numId w:val="0"/>
        </w:numPr>
        <w:ind w:left="360"/>
        <w:rPr/>
      </w:pPr>
      <w:bookmarkStart w:id="7" w:name="_Toc157595089"/>
      <w:r>
        <w:t>6.</w:t>
      </w:r>
      <w:r>
        <w:t xml:space="preserve"> </w:t>
      </w:r>
      <w:r>
        <w:t>Event Operations: Skills and Resources for the Gastronomic Grandeur Affair</w:t>
      </w:r>
      <w:bookmarkEnd w:id="7"/>
    </w:p>
    <w:p w14:paraId="00000056">
      <w:pPr>
        <w:rPr>
          <w:b/>
          <w:bCs/>
        </w:rPr>
      </w:pPr>
      <w:r>
        <w:rPr>
          <w:b/>
          <w:bCs/>
        </w:rPr>
        <w:t>Culinary Expertise:</w:t>
      </w:r>
      <w:r>
        <w:rPr>
          <w:b/>
          <w:bCs/>
        </w:rPr>
        <w:t xml:space="preserve"> </w:t>
      </w:r>
    </w:p>
    <w:p w14:paraId="00000057">
      <w:pPr>
        <w:spacing w:before="120" w:after="120" w:line="360" w:lineRule="auto"/>
        <w:rPr/>
      </w:pPr>
      <w:r>
        <w:rPr>
          <w:b/>
          <w:bCs/>
        </w:rPr>
        <w:t>Capacities:</w:t>
      </w:r>
      <w:r>
        <w:t xml:space="preserve"> Skilled </w:t>
      </w:r>
      <w:r>
        <w:t>chef</w:t>
      </w:r>
      <w:r>
        <w:t xml:space="preserve"> </w:t>
      </w:r>
      <w:r>
        <w:t xml:space="preserve">specialists competent </w:t>
      </w:r>
      <w:r>
        <w:t xml:space="preserve">in </w:t>
      </w:r>
      <w:r>
        <w:t xml:space="preserve">different cooking styles, </w:t>
      </w:r>
      <w:r>
        <w:t>culinary techniques</w:t>
      </w:r>
      <w:r>
        <w:t xml:space="preserve">, and </w:t>
      </w:r>
      <w:r>
        <w:t>appearance</w:t>
      </w:r>
      <w:r>
        <w:t>.</w:t>
      </w:r>
    </w:p>
    <w:p w14:paraId="00000058">
      <w:pPr>
        <w:spacing w:before="120" w:after="120" w:line="360" w:lineRule="auto"/>
        <w:rPr/>
      </w:pPr>
      <w:r>
        <w:rPr>
          <w:b/>
          <w:bCs/>
        </w:rPr>
        <w:t>Resources:</w:t>
      </w:r>
      <w:r>
        <w:t xml:space="preserve"> Connect powers with </w:t>
      </w:r>
      <w:r>
        <w:t>renowned chefs</w:t>
      </w:r>
      <w:r>
        <w:t xml:space="preserve">, culinary schools, and industry </w:t>
      </w:r>
      <w:r>
        <w:t>experts</w:t>
      </w:r>
      <w:r>
        <w:t>. </w:t>
      </w:r>
    </w:p>
    <w:p w14:paraId="00000059">
      <w:pPr>
        <w:rPr>
          <w:b/>
          <w:bCs/>
        </w:rPr>
      </w:pPr>
      <w:r>
        <w:rPr>
          <w:b/>
          <w:bCs/>
        </w:rPr>
        <w:t>Logistics and Coordination:</w:t>
      </w:r>
    </w:p>
    <w:p w14:paraId="0000005A">
      <w:pPr>
        <w:spacing w:before="120" w:after="120" w:line="360" w:lineRule="auto"/>
        <w:rPr/>
      </w:pPr>
      <w:r>
        <w:rPr>
          <w:b/>
          <w:bCs/>
        </w:rPr>
        <w:t>Capacities:</w:t>
      </w:r>
      <w:r>
        <w:t xml:space="preserve"> Strong definitive and calculated capacities for steady event execution.</w:t>
      </w:r>
    </w:p>
    <w:p w14:paraId="0000005B">
      <w:pPr>
        <w:spacing w:before="120" w:after="120" w:line="360" w:lineRule="auto"/>
        <w:rPr/>
      </w:pPr>
      <w:r>
        <w:rPr>
          <w:b/>
          <w:bCs/>
        </w:rPr>
        <w:t>Resources:</w:t>
      </w:r>
      <w:r>
        <w:t xml:space="preserve"> Given event </w:t>
      </w:r>
      <w:r>
        <w:t>coordinators</w:t>
      </w:r>
      <w:r>
        <w:t xml:space="preserve">, </w:t>
      </w:r>
      <w:r>
        <w:t>logistics teams</w:t>
      </w:r>
      <w:r>
        <w:t xml:space="preserve">, and </w:t>
      </w:r>
      <w:r>
        <w:t xml:space="preserve">technology </w:t>
      </w:r>
      <w:r>
        <w:t>for profitable coordination</w:t>
      </w:r>
      <w:r>
        <w:t xml:space="preserve"> </w:t>
      </w:r>
      <w:r>
        <w:t>(Faulkner, 2020)</w:t>
      </w:r>
      <w:r>
        <w:t>. </w:t>
      </w:r>
    </w:p>
    <w:p w14:paraId="0000005C">
      <w:pPr>
        <w:rPr>
          <w:b/>
          <w:bCs/>
        </w:rPr>
      </w:pPr>
      <w:r>
        <w:rPr>
          <w:b/>
          <w:bCs/>
        </w:rPr>
        <w:t>Venue Management:</w:t>
      </w:r>
      <w:r>
        <w:rPr>
          <w:b/>
          <w:bCs/>
        </w:rPr>
        <w:t xml:space="preserve"> </w:t>
      </w:r>
    </w:p>
    <w:p w14:paraId="0000005D">
      <w:pPr>
        <w:spacing w:before="120" w:after="120" w:line="360" w:lineRule="auto"/>
        <w:rPr/>
      </w:pPr>
      <w:r>
        <w:rPr>
          <w:b/>
          <w:bCs/>
        </w:rPr>
        <w:t>Capacities:</w:t>
      </w:r>
      <w:r>
        <w:t xml:space="preserve"> Authority in setting assurance, course of action, and </w:t>
      </w:r>
      <w:r>
        <w:t>management</w:t>
      </w:r>
      <w:r>
        <w:t>.</w:t>
      </w:r>
    </w:p>
    <w:p w14:paraId="0000005E">
      <w:pPr>
        <w:spacing w:before="120" w:after="120" w:line="360" w:lineRule="auto"/>
        <w:rPr/>
      </w:pPr>
      <w:r>
        <w:rPr>
          <w:b/>
          <w:bCs/>
        </w:rPr>
        <w:t>Resources:</w:t>
      </w:r>
      <w:r>
        <w:t xml:space="preserve"> Group up with the </w:t>
      </w:r>
      <w:r>
        <w:t xml:space="preserve">management </w:t>
      </w:r>
      <w:r>
        <w:t xml:space="preserve">specialists and ensure </w:t>
      </w:r>
      <w:r>
        <w:t>a</w:t>
      </w:r>
      <w:r>
        <w:t xml:space="preserve"> remarkable culinary space. </w:t>
      </w:r>
    </w:p>
    <w:p w14:paraId="0000005F">
      <w:pPr>
        <w:rPr>
          <w:b/>
          <w:bCs/>
        </w:rPr>
      </w:pPr>
      <w:r>
        <w:rPr>
          <w:b/>
          <w:bCs/>
        </w:rPr>
        <w:t>Marketing and Promotion:</w:t>
      </w:r>
    </w:p>
    <w:p w14:paraId="00000060">
      <w:pPr>
        <w:spacing w:before="120" w:after="120" w:line="360" w:lineRule="auto"/>
        <w:rPr/>
      </w:pPr>
      <w:r>
        <w:rPr>
          <w:b/>
          <w:bCs/>
        </w:rPr>
        <w:t>Capacities:</w:t>
      </w:r>
      <w:r>
        <w:t xml:space="preserve"> </w:t>
      </w:r>
      <w:r>
        <w:t xml:space="preserve">Marketing </w:t>
      </w:r>
      <w:r>
        <w:t xml:space="preserve">and </w:t>
      </w:r>
      <w:r>
        <w:t xml:space="preserve">promotional </w:t>
      </w:r>
      <w:r>
        <w:t xml:space="preserve">capacities to create </w:t>
      </w:r>
      <w:r>
        <w:t xml:space="preserve">awareness </w:t>
      </w:r>
      <w:r>
        <w:t xml:space="preserve">and </w:t>
      </w:r>
      <w:r>
        <w:t>attract attendees</w:t>
      </w:r>
      <w:r>
        <w:t>.</w:t>
      </w:r>
    </w:p>
    <w:p w14:paraId="00000061">
      <w:pPr>
        <w:spacing w:before="120" w:after="120" w:line="360" w:lineRule="auto"/>
        <w:rPr/>
      </w:pPr>
      <w:r>
        <w:rPr>
          <w:b/>
          <w:bCs/>
        </w:rPr>
        <w:t>Resources:</w:t>
      </w:r>
      <w:r>
        <w:t xml:space="preserve"> </w:t>
      </w:r>
      <w:r>
        <w:t xml:space="preserve">Marketing </w:t>
      </w:r>
      <w:r>
        <w:t>team</w:t>
      </w:r>
      <w:r>
        <w:t xml:space="preserve">, </w:t>
      </w:r>
      <w:r>
        <w:t>social media platforms</w:t>
      </w:r>
      <w:r>
        <w:t xml:space="preserve">, and </w:t>
      </w:r>
      <w:r>
        <w:t xml:space="preserve">partnerships </w:t>
      </w:r>
      <w:r>
        <w:t>for practical headway. </w:t>
      </w:r>
    </w:p>
    <w:p w14:paraId="00000062">
      <w:pPr>
        <w:rPr>
          <w:b/>
          <w:bCs/>
        </w:rPr>
      </w:pPr>
      <w:r>
        <w:rPr>
          <w:b/>
          <w:bCs/>
        </w:rPr>
        <w:t>Hospitality and Guest Services:</w:t>
      </w:r>
    </w:p>
    <w:p w14:paraId="00000063">
      <w:pPr>
        <w:spacing w:before="120" w:after="120" w:line="360" w:lineRule="auto"/>
        <w:rPr/>
      </w:pPr>
      <w:r>
        <w:rPr>
          <w:b/>
          <w:bCs/>
        </w:rPr>
        <w:t>Capacities:</w:t>
      </w:r>
      <w:r>
        <w:t xml:space="preserve"> Friendliness to the board abilities for participant </w:t>
      </w:r>
      <w:r>
        <w:t>satisfaction</w:t>
      </w:r>
      <w:r>
        <w:t>.</w:t>
      </w:r>
    </w:p>
    <w:p w14:paraId="00000064">
      <w:pPr>
        <w:spacing w:before="120" w:after="120" w:line="360" w:lineRule="auto"/>
        <w:rPr/>
      </w:pPr>
      <w:r>
        <w:rPr>
          <w:b/>
          <w:bCs/>
        </w:rPr>
        <w:t>Resources:</w:t>
      </w:r>
      <w:r>
        <w:t xml:space="preserve"> Prepared </w:t>
      </w:r>
      <w:r>
        <w:t>the</w:t>
      </w:r>
      <w:r>
        <w:t xml:space="preserve"> staff, attendant services, and </w:t>
      </w:r>
      <w:r>
        <w:t>guest</w:t>
      </w:r>
      <w:r>
        <w:t xml:space="preserve"> relations groups.</w:t>
      </w:r>
    </w:p>
    <w:p w14:paraId="00000065">
      <w:pPr>
        <w:rPr>
          <w:b/>
          <w:bCs/>
        </w:rPr>
      </w:pPr>
      <w:r>
        <w:rPr>
          <w:b/>
          <w:bCs/>
        </w:rPr>
        <w:t>Technology Integration:</w:t>
      </w:r>
    </w:p>
    <w:p w14:paraId="00000066">
      <w:pPr>
        <w:spacing w:before="120" w:after="120" w:line="360" w:lineRule="auto"/>
        <w:rPr/>
      </w:pPr>
      <w:r>
        <w:rPr>
          <w:b/>
          <w:bCs/>
        </w:rPr>
        <w:t>Capacities:</w:t>
      </w:r>
      <w:r>
        <w:t xml:space="preserve"> Development </w:t>
      </w:r>
      <w:r>
        <w:t xml:space="preserve">of </w:t>
      </w:r>
      <w:r>
        <w:t xml:space="preserve">the </w:t>
      </w:r>
      <w:r>
        <w:t>t</w:t>
      </w:r>
      <w:r>
        <w:t>echnology</w:t>
      </w:r>
      <w:r>
        <w:t xml:space="preserve"> </w:t>
      </w:r>
      <w:r>
        <w:t>management</w:t>
      </w:r>
      <w:r>
        <w:t xml:space="preserve"> for live shows, virtual components, and event application </w:t>
      </w:r>
      <w:r>
        <w:t>utilisation</w:t>
      </w:r>
      <w:r>
        <w:t>.</w:t>
      </w:r>
    </w:p>
    <w:p w14:paraId="00000067">
      <w:pPr>
        <w:spacing w:before="120" w:after="120" w:line="360" w:lineRule="auto"/>
        <w:rPr/>
      </w:pPr>
      <w:r>
        <w:rPr>
          <w:b/>
          <w:bCs/>
        </w:rPr>
        <w:t>Resources:</w:t>
      </w:r>
      <w:r>
        <w:t xml:space="preserve"> IT specialists, AV adapt, and event advancement stages. </w:t>
      </w:r>
    </w:p>
    <w:p w14:paraId="00000068">
      <w:pPr>
        <w:rPr>
          <w:b/>
          <w:bCs/>
        </w:rPr>
      </w:pPr>
      <w:r>
        <w:rPr>
          <w:b/>
          <w:bCs/>
        </w:rPr>
        <w:t>Financial Management:</w:t>
      </w:r>
    </w:p>
    <w:p w14:paraId="00000069">
      <w:pPr>
        <w:spacing w:before="120" w:after="120" w:line="360" w:lineRule="auto"/>
        <w:rPr/>
      </w:pPr>
      <w:r>
        <w:rPr>
          <w:b/>
          <w:bCs/>
        </w:rPr>
        <w:t>Capacities:</w:t>
      </w:r>
      <w:r>
        <w:t xml:space="preserve"> </w:t>
      </w:r>
      <w:r>
        <w:t>F</w:t>
      </w:r>
      <w:r>
        <w:t>inancial</w:t>
      </w:r>
      <w:r>
        <w:t xml:space="preserve"> preparation, Planning</w:t>
      </w:r>
      <w:r>
        <w:t>, and cost control.</w:t>
      </w:r>
    </w:p>
    <w:p w14:paraId="0000006A">
      <w:pPr>
        <w:spacing w:before="120" w:after="120" w:line="360" w:lineRule="auto"/>
        <w:rPr/>
      </w:pPr>
      <w:r>
        <w:rPr>
          <w:b/>
          <w:bCs/>
        </w:rPr>
        <w:t>Resources:</w:t>
      </w:r>
      <w:r>
        <w:t xml:space="preserve"> Monetary specialists, bookkeepers, and a </w:t>
      </w:r>
      <w:r>
        <w:t>proper</w:t>
      </w:r>
      <w:r>
        <w:t xml:space="preserve"> monetary arrangement.</w:t>
      </w:r>
    </w:p>
    <w:p w14:paraId="0000006B">
      <w:pPr>
        <w:rPr>
          <w:b/>
          <w:bCs/>
        </w:rPr>
      </w:pPr>
      <w:r>
        <w:rPr>
          <w:b/>
          <w:bCs/>
        </w:rPr>
        <w:t>Safety and Security:</w:t>
      </w:r>
    </w:p>
    <w:p w14:paraId="0000006C">
      <w:pPr>
        <w:spacing w:before="120" w:after="120" w:line="360" w:lineRule="auto"/>
        <w:rPr/>
      </w:pPr>
      <w:r>
        <w:rPr>
          <w:b/>
          <w:bCs/>
        </w:rPr>
        <w:t>Capacities:</w:t>
      </w:r>
      <w:r>
        <w:t xml:space="preserve"> Emergency availability, swarm control, and prosperity and security fitness.</w:t>
      </w:r>
    </w:p>
    <w:p w14:paraId="0000006D">
      <w:pPr>
        <w:spacing w:before="120" w:after="120" w:line="360" w:lineRule="auto"/>
        <w:rPr/>
      </w:pPr>
      <w:r>
        <w:rPr>
          <w:b/>
          <w:bCs/>
        </w:rPr>
        <w:t>Resources:</w:t>
      </w:r>
      <w:r>
        <w:t xml:space="preserve"> Security work constrains clinical staff and participation with </w:t>
      </w:r>
      <w:r>
        <w:t>local</w:t>
      </w:r>
      <w:r>
        <w:t xml:space="preserve"> </w:t>
      </w:r>
      <w:r>
        <w:t>authorities</w:t>
      </w:r>
      <w:r>
        <w:t xml:space="preserve"> (Wilson-Mah, 2023)</w:t>
      </w:r>
      <w:r>
        <w:t>. </w:t>
      </w:r>
    </w:p>
    <w:p w14:paraId="0000006E">
      <w:pPr>
        <w:rPr>
          <w:b/>
          <w:bCs/>
        </w:rPr>
      </w:pPr>
      <w:r>
        <w:rPr>
          <w:b/>
          <w:bCs/>
        </w:rPr>
        <w:t>Supplier and Vendor Management:</w:t>
      </w:r>
    </w:p>
    <w:p w14:paraId="0000006F">
      <w:pPr>
        <w:spacing w:before="120" w:after="120" w:line="360" w:lineRule="auto"/>
        <w:rPr/>
      </w:pPr>
      <w:r>
        <w:rPr>
          <w:b/>
          <w:bCs/>
        </w:rPr>
        <w:t>Capacities:</w:t>
      </w:r>
      <w:r>
        <w:t xml:space="preserve"> </w:t>
      </w:r>
      <w:r>
        <w:t>Negotiation</w:t>
      </w:r>
      <w:r>
        <w:t xml:space="preserve"> </w:t>
      </w:r>
      <w:r>
        <w:t xml:space="preserve">capacities, </w:t>
      </w:r>
      <w:r>
        <w:t>contracts</w:t>
      </w:r>
      <w:r>
        <w:t xml:space="preserve"> </w:t>
      </w:r>
      <w:r>
        <w:t xml:space="preserve">with </w:t>
      </w:r>
      <w:r>
        <w:t>the officials, and relationship building.</w:t>
      </w:r>
    </w:p>
    <w:p w14:paraId="00000070">
      <w:pPr>
        <w:spacing w:before="120" w:after="120" w:line="360" w:lineRule="auto"/>
        <w:rPr/>
      </w:pPr>
      <w:r>
        <w:rPr>
          <w:b/>
          <w:bCs/>
        </w:rPr>
        <w:t>Resources:</w:t>
      </w:r>
      <w:r>
        <w:t xml:space="preserve"> Trusted in suppliers for fixings, equipment, and participation with </w:t>
      </w:r>
      <w:r>
        <w:t>local</w:t>
      </w:r>
      <w:r>
        <w:t xml:space="preserve"> </w:t>
      </w:r>
      <w:r>
        <w:t>dealers. </w:t>
      </w:r>
    </w:p>
    <w:p w14:paraId="00000071">
      <w:pPr>
        <w:rPr>
          <w:b/>
          <w:bCs/>
        </w:rPr>
      </w:pPr>
      <w:r>
        <w:rPr>
          <w:b/>
          <w:bCs/>
        </w:rPr>
        <w:t>Creativity and Innovation:</w:t>
      </w:r>
    </w:p>
    <w:p w14:paraId="00000072">
      <w:pPr>
        <w:spacing w:before="120" w:after="120" w:line="360" w:lineRule="auto"/>
        <w:rPr/>
      </w:pPr>
      <w:r>
        <w:rPr>
          <w:b/>
          <w:bCs/>
        </w:rPr>
        <w:t>Capacities:</w:t>
      </w:r>
      <w:r>
        <w:t xml:space="preserve"> Inventive </w:t>
      </w:r>
      <w:r>
        <w:t>events</w:t>
      </w:r>
      <w:r>
        <w:t>, topical planning, and inventive programming.</w:t>
      </w:r>
    </w:p>
    <w:p w14:paraId="00000073">
      <w:pPr>
        <w:spacing w:before="120" w:after="120" w:line="360" w:lineRule="auto"/>
        <w:rPr/>
      </w:pPr>
      <w:r>
        <w:rPr>
          <w:b/>
          <w:bCs/>
        </w:rPr>
        <w:t>Resources:</w:t>
      </w:r>
      <w:r>
        <w:t xml:space="preserve"> Event organi</w:t>
      </w:r>
      <w:r>
        <w:t>s</w:t>
      </w:r>
      <w:r>
        <w:t xml:space="preserve">ers, inventive </w:t>
      </w:r>
      <w:r>
        <w:t>groups</w:t>
      </w:r>
      <w:r>
        <w:t xml:space="preserve">, and joint exertion with </w:t>
      </w:r>
      <w:r>
        <w:t>artists</w:t>
      </w:r>
      <w:r>
        <w:t xml:space="preserve"> and performers. </w:t>
      </w:r>
    </w:p>
    <w:p w14:paraId="00000074">
      <w:pPr>
        <w:rPr>
          <w:b/>
          <w:bCs/>
        </w:rPr>
      </w:pPr>
      <w:r>
        <w:rPr>
          <w:b/>
          <w:bCs/>
        </w:rPr>
        <w:t>Communication and Public Relations:</w:t>
      </w:r>
    </w:p>
    <w:p w14:paraId="00000075">
      <w:pPr>
        <w:spacing w:before="120" w:after="120" w:line="360" w:lineRule="auto"/>
        <w:rPr/>
      </w:pPr>
      <w:r>
        <w:rPr>
          <w:b/>
          <w:bCs/>
        </w:rPr>
        <w:t>Capacities:</w:t>
      </w:r>
      <w:r>
        <w:t xml:space="preserve"> Effective correspondence, media relations, and crisis the administrators.</w:t>
      </w:r>
    </w:p>
    <w:p w14:paraId="00000076">
      <w:pPr>
        <w:spacing w:before="120" w:after="120" w:line="360" w:lineRule="auto"/>
        <w:rPr/>
      </w:pPr>
      <w:r>
        <w:rPr>
          <w:b/>
          <w:bCs/>
        </w:rPr>
        <w:t>Resources:</w:t>
      </w:r>
      <w:r>
        <w:t xml:space="preserve"> PR specialists, media organi</w:t>
      </w:r>
      <w:r>
        <w:t>s</w:t>
      </w:r>
      <w:r>
        <w:t xml:space="preserve">ations, and a </w:t>
      </w:r>
      <w:r>
        <w:t>communication</w:t>
      </w:r>
      <w:r>
        <w:t xml:space="preserve"> </w:t>
      </w:r>
      <w:r>
        <w:t>arrange.</w:t>
      </w:r>
    </w:p>
    <w:p w14:paraId="00000077">
      <w:pPr>
        <w:rPr>
          <w:b/>
          <w:bCs/>
        </w:rPr>
      </w:pPr>
      <w:r>
        <w:rPr>
          <w:b/>
          <w:bCs/>
        </w:rPr>
        <w:t>Data Analysis and Evaluation:</w:t>
      </w:r>
    </w:p>
    <w:p w14:paraId="00000078">
      <w:pPr>
        <w:spacing w:before="120" w:after="120" w:line="360" w:lineRule="auto"/>
        <w:rPr/>
      </w:pPr>
      <w:r>
        <w:rPr>
          <w:b/>
          <w:bCs/>
        </w:rPr>
        <w:t>Capacities:</w:t>
      </w:r>
      <w:r>
        <w:t xml:space="preserve"> Logical capacities for post-</w:t>
      </w:r>
      <w:r>
        <w:t>event</w:t>
      </w:r>
      <w:r>
        <w:t xml:space="preserve"> </w:t>
      </w:r>
      <w:r>
        <w:t xml:space="preserve">data </w:t>
      </w:r>
      <w:r>
        <w:t>analysis</w:t>
      </w:r>
      <w:r>
        <w:t xml:space="preserve"> </w:t>
      </w:r>
      <w:r>
        <w:t>and appraisal.</w:t>
      </w:r>
    </w:p>
    <w:p w14:paraId="00000079">
      <w:pPr>
        <w:spacing w:before="120" w:after="120" w:line="360" w:lineRule="auto"/>
        <w:rPr/>
      </w:pPr>
      <w:r>
        <w:rPr>
          <w:b/>
          <w:bCs/>
        </w:rPr>
        <w:t>Resources:</w:t>
      </w:r>
      <w:r>
        <w:t xml:space="preserve"> Data analysts, surveys, and input rebellious for consistent enhancement.</w:t>
      </w:r>
    </w:p>
    <w:p w14:paraId="0000007A">
      <w:pPr>
        <w:pStyle w:val="Heading1"/>
        <w:numPr>
          <w:ilvl w:val="0"/>
          <w:numId w:val="0"/>
        </w:numPr>
        <w:rPr/>
      </w:pPr>
      <w:bookmarkStart w:id="8" w:name="_Toc157595090"/>
      <w:r>
        <w:t>7.</w:t>
      </w:r>
      <w:r>
        <w:t xml:space="preserve"> </w:t>
      </w:r>
      <w:r>
        <w:t>Event Budget: Gastronomic Grandeur Affair</w:t>
      </w:r>
      <w:bookmarkEnd w:id="8"/>
    </w:p>
    <w:p w14:paraId="0000007B">
      <w:pPr>
        <w:rPr>
          <w:b/>
          <w:bCs/>
        </w:rPr>
      </w:pPr>
      <w:r>
        <w:rPr>
          <w:b/>
          <w:bCs/>
        </w:rPr>
        <w:t>Income:</w:t>
      </w:r>
    </w:p>
    <w:p w14:paraId="0000007C">
      <w:pPr>
        <w:spacing w:before="120" w:after="120" w:line="360" w:lineRule="auto"/>
        <w:rPr/>
      </w:pPr>
      <w:r>
        <w:t xml:space="preserve">The </w:t>
      </w:r>
      <w:r>
        <w:t>income</w:t>
      </w:r>
      <w:r>
        <w:t xml:space="preserve"> </w:t>
      </w:r>
      <w:r>
        <w:t xml:space="preserve">for the Gastronomic </w:t>
      </w:r>
      <w:r>
        <w:t>Grandeur Affair</w:t>
      </w:r>
      <w:r>
        <w:t xml:space="preserve"> is anticipated through arranged pay streams. Ticket </w:t>
      </w:r>
      <w:r>
        <w:t>sales</w:t>
      </w:r>
      <w:r>
        <w:t xml:space="preserve">, corporate sponsorships, dealer charges, </w:t>
      </w:r>
      <w:r>
        <w:t>merchandise</w:t>
      </w:r>
      <w:r>
        <w:t xml:space="preserve"> </w:t>
      </w:r>
      <w:r>
        <w:t>sales</w:t>
      </w:r>
      <w:r>
        <w:t xml:space="preserve">, and </w:t>
      </w:r>
      <w:r>
        <w:t>VIP packages</w:t>
      </w:r>
      <w:r>
        <w:t xml:space="preserve"> include the financial accomplishment. Members purchase passes to induce specific culinary experiences, whereas corporate </w:t>
      </w:r>
      <w:r>
        <w:t>supporters</w:t>
      </w:r>
      <w:r>
        <w:t xml:space="preserve"> line up with the </w:t>
      </w:r>
      <w:r>
        <w:t>event's</w:t>
      </w:r>
      <w:r>
        <w:t xml:space="preserve"> </w:t>
      </w:r>
      <w:r>
        <w:t xml:space="preserve">ethos. </w:t>
      </w:r>
      <w:r>
        <w:t>Vendor fees</w:t>
      </w:r>
      <w:r>
        <w:t xml:space="preserve"> and item bargains offer additional salary, and </w:t>
      </w:r>
      <w:r>
        <w:t>VIP packages</w:t>
      </w:r>
      <w:r>
        <w:t xml:space="preserve"> take special care of those searching for premium experiences. This upgraded pay procedure ensures the </w:t>
      </w:r>
      <w:r>
        <w:t>money-related</w:t>
      </w:r>
      <w:r>
        <w:t xml:space="preserve"> reasonability and result of the gastronomic show. </w:t>
      </w:r>
    </w:p>
    <w:p w14:paraId="0000007D">
      <w:pPr>
        <w:rPr>
          <w:b/>
          <w:bCs/>
        </w:rPr>
      </w:pPr>
      <w:r>
        <w:rPr>
          <w:b/>
          <w:bCs/>
        </w:rPr>
        <w:t>Expenditure:</w:t>
      </w:r>
    </w:p>
    <w:p w14:paraId="0000007E">
      <w:pPr>
        <w:spacing w:before="120" w:after="120" w:line="360" w:lineRule="auto"/>
        <w:rPr/>
      </w:pPr>
      <w:r>
        <w:t>The utili</w:t>
      </w:r>
      <w:r>
        <w:t>s</w:t>
      </w:r>
      <w:r>
        <w:t xml:space="preserve">e </w:t>
      </w:r>
      <w:r>
        <w:t>of</w:t>
      </w:r>
      <w:r>
        <w:t xml:space="preserve"> the Gastronomic </w:t>
      </w:r>
      <w:r>
        <w:t>Grandeur Affair</w:t>
      </w:r>
      <w:r>
        <w:t xml:space="preserve"> consolidates distinctive urgent components to communicate an unmatched culinary experience. The </w:t>
      </w:r>
      <w:r>
        <w:t>largest</w:t>
      </w:r>
      <w:r>
        <w:t xml:space="preserve"> </w:t>
      </w:r>
      <w:r>
        <w:t xml:space="preserve">assignment is for scene rental, ensuring a famous and sensible region for the event. Amazing resources are saved for interfacing </w:t>
      </w:r>
      <w:r>
        <w:t xml:space="preserve">with </w:t>
      </w:r>
      <w:r>
        <w:t xml:space="preserve">generally popular gourmet specialists, getting their participation </w:t>
      </w:r>
      <w:r>
        <w:t>in</w:t>
      </w:r>
      <w:r>
        <w:t xml:space="preserve"> the issue. Facilitated variables, covering transportation, set-up, and event errands, are carefully needed to guarantee a reliable execution</w:t>
      </w:r>
      <w:r>
        <w:t xml:space="preserve"> </w:t>
      </w:r>
      <w:r>
        <w:t>(Ghaderi and Paraskevas, 2021)</w:t>
      </w:r>
      <w:r>
        <w:t xml:space="preserve">. </w:t>
      </w:r>
      <w:r>
        <w:t>They are displaying</w:t>
      </w:r>
      <w:r>
        <w:t xml:space="preserve"> costs </w:t>
      </w:r>
      <w:r>
        <w:t>centred</w:t>
      </w:r>
      <w:r>
        <w:t xml:space="preserve"> around making a solid restricted time campaign through distinctive channels, ensuring </w:t>
      </w:r>
      <w:r>
        <w:t>distance</w:t>
      </w:r>
      <w:r>
        <w:t xml:space="preserve"> and wide mindfulness. Staff pay rates reflect the distinctive capacities required, going from event the officials to culinary dominance.</w:t>
      </w:r>
    </w:p>
    <w:p w14:paraId="0000007F">
      <w:pPr>
        <w:spacing w:before="120" w:after="120" w:line="360" w:lineRule="auto"/>
        <w:rPr/>
      </w:pPr>
      <w:r>
        <w:t xml:space="preserve">Different costs speak to unexpected expenses and conceivable outcomes, keeping up with versatility within the investing </w:t>
      </w:r>
      <w:r>
        <w:t>arrangement</w:t>
      </w:r>
      <w:r>
        <w:t>. The coarse breakdown ensures that each point of view, from culinary diversion plans to member involvement, is thought of</w:t>
      </w:r>
      <w:r>
        <w:t xml:space="preserve"> </w:t>
      </w:r>
      <w:r>
        <w:t xml:space="preserve">(Uysal, Schwartz and </w:t>
      </w:r>
      <w:r>
        <w:t>Sirakaya</w:t>
      </w:r>
      <w:r>
        <w:t>-Turk, 2021)</w:t>
      </w:r>
      <w:r>
        <w:t>.</w:t>
      </w:r>
    </w:p>
    <w:p w14:paraId="00000080">
      <w:pPr>
        <w:spacing w:before="120" w:after="120" w:line="360" w:lineRule="auto"/>
        <w:rPr/>
      </w:pPr>
      <w:r>
        <w:t>This total utili</w:t>
      </w:r>
      <w:r>
        <w:t>s</w:t>
      </w:r>
      <w:r>
        <w:t xml:space="preserve">ation approach is </w:t>
      </w:r>
      <w:r>
        <w:t>aligned</w:t>
      </w:r>
      <w:r>
        <w:t xml:space="preserve"> with the </w:t>
      </w:r>
      <w:r>
        <w:t>event's</w:t>
      </w:r>
      <w:r>
        <w:t xml:space="preserve"> </w:t>
      </w:r>
      <w:r>
        <w:t xml:space="preserve">commitment to significance. It focuses on quality in each highlight, ensuring that resources are conclusively allocated to form a striking and exceptional Gastronomic </w:t>
      </w:r>
      <w:r>
        <w:t>Grandeur Affair</w:t>
      </w:r>
      <w:r>
        <w:t xml:space="preserve">. The investing </w:t>
      </w:r>
      <w:r>
        <w:t>arrangement</w:t>
      </w:r>
      <w:r>
        <w:t xml:space="preserve"> reflects </w:t>
      </w:r>
      <w:r>
        <w:t>financial-related</w:t>
      </w:r>
      <w:r>
        <w:t xml:space="preserve"> reasonability as well as highlights the commitment to passing on an event that outperforms suspicions and sets up a great establishment for itself as a pinnacle within the culinary event </w:t>
      </w:r>
      <w:r>
        <w:t xml:space="preserve">landscape </w:t>
      </w:r>
      <w:r>
        <w:t>(</w:t>
      </w:r>
      <w:r>
        <w:t>Stylos</w:t>
      </w:r>
      <w:r>
        <w:t xml:space="preserve"> et al., 2022)</w:t>
      </w:r>
      <w:r>
        <w:t>.</w:t>
      </w:r>
    </w:p>
    <w:p w14:paraId="00000081">
      <w:pPr>
        <w:rPr>
          <w:b/>
          <w:bCs/>
        </w:rPr>
      </w:pPr>
      <w:r>
        <w:rPr>
          <w:b/>
          <w:bCs/>
        </w:rPr>
        <w:t>Income Generation Strategies:</w:t>
      </w:r>
    </w:p>
    <w:p w14:paraId="00000082">
      <w:pPr>
        <w:spacing w:before="120" w:after="120" w:line="360" w:lineRule="auto"/>
        <w:rPr/>
      </w:pPr>
      <w:r>
        <w:t xml:space="preserve">The Gastronomic </w:t>
      </w:r>
      <w:r>
        <w:t>Grandeur Affair</w:t>
      </w:r>
      <w:r>
        <w:t xml:space="preserve"> utili</w:t>
      </w:r>
      <w:r>
        <w:t>s</w:t>
      </w:r>
      <w:r>
        <w:t xml:space="preserve">es improved pay age frameworks to ensure </w:t>
      </w:r>
      <w:r>
        <w:t>financial</w:t>
      </w:r>
      <w:r>
        <w:t xml:space="preserve"> accomplishment. Ticket </w:t>
      </w:r>
      <w:r>
        <w:t>sales</w:t>
      </w:r>
      <w:r>
        <w:t xml:space="preserve"> </w:t>
      </w:r>
      <w:r>
        <w:t xml:space="preserve">target culinary aficionados searching for select </w:t>
      </w:r>
      <w:r>
        <w:t>get-to</w:t>
      </w:r>
      <w:r>
        <w:t xml:space="preserve">, whereas </w:t>
      </w:r>
      <w:r>
        <w:t xml:space="preserve">corporate sponsorships impact </w:t>
      </w:r>
      <w:r>
        <w:t>the brand's</w:t>
      </w:r>
      <w:r>
        <w:t xml:space="preserve"> course of action. </w:t>
      </w:r>
      <w:r>
        <w:t>Vendor fees</w:t>
      </w:r>
      <w:r>
        <w:t xml:space="preserve"> outfit culinary accessories with </w:t>
      </w:r>
      <w:r>
        <w:t>an</w:t>
      </w:r>
      <w:r>
        <w:t xml:space="preserve"> </w:t>
      </w:r>
      <w:r>
        <w:t>arrangement</w:t>
      </w:r>
      <w:r>
        <w:t xml:space="preserve"> to include commitments and product </w:t>
      </w:r>
      <w:r>
        <w:t>deal</w:t>
      </w:r>
      <w:r>
        <w:t xml:space="preserve"> </w:t>
      </w:r>
      <w:r>
        <w:t>advantages</w:t>
      </w:r>
      <w:r>
        <w:t xml:space="preserve"> from event stamping. </w:t>
      </w:r>
      <w:r>
        <w:t>VIP packages</w:t>
      </w:r>
      <w:r>
        <w:t xml:space="preserve"> pay attention </w:t>
      </w:r>
      <w:r>
        <w:t>to</w:t>
      </w:r>
      <w:r>
        <w:t xml:space="preserve"> those needing premium experiences. This different technique guarantees pay streams from diverse sources as well as makes strides </w:t>
      </w:r>
      <w:r>
        <w:t xml:space="preserve">in </w:t>
      </w:r>
      <w:r>
        <w:t xml:space="preserve">the </w:t>
      </w:r>
      <w:r>
        <w:t>event's</w:t>
      </w:r>
      <w:r>
        <w:t xml:space="preserve"> </w:t>
      </w:r>
      <w:r>
        <w:t>financial</w:t>
      </w:r>
      <w:r>
        <w:t xml:space="preserve"> </w:t>
      </w:r>
      <w:r>
        <w:t>flexibility</w:t>
      </w:r>
      <w:r>
        <w:t xml:space="preserve">. The </w:t>
      </w:r>
      <w:r>
        <w:t>income</w:t>
      </w:r>
      <w:r>
        <w:t xml:space="preserve"> strategies are carefully made to line up with the </w:t>
      </w:r>
      <w:r>
        <w:t>event's</w:t>
      </w:r>
      <w:r>
        <w:t xml:space="preserve"> </w:t>
      </w:r>
      <w:r>
        <w:t>targets and pass on a gastronomic experience that rises over presumptions. </w:t>
      </w:r>
      <w:r>
        <w:t> </w:t>
      </w:r>
    </w:p>
    <w:p w14:paraId="00000083">
      <w:pPr>
        <w:pStyle w:val="Heading1"/>
        <w:numPr>
          <w:ilvl w:val="0"/>
          <w:numId w:val="0"/>
        </w:numPr>
        <w:rPr/>
      </w:pPr>
      <w:bookmarkStart w:id="9" w:name="_Toc157595091"/>
      <w:r>
        <w:t>8.</w:t>
      </w:r>
      <w:r>
        <w:t xml:space="preserve"> </w:t>
      </w:r>
      <w:r>
        <w:t>Industry Trends Linked to Meetings/Events:</w:t>
      </w:r>
      <w:bookmarkEnd w:id="9"/>
    </w:p>
    <w:p w14:paraId="00000084">
      <w:pPr>
        <w:rPr>
          <w:b/>
          <w:bCs/>
        </w:rPr>
      </w:pPr>
      <w:r>
        <w:rPr>
          <w:b/>
          <w:bCs/>
        </w:rPr>
        <w:t>Hybrid Events:</w:t>
      </w:r>
    </w:p>
    <w:p w14:paraId="00000085">
      <w:pPr>
        <w:spacing w:before="120" w:after="120" w:line="360" w:lineRule="auto"/>
        <w:rPr/>
      </w:pPr>
      <w:r>
        <w:rPr>
          <w:b/>
          <w:bCs/>
        </w:rPr>
        <w:t>Design:</w:t>
      </w:r>
      <w:r>
        <w:t xml:space="preserve"> </w:t>
      </w:r>
      <w:r>
        <w:t xml:space="preserve">The compromise of virtual and in-person parts to oblige a </w:t>
      </w:r>
      <w:r>
        <w:t>broader</w:t>
      </w:r>
      <w:r>
        <w:t xml:space="preserve"> swarm.</w:t>
      </w:r>
    </w:p>
    <w:p w14:paraId="00000086">
      <w:pPr>
        <w:rPr>
          <w:b/>
          <w:bCs/>
        </w:rPr>
      </w:pPr>
      <w:r>
        <w:rPr>
          <w:b/>
          <w:bCs/>
        </w:rPr>
        <w:t xml:space="preserve">Impact on Gastronomic </w:t>
      </w:r>
      <w:r>
        <w:rPr>
          <w:b/>
          <w:bCs/>
        </w:rPr>
        <w:t>Grandeur Affair</w:t>
      </w:r>
      <w:r>
        <w:rPr>
          <w:b/>
          <w:bCs/>
        </w:rPr>
        <w:t>:</w:t>
      </w:r>
      <w:r>
        <w:rPr>
          <w:b/>
          <w:bCs/>
        </w:rPr>
        <w:t xml:space="preserve"> </w:t>
      </w:r>
      <w:r>
        <w:t xml:space="preserve">Consider uniting virtual experiences, live spilling culinary master showings, and online commitment choices for </w:t>
      </w:r>
      <w:r>
        <w:t>far-off</w:t>
      </w:r>
      <w:r>
        <w:t xml:space="preserve"> individuals.</w:t>
      </w:r>
    </w:p>
    <w:p w14:paraId="00000087">
      <w:pPr>
        <w:rPr>
          <w:b/>
          <w:bCs/>
        </w:rPr>
      </w:pPr>
      <w:r>
        <w:rPr>
          <w:b/>
          <w:bCs/>
        </w:rPr>
        <w:t>Reasonability and Green Events:</w:t>
      </w:r>
    </w:p>
    <w:p w14:paraId="00000088">
      <w:pPr>
        <w:spacing w:before="120" w:after="120" w:line="360" w:lineRule="auto"/>
        <w:rPr/>
      </w:pPr>
      <w:r>
        <w:rPr>
          <w:b/>
          <w:bCs/>
        </w:rPr>
        <w:t>Design:</w:t>
      </w:r>
      <w:r>
        <w:t xml:space="preserve"> </w:t>
      </w:r>
      <w:r>
        <w:t xml:space="preserve">Extending emphasis on eco-accommodating hones and sensible </w:t>
      </w:r>
      <w:r>
        <w:t>events</w:t>
      </w:r>
      <w:r>
        <w:t xml:space="preserve"> </w:t>
      </w:r>
      <w:r>
        <w:t xml:space="preserve">for </w:t>
      </w:r>
      <w:r>
        <w:t>the administrators.</w:t>
      </w:r>
    </w:p>
    <w:p w14:paraId="00000089">
      <w:pPr>
        <w:spacing w:before="120" w:after="120" w:line="360" w:lineRule="auto"/>
        <w:rPr/>
      </w:pPr>
      <w:r>
        <w:rPr>
          <w:b/>
          <w:bCs/>
        </w:rPr>
        <w:t xml:space="preserve">Impact on Gastronomic </w:t>
      </w:r>
      <w:r>
        <w:rPr>
          <w:b/>
          <w:bCs/>
        </w:rPr>
        <w:t>Grandeur Affair</w:t>
      </w:r>
      <w:r>
        <w:t>:</w:t>
      </w:r>
      <w:r>
        <w:t xml:space="preserve"> </w:t>
      </w:r>
      <w:r>
        <w:t xml:space="preserve">Execute viable </w:t>
      </w:r>
      <w:r>
        <w:t>homes in</w:t>
      </w:r>
      <w:r>
        <w:t xml:space="preserve"> getting, waste the officials, and event arrangement, lining up with the creating consideration to characteristic commitment</w:t>
      </w:r>
      <w:r>
        <w:t xml:space="preserve"> (Ghaderi and Paraskevas, 2021)</w:t>
      </w:r>
      <w:r>
        <w:t>.</w:t>
      </w:r>
    </w:p>
    <w:p w14:paraId="0000008A">
      <w:pPr>
        <w:rPr>
          <w:b/>
          <w:bCs/>
        </w:rPr>
      </w:pPr>
      <w:r>
        <w:rPr>
          <w:b/>
          <w:bCs/>
        </w:rPr>
        <w:t>Tech Consolidation for Commitment:</w:t>
      </w:r>
    </w:p>
    <w:p w14:paraId="0000008B">
      <w:pPr>
        <w:spacing w:before="120" w:after="120" w:line="360" w:lineRule="auto"/>
        <w:rPr/>
      </w:pPr>
      <w:r>
        <w:rPr>
          <w:b/>
          <w:bCs/>
        </w:rPr>
        <w:t>Design:</w:t>
      </w:r>
      <w:r>
        <w:t xml:space="preserve"> </w:t>
      </w:r>
      <w:r>
        <w:t>Utilizing advancement for instinctive experiences, virtual frameworks organization, and member commitment.</w:t>
      </w:r>
    </w:p>
    <w:p w14:paraId="0000008C">
      <w:pPr>
        <w:spacing w:before="120" w:after="120" w:line="360" w:lineRule="auto"/>
        <w:rPr/>
      </w:pPr>
      <w:r>
        <w:rPr>
          <w:b/>
          <w:bCs/>
        </w:rPr>
        <w:t>Impact on Gastronomic Grandeur Affair</w:t>
      </w:r>
      <w:r>
        <w:rPr>
          <w:b/>
          <w:bCs/>
        </w:rPr>
        <w:t>:</w:t>
      </w:r>
      <w:r>
        <w:t xml:space="preserve"> </w:t>
      </w:r>
      <w:r>
        <w:t>Consolidate event applications, virtual amusement associations, and expanded reality components to overhaul member commitment amid culinary experiences.</w:t>
      </w:r>
    </w:p>
    <w:p w14:paraId="0000008D">
      <w:pPr>
        <w:rPr>
          <w:b/>
          <w:bCs/>
        </w:rPr>
      </w:pPr>
      <w:r>
        <w:rPr>
          <w:b/>
          <w:bCs/>
        </w:rPr>
        <w:t>Customi</w:t>
      </w:r>
      <w:r>
        <w:rPr>
          <w:b/>
          <w:bCs/>
        </w:rPr>
        <w:t>s</w:t>
      </w:r>
      <w:r>
        <w:rPr>
          <w:b/>
          <w:bCs/>
        </w:rPr>
        <w:t>ed Experiences:</w:t>
      </w:r>
    </w:p>
    <w:p w14:paraId="0000008E">
      <w:pPr>
        <w:spacing w:before="120" w:after="120" w:line="360" w:lineRule="auto"/>
        <w:rPr/>
      </w:pPr>
      <w:r>
        <w:rPr>
          <w:b/>
          <w:bCs/>
        </w:rPr>
        <w:t>Design:</w:t>
      </w:r>
      <w:r>
        <w:t xml:space="preserve"> </w:t>
      </w:r>
      <w:r>
        <w:t>Altering event experiences to meet person slants and interface.</w:t>
      </w:r>
    </w:p>
    <w:p w14:paraId="0000008F">
      <w:pPr>
        <w:spacing w:before="120" w:after="120" w:line="360" w:lineRule="auto"/>
        <w:rPr/>
      </w:pPr>
      <w:r>
        <w:rPr>
          <w:b/>
          <w:bCs/>
        </w:rPr>
        <w:t>Impact on Gastronomic Grandeur Affair</w:t>
      </w:r>
      <w:r>
        <w:rPr>
          <w:b/>
          <w:bCs/>
        </w:rPr>
        <w:t>:</w:t>
      </w:r>
      <w:r>
        <w:t xml:space="preserve"> </w:t>
      </w:r>
      <w:r>
        <w:t xml:space="preserve">Offer customized culinary outings, allowing members to orchestrate their tasting experiences </w:t>
      </w:r>
      <w:r>
        <w:t>considering</w:t>
      </w:r>
      <w:r>
        <w:t xml:space="preserve"> slants and dietary confinements.</w:t>
      </w:r>
    </w:p>
    <w:p w14:paraId="00000090">
      <w:pPr>
        <w:rPr>
          <w:b/>
          <w:bCs/>
        </w:rPr>
      </w:pPr>
      <w:r>
        <w:rPr>
          <w:b/>
          <w:bCs/>
        </w:rPr>
        <w:t>Prosperity and Security Measures:</w:t>
      </w:r>
    </w:p>
    <w:p w14:paraId="00000091">
      <w:pPr>
        <w:spacing w:before="120" w:after="120" w:line="360" w:lineRule="auto"/>
        <w:rPr/>
      </w:pPr>
      <w:r>
        <w:rPr>
          <w:b/>
          <w:bCs/>
        </w:rPr>
        <w:t>Design:</w:t>
      </w:r>
      <w:r>
        <w:t xml:space="preserve"> </w:t>
      </w:r>
      <w:r>
        <w:t xml:space="preserve">Extended </w:t>
      </w:r>
      <w:r>
        <w:t>centre</w:t>
      </w:r>
      <w:r>
        <w:t xml:space="preserve"> around prosperity and security traditions, especially straightforwardly taking after </w:t>
      </w:r>
      <w:r>
        <w:t>around-the-world</w:t>
      </w:r>
      <w:r>
        <w:t xml:space="preserve"> prosperity concerns</w:t>
      </w:r>
      <w:r>
        <w:t xml:space="preserve"> (</w:t>
      </w:r>
      <w:r>
        <w:t>Hassanien</w:t>
      </w:r>
      <w:r>
        <w:t xml:space="preserve"> and Dale, 2013)</w:t>
      </w:r>
      <w:r>
        <w:t>.</w:t>
      </w:r>
    </w:p>
    <w:p w14:paraId="00000092">
      <w:pPr>
        <w:spacing w:before="120" w:after="120" w:line="360" w:lineRule="auto"/>
        <w:rPr/>
      </w:pPr>
      <w:r>
        <w:rPr>
          <w:b/>
          <w:bCs/>
        </w:rPr>
        <w:t xml:space="preserve">Impact on Gastronomic Grandeur </w:t>
      </w:r>
      <w:r>
        <w:rPr>
          <w:b/>
          <w:bCs/>
        </w:rPr>
        <w:t>Affair</w:t>
      </w:r>
      <w:r>
        <w:rPr>
          <w:b/>
          <w:bCs/>
        </w:rPr>
        <w:t>:</w:t>
      </w:r>
      <w:r>
        <w:t xml:space="preserve"> Execute</w:t>
      </w:r>
      <w:r>
        <w:t xml:space="preserve"> careful prosperity and security measures, confer them clearly, and examine touchless headways to make strides </w:t>
      </w:r>
      <w:r>
        <w:t xml:space="preserve">in </w:t>
      </w:r>
      <w:r>
        <w:t>member prosperity.</w:t>
      </w:r>
    </w:p>
    <w:p w14:paraId="00000093">
      <w:pPr>
        <w:rPr>
          <w:b/>
          <w:bCs/>
        </w:rPr>
      </w:pPr>
      <w:r>
        <w:rPr>
          <w:b/>
          <w:bCs/>
        </w:rPr>
        <w:t>Experiential and Striking Events:</w:t>
      </w:r>
    </w:p>
    <w:p w14:paraId="00000094">
      <w:pPr>
        <w:spacing w:before="120" w:after="120" w:line="360" w:lineRule="auto"/>
        <w:rPr/>
      </w:pPr>
      <w:r>
        <w:rPr>
          <w:b/>
          <w:bCs/>
        </w:rPr>
        <w:t>Design:</w:t>
      </w:r>
      <w:r>
        <w:t xml:space="preserve"> </w:t>
      </w:r>
      <w:r>
        <w:t>Making fundamental and striking experiences for members.</w:t>
      </w:r>
    </w:p>
    <w:p w14:paraId="00000095">
      <w:pPr>
        <w:spacing w:before="120" w:after="120" w:line="360" w:lineRule="auto"/>
        <w:rPr/>
      </w:pPr>
      <w:r>
        <w:rPr>
          <w:b/>
          <w:bCs/>
        </w:rPr>
        <w:t>Impact on Gastronomic Grandeur Affair</w:t>
      </w:r>
      <w:r>
        <w:rPr>
          <w:b/>
          <w:bCs/>
        </w:rPr>
        <w:t>:</w:t>
      </w:r>
      <w:r>
        <w:t xml:space="preserve"> </w:t>
      </w:r>
      <w:r>
        <w:t>Arrange the event to be a culinary show as well as a multisensory encounter, drawing in members through live shows, natural foundations, and themed conditions.</w:t>
      </w:r>
    </w:p>
    <w:p w14:paraId="00000096">
      <w:pPr>
        <w:rPr>
          <w:b/>
          <w:bCs/>
        </w:rPr>
      </w:pPr>
      <w:r>
        <w:rPr>
          <w:b/>
          <w:bCs/>
        </w:rPr>
        <w:t>Community and Local Collaboration:</w:t>
      </w:r>
    </w:p>
    <w:p w14:paraId="00000097">
      <w:pPr>
        <w:spacing w:before="120" w:after="120" w:line="360" w:lineRule="auto"/>
        <w:rPr/>
      </w:pPr>
      <w:r>
        <w:rPr>
          <w:b/>
          <w:bCs/>
        </w:rPr>
        <w:t>Design:</w:t>
      </w:r>
      <w:r>
        <w:t xml:space="preserve"> </w:t>
      </w:r>
      <w:r>
        <w:t>Complementing joint exertion with adjacent organizations and systems.</w:t>
      </w:r>
    </w:p>
    <w:p w14:paraId="00000098">
      <w:pPr>
        <w:spacing w:before="120" w:after="120" w:line="360" w:lineRule="auto"/>
        <w:rPr/>
      </w:pPr>
      <w:r>
        <w:rPr>
          <w:b/>
          <w:bCs/>
        </w:rPr>
        <w:t>Impact on Gastronomic Grandeur Affair</w:t>
      </w:r>
      <w:r>
        <w:rPr>
          <w:b/>
          <w:bCs/>
        </w:rPr>
        <w:t>:</w:t>
      </w:r>
      <w:r>
        <w:t xml:space="preserve"> </w:t>
      </w:r>
      <w:r>
        <w:t>Show off adjacent culinary capacity, group up with common creators, and incorporate the nearby range in parts of the event, developing a feeling of domain and backing</w:t>
      </w:r>
      <w:r>
        <w:t xml:space="preserve"> (</w:t>
      </w:r>
      <w:r>
        <w:t>Okumus</w:t>
      </w:r>
      <w:r>
        <w:t xml:space="preserve"> and Linton-Kelly, 2022)</w:t>
      </w:r>
      <w:r>
        <w:t>.</w:t>
      </w:r>
    </w:p>
    <w:p w14:paraId="00000099">
      <w:pPr>
        <w:rPr>
          <w:b/>
          <w:bCs/>
        </w:rPr>
      </w:pPr>
      <w:r>
        <w:rPr>
          <w:b/>
          <w:bCs/>
        </w:rPr>
        <w:t>Flexible Cancellation Policies:</w:t>
      </w:r>
    </w:p>
    <w:p w14:paraId="0000009A">
      <w:pPr>
        <w:spacing w:before="120" w:after="120" w:line="360" w:lineRule="auto"/>
        <w:rPr/>
      </w:pPr>
      <w:r>
        <w:t>Design:</w:t>
      </w:r>
      <w:r>
        <w:t xml:space="preserve"> </w:t>
      </w:r>
      <w:r>
        <w:t xml:space="preserve">Advertising versatility in dropping approaches </w:t>
      </w:r>
      <w:r>
        <w:t>because</w:t>
      </w:r>
      <w:r>
        <w:t xml:space="preserve"> of vulnerabilities.</w:t>
      </w:r>
    </w:p>
    <w:p w14:paraId="0000009B">
      <w:pPr>
        <w:spacing w:before="120" w:after="120" w:line="360" w:lineRule="auto"/>
        <w:rPr/>
      </w:pPr>
      <w:r>
        <w:rPr>
          <w:b/>
          <w:bCs/>
        </w:rPr>
        <w:t>Impact on Gastronomic Grandeur Affair</w:t>
      </w:r>
      <w:r>
        <w:rPr>
          <w:b/>
          <w:bCs/>
        </w:rPr>
        <w:t>:</w:t>
      </w:r>
      <w:r>
        <w:t xml:space="preserve"> </w:t>
      </w:r>
      <w:r>
        <w:t xml:space="preserve">Allow versatile </w:t>
      </w:r>
      <w:r>
        <w:t>labelling</w:t>
      </w:r>
      <w:r>
        <w:t xml:space="preserve"> choices and clear correspondence </w:t>
      </w:r>
      <w:r>
        <w:t>about</w:t>
      </w:r>
      <w:r>
        <w:t xml:space="preserve"> markdown methodologies to oblige unanticipated conditions.</w:t>
      </w:r>
    </w:p>
    <w:p w14:paraId="0000009C">
      <w:pPr>
        <w:rPr>
          <w:b/>
          <w:bCs/>
        </w:rPr>
      </w:pPr>
      <w:r>
        <w:rPr>
          <w:b/>
          <w:bCs/>
        </w:rPr>
        <w:t>Data-Driven Decision-Making:</w:t>
      </w:r>
    </w:p>
    <w:p w14:paraId="0000009D">
      <w:pPr>
        <w:spacing w:before="120" w:after="120" w:line="360" w:lineRule="auto"/>
        <w:rPr/>
      </w:pPr>
      <w:r>
        <w:rPr>
          <w:b/>
          <w:bCs/>
        </w:rPr>
        <w:t>Design:</w:t>
      </w:r>
      <w:r>
        <w:t xml:space="preserve"> </w:t>
      </w:r>
      <w:r>
        <w:t>Utili</w:t>
      </w:r>
      <w:r>
        <w:t>s</w:t>
      </w:r>
      <w:r>
        <w:t xml:space="preserve">ing data examination to light event </w:t>
      </w:r>
      <w:r>
        <w:t>planning</w:t>
      </w:r>
      <w:r>
        <w:t xml:space="preserve"> </w:t>
      </w:r>
      <w:r>
        <w:t>and encourage create member experiences.</w:t>
      </w:r>
    </w:p>
    <w:p w14:paraId="0000009E">
      <w:pPr>
        <w:spacing w:before="120" w:after="120" w:line="360" w:lineRule="auto"/>
        <w:rPr/>
      </w:pPr>
      <w:r>
        <w:rPr>
          <w:b/>
          <w:bCs/>
        </w:rPr>
        <w:t>Impact on Gastronomic Grandeur Affair</w:t>
      </w:r>
      <w:r>
        <w:rPr>
          <w:b/>
          <w:bCs/>
        </w:rPr>
        <w:t>:</w:t>
      </w:r>
      <w:r>
        <w:t xml:space="preserve"> </w:t>
      </w:r>
      <w:r>
        <w:t>Execute data examination to get a handle on member slants, track commitment, and refine future culinary commitments.</w:t>
      </w:r>
    </w:p>
    <w:p w14:paraId="0000009F">
      <w:pPr>
        <w:rPr>
          <w:b/>
          <w:bCs/>
        </w:rPr>
      </w:pPr>
      <w:r>
        <w:rPr>
          <w:b/>
          <w:bCs/>
        </w:rPr>
        <w:t>Virtual Culinary Experiences:</w:t>
      </w:r>
    </w:p>
    <w:p w14:paraId="000000A0">
      <w:pPr>
        <w:spacing w:before="120" w:after="120" w:line="360" w:lineRule="auto"/>
        <w:rPr/>
      </w:pPr>
      <w:r>
        <w:rPr>
          <w:b/>
          <w:bCs/>
        </w:rPr>
        <w:t>Design:</w:t>
      </w:r>
      <w:r>
        <w:t xml:space="preserve"> </w:t>
      </w:r>
      <w:r>
        <w:t>Online culinary classes, virtual tastings, and inaccessible cooking shows.</w:t>
      </w:r>
    </w:p>
    <w:p w14:paraId="000000A1">
      <w:pPr>
        <w:spacing w:before="120" w:after="120" w:line="360" w:lineRule="auto"/>
        <w:rPr/>
      </w:pPr>
      <w:r>
        <w:rPr>
          <w:b/>
          <w:bCs/>
        </w:rPr>
        <w:t>Impact on Gastronomic Grandeur Affair</w:t>
      </w:r>
      <w:r>
        <w:rPr>
          <w:b/>
          <w:bCs/>
        </w:rPr>
        <w:t>:</w:t>
      </w:r>
      <w:r>
        <w:t xml:space="preserve"> </w:t>
      </w:r>
      <w:r>
        <w:t xml:space="preserve">Examine potential open entryways for </w:t>
      </w:r>
      <w:r>
        <w:t xml:space="preserve">the </w:t>
      </w:r>
      <w:r>
        <w:t xml:space="preserve">virtual bolster, like virtual tastings or cooking classes, extending the </w:t>
      </w:r>
      <w:r>
        <w:t>occasions</w:t>
      </w:r>
      <w:r>
        <w:t xml:space="preserve"> </w:t>
      </w:r>
      <w:r>
        <w:t xml:space="preserve">to </w:t>
      </w:r>
      <w:r>
        <w:t>arrive at past real limits</w:t>
      </w:r>
      <w:r>
        <w:t xml:space="preserve"> (Nunkoo, 2020)</w:t>
      </w:r>
      <w:r>
        <w:t>. </w:t>
      </w:r>
    </w:p>
    <w:p w14:paraId="000000A2">
      <w:pPr>
        <w:pStyle w:val="Heading1"/>
        <w:numPr>
          <w:ilvl w:val="0"/>
          <w:numId w:val="0"/>
        </w:numPr>
        <w:ind w:left="360"/>
        <w:rPr/>
      </w:pPr>
      <w:bookmarkStart w:id="10" w:name="_Toc157595092"/>
      <w:r>
        <w:t>9.</w:t>
      </w:r>
      <w:r>
        <w:t xml:space="preserve"> </w:t>
      </w:r>
      <w:r>
        <w:t>Cultural and Situational Considerations for the Gastronomic Grandeur Affair:</w:t>
      </w:r>
      <w:bookmarkEnd w:id="10"/>
    </w:p>
    <w:p w14:paraId="000000A3">
      <w:pPr>
        <w:rPr>
          <w:b/>
          <w:bCs/>
        </w:rPr>
      </w:pPr>
      <w:r>
        <w:rPr>
          <w:b/>
          <w:bCs/>
        </w:rPr>
        <w:t>Culinary Preferences and Dietary Restrictions:</w:t>
      </w:r>
    </w:p>
    <w:p w14:paraId="000000A4">
      <w:pPr>
        <w:spacing w:before="120" w:after="120" w:line="360" w:lineRule="auto"/>
        <w:rPr/>
      </w:pPr>
      <w:r>
        <w:rPr>
          <w:b/>
          <w:bCs/>
        </w:rPr>
        <w:t>Consideration</w:t>
      </w:r>
      <w:r>
        <w:rPr>
          <w:b/>
          <w:bCs/>
        </w:rPr>
        <w:t>:</w:t>
      </w:r>
      <w:r>
        <w:t xml:space="preserve"> Distinctive </w:t>
      </w:r>
      <w:r>
        <w:t>cultural</w:t>
      </w:r>
      <w:r>
        <w:t xml:space="preserve"> </w:t>
      </w:r>
      <w:r>
        <w:t>establishments might affect culinary slants and dietary restrictions.</w:t>
      </w:r>
    </w:p>
    <w:p w14:paraId="000000A5">
      <w:pPr>
        <w:spacing w:before="120" w:after="120" w:line="360" w:lineRule="auto"/>
        <w:rPr/>
      </w:pPr>
      <w:r>
        <w:rPr>
          <w:b/>
          <w:bCs/>
        </w:rPr>
        <w:t>Importance</w:t>
      </w:r>
      <w:r>
        <w:rPr>
          <w:b/>
          <w:bCs/>
        </w:rPr>
        <w:t>:</w:t>
      </w:r>
      <w:r>
        <w:t xml:space="preserve"> To ensure inclusivity and pay attention </w:t>
      </w:r>
      <w:r>
        <w:t>to</w:t>
      </w:r>
      <w:r>
        <w:t xml:space="preserve"> </w:t>
      </w:r>
      <w:r>
        <w:t>a</w:t>
      </w:r>
      <w:r>
        <w:t xml:space="preserve"> sweeping swarm, the event ought to offer a distinctive scope of nourishments, clearly pass on settling information, and grant choices to distinctive dietary necessities</w:t>
      </w:r>
      <w:r>
        <w:t xml:space="preserve"> (</w:t>
      </w:r>
      <w:r>
        <w:t>Kandampully</w:t>
      </w:r>
      <w:r>
        <w:t xml:space="preserve"> and </w:t>
      </w:r>
      <w:r>
        <w:t>Solnet</w:t>
      </w:r>
      <w:r>
        <w:t>, 2019)</w:t>
      </w:r>
      <w:r>
        <w:t>. </w:t>
      </w:r>
    </w:p>
    <w:p w14:paraId="000000A6">
      <w:pPr>
        <w:rPr>
          <w:b/>
          <w:bCs/>
        </w:rPr>
      </w:pPr>
      <w:r>
        <w:rPr>
          <w:b/>
          <w:bCs/>
        </w:rPr>
        <w:t>Local Culinary Traditions:</w:t>
      </w:r>
      <w:r>
        <w:rPr>
          <w:b/>
          <w:bCs/>
        </w:rPr>
        <w:t xml:space="preserve"> </w:t>
      </w:r>
    </w:p>
    <w:p w14:paraId="000000A7">
      <w:pPr>
        <w:spacing w:before="120" w:after="120" w:line="360" w:lineRule="auto"/>
        <w:rPr>
          <w:b/>
          <w:bCs/>
        </w:rPr>
      </w:pPr>
      <w:r>
        <w:rPr>
          <w:b/>
          <w:bCs/>
        </w:rPr>
        <w:t>Consideration</w:t>
      </w:r>
      <w:r>
        <w:rPr>
          <w:b/>
          <w:bCs/>
        </w:rPr>
        <w:t>:</w:t>
      </w:r>
      <w:r>
        <w:rPr>
          <w:b/>
          <w:bCs/>
        </w:rPr>
        <w:t xml:space="preserve"> </w:t>
      </w:r>
      <w:r>
        <w:t xml:space="preserve">Grasping and </w:t>
      </w:r>
      <w:r>
        <w:t>concerning</w:t>
      </w:r>
      <w:r>
        <w:t xml:space="preserve"> the adjacent culinary traditions of the occasion's range.</w:t>
      </w:r>
    </w:p>
    <w:p w14:paraId="000000A8">
      <w:pPr>
        <w:spacing w:before="120" w:after="120" w:line="360" w:lineRule="auto"/>
        <w:rPr/>
      </w:pPr>
      <w:r>
        <w:rPr>
          <w:b/>
          <w:bCs/>
        </w:rPr>
        <w:t>Importance:</w:t>
      </w:r>
      <w:r>
        <w:rPr>
          <w:b/>
          <w:bCs/>
        </w:rPr>
        <w:t xml:space="preserve"> </w:t>
      </w:r>
      <w:r>
        <w:t xml:space="preserve">Coordination </w:t>
      </w:r>
      <w:r>
        <w:t xml:space="preserve">of </w:t>
      </w:r>
      <w:r>
        <w:t xml:space="preserve">adjacent </w:t>
      </w:r>
      <w:r>
        <w:t>flavours</w:t>
      </w:r>
      <w:r>
        <w:t xml:space="preserve"> and culinary styles includes </w:t>
      </w:r>
      <w:r>
        <w:t>vapidness</w:t>
      </w:r>
      <w:r>
        <w:t xml:space="preserve"> to the event as well as gives appropriate regard to the social extravagance of the locale.</w:t>
      </w:r>
    </w:p>
    <w:p w14:paraId="000000A9">
      <w:pPr>
        <w:rPr>
          <w:b/>
          <w:bCs/>
        </w:rPr>
      </w:pPr>
      <w:r>
        <w:rPr>
          <w:b/>
          <w:bCs/>
        </w:rPr>
        <w:t>Cultural Sensitivity:</w:t>
      </w:r>
      <w:r>
        <w:rPr>
          <w:b/>
          <w:bCs/>
        </w:rPr>
        <w:t> </w:t>
      </w:r>
    </w:p>
    <w:p w14:paraId="000000AA">
      <w:pPr>
        <w:spacing w:before="120" w:after="120" w:line="360" w:lineRule="auto"/>
        <w:rPr/>
      </w:pPr>
      <w:r>
        <w:rPr>
          <w:b/>
          <w:bCs/>
        </w:rPr>
        <w:t>Consideration</w:t>
      </w:r>
      <w:r>
        <w:rPr>
          <w:b/>
          <w:bCs/>
        </w:rPr>
        <w:t>:</w:t>
      </w:r>
      <w:r>
        <w:t xml:space="preserve"> Being aware of socially responsive qualities and customs.</w:t>
      </w:r>
    </w:p>
    <w:p w14:paraId="000000AB">
      <w:pPr>
        <w:spacing w:before="120" w:after="120" w:line="360" w:lineRule="auto"/>
        <w:rPr/>
      </w:pPr>
      <w:r>
        <w:rPr>
          <w:b/>
          <w:bCs/>
        </w:rPr>
        <w:t>Importance</w:t>
      </w:r>
      <w:r>
        <w:rPr>
          <w:b/>
          <w:bCs/>
        </w:rPr>
        <w:t>:</w:t>
      </w:r>
      <w:r>
        <w:t xml:space="preserve"> To stay away from any unexpected </w:t>
      </w:r>
      <w:r>
        <w:t xml:space="preserve">cultural </w:t>
      </w:r>
      <w:r>
        <w:t>inhumanity, the occasion should be planned and executed with a profound comprehension of the social setting, regarding customs, and guaranteeing a comprehensive climate.</w:t>
      </w:r>
    </w:p>
    <w:p w14:paraId="000000AC">
      <w:pPr>
        <w:pStyle w:val="Heading2"/>
        <w:rPr/>
      </w:pPr>
      <w:bookmarkStart w:id="11" w:name="_Toc157595093"/>
      <w:r>
        <w:t>Weather and Seasonal Considerations:</w:t>
      </w:r>
      <w:bookmarkEnd w:id="11"/>
    </w:p>
    <w:p w14:paraId="000000AD">
      <w:pPr>
        <w:spacing w:before="120" w:after="120" w:line="360" w:lineRule="auto"/>
        <w:rPr/>
      </w:pPr>
      <w:r>
        <w:rPr>
          <w:b/>
          <w:bCs/>
        </w:rPr>
        <w:t>Consideration</w:t>
      </w:r>
      <w:r>
        <w:t>: Altering to periodic assortments and anticipated climate conditions troubles.</w:t>
      </w:r>
    </w:p>
    <w:p w14:paraId="000000AE">
      <w:pPr>
        <w:spacing w:before="120" w:after="120" w:line="360" w:lineRule="auto"/>
        <w:rPr/>
      </w:pPr>
      <w:r>
        <w:rPr>
          <w:b/>
          <w:bCs/>
        </w:rPr>
        <w:t>Importance</w:t>
      </w:r>
      <w:r>
        <w:t xml:space="preserve">: Taking </w:t>
      </w:r>
      <w:r>
        <w:t>into</w:t>
      </w:r>
      <w:r>
        <w:t xml:space="preserve"> consideration climatic conditions is basic for orchestrating exterior works out, ensuring guest comfort, and executing substitute courses of activity for </w:t>
      </w:r>
      <w:r>
        <w:t>weather</w:t>
      </w:r>
      <w:r>
        <w:t xml:space="preserve"> changes</w:t>
      </w:r>
      <w:r>
        <w:t xml:space="preserve"> (Kotur and Dixit, 2022)</w:t>
      </w:r>
      <w:r>
        <w:t>. </w:t>
      </w:r>
    </w:p>
    <w:p w14:paraId="000000AF">
      <w:pPr>
        <w:jc w:val="left"/>
        <w:rPr/>
      </w:pPr>
      <w:r>
        <w:rPr/>
        <w:br w:type="page"/>
      </w:r>
    </w:p>
    <w:p w14:paraId="000000B0">
      <w:pPr>
        <w:pStyle w:val="Heading1"/>
        <w:numPr>
          <w:ilvl w:val="0"/>
          <w:numId w:val="0"/>
        </w:numPr>
        <w:rPr/>
      </w:pPr>
      <w:bookmarkStart w:id="12" w:name="_Toc157595094"/>
      <w:r>
        <w:t>Conclusion</w:t>
      </w:r>
      <w:bookmarkEnd w:id="12"/>
    </w:p>
    <w:p w14:paraId="000000B1">
      <w:pPr>
        <w:spacing w:before="120" w:after="120" w:line="360" w:lineRule="auto"/>
        <w:rPr/>
      </w:pPr>
      <w:r>
        <w:t xml:space="preserve">All in all, the </w:t>
      </w:r>
      <w:r>
        <w:t xml:space="preserve">strategic </w:t>
      </w:r>
      <w:r>
        <w:t xml:space="preserve">planning </w:t>
      </w:r>
      <w:r>
        <w:t xml:space="preserve">of </w:t>
      </w:r>
      <w:r>
        <w:t xml:space="preserve">the "Gastronomic </w:t>
      </w:r>
      <w:r>
        <w:t xml:space="preserve">Grandeur Affair </w:t>
      </w:r>
      <w:r>
        <w:t xml:space="preserve">" highlights a promise </w:t>
      </w:r>
      <w:r>
        <w:t>of</w:t>
      </w:r>
      <w:r>
        <w:t xml:space="preserve"> culinary enormity, social responsiveness, and member </w:t>
      </w:r>
      <w:r>
        <w:t>satisfaction</w:t>
      </w:r>
      <w:r>
        <w:t xml:space="preserve">. By lining up with industry designs, tending to </w:t>
      </w:r>
      <w:r>
        <w:t>group</w:t>
      </w:r>
      <w:r>
        <w:t xml:space="preserve"> considerations, and grasping advancement, the event </w:t>
      </w:r>
      <w:r>
        <w:t>aims</w:t>
      </w:r>
      <w:r>
        <w:t xml:space="preserve"> to communicate an exceptional experience that resonates with gastronomy partners around the world.  </w:t>
      </w:r>
      <w:r>
        <w:rPr/>
        <w:br w:type="page"/>
      </w:r>
    </w:p>
    <w:p w14:paraId="000000B2">
      <w:pPr>
        <w:pStyle w:val="Heading1"/>
        <w:numPr>
          <w:ilvl w:val="0"/>
          <w:numId w:val="0"/>
        </w:numPr>
        <w:rPr/>
      </w:pPr>
      <w:bookmarkStart w:id="13" w:name="_Toc157595095"/>
      <w:r>
        <w:t>References</w:t>
      </w:r>
      <w:bookmarkEnd w:id="13"/>
    </w:p>
    <w:p w14:paraId="000000B3">
      <w:pPr>
        <w:spacing w:before="120" w:after="120" w:line="360" w:lineRule="auto"/>
        <w:rPr>
          <w:rFonts w:cs="Times New Roman" w:eastAsia="Times New Roman"/>
          <w:szCs w:val="24"/>
          <w:lang w:eastAsia="en-GB"/>
        </w:rPr>
      </w:pPr>
      <w:r>
        <w:rPr>
          <w:rFonts w:cs="Times New Roman" w:eastAsia="Times New Roman"/>
          <w:szCs w:val="24"/>
          <w:lang w:eastAsia="en-GB"/>
        </w:rPr>
        <w:t>Arjona, M. F. (2021) </w:t>
      </w:r>
      <w:r>
        <w:rPr>
          <w:rFonts w:cs="Times New Roman" w:eastAsia="Times New Roman"/>
          <w:i/>
          <w:iCs/>
          <w:szCs w:val="24"/>
          <w:lang w:eastAsia="en-GB"/>
        </w:rPr>
        <w:t>Future trends in the hospitality and tourism marketing and management</w:t>
      </w:r>
      <w:r>
        <w:rPr>
          <w:rFonts w:cs="Times New Roman" w:eastAsia="Times New Roman"/>
          <w:szCs w:val="24"/>
          <w:lang w:eastAsia="en-GB"/>
        </w:rPr>
        <w:t xml:space="preserve">. Oakville, ON, Canada: </w:t>
      </w:r>
      <w:r>
        <w:rPr>
          <w:rFonts w:cs="Times New Roman" w:eastAsia="Times New Roman"/>
          <w:szCs w:val="24"/>
          <w:lang w:eastAsia="en-GB"/>
        </w:rPr>
        <w:t>Arcler</w:t>
      </w:r>
      <w:r>
        <w:rPr>
          <w:rFonts w:cs="Times New Roman" w:eastAsia="Times New Roman"/>
          <w:szCs w:val="24"/>
          <w:lang w:eastAsia="en-GB"/>
        </w:rPr>
        <w:t xml:space="preserve"> Education.</w:t>
      </w:r>
    </w:p>
    <w:p w14:paraId="000000B4">
      <w:pPr>
        <w:spacing w:before="120" w:after="120" w:line="360" w:lineRule="auto"/>
        <w:rPr>
          <w:rFonts w:cs="Times New Roman" w:eastAsia="Times New Roman"/>
          <w:szCs w:val="24"/>
          <w:lang w:eastAsia="en-GB"/>
        </w:rPr>
      </w:pPr>
      <w:r>
        <w:rPr>
          <w:rFonts w:cs="Times New Roman" w:eastAsia="Times New Roman"/>
          <w:szCs w:val="24"/>
          <w:lang w:eastAsia="en-GB"/>
        </w:rPr>
        <w:t>Bagri, S. C., Dhodi, R. K. and Junaid, K. C. (eds) (2022) </w:t>
      </w:r>
      <w:r>
        <w:rPr>
          <w:rFonts w:cs="Times New Roman" w:eastAsia="Times New Roman"/>
          <w:i/>
          <w:iCs/>
          <w:szCs w:val="24"/>
          <w:lang w:eastAsia="en-GB"/>
        </w:rPr>
        <w:t>Entrepreneurship education in tourism and hospitality management</w:t>
      </w:r>
      <w:r>
        <w:rPr>
          <w:rFonts w:cs="Times New Roman" w:eastAsia="Times New Roman"/>
          <w:szCs w:val="24"/>
          <w:lang w:eastAsia="en-GB"/>
        </w:rPr>
        <w:t>. Hershey, PA: Business Science Reference.</w:t>
      </w:r>
    </w:p>
    <w:p w14:paraId="000000B5">
      <w:pPr>
        <w:spacing w:before="120" w:after="120" w:line="360" w:lineRule="auto"/>
        <w:rPr>
          <w:rFonts w:cs="Times New Roman" w:eastAsia="Times New Roman"/>
          <w:szCs w:val="24"/>
          <w:lang w:eastAsia="en-GB"/>
        </w:rPr>
      </w:pPr>
      <w:r>
        <w:rPr>
          <w:rFonts w:cs="Times New Roman" w:eastAsia="Times New Roman"/>
          <w:szCs w:val="24"/>
          <w:lang w:eastAsia="en-GB"/>
        </w:rPr>
        <w:t xml:space="preserve">Brunt, P., Horner, S. and </w:t>
      </w:r>
      <w:r>
        <w:rPr>
          <w:rFonts w:cs="Times New Roman" w:eastAsia="Times New Roman"/>
          <w:szCs w:val="24"/>
          <w:lang w:eastAsia="en-GB"/>
        </w:rPr>
        <w:t>Semley</w:t>
      </w:r>
      <w:r>
        <w:rPr>
          <w:rFonts w:cs="Times New Roman" w:eastAsia="Times New Roman"/>
          <w:szCs w:val="24"/>
          <w:lang w:eastAsia="en-GB"/>
        </w:rPr>
        <w:t>, N. (2017) </w:t>
      </w:r>
      <w:r>
        <w:rPr>
          <w:rFonts w:cs="Times New Roman" w:eastAsia="Times New Roman"/>
          <w:i/>
          <w:iCs/>
          <w:szCs w:val="24"/>
          <w:lang w:eastAsia="en-GB"/>
        </w:rPr>
        <w:t>Research methods in tourism, hospitality and events management</w:t>
      </w:r>
      <w:r>
        <w:rPr>
          <w:rFonts w:cs="Times New Roman" w:eastAsia="Times New Roman"/>
          <w:szCs w:val="24"/>
          <w:lang w:eastAsia="en-GB"/>
        </w:rPr>
        <w:t>. London, England: SAGE Publications.</w:t>
      </w:r>
    </w:p>
    <w:p w14:paraId="000000B6">
      <w:pPr>
        <w:spacing w:before="120" w:after="120" w:line="360" w:lineRule="auto"/>
        <w:rPr>
          <w:rFonts w:cs="Times New Roman" w:eastAsia="Times New Roman"/>
          <w:szCs w:val="24"/>
          <w:lang w:eastAsia="en-GB"/>
        </w:rPr>
      </w:pPr>
      <w:r>
        <w:rPr>
          <w:rFonts w:cs="Times New Roman" w:eastAsia="Times New Roman"/>
          <w:szCs w:val="24"/>
          <w:lang w:eastAsia="en-GB"/>
        </w:rPr>
        <w:t>Burke, R. J. and Hughes, J. C. (eds) (2018) </w:t>
      </w:r>
      <w:r>
        <w:rPr>
          <w:rFonts w:cs="Times New Roman" w:eastAsia="Times New Roman"/>
          <w:i/>
          <w:iCs/>
          <w:szCs w:val="24"/>
          <w:lang w:eastAsia="en-GB"/>
        </w:rPr>
        <w:t>Handbook of human resource management in the tourism and hospitality industries</w:t>
      </w:r>
      <w:r>
        <w:rPr>
          <w:rFonts w:cs="Times New Roman" w:eastAsia="Times New Roman"/>
          <w:szCs w:val="24"/>
          <w:lang w:eastAsia="en-GB"/>
        </w:rPr>
        <w:t>. Cheltenham, England: Edward Elgar Publishing.</w:t>
      </w:r>
    </w:p>
    <w:p w14:paraId="000000B7">
      <w:pPr>
        <w:spacing w:before="120" w:after="120" w:line="360" w:lineRule="auto"/>
        <w:rPr>
          <w:rFonts w:cs="Times New Roman" w:eastAsia="Times New Roman"/>
          <w:szCs w:val="24"/>
          <w:lang w:eastAsia="en-GB"/>
        </w:rPr>
      </w:pPr>
      <w:r>
        <w:rPr>
          <w:rFonts w:cs="Times New Roman" w:eastAsia="Times New Roman"/>
          <w:szCs w:val="24"/>
          <w:lang w:eastAsia="en-GB"/>
        </w:rPr>
        <w:t>Campon</w:t>
      </w:r>
      <w:r>
        <w:rPr>
          <w:rFonts w:cs="Times New Roman" w:eastAsia="Times New Roman"/>
          <w:szCs w:val="24"/>
          <w:lang w:eastAsia="en-GB"/>
        </w:rPr>
        <w:t xml:space="preserve">-Cerro, A. M., Hernandez-Mogollon, J. M. and </w:t>
      </w:r>
      <w:r>
        <w:rPr>
          <w:rFonts w:cs="Times New Roman" w:eastAsia="Times New Roman"/>
          <w:szCs w:val="24"/>
          <w:lang w:eastAsia="en-GB"/>
        </w:rPr>
        <w:t>Folgado</w:t>
      </w:r>
      <w:r>
        <w:rPr>
          <w:rFonts w:cs="Times New Roman" w:eastAsia="Times New Roman"/>
          <w:szCs w:val="24"/>
          <w:lang w:eastAsia="en-GB"/>
        </w:rPr>
        <w:t>-Fernandez, J. A. (eds) (2018) </w:t>
      </w:r>
      <w:r>
        <w:rPr>
          <w:rFonts w:cs="Times New Roman" w:eastAsia="Times New Roman"/>
          <w:i/>
          <w:iCs/>
          <w:szCs w:val="24"/>
          <w:lang w:eastAsia="en-GB"/>
        </w:rPr>
        <w:t>Best practices in hospitality and tourism marketing and management: A quality of life perspective</w:t>
      </w:r>
      <w:r>
        <w:rPr>
          <w:rFonts w:cs="Times New Roman" w:eastAsia="Times New Roman"/>
          <w:szCs w:val="24"/>
          <w:lang w:eastAsia="en-GB"/>
        </w:rPr>
        <w:t>. 1st ed. Cham, Switzerland: Springer International Publishing.</w:t>
      </w:r>
    </w:p>
    <w:p w14:paraId="000000B8">
      <w:pPr>
        <w:spacing w:before="120" w:after="120" w:line="360" w:lineRule="auto"/>
        <w:rPr>
          <w:rFonts w:cs="Times New Roman" w:eastAsia="Times New Roman"/>
          <w:szCs w:val="24"/>
          <w:lang w:eastAsia="en-GB"/>
        </w:rPr>
      </w:pPr>
      <w:r>
        <w:rPr>
          <w:rFonts w:cs="Times New Roman" w:eastAsia="Times New Roman"/>
          <w:szCs w:val="24"/>
          <w:lang w:eastAsia="en-GB"/>
        </w:rPr>
        <w:t>Evans, N. G. (2024) </w:t>
      </w:r>
      <w:r>
        <w:rPr>
          <w:rFonts w:cs="Times New Roman" w:eastAsia="Times New Roman"/>
          <w:i/>
          <w:iCs/>
          <w:szCs w:val="24"/>
          <w:lang w:eastAsia="en-GB"/>
        </w:rPr>
        <w:t>Strategic management for tourism, hospitality and events</w:t>
      </w:r>
      <w:r>
        <w:rPr>
          <w:rFonts w:cs="Times New Roman" w:eastAsia="Times New Roman"/>
          <w:szCs w:val="24"/>
          <w:lang w:eastAsia="en-GB"/>
        </w:rPr>
        <w:t>. 4th ed. London, England: Routledge.</w:t>
      </w:r>
    </w:p>
    <w:p w14:paraId="000000B9">
      <w:pPr>
        <w:spacing w:before="120" w:after="120" w:line="360" w:lineRule="auto"/>
        <w:rPr>
          <w:rFonts w:cs="Times New Roman" w:eastAsia="Times New Roman"/>
          <w:szCs w:val="24"/>
          <w:lang w:eastAsia="en-GB"/>
        </w:rPr>
      </w:pPr>
      <w:r>
        <w:rPr>
          <w:rFonts w:cs="Times New Roman" w:eastAsia="Times New Roman"/>
          <w:szCs w:val="24"/>
          <w:lang w:eastAsia="en-GB"/>
        </w:rPr>
        <w:t>Faulkner, G. (ed.) (2020) </w:t>
      </w:r>
      <w:r>
        <w:rPr>
          <w:rFonts w:cs="Times New Roman" w:eastAsia="Times New Roman"/>
          <w:i/>
          <w:iCs/>
          <w:szCs w:val="24"/>
          <w:lang w:eastAsia="en-GB"/>
        </w:rPr>
        <w:t>Hospitality and Tourism Management</w:t>
      </w:r>
      <w:r>
        <w:rPr>
          <w:rFonts w:cs="Times New Roman" w:eastAsia="Times New Roman"/>
          <w:szCs w:val="24"/>
          <w:lang w:eastAsia="en-GB"/>
        </w:rPr>
        <w:t>. Willford Press.</w:t>
      </w:r>
    </w:p>
    <w:p w14:paraId="000000BA">
      <w:pPr>
        <w:spacing w:line="360" w:lineRule="auto"/>
        <w:rPr>
          <w:rFonts w:cs="Times New Roman"/>
          <w:i/>
          <w:iCs/>
          <w:szCs w:val="24"/>
        </w:rPr>
      </w:pPr>
      <w:r>
        <w:rPr>
          <w:rFonts w:cs="Times New Roman"/>
          <w:szCs w:val="24"/>
        </w:rPr>
        <w:t xml:space="preserve">Fox, D. et al. (2014) </w:t>
      </w:r>
      <w:r>
        <w:rPr>
          <w:rFonts w:cs="Times New Roman"/>
          <w:i/>
          <w:iCs/>
          <w:szCs w:val="24"/>
        </w:rPr>
        <w:t>Doing events research: from theory to practice. Routledge: Oxford</w:t>
      </w:r>
    </w:p>
    <w:p w14:paraId="000000BB">
      <w:pPr>
        <w:spacing w:before="120" w:after="120" w:line="360" w:lineRule="auto"/>
        <w:rPr>
          <w:rFonts w:cs="Times New Roman" w:eastAsia="Times New Roman"/>
          <w:szCs w:val="24"/>
          <w:lang w:eastAsia="en-GB"/>
        </w:rPr>
      </w:pPr>
      <w:r>
        <w:rPr>
          <w:rFonts w:cs="Times New Roman" w:eastAsia="Times New Roman"/>
          <w:szCs w:val="24"/>
          <w:lang w:eastAsia="en-GB"/>
        </w:rPr>
        <w:t xml:space="preserve">Fyall, A., </w:t>
      </w:r>
      <w:r>
        <w:rPr>
          <w:rFonts w:cs="Times New Roman" w:eastAsia="Times New Roman"/>
          <w:szCs w:val="24"/>
          <w:lang w:eastAsia="en-GB"/>
        </w:rPr>
        <w:t>Legoherel</w:t>
      </w:r>
      <w:r>
        <w:rPr>
          <w:rFonts w:cs="Times New Roman" w:eastAsia="Times New Roman"/>
          <w:szCs w:val="24"/>
          <w:lang w:eastAsia="en-GB"/>
        </w:rPr>
        <w:t>, P. and Poutier, E. (eds) (2013) </w:t>
      </w:r>
      <w:r>
        <w:rPr>
          <w:rFonts w:cs="Times New Roman" w:eastAsia="Times New Roman"/>
          <w:i/>
          <w:iCs/>
          <w:szCs w:val="24"/>
          <w:lang w:eastAsia="en-GB"/>
        </w:rPr>
        <w:t>Revenue Management for Hospitality and Tourism</w:t>
      </w:r>
      <w:r>
        <w:rPr>
          <w:rFonts w:cs="Times New Roman" w:eastAsia="Times New Roman"/>
          <w:szCs w:val="24"/>
          <w:lang w:eastAsia="en-GB"/>
        </w:rPr>
        <w:t>. Oxford, England: Goodfellow.</w:t>
      </w:r>
    </w:p>
    <w:p w14:paraId="000000BC">
      <w:pPr>
        <w:spacing w:line="360" w:lineRule="auto"/>
        <w:rPr>
          <w:rFonts w:cs="Times New Roman"/>
          <w:i/>
          <w:iCs/>
          <w:szCs w:val="24"/>
        </w:rPr>
      </w:pPr>
      <w:r>
        <w:rPr>
          <w:rFonts w:cs="Times New Roman"/>
          <w:szCs w:val="24"/>
        </w:rPr>
        <w:t>Getz, D. and Page, S. (2019</w:t>
      </w:r>
      <w:r>
        <w:rPr>
          <w:rFonts w:cs="Times New Roman"/>
          <w:i/>
          <w:iCs/>
          <w:szCs w:val="24"/>
        </w:rPr>
        <w:t>) Event studies: theory, research and policy for planned events. 3rd Edition. Routledge: Oxford</w:t>
      </w:r>
    </w:p>
    <w:p w14:paraId="000000BD">
      <w:pPr>
        <w:spacing w:before="120" w:after="120" w:line="360" w:lineRule="auto"/>
        <w:rPr>
          <w:rFonts w:cs="Times New Roman" w:eastAsia="Times New Roman"/>
          <w:szCs w:val="24"/>
          <w:lang w:eastAsia="en-GB"/>
        </w:rPr>
      </w:pPr>
      <w:r>
        <w:rPr>
          <w:rFonts w:cs="Times New Roman" w:eastAsia="Times New Roman"/>
          <w:szCs w:val="24"/>
          <w:lang w:eastAsia="en-GB"/>
        </w:rPr>
        <w:t>Ghaderi, Z. and Paraskevas, A. (eds) (2021) </w:t>
      </w:r>
      <w:r>
        <w:rPr>
          <w:rFonts w:cs="Times New Roman" w:eastAsia="Times New Roman"/>
          <w:i/>
          <w:iCs/>
          <w:szCs w:val="24"/>
          <w:lang w:eastAsia="en-GB"/>
        </w:rPr>
        <w:t>Organizational learning in tourism and hospitality crisis management</w:t>
      </w:r>
      <w:r>
        <w:rPr>
          <w:rFonts w:cs="Times New Roman" w:eastAsia="Times New Roman"/>
          <w:szCs w:val="24"/>
          <w:lang w:eastAsia="en-GB"/>
        </w:rPr>
        <w:t>. Berlin, Germany: De Gruyter.</w:t>
      </w:r>
    </w:p>
    <w:p w14:paraId="000000BE">
      <w:pPr>
        <w:spacing w:before="120" w:after="120" w:line="360" w:lineRule="auto"/>
        <w:rPr>
          <w:rFonts w:cs="Times New Roman" w:eastAsia="Times New Roman"/>
          <w:szCs w:val="24"/>
          <w:lang w:eastAsia="en-GB"/>
        </w:rPr>
      </w:pPr>
      <w:r>
        <w:rPr>
          <w:rFonts w:cs="Times New Roman" w:eastAsia="Times New Roman"/>
          <w:szCs w:val="24"/>
          <w:lang w:eastAsia="en-GB"/>
        </w:rPr>
        <w:t>Gupta </w:t>
      </w:r>
      <w:r>
        <w:rPr>
          <w:rFonts w:cs="Times New Roman" w:eastAsia="Times New Roman"/>
          <w:i/>
          <w:iCs/>
          <w:szCs w:val="24"/>
          <w:lang w:eastAsia="en-GB"/>
        </w:rPr>
        <w:t>et al.</w:t>
      </w:r>
      <w:r>
        <w:rPr>
          <w:rFonts w:cs="Times New Roman" w:eastAsia="Times New Roman"/>
          <w:szCs w:val="24"/>
          <w:lang w:eastAsia="en-GB"/>
        </w:rPr>
        <w:t> (eds) (2023) </w:t>
      </w:r>
      <w:r>
        <w:rPr>
          <w:rFonts w:cs="Times New Roman" w:eastAsia="Times New Roman"/>
          <w:i/>
          <w:iCs/>
          <w:szCs w:val="24"/>
          <w:lang w:eastAsia="en-GB"/>
        </w:rPr>
        <w:t>Management and practices of pilgrimage tourism and hospitality</w:t>
      </w:r>
      <w:r>
        <w:rPr>
          <w:rFonts w:cs="Times New Roman" w:eastAsia="Times New Roman"/>
          <w:szCs w:val="24"/>
          <w:lang w:eastAsia="en-GB"/>
        </w:rPr>
        <w:t>. Hershey, PA: IGI Global.</w:t>
      </w:r>
    </w:p>
    <w:p w14:paraId="000000BF">
      <w:pPr>
        <w:spacing w:before="120" w:after="120" w:line="360" w:lineRule="auto"/>
        <w:rPr>
          <w:rFonts w:cs="Times New Roman" w:eastAsia="Times New Roman"/>
          <w:szCs w:val="24"/>
          <w:lang w:eastAsia="en-GB"/>
        </w:rPr>
      </w:pPr>
      <w:r>
        <w:rPr>
          <w:rFonts w:cs="Times New Roman" w:eastAsia="Times New Roman"/>
          <w:szCs w:val="24"/>
          <w:lang w:eastAsia="en-GB"/>
        </w:rPr>
        <w:t>Hassanien</w:t>
      </w:r>
      <w:r>
        <w:rPr>
          <w:rFonts w:cs="Times New Roman" w:eastAsia="Times New Roman"/>
          <w:szCs w:val="24"/>
          <w:lang w:eastAsia="en-GB"/>
        </w:rPr>
        <w:t>, A. and Dale, C. (eds) (2013) </w:t>
      </w:r>
      <w:r>
        <w:rPr>
          <w:rFonts w:cs="Times New Roman" w:eastAsia="Times New Roman"/>
          <w:i/>
          <w:iCs/>
          <w:szCs w:val="24"/>
          <w:lang w:eastAsia="en-GB"/>
        </w:rPr>
        <w:t>Facilities management and development for tourism, hospitality and events</w:t>
      </w:r>
      <w:r>
        <w:rPr>
          <w:rFonts w:cs="Times New Roman" w:eastAsia="Times New Roman"/>
          <w:szCs w:val="24"/>
          <w:lang w:eastAsia="en-GB"/>
        </w:rPr>
        <w:t>. Wallingford: CABI Publishing.</w:t>
      </w:r>
    </w:p>
    <w:p w14:paraId="000000C0">
      <w:pPr>
        <w:spacing w:before="120" w:after="120" w:line="360" w:lineRule="auto"/>
        <w:rPr>
          <w:rFonts w:cs="Times New Roman" w:eastAsia="Times New Roman"/>
          <w:szCs w:val="24"/>
          <w:lang w:eastAsia="en-GB"/>
        </w:rPr>
      </w:pPr>
      <w:r>
        <w:rPr>
          <w:rFonts w:cs="Times New Roman" w:eastAsia="Times New Roman"/>
          <w:szCs w:val="24"/>
          <w:lang w:eastAsia="en-GB"/>
        </w:rPr>
        <w:t>Kandampully</w:t>
      </w:r>
      <w:r>
        <w:rPr>
          <w:rFonts w:cs="Times New Roman" w:eastAsia="Times New Roman"/>
          <w:szCs w:val="24"/>
          <w:lang w:eastAsia="en-GB"/>
        </w:rPr>
        <w:t xml:space="preserve">, J. and </w:t>
      </w:r>
      <w:r>
        <w:rPr>
          <w:rFonts w:cs="Times New Roman" w:eastAsia="Times New Roman"/>
          <w:szCs w:val="24"/>
          <w:lang w:eastAsia="en-GB"/>
        </w:rPr>
        <w:t>Solnet</w:t>
      </w:r>
      <w:r>
        <w:rPr>
          <w:rFonts w:cs="Times New Roman" w:eastAsia="Times New Roman"/>
          <w:szCs w:val="24"/>
          <w:lang w:eastAsia="en-GB"/>
        </w:rPr>
        <w:t>, D. (2019) </w:t>
      </w:r>
      <w:r>
        <w:rPr>
          <w:rFonts w:cs="Times New Roman" w:eastAsia="Times New Roman"/>
          <w:i/>
          <w:iCs/>
          <w:szCs w:val="24"/>
          <w:lang w:eastAsia="en-GB"/>
        </w:rPr>
        <w:t>Service management principles for hospitality &amp; tourism</w:t>
      </w:r>
      <w:r>
        <w:rPr>
          <w:rFonts w:cs="Times New Roman" w:eastAsia="Times New Roman"/>
          <w:szCs w:val="24"/>
          <w:lang w:eastAsia="en-GB"/>
        </w:rPr>
        <w:t>. 3rd ed. Oxford, England: Goodfellow.</w:t>
      </w:r>
    </w:p>
    <w:p w14:paraId="000000C1">
      <w:pPr>
        <w:spacing w:before="120" w:after="120" w:line="360" w:lineRule="auto"/>
        <w:rPr>
          <w:rFonts w:cs="Times New Roman" w:eastAsia="Times New Roman"/>
          <w:szCs w:val="24"/>
          <w:lang w:eastAsia="en-GB"/>
        </w:rPr>
      </w:pPr>
      <w:r>
        <w:rPr>
          <w:rFonts w:cs="Times New Roman" w:eastAsia="Times New Roman"/>
          <w:szCs w:val="24"/>
          <w:lang w:eastAsia="en-GB"/>
        </w:rPr>
        <w:t>Kotur, A. S. and Dixit, S. K. (eds) (2022) </w:t>
      </w:r>
      <w:r>
        <w:rPr>
          <w:rFonts w:cs="Times New Roman" w:eastAsia="Times New Roman"/>
          <w:i/>
          <w:iCs/>
          <w:szCs w:val="24"/>
          <w:lang w:eastAsia="en-GB"/>
        </w:rPr>
        <w:t>The emerald handbook of luxury management for hospitality and tourism</w:t>
      </w:r>
      <w:r>
        <w:rPr>
          <w:rFonts w:cs="Times New Roman" w:eastAsia="Times New Roman"/>
          <w:szCs w:val="24"/>
          <w:lang w:eastAsia="en-GB"/>
        </w:rPr>
        <w:t>. Bingley: Emerald Publishing.</w:t>
      </w:r>
    </w:p>
    <w:p w14:paraId="000000C2">
      <w:pPr>
        <w:spacing w:line="360" w:lineRule="auto"/>
        <w:rPr>
          <w:rFonts w:cs="Times New Roman"/>
          <w:i/>
          <w:iCs/>
          <w:szCs w:val="24"/>
        </w:rPr>
      </w:pPr>
      <w:r>
        <w:rPr>
          <w:rFonts w:cs="Times New Roman"/>
          <w:szCs w:val="24"/>
        </w:rPr>
        <w:t xml:space="preserve">Meredith, J. (2022) </w:t>
      </w:r>
      <w:r>
        <w:rPr>
          <w:rFonts w:cs="Times New Roman"/>
          <w:i/>
          <w:iCs/>
          <w:szCs w:val="24"/>
        </w:rPr>
        <w:t xml:space="preserve">Project management: a </w:t>
      </w:r>
      <w:r>
        <w:rPr>
          <w:rFonts w:cs="Times New Roman"/>
          <w:i/>
          <w:iCs/>
          <w:szCs w:val="24"/>
        </w:rPr>
        <w:t>managerial  approach</w:t>
      </w:r>
    </w:p>
    <w:p w14:paraId="000000C3">
      <w:pPr>
        <w:spacing w:before="120" w:after="120" w:line="360" w:lineRule="auto"/>
        <w:rPr>
          <w:rFonts w:cs="Times New Roman" w:eastAsia="Times New Roman"/>
          <w:szCs w:val="24"/>
          <w:lang w:eastAsia="en-GB"/>
        </w:rPr>
      </w:pPr>
      <w:r>
        <w:rPr>
          <w:rFonts w:cs="Times New Roman" w:eastAsia="Times New Roman"/>
          <w:szCs w:val="24"/>
          <w:lang w:eastAsia="en-GB"/>
        </w:rPr>
        <w:t>Nunkoo, R. (ed.) (2020) </w:t>
      </w:r>
      <w:r>
        <w:rPr>
          <w:rFonts w:cs="Times New Roman" w:eastAsia="Times New Roman"/>
          <w:i/>
          <w:iCs/>
          <w:szCs w:val="24"/>
          <w:lang w:eastAsia="en-GB"/>
        </w:rPr>
        <w:t>Handbook of research methods for tourism and hospitality management</w:t>
      </w:r>
      <w:r>
        <w:rPr>
          <w:rFonts w:cs="Times New Roman" w:eastAsia="Times New Roman"/>
          <w:szCs w:val="24"/>
          <w:lang w:eastAsia="en-GB"/>
        </w:rPr>
        <w:t>. Cheltenham, England: Edward Elgar Publishing.</w:t>
      </w:r>
    </w:p>
    <w:p w14:paraId="000000C4">
      <w:pPr>
        <w:spacing w:line="360" w:lineRule="auto"/>
        <w:rPr>
          <w:rFonts w:cs="Times New Roman"/>
          <w:i/>
          <w:iCs/>
          <w:szCs w:val="24"/>
        </w:rPr>
      </w:pPr>
      <w:r>
        <w:rPr>
          <w:rFonts w:cs="Times New Roman"/>
          <w:szCs w:val="24"/>
        </w:rPr>
        <w:t xml:space="preserve">O’Toole, W. (2011) </w:t>
      </w:r>
      <w:r>
        <w:rPr>
          <w:rFonts w:cs="Times New Roman"/>
          <w:i/>
          <w:iCs/>
          <w:szCs w:val="24"/>
        </w:rPr>
        <w:t>Events feasibility and development:  from strategy to operations. Elsevier: Oxford</w:t>
      </w:r>
    </w:p>
    <w:p w14:paraId="000000C5">
      <w:pPr>
        <w:spacing w:before="120" w:after="120" w:line="360" w:lineRule="auto"/>
        <w:rPr>
          <w:rFonts w:cs="Times New Roman" w:eastAsia="Times New Roman"/>
          <w:szCs w:val="24"/>
          <w:lang w:eastAsia="en-GB"/>
        </w:rPr>
      </w:pPr>
      <w:r>
        <w:rPr>
          <w:rFonts w:cs="Times New Roman" w:eastAsia="Times New Roman"/>
          <w:szCs w:val="24"/>
          <w:lang w:eastAsia="en-GB"/>
        </w:rPr>
        <w:t>Okumus</w:t>
      </w:r>
      <w:r>
        <w:rPr>
          <w:rFonts w:cs="Times New Roman" w:eastAsia="Times New Roman"/>
          <w:szCs w:val="24"/>
          <w:lang w:eastAsia="en-GB"/>
        </w:rPr>
        <w:t>, B. and Linton-Kelly, H. (2022) </w:t>
      </w:r>
      <w:r>
        <w:rPr>
          <w:rFonts w:cs="Times New Roman" w:eastAsia="Times New Roman"/>
          <w:i/>
          <w:iCs/>
          <w:szCs w:val="24"/>
          <w:lang w:eastAsia="en-GB"/>
        </w:rPr>
        <w:t>Wellness management in hospitality and tourism</w:t>
      </w:r>
      <w:r>
        <w:rPr>
          <w:rFonts w:cs="Times New Roman" w:eastAsia="Times New Roman"/>
          <w:szCs w:val="24"/>
          <w:lang w:eastAsia="en-GB"/>
        </w:rPr>
        <w:t>. Oxford, England: Goodfellow.</w:t>
      </w:r>
    </w:p>
    <w:p w14:paraId="000000C6">
      <w:pPr>
        <w:spacing w:before="120" w:after="120" w:line="360" w:lineRule="auto"/>
        <w:rPr>
          <w:rFonts w:cs="Times New Roman" w:eastAsia="Times New Roman"/>
          <w:szCs w:val="24"/>
          <w:lang w:eastAsia="en-GB"/>
        </w:rPr>
      </w:pPr>
      <w:r>
        <w:rPr>
          <w:rFonts w:cs="Times New Roman" w:eastAsia="Times New Roman"/>
          <w:szCs w:val="24"/>
          <w:lang w:eastAsia="en-GB"/>
        </w:rPr>
        <w:t>Okumus</w:t>
      </w:r>
      <w:r>
        <w:rPr>
          <w:rFonts w:cs="Times New Roman" w:eastAsia="Times New Roman"/>
          <w:szCs w:val="24"/>
          <w:lang w:eastAsia="en-GB"/>
        </w:rPr>
        <w:t>, F. </w:t>
      </w:r>
      <w:r>
        <w:rPr>
          <w:rFonts w:cs="Times New Roman" w:eastAsia="Times New Roman"/>
          <w:i/>
          <w:iCs/>
          <w:szCs w:val="24"/>
          <w:lang w:eastAsia="en-GB"/>
        </w:rPr>
        <w:t>et al.</w:t>
      </w:r>
      <w:r>
        <w:rPr>
          <w:rFonts w:cs="Times New Roman" w:eastAsia="Times New Roman"/>
          <w:szCs w:val="24"/>
          <w:lang w:eastAsia="en-GB"/>
        </w:rPr>
        <w:t> (2019) </w:t>
      </w:r>
      <w:r>
        <w:rPr>
          <w:rFonts w:cs="Times New Roman" w:eastAsia="Times New Roman"/>
          <w:i/>
          <w:iCs/>
          <w:szCs w:val="24"/>
          <w:lang w:eastAsia="en-GB"/>
        </w:rPr>
        <w:t>Strategic management for hospitality and tourism</w:t>
      </w:r>
      <w:r>
        <w:rPr>
          <w:rFonts w:cs="Times New Roman" w:eastAsia="Times New Roman"/>
          <w:szCs w:val="24"/>
          <w:lang w:eastAsia="en-GB"/>
        </w:rPr>
        <w:t>. 2nd ed. New York, NY: Routledge Member of the Taylor and Francis Group.</w:t>
      </w:r>
    </w:p>
    <w:p w14:paraId="000000C7">
      <w:pPr>
        <w:spacing w:line="360" w:lineRule="auto"/>
        <w:rPr>
          <w:rFonts w:cs="Times New Roman"/>
          <w:i/>
          <w:iCs/>
          <w:szCs w:val="24"/>
        </w:rPr>
      </w:pPr>
      <w:r>
        <w:rPr>
          <w:rFonts w:cs="Times New Roman"/>
          <w:szCs w:val="24"/>
        </w:rPr>
        <w:t xml:space="preserve">Rogers, T. Wynn-Moylan, P (2022) </w:t>
      </w:r>
      <w:r>
        <w:rPr>
          <w:rFonts w:cs="Times New Roman"/>
          <w:i/>
          <w:iCs/>
          <w:szCs w:val="24"/>
        </w:rPr>
        <w:t>Conferences and conventions: a global industry. 4th Edition. Routledge:  Oxford</w:t>
      </w:r>
    </w:p>
    <w:p w14:paraId="000000C8">
      <w:pPr>
        <w:spacing w:before="120" w:after="120" w:line="360" w:lineRule="auto"/>
        <w:rPr>
          <w:rFonts w:cs="Times New Roman" w:eastAsia="Times New Roman"/>
          <w:szCs w:val="24"/>
          <w:lang w:eastAsia="en-GB"/>
        </w:rPr>
      </w:pPr>
      <w:r>
        <w:rPr>
          <w:rFonts w:cs="Times New Roman" w:eastAsia="Times New Roman"/>
          <w:szCs w:val="24"/>
          <w:lang w:eastAsia="en-GB"/>
        </w:rPr>
        <w:t>Sharma, S. (2022) </w:t>
      </w:r>
      <w:r>
        <w:rPr>
          <w:rFonts w:cs="Times New Roman" w:eastAsia="Times New Roman"/>
          <w:i/>
          <w:iCs/>
          <w:szCs w:val="24"/>
          <w:lang w:eastAsia="en-GB"/>
        </w:rPr>
        <w:t>Hospitality and tourism management strategies</w:t>
      </w:r>
      <w:r>
        <w:rPr>
          <w:rFonts w:cs="Times New Roman" w:eastAsia="Times New Roman"/>
          <w:szCs w:val="24"/>
          <w:lang w:eastAsia="en-GB"/>
        </w:rPr>
        <w:t>. Guwahati, India: Akansha Publishing.</w:t>
      </w:r>
    </w:p>
    <w:p w14:paraId="000000C9">
      <w:pPr>
        <w:spacing w:line="360" w:lineRule="auto"/>
        <w:rPr>
          <w:rFonts w:cs="Times New Roman"/>
          <w:i/>
          <w:iCs/>
          <w:szCs w:val="24"/>
        </w:rPr>
      </w:pPr>
      <w:r>
        <w:rPr>
          <w:rFonts w:cs="Times New Roman"/>
          <w:szCs w:val="24"/>
        </w:rPr>
        <w:t xml:space="preserve">Smith, A. (2012) </w:t>
      </w:r>
      <w:r>
        <w:rPr>
          <w:rFonts w:cs="Times New Roman"/>
          <w:i/>
          <w:iCs/>
          <w:szCs w:val="24"/>
        </w:rPr>
        <w:t xml:space="preserve">Events and urban regeneration: </w:t>
      </w:r>
      <w:r>
        <w:rPr>
          <w:rFonts w:cs="Times New Roman"/>
          <w:i/>
          <w:iCs/>
          <w:szCs w:val="24"/>
        </w:rPr>
        <w:t>the  strategic</w:t>
      </w:r>
      <w:r>
        <w:rPr>
          <w:rFonts w:cs="Times New Roman"/>
          <w:i/>
          <w:iCs/>
          <w:szCs w:val="24"/>
        </w:rPr>
        <w:t xml:space="preserve"> use of events to revitalise cities. Routledge:  Oxford</w:t>
      </w:r>
    </w:p>
    <w:p w14:paraId="000000CA">
      <w:pPr>
        <w:spacing w:before="120" w:after="120" w:line="360" w:lineRule="auto"/>
        <w:rPr>
          <w:rFonts w:cs="Times New Roman" w:eastAsia="Times New Roman"/>
          <w:szCs w:val="24"/>
          <w:lang w:eastAsia="en-GB"/>
        </w:rPr>
      </w:pPr>
      <w:r>
        <w:rPr>
          <w:rFonts w:cs="Times New Roman" w:eastAsia="Times New Roman"/>
          <w:szCs w:val="24"/>
          <w:lang w:eastAsia="en-GB"/>
        </w:rPr>
        <w:t>Stylos</w:t>
      </w:r>
      <w:r>
        <w:rPr>
          <w:rFonts w:cs="Times New Roman" w:eastAsia="Times New Roman"/>
          <w:szCs w:val="24"/>
          <w:lang w:eastAsia="en-GB"/>
        </w:rPr>
        <w:t>, N. </w:t>
      </w:r>
      <w:r>
        <w:rPr>
          <w:rFonts w:cs="Times New Roman" w:eastAsia="Times New Roman"/>
          <w:i/>
          <w:iCs/>
          <w:szCs w:val="24"/>
          <w:lang w:eastAsia="en-GB"/>
        </w:rPr>
        <w:t>et al.</w:t>
      </w:r>
      <w:r>
        <w:rPr>
          <w:rFonts w:cs="Times New Roman" w:eastAsia="Times New Roman"/>
          <w:szCs w:val="24"/>
          <w:lang w:eastAsia="en-GB"/>
        </w:rPr>
        <w:t> (eds) (2022) </w:t>
      </w:r>
      <w:r>
        <w:rPr>
          <w:rFonts w:cs="Times New Roman" w:eastAsia="Times New Roman"/>
          <w:i/>
          <w:iCs/>
          <w:szCs w:val="24"/>
          <w:lang w:eastAsia="en-GB"/>
        </w:rPr>
        <w:t>Generation Z marketing and management in tourism and hospitality: The future of the industry</w:t>
      </w:r>
      <w:r>
        <w:rPr>
          <w:rFonts w:cs="Times New Roman" w:eastAsia="Times New Roman"/>
          <w:szCs w:val="24"/>
          <w:lang w:eastAsia="en-GB"/>
        </w:rPr>
        <w:t>. 1st ed. Cham, Switzerland: Springer Nature.</w:t>
      </w:r>
    </w:p>
    <w:p w14:paraId="000000CB">
      <w:pPr>
        <w:spacing w:before="120" w:after="120" w:line="360" w:lineRule="auto"/>
        <w:rPr>
          <w:rFonts w:cs="Times New Roman" w:eastAsia="Times New Roman"/>
          <w:szCs w:val="24"/>
          <w:lang w:eastAsia="en-GB"/>
        </w:rPr>
      </w:pPr>
      <w:r>
        <w:rPr>
          <w:rFonts w:cs="Times New Roman" w:eastAsia="Times New Roman"/>
          <w:szCs w:val="24"/>
          <w:lang w:eastAsia="en-GB"/>
        </w:rPr>
        <w:t xml:space="preserve">Uysal, M., Schwartz, Z. and </w:t>
      </w:r>
      <w:r>
        <w:rPr>
          <w:rFonts w:cs="Times New Roman" w:eastAsia="Times New Roman"/>
          <w:szCs w:val="24"/>
          <w:lang w:eastAsia="en-GB"/>
        </w:rPr>
        <w:t>Sirakaya</w:t>
      </w:r>
      <w:r>
        <w:rPr>
          <w:rFonts w:cs="Times New Roman" w:eastAsia="Times New Roman"/>
          <w:szCs w:val="24"/>
          <w:lang w:eastAsia="en-GB"/>
        </w:rPr>
        <w:t>-Turk, E. (eds) (2021) </w:t>
      </w:r>
      <w:r>
        <w:rPr>
          <w:rFonts w:cs="Times New Roman" w:eastAsia="Times New Roman"/>
          <w:i/>
          <w:iCs/>
          <w:szCs w:val="24"/>
          <w:lang w:eastAsia="en-GB"/>
        </w:rPr>
        <w:t>Management science in hospitality and tourism: Theory, practice, and applications</w:t>
      </w:r>
      <w:r>
        <w:rPr>
          <w:rFonts w:cs="Times New Roman" w:eastAsia="Times New Roman"/>
          <w:szCs w:val="24"/>
          <w:lang w:eastAsia="en-GB"/>
        </w:rPr>
        <w:t>. Oakville, MO: Apple Academic Press.</w:t>
      </w:r>
    </w:p>
    <w:p w14:paraId="000000CC">
      <w:pPr>
        <w:spacing w:before="120" w:after="120" w:line="360" w:lineRule="auto"/>
        <w:rPr>
          <w:rFonts w:cs="Times New Roman" w:eastAsia="Times New Roman"/>
          <w:szCs w:val="24"/>
          <w:lang w:eastAsia="en-GB"/>
        </w:rPr>
      </w:pPr>
      <w:r>
        <w:rPr>
          <w:rFonts w:cs="Times New Roman" w:eastAsia="Times New Roman"/>
          <w:szCs w:val="24"/>
          <w:lang w:eastAsia="en-GB"/>
        </w:rPr>
        <w:t>Wilson-Mah, R. (ed.) (2023) </w:t>
      </w:r>
      <w:r>
        <w:rPr>
          <w:rFonts w:cs="Times New Roman" w:eastAsia="Times New Roman"/>
          <w:i/>
          <w:iCs/>
          <w:szCs w:val="24"/>
          <w:lang w:eastAsia="en-GB"/>
        </w:rPr>
        <w:t>Tourism and hospitality management in practice: A case study collection</w:t>
      </w:r>
      <w:r>
        <w:rPr>
          <w:rFonts w:cs="Times New Roman" w:eastAsia="Times New Roman"/>
          <w:szCs w:val="24"/>
          <w:lang w:eastAsia="en-GB"/>
        </w:rPr>
        <w:t>. London, England: Taylor &amp; Francis.</w:t>
      </w:r>
    </w:p>
    <w:p w14:paraId="000000CD">
      <w:pPr>
        <w:jc w:val="left"/>
        <w:rPr>
          <w:rFonts w:cs="Times New Roman" w:eastAsia="Times New Roman"/>
          <w:szCs w:val="24"/>
          <w:lang w:eastAsia="en-GB"/>
        </w:rPr>
      </w:pPr>
      <w:r>
        <w:rPr>
          <w:rFonts w:cs="Times New Roman" w:eastAsia="Times New Roman"/>
          <w:szCs w:val="24"/>
          <w:lang w:eastAsia="en-GB"/>
        </w:rPr>
        <w:br w:type="page"/>
      </w:r>
    </w:p>
    <w:p w14:paraId="000000CE">
      <w:pPr>
        <w:spacing w:before="120" w:after="120" w:line="360" w:lineRule="auto"/>
        <w:rPr/>
      </w:pPr>
    </w:p>
    <w:sectPr>
      <w:footerReference w:type="default" r:id="rId13"/>
      <w:pgSz w:w="12240" w:h="15840"/>
      <w:pgMar w:top="1440" w:right="1440" w:bottom="1440" w:left="14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dgm="http://schemas.openxmlformats.org/drawingml/2006/diagram">
  <w:endnote w:type="separator" w:id="0">
    <w:p w14:paraId="00000003">
      <w:pPr>
        <w:spacing w:after="0" w:line="240" w:lineRule="auto"/>
        <w:rPr/>
      </w:pPr>
      <w:r>
        <w:rPr/>
        <w:separator/>
      </w:r>
    </w:p>
  </w:endnote>
  <w:endnote w:type="continuationSeparator" w:id="1">
    <w:p w14:paraId="00000004">
      <w:pPr>
        <w:spacing w:after="0" w:line="240" w:lineRule="auto"/>
        <w:rPr/>
      </w:pPr>
      <w:r>
        <w:rPr/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00000000" w:csb1="00000000"/>
  </w:font>
  <w:font w:name="Times New Roman">
    <w:panose1 w:val="02020603050405020304"/>
    <w:charset w:val="00"/>
    <w:family w:val="roman"/>
    <w:pitch w:val="variable"/>
    <w:sig w:usb0="00000000" w:usb1="00000000" w:usb2="00000009" w:usb3="00000000" w:csb0="000001ff" w:csb1="00000000"/>
  </w:font>
  <w:font w:name="Courier New">
    <w:panose1 w:val="02070309020205020404"/>
    <w:charset w:val="00"/>
    <w:family w:val="modern"/>
    <w:pitch w:val="fixed"/>
    <w:sig w:usb0="00000000" w:usb1="00000000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00000000" w:csb1="00000000"/>
  </w:font>
  <w:font w:name="Calibri">
    <w:panose1 w:val="020f0502020204030204"/>
    <w:charset w:val="00"/>
    <w:family w:val="swiss"/>
    <w:pitch w:val="variable"/>
    <w:sig w:usb0="00000000" w:usb1="00000000" w:usb2="00000009" w:usb3="00000000" w:csb0="000001ff" w:csb1="00000000"/>
  </w:font>
  <w:font w:name="Arial">
    <w:panose1 w:val="020b0604020202020204"/>
    <w:charset w:val="00"/>
    <w:family w:val="swiss"/>
    <w:pitch w:val="variable"/>
    <w:sig w:usb0="00000000" w:usb1="00000000" w:usb2="00000009" w:usb3="00000000" w:csb0="000001ff" w:csb1="00000000"/>
  </w:font>
  <w:font w:name="Calibri Light">
    <w:panose1 w:val="020f0302020204030204"/>
    <w:charset w:val="00"/>
    <w:family w:val="swiss"/>
    <w:pitch w:val="variable"/>
    <w:sig w:usb0="00000000" w:usb1="00000000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Tahoma">
    <w:panose1 w:val="020b0604030504040204"/>
    <w:charset w:val="00"/>
    <w:family w:val="roman"/>
    <w:pitch w:val="variable"/>
    <w:sig w:usb0="61002a87" w:usb1="80000000" w:usb2="00000008" w:usb3="00000000" w:csb0="000001ff" w:csb1="00000000"/>
  </w:font>
  <w:font w:name="Verdana">
    <w:panose1 w:val="020b0604030504040204"/>
    <w:charset w:val="00"/>
    <w:family w:val="roman"/>
    <w:pitch w:val="variable"/>
    <w:sig w:usb0="a10006ff" w:usb1="4000205b" w:usb2="00000010" w:usb3="00000000" w:csb0="0000019f" w:csb1="00000000"/>
  </w:font>
  <w:font w:name="Helvetica Neue">
    <w:charset w:val="00"/>
    <w:family w:val="swiss"/>
    <w:pitch w:val="variable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dgm="http://schemas.openxmlformats.org/drawingml/2006/diagram">
  <w:p w14:paraId="000000CF">
    <w:pPr>
      <w:pStyle w:val="Footer"/>
      <w:jc w:val="right"/>
      <w:rPr/>
    </w:pPr>
    <w:r>
      <w:t xml:space="preserve">Page | </w:t>
    </w:r>
    <w:r>
      <w:fldChar w:fldCharType="begin"/>
    </w:r>
    <w:r>
      <w:instrText xml:space="preserve">PAGE   \* MERGEFORMAT</w:instrText>
    </w:r>
    <w:r>
      <w:fldChar w:fldCharType="separate"/>
    </w:r>
    <w:r>
      <w:t>2</w:t>
    </w:r>
    <w:r>
      <w:fldChar w:fldCharType="end"/>
    </w:r>
    <w:r>
      <w:t xml:space="preserve"> </w:t>
    </w:r>
  </w:p>
  <w:p w14:paraId="000000D0">
    <w:pPr>
      <w:pStyle w:val="Footer"/>
      <w:rPr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dgm="http://schemas.openxmlformats.org/drawingml/2006/diagram">
  <w:footnote w:type="separator" w:id="0">
    <w:p w14:paraId="00000001">
      <w:pPr>
        <w:spacing w:after="0" w:line="240" w:lineRule="auto"/>
        <w:rPr/>
      </w:pPr>
      <w:r>
        <w:rPr/>
        <w:separator/>
      </w:r>
    </w:p>
  </w:footnote>
  <w:footnote w:type="continuationSeparator" w:id="1">
    <w:p w14:paraId="00000002">
      <w:pPr>
        <w:spacing w:after="0" w:line="240" w:lineRule="auto"/>
        <w:rPr/>
      </w:pPr>
      <w:r>
        <w:rPr/>
        <w:continuationSeparator/>
      </w:r>
    </w:p>
  </w:footnote>
</w:footnote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ne="http://schemas.microsoft.com/office/word/2006/wordml" xmlns:w14="http://schemas.microsoft.com/office/word/2010/wordml" xmlns:w="http://schemas.openxmlformats.org/wordprocessingml/2006/main">
  <w:abstractNum w:abstractNumId="0">
    <w:multiLevelType w:val="hybridMultilevel"/>
    <w:lvl w:ilvl="0" w:tentative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entative="1">
      <w:start w:val="1"/>
      <w:numFmt w:val="bullet"/>
      <w:lvlText w:val="o"/>
      <w:lvlJc w:val="left"/>
      <w:pPr>
        <w:ind w:left="1440" w:hanging="360"/>
      </w:pPr>
      <w:rPr>
        <w:rFonts w:ascii="Courier New" w:cs="Courier New" w:hAnsi="Courier New" w:hint="default"/>
      </w:rPr>
    </w:lvl>
    <w:lvl w:ilvl="2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entative="1">
      <w:start w:val="1"/>
      <w:numFmt w:val="bullet"/>
      <w:lvlText w:val="o"/>
      <w:lvlJc w:val="left"/>
      <w:pPr>
        <w:ind w:left="3600" w:hanging="360"/>
      </w:pPr>
      <w:rPr>
        <w:rFonts w:ascii="Courier New" w:cs="Courier New" w:hAnsi="Courier New" w:hint="default"/>
      </w:rPr>
    </w:lvl>
    <w:lvl w:ilvl="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entative="1">
      <w:start w:val="1"/>
      <w:numFmt w:val="bullet"/>
      <w:lvlText w:val="o"/>
      <w:lvlJc w:val="left"/>
      <w:pPr>
        <w:ind w:left="5760" w:hanging="360"/>
      </w:pPr>
      <w:rPr>
        <w:rFonts w:ascii="Courier New" w:cs="Courier New" w:hAnsi="Courier New" w:hint="default"/>
      </w:rPr>
    </w:lvl>
    <w:lvl w:ilvl="8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multiLevelType w:val="hybridMultilevel"/>
    <w:lvl w:ilvl="0" w:tentative="0">
      <w:start w:val="1"/>
      <w:numFmt w:val="decimal"/>
      <w:lvlText w:val="%1."/>
      <w:lvlJc w:val="left"/>
      <w:pPr>
        <w:ind w:left="720" w:hanging="360"/>
      </w:pPr>
    </w:lvl>
    <w:lvl w:ilvl="1" w:tentative="1">
      <w:start w:val="1"/>
      <w:numFmt w:val="lowerLetter"/>
      <w:lvlText w:val="%2."/>
      <w:lvlJc w:val="left"/>
      <w:pPr>
        <w:ind w:left="1440" w:hanging="360"/>
      </w:pPr>
    </w:lvl>
    <w:lvl w:ilvl="2" w:tentative="1">
      <w:start w:val="1"/>
      <w:numFmt w:val="lowerRoman"/>
      <w:lvlText w:val="%3."/>
      <w:lvlJc w:val="right"/>
      <w:pPr>
        <w:ind w:left="2160" w:hanging="180"/>
      </w:pPr>
    </w:lvl>
    <w:lvl w:ilvl="3" w:tentative="1">
      <w:start w:val="1"/>
      <w:numFmt w:val="decimal"/>
      <w:lvlText w:val="%4."/>
      <w:lvlJc w:val="left"/>
      <w:pPr>
        <w:ind w:left="2880" w:hanging="360"/>
      </w:pPr>
    </w:lvl>
    <w:lvl w:ilvl="4" w:tentative="1">
      <w:start w:val="1"/>
      <w:numFmt w:val="lowerLetter"/>
      <w:lvlText w:val="%5."/>
      <w:lvlJc w:val="left"/>
      <w:pPr>
        <w:ind w:left="3600" w:hanging="360"/>
      </w:pPr>
    </w:lvl>
    <w:lvl w:ilvl="5" w:tentative="1">
      <w:start w:val="1"/>
      <w:numFmt w:val="lowerRoman"/>
      <w:lvlText w:val="%6."/>
      <w:lvlJc w:val="right"/>
      <w:pPr>
        <w:ind w:left="4320" w:hanging="180"/>
      </w:pPr>
    </w:lvl>
    <w:lvl w:ilvl="6" w:tentative="1">
      <w:start w:val="1"/>
      <w:numFmt w:val="decimal"/>
      <w:lvlText w:val="%7."/>
      <w:lvlJc w:val="left"/>
      <w:pPr>
        <w:ind w:left="5040" w:hanging="360"/>
      </w:pPr>
    </w:lvl>
    <w:lvl w:ilvl="7" w:tentative="1">
      <w:start w:val="1"/>
      <w:numFmt w:val="lowerLetter"/>
      <w:lvlText w:val="%8."/>
      <w:lvlJc w:val="left"/>
      <w:pPr>
        <w:ind w:left="5760" w:hanging="360"/>
      </w:pPr>
    </w:lvl>
    <w:lvl w:ilvl="8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multiLevelType w:val="hybridMultilevel"/>
    <w:lvl w:ilvl="0" w:tentative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entative="1">
      <w:start w:val="1"/>
      <w:numFmt w:val="bullet"/>
      <w:lvlText w:val="o"/>
      <w:lvlJc w:val="left"/>
      <w:pPr>
        <w:ind w:left="1440" w:hanging="360"/>
      </w:pPr>
      <w:rPr>
        <w:rFonts w:ascii="Courier New" w:cs="Courier New" w:hAnsi="Courier New" w:hint="default"/>
      </w:rPr>
    </w:lvl>
    <w:lvl w:ilvl="2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entative="1">
      <w:start w:val="1"/>
      <w:numFmt w:val="bullet"/>
      <w:lvlText w:val="o"/>
      <w:lvlJc w:val="left"/>
      <w:pPr>
        <w:ind w:left="3600" w:hanging="360"/>
      </w:pPr>
      <w:rPr>
        <w:rFonts w:ascii="Courier New" w:cs="Courier New" w:hAnsi="Courier New" w:hint="default"/>
      </w:rPr>
    </w:lvl>
    <w:lvl w:ilvl="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entative="1">
      <w:start w:val="1"/>
      <w:numFmt w:val="bullet"/>
      <w:lvlText w:val="o"/>
      <w:lvlJc w:val="left"/>
      <w:pPr>
        <w:ind w:left="5760" w:hanging="360"/>
      </w:pPr>
      <w:rPr>
        <w:rFonts w:ascii="Courier New" w:cs="Courier New" w:hAnsi="Courier New" w:hint="default"/>
      </w:rPr>
    </w:lvl>
    <w:lvl w:ilvl="8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multiLevelType w:val="hybridMultilevel"/>
    <w:lvl w:ilvl="0" w:tentative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entative="1">
      <w:start w:val="1"/>
      <w:numFmt w:val="bullet"/>
      <w:lvlText w:val="o"/>
      <w:lvlJc w:val="left"/>
      <w:pPr>
        <w:ind w:left="1440" w:hanging="360"/>
      </w:pPr>
      <w:rPr>
        <w:rFonts w:ascii="Courier New" w:cs="Courier New" w:hAnsi="Courier New" w:hint="default"/>
      </w:rPr>
    </w:lvl>
    <w:lvl w:ilvl="2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entative="1">
      <w:start w:val="1"/>
      <w:numFmt w:val="bullet"/>
      <w:lvlText w:val="o"/>
      <w:lvlJc w:val="left"/>
      <w:pPr>
        <w:ind w:left="3600" w:hanging="360"/>
      </w:pPr>
      <w:rPr>
        <w:rFonts w:ascii="Courier New" w:cs="Courier New" w:hAnsi="Courier New" w:hint="default"/>
      </w:rPr>
    </w:lvl>
    <w:lvl w:ilvl="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entative="1">
      <w:start w:val="1"/>
      <w:numFmt w:val="bullet"/>
      <w:lvlText w:val="o"/>
      <w:lvlJc w:val="left"/>
      <w:pPr>
        <w:ind w:left="5760" w:hanging="360"/>
      </w:pPr>
      <w:rPr>
        <w:rFonts w:ascii="Courier New" w:cs="Courier New" w:hAnsi="Courier New" w:hint="default"/>
      </w:rPr>
    </w:lvl>
    <w:lvl w:ilvl="8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multiLevelType w:val="hybridMultilevel"/>
    <w:lvl w:ilvl="0" w:tentative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entative="1">
      <w:start w:val="1"/>
      <w:numFmt w:val="bullet"/>
      <w:lvlText w:val="o"/>
      <w:lvlJc w:val="left"/>
      <w:pPr>
        <w:ind w:left="1440" w:hanging="360"/>
      </w:pPr>
      <w:rPr>
        <w:rFonts w:ascii="Courier New" w:cs="Courier New" w:hAnsi="Courier New" w:hint="default"/>
      </w:rPr>
    </w:lvl>
    <w:lvl w:ilvl="2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entative="1">
      <w:start w:val="1"/>
      <w:numFmt w:val="bullet"/>
      <w:lvlText w:val="o"/>
      <w:lvlJc w:val="left"/>
      <w:pPr>
        <w:ind w:left="3600" w:hanging="360"/>
      </w:pPr>
      <w:rPr>
        <w:rFonts w:ascii="Courier New" w:cs="Courier New" w:hAnsi="Courier New" w:hint="default"/>
      </w:rPr>
    </w:lvl>
    <w:lvl w:ilvl="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entative="1">
      <w:start w:val="1"/>
      <w:numFmt w:val="bullet"/>
      <w:lvlText w:val="o"/>
      <w:lvlJc w:val="left"/>
      <w:pPr>
        <w:ind w:left="5760" w:hanging="360"/>
      </w:pPr>
      <w:rPr>
        <w:rFonts w:ascii="Courier New" w:cs="Courier New" w:hAnsi="Courier New" w:hint="default"/>
      </w:rPr>
    </w:lvl>
    <w:lvl w:ilvl="8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multiLevelType w:val="hybridMultilevel"/>
    <w:lvl w:ilvl="0" w:tentative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entative="1">
      <w:start w:val="1"/>
      <w:numFmt w:val="bullet"/>
      <w:lvlText w:val="o"/>
      <w:lvlJc w:val="left"/>
      <w:pPr>
        <w:ind w:left="1440" w:hanging="360"/>
      </w:pPr>
      <w:rPr>
        <w:rFonts w:ascii="Courier New" w:cs="Courier New" w:hAnsi="Courier New" w:hint="default"/>
      </w:rPr>
    </w:lvl>
    <w:lvl w:ilvl="2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entative="1">
      <w:start w:val="1"/>
      <w:numFmt w:val="bullet"/>
      <w:lvlText w:val="o"/>
      <w:lvlJc w:val="left"/>
      <w:pPr>
        <w:ind w:left="3600" w:hanging="360"/>
      </w:pPr>
      <w:rPr>
        <w:rFonts w:ascii="Courier New" w:cs="Courier New" w:hAnsi="Courier New" w:hint="default"/>
      </w:rPr>
    </w:lvl>
    <w:lvl w:ilvl="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entative="1">
      <w:start w:val="1"/>
      <w:numFmt w:val="bullet"/>
      <w:lvlText w:val="o"/>
      <w:lvlJc w:val="left"/>
      <w:pPr>
        <w:ind w:left="5760" w:hanging="360"/>
      </w:pPr>
      <w:rPr>
        <w:rFonts w:ascii="Courier New" w:cs="Courier New" w:hAnsi="Courier New" w:hint="default"/>
      </w:rPr>
    </w:lvl>
    <w:lvl w:ilvl="8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multiLevelType w:val="hybridMultilevel"/>
    <w:lvl w:ilvl="0" w:tentative="0">
      <w:start w:val="1"/>
      <w:numFmt w:val="decimal"/>
      <w:pStyle w:val="Heading1"/>
      <w:lvlText w:val="%1."/>
      <w:lvlJc w:val="left"/>
      <w:pPr>
        <w:ind w:left="720" w:hanging="360"/>
      </w:pPr>
    </w:lvl>
    <w:lvl w:ilvl="1" w:tentative="1">
      <w:start w:val="1"/>
      <w:numFmt w:val="lowerLetter"/>
      <w:lvlText w:val="%2."/>
      <w:lvlJc w:val="left"/>
      <w:pPr>
        <w:ind w:left="1440" w:hanging="360"/>
      </w:pPr>
    </w:lvl>
    <w:lvl w:ilvl="2" w:tentative="1">
      <w:start w:val="1"/>
      <w:numFmt w:val="lowerRoman"/>
      <w:lvlText w:val="%3."/>
      <w:lvlJc w:val="right"/>
      <w:pPr>
        <w:ind w:left="2160" w:hanging="180"/>
      </w:pPr>
    </w:lvl>
    <w:lvl w:ilvl="3" w:tentative="1">
      <w:start w:val="1"/>
      <w:numFmt w:val="decimal"/>
      <w:lvlText w:val="%4."/>
      <w:lvlJc w:val="left"/>
      <w:pPr>
        <w:ind w:left="2880" w:hanging="360"/>
      </w:pPr>
    </w:lvl>
    <w:lvl w:ilvl="4" w:tentative="1">
      <w:start w:val="1"/>
      <w:numFmt w:val="lowerLetter"/>
      <w:lvlText w:val="%5."/>
      <w:lvlJc w:val="left"/>
      <w:pPr>
        <w:ind w:left="3600" w:hanging="360"/>
      </w:pPr>
    </w:lvl>
    <w:lvl w:ilvl="5" w:tentative="1">
      <w:start w:val="1"/>
      <w:numFmt w:val="lowerRoman"/>
      <w:lvlText w:val="%6."/>
      <w:lvlJc w:val="right"/>
      <w:pPr>
        <w:ind w:left="4320" w:hanging="180"/>
      </w:pPr>
    </w:lvl>
    <w:lvl w:ilvl="6" w:tentative="1">
      <w:start w:val="1"/>
      <w:numFmt w:val="decimal"/>
      <w:lvlText w:val="%7."/>
      <w:lvlJc w:val="left"/>
      <w:pPr>
        <w:ind w:left="5040" w:hanging="360"/>
      </w:pPr>
    </w:lvl>
    <w:lvl w:ilvl="7" w:tentative="1">
      <w:start w:val="1"/>
      <w:numFmt w:val="lowerLetter"/>
      <w:lvlText w:val="%8."/>
      <w:lvlJc w:val="left"/>
      <w:pPr>
        <w:ind w:left="5760" w:hanging="360"/>
      </w:pPr>
    </w:lvl>
    <w:lvl w:ilvl="8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>
    <w:multiLevelType w:val="hybridMultilevel"/>
    <w:lvl w:ilvl="0" w:tentative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entative="1">
      <w:start w:val="1"/>
      <w:numFmt w:val="bullet"/>
      <w:lvlText w:val="o"/>
      <w:lvlJc w:val="left"/>
      <w:pPr>
        <w:ind w:left="1440" w:hanging="360"/>
      </w:pPr>
      <w:rPr>
        <w:rFonts w:ascii="Courier New" w:cs="Courier New" w:hAnsi="Courier New" w:hint="default"/>
      </w:rPr>
    </w:lvl>
    <w:lvl w:ilvl="2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entative="1">
      <w:start w:val="1"/>
      <w:numFmt w:val="bullet"/>
      <w:lvlText w:val="o"/>
      <w:lvlJc w:val="left"/>
      <w:pPr>
        <w:ind w:left="3600" w:hanging="360"/>
      </w:pPr>
      <w:rPr>
        <w:rFonts w:ascii="Courier New" w:cs="Courier New" w:hAnsi="Courier New" w:hint="default"/>
      </w:rPr>
    </w:lvl>
    <w:lvl w:ilvl="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entative="1">
      <w:start w:val="1"/>
      <w:numFmt w:val="bullet"/>
      <w:lvlText w:val="o"/>
      <w:lvlJc w:val="left"/>
      <w:pPr>
        <w:ind w:left="5760" w:hanging="360"/>
      </w:pPr>
      <w:rPr>
        <w:rFonts w:ascii="Courier New" w:cs="Courier New" w:hAnsi="Courier New" w:hint="default"/>
      </w:rPr>
    </w:lvl>
    <w:lvl w:ilvl="8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>
    <w:multiLevelType w:val="hybridMultilevel"/>
    <w:lvl w:ilvl="0" w:tentative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entative="1">
      <w:start w:val="1"/>
      <w:numFmt w:val="bullet"/>
      <w:lvlText w:val="o"/>
      <w:lvlJc w:val="left"/>
      <w:pPr>
        <w:ind w:left="1440" w:hanging="360"/>
      </w:pPr>
      <w:rPr>
        <w:rFonts w:ascii="Courier New" w:cs="Courier New" w:hAnsi="Courier New" w:hint="default"/>
      </w:rPr>
    </w:lvl>
    <w:lvl w:ilvl="2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entative="1">
      <w:start w:val="1"/>
      <w:numFmt w:val="bullet"/>
      <w:lvlText w:val="o"/>
      <w:lvlJc w:val="left"/>
      <w:pPr>
        <w:ind w:left="3600" w:hanging="360"/>
      </w:pPr>
      <w:rPr>
        <w:rFonts w:ascii="Courier New" w:cs="Courier New" w:hAnsi="Courier New" w:hint="default"/>
      </w:rPr>
    </w:lvl>
    <w:lvl w:ilvl="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entative="1">
      <w:start w:val="1"/>
      <w:numFmt w:val="bullet"/>
      <w:lvlText w:val="o"/>
      <w:lvlJc w:val="left"/>
      <w:pPr>
        <w:ind w:left="5760" w:hanging="360"/>
      </w:pPr>
      <w:rPr>
        <w:rFonts w:ascii="Courier New" w:cs="Courier New" w:hAnsi="Courier New" w:hint="default"/>
      </w:rPr>
    </w:lvl>
    <w:lvl w:ilvl="8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>
    <w:multiLevelType w:val="hybridMultilevel"/>
    <w:lvl w:ilvl="0" w:tentative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entative="1">
      <w:start w:val="1"/>
      <w:numFmt w:val="bullet"/>
      <w:lvlText w:val="o"/>
      <w:lvlJc w:val="left"/>
      <w:pPr>
        <w:ind w:left="1440" w:hanging="360"/>
      </w:pPr>
      <w:rPr>
        <w:rFonts w:ascii="Courier New" w:cs="Courier New" w:hAnsi="Courier New" w:hint="default"/>
      </w:rPr>
    </w:lvl>
    <w:lvl w:ilvl="2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entative="1">
      <w:start w:val="1"/>
      <w:numFmt w:val="bullet"/>
      <w:lvlText w:val="o"/>
      <w:lvlJc w:val="left"/>
      <w:pPr>
        <w:ind w:left="3600" w:hanging="360"/>
      </w:pPr>
      <w:rPr>
        <w:rFonts w:ascii="Courier New" w:cs="Courier New" w:hAnsi="Courier New" w:hint="default"/>
      </w:rPr>
    </w:lvl>
    <w:lvl w:ilvl="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entative="1">
      <w:start w:val="1"/>
      <w:numFmt w:val="bullet"/>
      <w:lvlText w:val="o"/>
      <w:lvlJc w:val="left"/>
      <w:pPr>
        <w:ind w:left="5760" w:hanging="360"/>
      </w:pPr>
      <w:rPr>
        <w:rFonts w:ascii="Courier New" w:cs="Courier New" w:hAnsi="Courier New" w:hint="default"/>
      </w:rPr>
    </w:lvl>
    <w:lvl w:ilvl="8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>
    <w:multiLevelType w:val="hybridMultilevel"/>
    <w:lvl w:ilvl="0" w:tentative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entative="1">
      <w:start w:val="1"/>
      <w:numFmt w:val="bullet"/>
      <w:lvlText w:val="o"/>
      <w:lvlJc w:val="left"/>
      <w:pPr>
        <w:ind w:left="1440" w:hanging="360"/>
      </w:pPr>
      <w:rPr>
        <w:rFonts w:ascii="Courier New" w:cs="Courier New" w:hAnsi="Courier New" w:hint="default"/>
      </w:rPr>
    </w:lvl>
    <w:lvl w:ilvl="2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entative="1">
      <w:start w:val="1"/>
      <w:numFmt w:val="bullet"/>
      <w:lvlText w:val="o"/>
      <w:lvlJc w:val="left"/>
      <w:pPr>
        <w:ind w:left="3600" w:hanging="360"/>
      </w:pPr>
      <w:rPr>
        <w:rFonts w:ascii="Courier New" w:cs="Courier New" w:hAnsi="Courier New" w:hint="default"/>
      </w:rPr>
    </w:lvl>
    <w:lvl w:ilvl="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entative="1">
      <w:start w:val="1"/>
      <w:numFmt w:val="bullet"/>
      <w:lvlText w:val="o"/>
      <w:lvlJc w:val="left"/>
      <w:pPr>
        <w:ind w:left="5760" w:hanging="360"/>
      </w:pPr>
      <w:rPr>
        <w:rFonts w:ascii="Courier New" w:cs="Courier New" w:hAnsi="Courier New" w:hint="default"/>
      </w:rPr>
    </w:lvl>
    <w:lvl w:ilvl="8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>
    <w:multiLevelType w:val="hybridMultilevel"/>
    <w:lvl w:ilvl="0" w:tentative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entative="1">
      <w:start w:val="1"/>
      <w:numFmt w:val="bullet"/>
      <w:lvlText w:val="o"/>
      <w:lvlJc w:val="left"/>
      <w:pPr>
        <w:ind w:left="1440" w:hanging="360"/>
      </w:pPr>
      <w:rPr>
        <w:rFonts w:ascii="Courier New" w:cs="Courier New" w:hAnsi="Courier New" w:hint="default"/>
      </w:rPr>
    </w:lvl>
    <w:lvl w:ilvl="2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entative="1">
      <w:start w:val="1"/>
      <w:numFmt w:val="bullet"/>
      <w:lvlText w:val="o"/>
      <w:lvlJc w:val="left"/>
      <w:pPr>
        <w:ind w:left="3600" w:hanging="360"/>
      </w:pPr>
      <w:rPr>
        <w:rFonts w:ascii="Courier New" w:cs="Courier New" w:hAnsi="Courier New" w:hint="default"/>
      </w:rPr>
    </w:lvl>
    <w:lvl w:ilvl="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entative="1">
      <w:start w:val="1"/>
      <w:numFmt w:val="bullet"/>
      <w:lvlText w:val="o"/>
      <w:lvlJc w:val="left"/>
      <w:pPr>
        <w:ind w:left="5760" w:hanging="360"/>
      </w:pPr>
      <w:rPr>
        <w:rFonts w:ascii="Courier New" w:cs="Courier New" w:hAnsi="Courier New" w:hint="default"/>
      </w:rPr>
    </w:lvl>
    <w:lvl w:ilvl="8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>
    <w:multiLevelType w:val="hybridMultilevel"/>
    <w:lvl w:ilvl="0" w:tentative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entative="1">
      <w:start w:val="1"/>
      <w:numFmt w:val="bullet"/>
      <w:lvlText w:val="o"/>
      <w:lvlJc w:val="left"/>
      <w:pPr>
        <w:ind w:left="1440" w:hanging="360"/>
      </w:pPr>
      <w:rPr>
        <w:rFonts w:ascii="Courier New" w:cs="Courier New" w:hAnsi="Courier New" w:hint="default"/>
      </w:rPr>
    </w:lvl>
    <w:lvl w:ilvl="2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entative="1">
      <w:start w:val="1"/>
      <w:numFmt w:val="bullet"/>
      <w:lvlText w:val="o"/>
      <w:lvlJc w:val="left"/>
      <w:pPr>
        <w:ind w:left="3600" w:hanging="360"/>
      </w:pPr>
      <w:rPr>
        <w:rFonts w:ascii="Courier New" w:cs="Courier New" w:hAnsi="Courier New" w:hint="default"/>
      </w:rPr>
    </w:lvl>
    <w:lvl w:ilvl="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entative="1">
      <w:start w:val="1"/>
      <w:numFmt w:val="bullet"/>
      <w:lvlText w:val="o"/>
      <w:lvlJc w:val="left"/>
      <w:pPr>
        <w:ind w:left="5760" w:hanging="360"/>
      </w:pPr>
      <w:rPr>
        <w:rFonts w:ascii="Courier New" w:cs="Courier New" w:hAnsi="Courier New" w:hint="default"/>
      </w:rPr>
    </w:lvl>
    <w:lvl w:ilvl="8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>
    <w:multiLevelType w:val="hybridMultilevel"/>
    <w:lvl w:ilvl="0" w:tentative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entative="1">
      <w:start w:val="1"/>
      <w:numFmt w:val="bullet"/>
      <w:lvlText w:val="o"/>
      <w:lvlJc w:val="left"/>
      <w:pPr>
        <w:ind w:left="1440" w:hanging="360"/>
      </w:pPr>
      <w:rPr>
        <w:rFonts w:ascii="Courier New" w:cs="Courier New" w:hAnsi="Courier New" w:hint="default"/>
      </w:rPr>
    </w:lvl>
    <w:lvl w:ilvl="2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entative="1">
      <w:start w:val="1"/>
      <w:numFmt w:val="bullet"/>
      <w:lvlText w:val="o"/>
      <w:lvlJc w:val="left"/>
      <w:pPr>
        <w:ind w:left="3600" w:hanging="360"/>
      </w:pPr>
      <w:rPr>
        <w:rFonts w:ascii="Courier New" w:cs="Courier New" w:hAnsi="Courier New" w:hint="default"/>
      </w:rPr>
    </w:lvl>
    <w:lvl w:ilvl="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entative="1">
      <w:start w:val="1"/>
      <w:numFmt w:val="bullet"/>
      <w:lvlText w:val="o"/>
      <w:lvlJc w:val="left"/>
      <w:pPr>
        <w:ind w:left="5760" w:hanging="360"/>
      </w:pPr>
      <w:rPr>
        <w:rFonts w:ascii="Courier New" w:cs="Courier New" w:hAnsi="Courier New" w:hint="default"/>
      </w:rPr>
    </w:lvl>
    <w:lvl w:ilvl="8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>
    <w:multiLevelType w:val="hybridMultilevel"/>
    <w:lvl w:ilvl="0" w:tentative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ind w:left="1440" w:hanging="360"/>
      </w:pPr>
    </w:lvl>
    <w:lvl w:ilvl="2" w:tentative="1">
      <w:start w:val="1"/>
      <w:numFmt w:val="lowerRoman"/>
      <w:lvlText w:val="%3."/>
      <w:lvlJc w:val="right"/>
      <w:pPr>
        <w:ind w:left="2160" w:hanging="180"/>
      </w:pPr>
    </w:lvl>
    <w:lvl w:ilvl="3" w:tentative="1">
      <w:start w:val="1"/>
      <w:numFmt w:val="decimal"/>
      <w:lvlText w:val="%4."/>
      <w:lvlJc w:val="left"/>
      <w:pPr>
        <w:ind w:left="2880" w:hanging="360"/>
      </w:pPr>
    </w:lvl>
    <w:lvl w:ilvl="4" w:tentative="1">
      <w:start w:val="1"/>
      <w:numFmt w:val="lowerLetter"/>
      <w:lvlText w:val="%5."/>
      <w:lvlJc w:val="left"/>
      <w:pPr>
        <w:ind w:left="3600" w:hanging="360"/>
      </w:pPr>
    </w:lvl>
    <w:lvl w:ilvl="5" w:tentative="1">
      <w:start w:val="1"/>
      <w:numFmt w:val="lowerRoman"/>
      <w:lvlText w:val="%6."/>
      <w:lvlJc w:val="right"/>
      <w:pPr>
        <w:ind w:left="4320" w:hanging="180"/>
      </w:pPr>
    </w:lvl>
    <w:lvl w:ilvl="6" w:tentative="1">
      <w:start w:val="1"/>
      <w:numFmt w:val="decimal"/>
      <w:lvlText w:val="%7."/>
      <w:lvlJc w:val="left"/>
      <w:pPr>
        <w:ind w:left="5040" w:hanging="360"/>
      </w:pPr>
    </w:lvl>
    <w:lvl w:ilvl="7" w:tentative="1">
      <w:start w:val="1"/>
      <w:numFmt w:val="lowerLetter"/>
      <w:lvlText w:val="%8."/>
      <w:lvlJc w:val="left"/>
      <w:pPr>
        <w:ind w:left="5760" w:hanging="360"/>
      </w:pPr>
    </w:lvl>
    <w:lvl w:ilvl="8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>
    <w:multiLevelType w:val="hybridMultilevel"/>
    <w:lvl w:ilvl="0" w:tentative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entative="1">
      <w:start w:val="1"/>
      <w:numFmt w:val="bullet"/>
      <w:lvlText w:val="o"/>
      <w:lvlJc w:val="left"/>
      <w:pPr>
        <w:ind w:left="1440" w:hanging="360"/>
      </w:pPr>
      <w:rPr>
        <w:rFonts w:ascii="Courier New" w:cs="Courier New" w:hAnsi="Courier New" w:hint="default"/>
      </w:rPr>
    </w:lvl>
    <w:lvl w:ilvl="2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entative="1">
      <w:start w:val="1"/>
      <w:numFmt w:val="bullet"/>
      <w:lvlText w:val="o"/>
      <w:lvlJc w:val="left"/>
      <w:pPr>
        <w:ind w:left="3600" w:hanging="360"/>
      </w:pPr>
      <w:rPr>
        <w:rFonts w:ascii="Courier New" w:cs="Courier New" w:hAnsi="Courier New" w:hint="default"/>
      </w:rPr>
    </w:lvl>
    <w:lvl w:ilvl="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entative="1">
      <w:start w:val="1"/>
      <w:numFmt w:val="bullet"/>
      <w:lvlText w:val="o"/>
      <w:lvlJc w:val="left"/>
      <w:pPr>
        <w:ind w:left="5760" w:hanging="360"/>
      </w:pPr>
      <w:rPr>
        <w:rFonts w:ascii="Courier New" w:cs="Courier New" w:hAnsi="Courier New" w:hint="default"/>
      </w:rPr>
    </w:lvl>
    <w:lvl w:ilvl="8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8"/>
  </w:num>
  <w:num w:numId="2">
    <w:abstractNumId w:val="7"/>
  </w:num>
  <w:num w:numId="3">
    <w:abstractNumId w:val="4"/>
  </w:num>
  <w:num w:numId="4">
    <w:abstractNumId w:val="3"/>
  </w:num>
  <w:num w:numId="5">
    <w:abstractNumId w:val="11"/>
  </w:num>
  <w:num w:numId="6">
    <w:abstractNumId w:val="12"/>
  </w:num>
  <w:num w:numId="7">
    <w:abstractNumId w:val="10"/>
  </w:num>
  <w:num w:numId="8">
    <w:abstractNumId w:val="13"/>
  </w:num>
  <w:num w:numId="9">
    <w:abstractNumId w:val="5"/>
  </w:num>
  <w:num w:numId="10">
    <w:abstractNumId w:val="15"/>
  </w:num>
  <w:num w:numId="11">
    <w:abstractNumId w:val="2"/>
  </w:num>
  <w:num w:numId="12">
    <w:abstractNumId w:val="0"/>
  </w:num>
  <w:num w:numId="13">
    <w:abstractNumId w:val="6"/>
  </w:num>
  <w:num w:numId="14">
    <w:abstractNumId w:val="14"/>
  </w:num>
  <w:num w:numId="15">
    <w:abstractNumId w:val="9"/>
  </w:num>
  <w:num w:numId="1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NbA0MTE0NzW0MDI2NzBV0lEKTi0uzszPAykwrQUAEXdj1ywAAAA="/>
  </w:docVars>
  <w:rsids>
    <w:rsidRoot w:val="008D589A"/>
    <w:rsid w:val="000004CE"/>
    <w:rsid w:val="0000153B"/>
    <w:rsid w:val="00003F61"/>
    <w:rsid w:val="00011D5B"/>
    <w:rsid w:val="00013CBA"/>
    <w:rsid w:val="00016343"/>
    <w:rsid w:val="00025645"/>
    <w:rsid w:val="00027AA0"/>
    <w:rsid w:val="00027D01"/>
    <w:rsid w:val="00031982"/>
    <w:rsid w:val="0003564A"/>
    <w:rsid w:val="00051947"/>
    <w:rsid w:val="00051F4D"/>
    <w:rsid w:val="0005621D"/>
    <w:rsid w:val="00057A34"/>
    <w:rsid w:val="00064AB1"/>
    <w:rsid w:val="000701F0"/>
    <w:rsid w:val="00070DE0"/>
    <w:rsid w:val="000711ED"/>
    <w:rsid w:val="00073767"/>
    <w:rsid w:val="000808B0"/>
    <w:rsid w:val="00083EBE"/>
    <w:rsid w:val="00084165"/>
    <w:rsid w:val="00094F7E"/>
    <w:rsid w:val="000971C3"/>
    <w:rsid w:val="000A722C"/>
    <w:rsid w:val="000A7A3B"/>
    <w:rsid w:val="000B48B3"/>
    <w:rsid w:val="000B49C3"/>
    <w:rsid w:val="000B7407"/>
    <w:rsid w:val="000C1A18"/>
    <w:rsid w:val="000C3F2C"/>
    <w:rsid w:val="000D14EF"/>
    <w:rsid w:val="000D238D"/>
    <w:rsid w:val="000D49E2"/>
    <w:rsid w:val="000D68A3"/>
    <w:rsid w:val="000E1483"/>
    <w:rsid w:val="000F065D"/>
    <w:rsid w:val="000F5E94"/>
    <w:rsid w:val="000F7D54"/>
    <w:rsid w:val="00102CC6"/>
    <w:rsid w:val="00103E66"/>
    <w:rsid w:val="00104403"/>
    <w:rsid w:val="00105AC5"/>
    <w:rsid w:val="00110A61"/>
    <w:rsid w:val="00111922"/>
    <w:rsid w:val="001148C2"/>
    <w:rsid w:val="0012143C"/>
    <w:rsid w:val="00121B58"/>
    <w:rsid w:val="0012419A"/>
    <w:rsid w:val="00124210"/>
    <w:rsid w:val="00124D3D"/>
    <w:rsid w:val="00126161"/>
    <w:rsid w:val="00134F3F"/>
    <w:rsid w:val="00136390"/>
    <w:rsid w:val="00140CB2"/>
    <w:rsid w:val="001424D6"/>
    <w:rsid w:val="001431C9"/>
    <w:rsid w:val="001478B0"/>
    <w:rsid w:val="001550A6"/>
    <w:rsid w:val="001639A9"/>
    <w:rsid w:val="00163A60"/>
    <w:rsid w:val="001700D6"/>
    <w:rsid w:val="0017430D"/>
    <w:rsid w:val="00174B00"/>
    <w:rsid w:val="00174B0B"/>
    <w:rsid w:val="00174DE0"/>
    <w:rsid w:val="001752CC"/>
    <w:rsid w:val="00176B6F"/>
    <w:rsid w:val="00181D7F"/>
    <w:rsid w:val="00182C6D"/>
    <w:rsid w:val="00187BBB"/>
    <w:rsid w:val="001906FE"/>
    <w:rsid w:val="00190785"/>
    <w:rsid w:val="00194F2F"/>
    <w:rsid w:val="001958E2"/>
    <w:rsid w:val="00196969"/>
    <w:rsid w:val="0019770F"/>
    <w:rsid w:val="001A2BE5"/>
    <w:rsid w:val="001A48D5"/>
    <w:rsid w:val="001B08C0"/>
    <w:rsid w:val="001B1881"/>
    <w:rsid w:val="001B2C8F"/>
    <w:rsid w:val="001B2FB5"/>
    <w:rsid w:val="001B36B0"/>
    <w:rsid w:val="001B6723"/>
    <w:rsid w:val="001B67EE"/>
    <w:rsid w:val="001B6F71"/>
    <w:rsid w:val="001C037E"/>
    <w:rsid w:val="001C05C2"/>
    <w:rsid w:val="001C1CE6"/>
    <w:rsid w:val="001C40DE"/>
    <w:rsid w:val="001D06CC"/>
    <w:rsid w:val="001D0FCD"/>
    <w:rsid w:val="001D1B7B"/>
    <w:rsid w:val="001D3D7B"/>
    <w:rsid w:val="001D4031"/>
    <w:rsid w:val="001D6DF4"/>
    <w:rsid w:val="001E1BA1"/>
    <w:rsid w:val="001E4344"/>
    <w:rsid w:val="001E7F12"/>
    <w:rsid w:val="001F14BE"/>
    <w:rsid w:val="001F21F4"/>
    <w:rsid w:val="001F29F3"/>
    <w:rsid w:val="001F2F21"/>
    <w:rsid w:val="001F3D52"/>
    <w:rsid w:val="001F5947"/>
    <w:rsid w:val="001F62AE"/>
    <w:rsid w:val="002018D5"/>
    <w:rsid w:val="00216FE6"/>
    <w:rsid w:val="002201D7"/>
    <w:rsid w:val="00220AE5"/>
    <w:rsid w:val="00221888"/>
    <w:rsid w:val="0022218C"/>
    <w:rsid w:val="002252F0"/>
    <w:rsid w:val="00232106"/>
    <w:rsid w:val="00232645"/>
    <w:rsid w:val="00236E5B"/>
    <w:rsid w:val="00237597"/>
    <w:rsid w:val="00241954"/>
    <w:rsid w:val="00243C82"/>
    <w:rsid w:val="00244DB2"/>
    <w:rsid w:val="002475F2"/>
    <w:rsid w:val="00247B4A"/>
    <w:rsid w:val="00250AEB"/>
    <w:rsid w:val="00253512"/>
    <w:rsid w:val="00257D37"/>
    <w:rsid w:val="00262DDC"/>
    <w:rsid w:val="00264E1C"/>
    <w:rsid w:val="00266E1C"/>
    <w:rsid w:val="00266E30"/>
    <w:rsid w:val="00270647"/>
    <w:rsid w:val="00275ADA"/>
    <w:rsid w:val="0027709D"/>
    <w:rsid w:val="0027790D"/>
    <w:rsid w:val="00282807"/>
    <w:rsid w:val="002939B5"/>
    <w:rsid w:val="002A54FD"/>
    <w:rsid w:val="002C010A"/>
    <w:rsid w:val="002C3276"/>
    <w:rsid w:val="002C598A"/>
    <w:rsid w:val="002C632A"/>
    <w:rsid w:val="002D7920"/>
    <w:rsid w:val="002E19E1"/>
    <w:rsid w:val="002E2E47"/>
    <w:rsid w:val="002E7713"/>
    <w:rsid w:val="002F3620"/>
    <w:rsid w:val="002F7430"/>
    <w:rsid w:val="00302BED"/>
    <w:rsid w:val="00303C89"/>
    <w:rsid w:val="003055B1"/>
    <w:rsid w:val="00312E2D"/>
    <w:rsid w:val="003140AD"/>
    <w:rsid w:val="00314C75"/>
    <w:rsid w:val="003151DB"/>
    <w:rsid w:val="00315BA3"/>
    <w:rsid w:val="00316F37"/>
    <w:rsid w:val="00321E04"/>
    <w:rsid w:val="00323B65"/>
    <w:rsid w:val="0032505E"/>
    <w:rsid w:val="00325B47"/>
    <w:rsid w:val="0032652B"/>
    <w:rsid w:val="00327CF9"/>
    <w:rsid w:val="00327EED"/>
    <w:rsid w:val="003305F8"/>
    <w:rsid w:val="0033501F"/>
    <w:rsid w:val="00337707"/>
    <w:rsid w:val="00342FAC"/>
    <w:rsid w:val="0034425A"/>
    <w:rsid w:val="0034441D"/>
    <w:rsid w:val="0034543B"/>
    <w:rsid w:val="00345491"/>
    <w:rsid w:val="003459E7"/>
    <w:rsid w:val="00352A42"/>
    <w:rsid w:val="00352DE2"/>
    <w:rsid w:val="00357333"/>
    <w:rsid w:val="00374EB3"/>
    <w:rsid w:val="0038042E"/>
    <w:rsid w:val="00381240"/>
    <w:rsid w:val="0038174F"/>
    <w:rsid w:val="00390FC4"/>
    <w:rsid w:val="00393F7C"/>
    <w:rsid w:val="003A3ABE"/>
    <w:rsid w:val="003A62F8"/>
    <w:rsid w:val="003B08FD"/>
    <w:rsid w:val="003B3685"/>
    <w:rsid w:val="003B7F28"/>
    <w:rsid w:val="003C1583"/>
    <w:rsid w:val="003C397E"/>
    <w:rsid w:val="003C4A2F"/>
    <w:rsid w:val="003C66DC"/>
    <w:rsid w:val="003C6B65"/>
    <w:rsid w:val="003D112F"/>
    <w:rsid w:val="003D1F10"/>
    <w:rsid w:val="003D21C4"/>
    <w:rsid w:val="003D4122"/>
    <w:rsid w:val="003D6818"/>
    <w:rsid w:val="003D7A63"/>
    <w:rsid w:val="003E7E95"/>
    <w:rsid w:val="003F07EB"/>
    <w:rsid w:val="003F345A"/>
    <w:rsid w:val="003F4721"/>
    <w:rsid w:val="003F7914"/>
    <w:rsid w:val="00400CDA"/>
    <w:rsid w:val="00407DFD"/>
    <w:rsid w:val="00410A1B"/>
    <w:rsid w:val="004115AF"/>
    <w:rsid w:val="00414CF3"/>
    <w:rsid w:val="00416758"/>
    <w:rsid w:val="00417737"/>
    <w:rsid w:val="00423929"/>
    <w:rsid w:val="00434C0B"/>
    <w:rsid w:val="00436DB5"/>
    <w:rsid w:val="00443609"/>
    <w:rsid w:val="00444792"/>
    <w:rsid w:val="004462DF"/>
    <w:rsid w:val="00466180"/>
    <w:rsid w:val="00473874"/>
    <w:rsid w:val="004848CC"/>
    <w:rsid w:val="00484DCF"/>
    <w:rsid w:val="00486EEE"/>
    <w:rsid w:val="004872AE"/>
    <w:rsid w:val="00496A5D"/>
    <w:rsid w:val="004A0042"/>
    <w:rsid w:val="004A1ABD"/>
    <w:rsid w:val="004A25F1"/>
    <w:rsid w:val="004A68B1"/>
    <w:rsid w:val="004B0334"/>
    <w:rsid w:val="004B052F"/>
    <w:rsid w:val="004B106D"/>
    <w:rsid w:val="004B7057"/>
    <w:rsid w:val="004B7AAE"/>
    <w:rsid w:val="004C461A"/>
    <w:rsid w:val="004D0F46"/>
    <w:rsid w:val="004D3AF3"/>
    <w:rsid w:val="004D6116"/>
    <w:rsid w:val="004E12B0"/>
    <w:rsid w:val="004E1769"/>
    <w:rsid w:val="004E3D1F"/>
    <w:rsid w:val="004E47F0"/>
    <w:rsid w:val="004F3051"/>
    <w:rsid w:val="004F3C0A"/>
    <w:rsid w:val="004F490B"/>
    <w:rsid w:val="004F52C4"/>
    <w:rsid w:val="004F60AE"/>
    <w:rsid w:val="004F6A55"/>
    <w:rsid w:val="004F6D6E"/>
    <w:rsid w:val="004F75FD"/>
    <w:rsid w:val="004F7B8E"/>
    <w:rsid w:val="00500E20"/>
    <w:rsid w:val="00501E1D"/>
    <w:rsid w:val="00502C3E"/>
    <w:rsid w:val="00503F77"/>
    <w:rsid w:val="0050438F"/>
    <w:rsid w:val="00505721"/>
    <w:rsid w:val="00505C2A"/>
    <w:rsid w:val="00511365"/>
    <w:rsid w:val="005156A5"/>
    <w:rsid w:val="00515776"/>
    <w:rsid w:val="00516726"/>
    <w:rsid w:val="00537A50"/>
    <w:rsid w:val="00541F1C"/>
    <w:rsid w:val="005425D7"/>
    <w:rsid w:val="00544B76"/>
    <w:rsid w:val="005461F0"/>
    <w:rsid w:val="00547F5F"/>
    <w:rsid w:val="005501BC"/>
    <w:rsid w:val="00551DDB"/>
    <w:rsid w:val="00555043"/>
    <w:rsid w:val="005566D8"/>
    <w:rsid w:val="00561124"/>
    <w:rsid w:val="005624FE"/>
    <w:rsid w:val="005635CF"/>
    <w:rsid w:val="00563AC2"/>
    <w:rsid w:val="00563D06"/>
    <w:rsid w:val="00564B1F"/>
    <w:rsid w:val="00564FF3"/>
    <w:rsid w:val="00570917"/>
    <w:rsid w:val="00572969"/>
    <w:rsid w:val="00573EA6"/>
    <w:rsid w:val="005753A2"/>
    <w:rsid w:val="00575E00"/>
    <w:rsid w:val="005833EF"/>
    <w:rsid w:val="005866D3"/>
    <w:rsid w:val="00587214"/>
    <w:rsid w:val="005947FF"/>
    <w:rsid w:val="00595256"/>
    <w:rsid w:val="0059597B"/>
    <w:rsid w:val="005A2514"/>
    <w:rsid w:val="005A46AA"/>
    <w:rsid w:val="005B0233"/>
    <w:rsid w:val="005B233F"/>
    <w:rsid w:val="005C2ABD"/>
    <w:rsid w:val="005E4098"/>
    <w:rsid w:val="005E4495"/>
    <w:rsid w:val="005E5D30"/>
    <w:rsid w:val="005E75CE"/>
    <w:rsid w:val="005F62E5"/>
    <w:rsid w:val="006009E4"/>
    <w:rsid w:val="00600A40"/>
    <w:rsid w:val="006019A8"/>
    <w:rsid w:val="006036D5"/>
    <w:rsid w:val="00604671"/>
    <w:rsid w:val="0060631C"/>
    <w:rsid w:val="006073A6"/>
    <w:rsid w:val="00615649"/>
    <w:rsid w:val="00616030"/>
    <w:rsid w:val="00624FFE"/>
    <w:rsid w:val="006302AF"/>
    <w:rsid w:val="00630F2F"/>
    <w:rsid w:val="006330D2"/>
    <w:rsid w:val="0063446F"/>
    <w:rsid w:val="00635C92"/>
    <w:rsid w:val="00636B26"/>
    <w:rsid w:val="00637C83"/>
    <w:rsid w:val="00640FCA"/>
    <w:rsid w:val="00641C7B"/>
    <w:rsid w:val="00642D23"/>
    <w:rsid w:val="00646DEA"/>
    <w:rsid w:val="00667DA7"/>
    <w:rsid w:val="00670631"/>
    <w:rsid w:val="00670AB3"/>
    <w:rsid w:val="00672180"/>
    <w:rsid w:val="00676413"/>
    <w:rsid w:val="0068159A"/>
    <w:rsid w:val="00682EF3"/>
    <w:rsid w:val="00684C9F"/>
    <w:rsid w:val="00696E66"/>
    <w:rsid w:val="006A2A80"/>
    <w:rsid w:val="006A2E47"/>
    <w:rsid w:val="006A492D"/>
    <w:rsid w:val="006A5366"/>
    <w:rsid w:val="006A54D9"/>
    <w:rsid w:val="006B4E54"/>
    <w:rsid w:val="006C0160"/>
    <w:rsid w:val="006C116E"/>
    <w:rsid w:val="006C21E3"/>
    <w:rsid w:val="006C5175"/>
    <w:rsid w:val="006C5C6D"/>
    <w:rsid w:val="006C733D"/>
    <w:rsid w:val="006C76D1"/>
    <w:rsid w:val="006D1893"/>
    <w:rsid w:val="006D1B79"/>
    <w:rsid w:val="006D6009"/>
    <w:rsid w:val="006E0BAE"/>
    <w:rsid w:val="006E1008"/>
    <w:rsid w:val="006E1051"/>
    <w:rsid w:val="006E38C2"/>
    <w:rsid w:val="006E5401"/>
    <w:rsid w:val="006E6493"/>
    <w:rsid w:val="006F728C"/>
    <w:rsid w:val="00703827"/>
    <w:rsid w:val="00707F83"/>
    <w:rsid w:val="00711583"/>
    <w:rsid w:val="007160EF"/>
    <w:rsid w:val="00720782"/>
    <w:rsid w:val="00721F56"/>
    <w:rsid w:val="00722287"/>
    <w:rsid w:val="0072296C"/>
    <w:rsid w:val="007317A8"/>
    <w:rsid w:val="00732CF7"/>
    <w:rsid w:val="0073502B"/>
    <w:rsid w:val="00741DA7"/>
    <w:rsid w:val="0074634C"/>
    <w:rsid w:val="00752357"/>
    <w:rsid w:val="00756BAE"/>
    <w:rsid w:val="00760ADF"/>
    <w:rsid w:val="007624B8"/>
    <w:rsid w:val="007732A8"/>
    <w:rsid w:val="00775811"/>
    <w:rsid w:val="00777488"/>
    <w:rsid w:val="007800FC"/>
    <w:rsid w:val="00780D6B"/>
    <w:rsid w:val="00786331"/>
    <w:rsid w:val="00786701"/>
    <w:rsid w:val="007904A9"/>
    <w:rsid w:val="0079753A"/>
    <w:rsid w:val="007A2350"/>
    <w:rsid w:val="007A2BE2"/>
    <w:rsid w:val="007A5E80"/>
    <w:rsid w:val="007B2C9C"/>
    <w:rsid w:val="007B5820"/>
    <w:rsid w:val="007C044A"/>
    <w:rsid w:val="007C2EC2"/>
    <w:rsid w:val="007C342C"/>
    <w:rsid w:val="007C377C"/>
    <w:rsid w:val="007D2718"/>
    <w:rsid w:val="007D399E"/>
    <w:rsid w:val="007D3B8F"/>
    <w:rsid w:val="007D5F17"/>
    <w:rsid w:val="007D7CE1"/>
    <w:rsid w:val="007E1182"/>
    <w:rsid w:val="007E46CF"/>
    <w:rsid w:val="007F4325"/>
    <w:rsid w:val="00800E33"/>
    <w:rsid w:val="00803361"/>
    <w:rsid w:val="00807D8A"/>
    <w:rsid w:val="0081233B"/>
    <w:rsid w:val="008132DB"/>
    <w:rsid w:val="00824201"/>
    <w:rsid w:val="00824735"/>
    <w:rsid w:val="008343E2"/>
    <w:rsid w:val="00836AFB"/>
    <w:rsid w:val="00840AD0"/>
    <w:rsid w:val="00851E11"/>
    <w:rsid w:val="008530B2"/>
    <w:rsid w:val="008532F5"/>
    <w:rsid w:val="00856B60"/>
    <w:rsid w:val="00865537"/>
    <w:rsid w:val="00865561"/>
    <w:rsid w:val="0086562F"/>
    <w:rsid w:val="00865745"/>
    <w:rsid w:val="00865EE1"/>
    <w:rsid w:val="0086670F"/>
    <w:rsid w:val="00867F51"/>
    <w:rsid w:val="00884895"/>
    <w:rsid w:val="00884FE7"/>
    <w:rsid w:val="00885C90"/>
    <w:rsid w:val="008938CC"/>
    <w:rsid w:val="00895842"/>
    <w:rsid w:val="00895B2A"/>
    <w:rsid w:val="008A1421"/>
    <w:rsid w:val="008A2175"/>
    <w:rsid w:val="008A47FB"/>
    <w:rsid w:val="008B4276"/>
    <w:rsid w:val="008B5D06"/>
    <w:rsid w:val="008C3FA7"/>
    <w:rsid w:val="008C5790"/>
    <w:rsid w:val="008C57D6"/>
    <w:rsid w:val="008C5BE1"/>
    <w:rsid w:val="008D0821"/>
    <w:rsid w:val="008D08C4"/>
    <w:rsid w:val="008D13EB"/>
    <w:rsid w:val="008D16E3"/>
    <w:rsid w:val="008D26BE"/>
    <w:rsid w:val="008D589A"/>
    <w:rsid w:val="008D7BF1"/>
    <w:rsid w:val="008E260D"/>
    <w:rsid w:val="008E3358"/>
    <w:rsid w:val="008F48E0"/>
    <w:rsid w:val="008F5040"/>
    <w:rsid w:val="008F61C3"/>
    <w:rsid w:val="008F6DB2"/>
    <w:rsid w:val="00901FC2"/>
    <w:rsid w:val="0090781D"/>
    <w:rsid w:val="00911714"/>
    <w:rsid w:val="00912FFF"/>
    <w:rsid w:val="00913135"/>
    <w:rsid w:val="009136AB"/>
    <w:rsid w:val="00937006"/>
    <w:rsid w:val="00942462"/>
    <w:rsid w:val="009437F7"/>
    <w:rsid w:val="009448E5"/>
    <w:rsid w:val="00945400"/>
    <w:rsid w:val="00945A72"/>
    <w:rsid w:val="009504E3"/>
    <w:rsid w:val="00964D86"/>
    <w:rsid w:val="00965AD7"/>
    <w:rsid w:val="0096601D"/>
    <w:rsid w:val="00966B16"/>
    <w:rsid w:val="0097035E"/>
    <w:rsid w:val="00983EFA"/>
    <w:rsid w:val="00991BE4"/>
    <w:rsid w:val="009976D7"/>
    <w:rsid w:val="009A1EED"/>
    <w:rsid w:val="009A6A6A"/>
    <w:rsid w:val="009B2CDF"/>
    <w:rsid w:val="009B6824"/>
    <w:rsid w:val="009C6E9E"/>
    <w:rsid w:val="009C7E52"/>
    <w:rsid w:val="009D25E4"/>
    <w:rsid w:val="009D30C6"/>
    <w:rsid w:val="009D5A7A"/>
    <w:rsid w:val="009D6BEB"/>
    <w:rsid w:val="009E4886"/>
    <w:rsid w:val="009E4D3D"/>
    <w:rsid w:val="009E51D7"/>
    <w:rsid w:val="009F3128"/>
    <w:rsid w:val="00A06569"/>
    <w:rsid w:val="00A11D02"/>
    <w:rsid w:val="00A157BA"/>
    <w:rsid w:val="00A17216"/>
    <w:rsid w:val="00A17B97"/>
    <w:rsid w:val="00A23B39"/>
    <w:rsid w:val="00A2405E"/>
    <w:rsid w:val="00A24965"/>
    <w:rsid w:val="00A2688F"/>
    <w:rsid w:val="00A3056A"/>
    <w:rsid w:val="00A32DA9"/>
    <w:rsid w:val="00A3353D"/>
    <w:rsid w:val="00A534B5"/>
    <w:rsid w:val="00A54C8A"/>
    <w:rsid w:val="00A54D47"/>
    <w:rsid w:val="00A559FF"/>
    <w:rsid w:val="00A56F83"/>
    <w:rsid w:val="00A60FD5"/>
    <w:rsid w:val="00A65F75"/>
    <w:rsid w:val="00A673C9"/>
    <w:rsid w:val="00A743C2"/>
    <w:rsid w:val="00A7638E"/>
    <w:rsid w:val="00A817B7"/>
    <w:rsid w:val="00A850D5"/>
    <w:rsid w:val="00A87C93"/>
    <w:rsid w:val="00A9178D"/>
    <w:rsid w:val="00A93205"/>
    <w:rsid w:val="00A94BA0"/>
    <w:rsid w:val="00A96240"/>
    <w:rsid w:val="00AA1B62"/>
    <w:rsid w:val="00AA2162"/>
    <w:rsid w:val="00AB1394"/>
    <w:rsid w:val="00AB6235"/>
    <w:rsid w:val="00AB679C"/>
    <w:rsid w:val="00AB792A"/>
    <w:rsid w:val="00AC1609"/>
    <w:rsid w:val="00AC4D0A"/>
    <w:rsid w:val="00AD0165"/>
    <w:rsid w:val="00AD2134"/>
    <w:rsid w:val="00AD2DE2"/>
    <w:rsid w:val="00AD5767"/>
    <w:rsid w:val="00AD5A3B"/>
    <w:rsid w:val="00AD6AE1"/>
    <w:rsid w:val="00AD6D50"/>
    <w:rsid w:val="00AE00A1"/>
    <w:rsid w:val="00AE13F9"/>
    <w:rsid w:val="00AE47B4"/>
    <w:rsid w:val="00AF20AD"/>
    <w:rsid w:val="00B036A4"/>
    <w:rsid w:val="00B04CC6"/>
    <w:rsid w:val="00B1153F"/>
    <w:rsid w:val="00B128F7"/>
    <w:rsid w:val="00B22116"/>
    <w:rsid w:val="00B22F5C"/>
    <w:rsid w:val="00B258CA"/>
    <w:rsid w:val="00B25A5E"/>
    <w:rsid w:val="00B27383"/>
    <w:rsid w:val="00B302FF"/>
    <w:rsid w:val="00B304CF"/>
    <w:rsid w:val="00B31169"/>
    <w:rsid w:val="00B32462"/>
    <w:rsid w:val="00B37251"/>
    <w:rsid w:val="00B459B6"/>
    <w:rsid w:val="00B47997"/>
    <w:rsid w:val="00B51EBF"/>
    <w:rsid w:val="00B5233D"/>
    <w:rsid w:val="00B5346A"/>
    <w:rsid w:val="00B5601C"/>
    <w:rsid w:val="00B604E7"/>
    <w:rsid w:val="00B60B6E"/>
    <w:rsid w:val="00B624B9"/>
    <w:rsid w:val="00B64EC6"/>
    <w:rsid w:val="00B71E20"/>
    <w:rsid w:val="00B77477"/>
    <w:rsid w:val="00B80838"/>
    <w:rsid w:val="00B81D85"/>
    <w:rsid w:val="00B90CF9"/>
    <w:rsid w:val="00B91F8D"/>
    <w:rsid w:val="00B94399"/>
    <w:rsid w:val="00BA0A81"/>
    <w:rsid w:val="00BA4281"/>
    <w:rsid w:val="00BB174D"/>
    <w:rsid w:val="00BB19B2"/>
    <w:rsid w:val="00BB1BB4"/>
    <w:rsid w:val="00BB209D"/>
    <w:rsid w:val="00BB6D1D"/>
    <w:rsid w:val="00BC466A"/>
    <w:rsid w:val="00BC65A1"/>
    <w:rsid w:val="00BD0B45"/>
    <w:rsid w:val="00BD2260"/>
    <w:rsid w:val="00BD394A"/>
    <w:rsid w:val="00BD4DEA"/>
    <w:rsid w:val="00BE6B7A"/>
    <w:rsid w:val="00BE7564"/>
    <w:rsid w:val="00BF6413"/>
    <w:rsid w:val="00C03339"/>
    <w:rsid w:val="00C046FF"/>
    <w:rsid w:val="00C13DDC"/>
    <w:rsid w:val="00C151B6"/>
    <w:rsid w:val="00C16F16"/>
    <w:rsid w:val="00C23342"/>
    <w:rsid w:val="00C31705"/>
    <w:rsid w:val="00C32CFB"/>
    <w:rsid w:val="00C34F0D"/>
    <w:rsid w:val="00C432C0"/>
    <w:rsid w:val="00C44C73"/>
    <w:rsid w:val="00C46FF6"/>
    <w:rsid w:val="00C52743"/>
    <w:rsid w:val="00C53ED9"/>
    <w:rsid w:val="00C53FD1"/>
    <w:rsid w:val="00C545A4"/>
    <w:rsid w:val="00C55D53"/>
    <w:rsid w:val="00C6198F"/>
    <w:rsid w:val="00C627DC"/>
    <w:rsid w:val="00C671ED"/>
    <w:rsid w:val="00C70913"/>
    <w:rsid w:val="00C76B8D"/>
    <w:rsid w:val="00C821CA"/>
    <w:rsid w:val="00C855D3"/>
    <w:rsid w:val="00C86B9D"/>
    <w:rsid w:val="00C900D6"/>
    <w:rsid w:val="00C92EDC"/>
    <w:rsid w:val="00C96332"/>
    <w:rsid w:val="00CA26C2"/>
    <w:rsid w:val="00CA4AC4"/>
    <w:rsid w:val="00CA5A99"/>
    <w:rsid w:val="00CB4E2D"/>
    <w:rsid w:val="00CB667C"/>
    <w:rsid w:val="00CC11A5"/>
    <w:rsid w:val="00CC2E9C"/>
    <w:rsid w:val="00CD0239"/>
    <w:rsid w:val="00CD25E0"/>
    <w:rsid w:val="00CD35A7"/>
    <w:rsid w:val="00CD7342"/>
    <w:rsid w:val="00CE2DA7"/>
    <w:rsid w:val="00CE5CE9"/>
    <w:rsid w:val="00CE62DC"/>
    <w:rsid w:val="00CF70E8"/>
    <w:rsid w:val="00CF785C"/>
    <w:rsid w:val="00D01EAC"/>
    <w:rsid w:val="00D03117"/>
    <w:rsid w:val="00D03807"/>
    <w:rsid w:val="00D03C52"/>
    <w:rsid w:val="00D067D0"/>
    <w:rsid w:val="00D07A27"/>
    <w:rsid w:val="00D12CED"/>
    <w:rsid w:val="00D16BAA"/>
    <w:rsid w:val="00D16D13"/>
    <w:rsid w:val="00D25E28"/>
    <w:rsid w:val="00D322F3"/>
    <w:rsid w:val="00D36FA0"/>
    <w:rsid w:val="00D42BDE"/>
    <w:rsid w:val="00D44AFF"/>
    <w:rsid w:val="00D5000E"/>
    <w:rsid w:val="00D5260C"/>
    <w:rsid w:val="00D54943"/>
    <w:rsid w:val="00D560EF"/>
    <w:rsid w:val="00D61453"/>
    <w:rsid w:val="00D7234A"/>
    <w:rsid w:val="00D734B1"/>
    <w:rsid w:val="00D74520"/>
    <w:rsid w:val="00D823F2"/>
    <w:rsid w:val="00D92AC8"/>
    <w:rsid w:val="00D97DBD"/>
    <w:rsid w:val="00DA0F1B"/>
    <w:rsid w:val="00DA4F7E"/>
    <w:rsid w:val="00DB0746"/>
    <w:rsid w:val="00DB602A"/>
    <w:rsid w:val="00DB62AE"/>
    <w:rsid w:val="00DB6710"/>
    <w:rsid w:val="00DC25E7"/>
    <w:rsid w:val="00DC6660"/>
    <w:rsid w:val="00DD164C"/>
    <w:rsid w:val="00DD1AA7"/>
    <w:rsid w:val="00DD28ED"/>
    <w:rsid w:val="00DD5E81"/>
    <w:rsid w:val="00DE011D"/>
    <w:rsid w:val="00DE0273"/>
    <w:rsid w:val="00DE27F2"/>
    <w:rsid w:val="00DE2FBA"/>
    <w:rsid w:val="00DF1291"/>
    <w:rsid w:val="00DF1C85"/>
    <w:rsid w:val="00DF2AEE"/>
    <w:rsid w:val="00DF2E3E"/>
    <w:rsid w:val="00E0245F"/>
    <w:rsid w:val="00E1261C"/>
    <w:rsid w:val="00E16669"/>
    <w:rsid w:val="00E16CD2"/>
    <w:rsid w:val="00E178BA"/>
    <w:rsid w:val="00E26250"/>
    <w:rsid w:val="00E3127C"/>
    <w:rsid w:val="00E329E4"/>
    <w:rsid w:val="00E35454"/>
    <w:rsid w:val="00E41B6E"/>
    <w:rsid w:val="00E43831"/>
    <w:rsid w:val="00E45714"/>
    <w:rsid w:val="00E45769"/>
    <w:rsid w:val="00E5134A"/>
    <w:rsid w:val="00E52768"/>
    <w:rsid w:val="00E537A6"/>
    <w:rsid w:val="00E55455"/>
    <w:rsid w:val="00E55BD6"/>
    <w:rsid w:val="00E602AF"/>
    <w:rsid w:val="00E617DA"/>
    <w:rsid w:val="00E74199"/>
    <w:rsid w:val="00E7552A"/>
    <w:rsid w:val="00E77497"/>
    <w:rsid w:val="00E81C21"/>
    <w:rsid w:val="00E844AC"/>
    <w:rsid w:val="00E8747A"/>
    <w:rsid w:val="00E90417"/>
    <w:rsid w:val="00E9060E"/>
    <w:rsid w:val="00E91ABD"/>
    <w:rsid w:val="00E91BFF"/>
    <w:rsid w:val="00E93F05"/>
    <w:rsid w:val="00EA3D37"/>
    <w:rsid w:val="00EA473D"/>
    <w:rsid w:val="00EA611B"/>
    <w:rsid w:val="00EB3047"/>
    <w:rsid w:val="00EB4D14"/>
    <w:rsid w:val="00EB7C50"/>
    <w:rsid w:val="00EC18CA"/>
    <w:rsid w:val="00EC3590"/>
    <w:rsid w:val="00EC46B8"/>
    <w:rsid w:val="00EC5086"/>
    <w:rsid w:val="00EC64AF"/>
    <w:rsid w:val="00ED2329"/>
    <w:rsid w:val="00ED2BF0"/>
    <w:rsid w:val="00ED46D4"/>
    <w:rsid w:val="00ED5F51"/>
    <w:rsid w:val="00ED6B3B"/>
    <w:rsid w:val="00EE52C1"/>
    <w:rsid w:val="00EE562C"/>
    <w:rsid w:val="00EF737D"/>
    <w:rsid w:val="00F0073C"/>
    <w:rsid w:val="00F10A0D"/>
    <w:rsid w:val="00F10C2B"/>
    <w:rsid w:val="00F14761"/>
    <w:rsid w:val="00F2099B"/>
    <w:rsid w:val="00F2111C"/>
    <w:rsid w:val="00F24804"/>
    <w:rsid w:val="00F321DB"/>
    <w:rsid w:val="00F3488D"/>
    <w:rsid w:val="00F37FA7"/>
    <w:rsid w:val="00F41044"/>
    <w:rsid w:val="00F45C61"/>
    <w:rsid w:val="00F460AC"/>
    <w:rsid w:val="00F46445"/>
    <w:rsid w:val="00F5198C"/>
    <w:rsid w:val="00F51D1D"/>
    <w:rsid w:val="00F53218"/>
    <w:rsid w:val="00F66320"/>
    <w:rsid w:val="00F70808"/>
    <w:rsid w:val="00F718DE"/>
    <w:rsid w:val="00F86159"/>
    <w:rsid w:val="00F86A85"/>
    <w:rsid w:val="00F91E0B"/>
    <w:rsid w:val="00FA25EF"/>
    <w:rsid w:val="00FA4D15"/>
    <w:rsid w:val="00FA6336"/>
    <w:rsid w:val="00FB05B4"/>
    <w:rsid w:val="00FB0A6C"/>
    <w:rsid w:val="00FC1585"/>
    <w:rsid w:val="00FC18EF"/>
    <w:rsid w:val="00FC1FB1"/>
    <w:rsid w:val="00FD31BD"/>
    <w:rsid w:val="00FD504D"/>
    <w:rsid w:val="00FD6FFE"/>
    <w:rsid w:val="00FF11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BCCC6E7"/>
  <w15:chartTrackingRefBased/>
  <w15:docId w15:val="{9BB5A468-999C-4877-874D-AEC5B49C4DBB}"/>
  <w:footnotePr>
    <w:footnote w:id="0"/>
    <w:footnote w:id="1"/>
  </w:footnotePr>
  <w:endnotePr>
    <w:endnote w:id="0"/>
    <w:endnote w:id="1"/>
  </w:endnotePr>
</w:settings>
</file>

<file path=word/styles.xml><?xml version="1.0" encoding="utf-8"?>
<w:styles xmlns:r="http://schemas.openxmlformats.org/officeDocument/2006/relationships" xmlns:w14="http://schemas.microsoft.com/office/word/2010/wordml" xmlns:w="http://schemas.openxmlformats.org/wordprocessingml/2006/main">
  <w:docDefaults>
    <w:rPrDefault>
      <w:rPr>
        <w:rFonts w:ascii="Times New Roman" w:cstheme="minorBidi" w:eastAsiaTheme="minorHAnsi" w:hAnsi="Times New Roman"/>
        <w:sz w:val="24"/>
        <w:szCs w:val="22"/>
        <w:lang w:val="en-GB" w:bidi="ar-SA" w:eastAsia="en-US"/>
        <w14:ligatures w14:val="standardContextual"/>
      </w:rPr>
    </w:rPrDefault>
    <w:pPrDefault>
      <w:pPr>
        <w:spacing w:after="160" w:line="259" w:lineRule="auto"/>
      </w:pPr>
    </w:pPrDefault>
  </w:docDefaults>
  <w:style w:type="paragraph" w:styleId="Heading4">
    <w:name w:val="Heading 4"/>
    <w:basedOn w:val="Normal"/>
    <w:next w:val="Normal"/>
    <w:link w:val="Heading4Char"/>
    <w:uiPriority w:val="9"/>
    <w:semiHidden w:val="on"/>
    <w:unhideWhenUsed w:val="on"/>
    <w:qFormat w:val="on"/>
    <w:pPr>
      <w:keepNext w:val="on"/>
      <w:keepLines w:val="on"/>
      <w:spacing w:before="200" w:after="0"/>
    </w:pPr>
    <w:rPr>
      <w:rFonts w:asciiTheme="majorHAnsi" w:cstheme="majorBidi" w:eastAsiaTheme="majorEastAsia" w:hAnsiTheme="majorHAnsi"/>
      <w:b/>
      <w:bCs/>
      <w:i/>
      <w:iCs/>
      <w:color w:val="4472c4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 w:val="on"/>
    <w:unhideWhenUsed w:val="on"/>
    <w:qFormat w:val="on"/>
    <w:pPr>
      <w:keepNext w:val="on"/>
      <w:keepLines w:val="on"/>
      <w:spacing w:before="200" w:after="0"/>
    </w:pPr>
    <w:rPr>
      <w:rFonts w:asciiTheme="majorHAnsi" w:cstheme="majorBidi" w:eastAsiaTheme="majorEastAsia" w:hAnsiTheme="majorHAnsi"/>
      <w:color w:val="1f3763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 w:val="on"/>
    <w:unhideWhenUsed w:val="on"/>
    <w:qFormat w:val="on"/>
    <w:pPr>
      <w:keepNext w:val="on"/>
      <w:keepLines w:val="on"/>
      <w:spacing w:before="200" w:after="0"/>
    </w:pPr>
    <w:rPr>
      <w:rFonts w:asciiTheme="majorHAnsi" w:cstheme="majorBidi" w:eastAsiaTheme="majorEastAsia" w:hAnsiTheme="majorHAnsi"/>
      <w:i/>
      <w:iCs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 w:val="on"/>
    <w:unhideWhenUsed w:val="on"/>
    <w:qFormat w:val="on"/>
    <w:pPr>
      <w:keepNext w:val="on"/>
      <w:keepLines w:val="on"/>
      <w:spacing w:before="200" w:after="0"/>
    </w:pPr>
    <w:rPr>
      <w:rFonts w:asciiTheme="majorHAnsi" w:cstheme="majorBidi" w:eastAsiaTheme="majorEastAsia" w:hAnsiTheme="majorHAns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 w:val="on"/>
    <w:unhideWhenUsed w:val="on"/>
    <w:qFormat w:val="on"/>
    <w:pPr>
      <w:keepNext w:val="on"/>
      <w:keepLines w:val="on"/>
      <w:spacing w:before="200" w:after="0"/>
    </w:pPr>
    <w:rPr>
      <w:rFonts w:asciiTheme="majorHAnsi" w:cstheme="majorBidi" w:eastAsiaTheme="majorEastAsia" w:hAnsiTheme="majorHAnsi"/>
      <w:color w:val="404040" w:themeColor="text1" w:themeTint="bf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 w:val="on"/>
    <w:unhideWhenUsed w:val="on"/>
    <w:qFormat w:val="on"/>
    <w:pPr>
      <w:keepNext w:val="on"/>
      <w:keepLines w:val="on"/>
      <w:spacing w:before="200" w:after="0"/>
    </w:pPr>
    <w:rPr>
      <w:rFonts w:asciiTheme="majorHAnsi" w:cstheme="majorBidi" w:eastAsiaTheme="majorEastAsia" w:hAnsiTheme="majorHAnsi"/>
      <w:i/>
      <w:iCs/>
      <w:color w:val="404040" w:themeColor="text1" w:themeTint="bf"/>
      <w:sz w:val="20"/>
      <w:szCs w:val="20"/>
    </w:rPr>
  </w:style>
  <w:style w:type="paragraph" w:styleId="NoSpacing">
    <w:name w:val="No Spacing"/>
    <w:uiPriority w:val="1"/>
    <w:qFormat w:val="on"/>
    <w:pPr>
      <w:spacing w:after="0" w:line="240" w:lineRule="auto"/>
    </w:pPr>
  </w:style>
  <w:style w:type="character" w:customStyle="1" w:styleId="Heading4Char">
    <w:name w:val="Heading 4 Char"/>
    <w:basedOn w:val="DefaultParagraphFont"/>
    <w:link w:val="Heading4"/>
    <w:uiPriority w:val="9"/>
    <w:rPr>
      <w:rFonts w:asciiTheme="majorHAnsi" w:cstheme="majorBidi" w:eastAsiaTheme="majorEastAsia" w:hAnsiTheme="majorHAnsi"/>
      <w:b/>
      <w:bCs/>
      <w:i/>
      <w:iCs/>
      <w:color w:val="4472c4" w:themeColor="accent1"/>
    </w:rPr>
  </w:style>
  <w:style w:type="character" w:customStyle="1" w:styleId="Heading5Char">
    <w:name w:val="Heading 5 Char"/>
    <w:basedOn w:val="DefaultParagraphFont"/>
    <w:link w:val="Heading5"/>
    <w:uiPriority w:val="9"/>
    <w:rPr>
      <w:rFonts w:asciiTheme="majorHAnsi" w:cstheme="majorBidi" w:eastAsiaTheme="majorEastAsia" w:hAnsiTheme="majorHAnsi"/>
      <w:color w:val="1f3763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rPr>
      <w:rFonts w:asciiTheme="majorHAnsi" w:cstheme="majorBidi" w:eastAsiaTheme="majorEastAsia" w:hAnsiTheme="majorHAnsi"/>
      <w:i/>
      <w:iCs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rPr>
      <w:rFonts w:asciiTheme="majorHAnsi" w:cstheme="majorBidi" w:eastAsiaTheme="majorEastAsia" w:hAnsiTheme="majorHAns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rPr>
      <w:rFonts w:asciiTheme="majorHAnsi" w:cstheme="majorBidi" w:eastAsiaTheme="majorEastAsia" w:hAnsiTheme="majorHAnsi"/>
      <w:color w:val="404040" w:themeColor="text1" w:themeTint="bf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rPr>
      <w:rFonts w:asciiTheme="majorHAnsi" w:cstheme="majorBidi" w:eastAsiaTheme="majorEastAsia" w:hAnsiTheme="majorHAnsi"/>
      <w:i/>
      <w:iCs/>
      <w:color w:val="404040" w:themeColor="text1" w:themeTint="bf"/>
      <w:sz w:val="20"/>
      <w:szCs w:val="20"/>
    </w:rPr>
  </w:style>
  <w:style w:type="character" w:styleId="SubtleEmphasis">
    <w:name w:val="Subtle Emphasis"/>
    <w:basedOn w:val="DefaultParagraphFont"/>
    <w:uiPriority w:val="19"/>
    <w:qFormat w:val="on"/>
    <w:rPr>
      <w:i/>
      <w:iCs/>
      <w:color w:val="808080" w:themeColor="text1" w:themeTint="7f"/>
    </w:rPr>
  </w:style>
  <w:style w:type="character" w:styleId="Emphasis">
    <w:name w:val="Emphasis"/>
    <w:basedOn w:val="DefaultParagraphFont"/>
    <w:uiPriority w:val="20"/>
    <w:qFormat w:val="on"/>
    <w:rPr>
      <w:i/>
      <w:iCs/>
    </w:rPr>
  </w:style>
  <w:style w:type="character" w:styleId="IntenseEmphasis">
    <w:name w:val="Intense Emphasis"/>
    <w:basedOn w:val="DefaultParagraphFont"/>
    <w:uiPriority w:val="21"/>
    <w:qFormat w:val="on"/>
    <w:rPr>
      <w:b/>
      <w:bCs/>
      <w:i/>
      <w:iCs/>
      <w:color w:val="4472c4" w:themeColor="accent1"/>
    </w:rPr>
  </w:style>
  <w:style w:type="character" w:styleId="Strong">
    <w:name w:val="Strong"/>
    <w:basedOn w:val="DefaultParagraphFont"/>
    <w:uiPriority w:val="22"/>
    <w:qFormat w:val="on"/>
    <w:rPr>
      <w:b/>
      <w:bCs/>
    </w:rPr>
  </w:style>
  <w:style w:type="paragraph" w:styleId="Quote">
    <w:name w:val="Quote"/>
    <w:basedOn w:val="Normal"/>
    <w:next w:val="Normal"/>
    <w:link w:val="QuoteChar"/>
    <w:uiPriority w:val="29"/>
    <w:qFormat w:val="on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000000" w:themeColor="text1"/>
    </w:rPr>
  </w:style>
  <w:style w:type="paragraph" w:styleId="IntenseQuote">
    <w:name w:val="Intense Quote"/>
    <w:basedOn w:val="Normal"/>
    <w:next w:val="Normal"/>
    <w:link w:val="IntenseQuoteChar"/>
    <w:uiPriority w:val="30"/>
    <w:qFormat w:val="on"/>
    <w:pPr>
      <w:pBdr>
        <w:bottom w:val="single" w:color="4472c4" w:themeColor="accent1" w:sz="4" w:space="4"/>
      </w:pBdr>
      <w:spacing w:before="200" w:after="280"/>
      <w:ind w:left="936" w:right="936"/>
    </w:pPr>
    <w:rPr>
      <w:b/>
      <w:bCs/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b/>
      <w:bCs/>
      <w:i/>
      <w:iCs/>
      <w:color w:val="4472c4" w:themeColor="accent1"/>
    </w:rPr>
  </w:style>
  <w:style w:type="character" w:styleId="SubtleReference">
    <w:name w:val="Subtle Reference"/>
    <w:basedOn w:val="DefaultParagraphFont"/>
    <w:uiPriority w:val="31"/>
    <w:qFormat w:val="on"/>
    <w:rPr>
      <w:smallCaps/>
      <w:color w:val="ed7d31" w:themeColor="accent2"/>
      <w:u w:val="single"/>
    </w:rPr>
  </w:style>
  <w:style w:type="character" w:styleId="IntenseReference">
    <w:name w:val="Intense Reference"/>
    <w:basedOn w:val="DefaultParagraphFont"/>
    <w:uiPriority w:val="32"/>
    <w:qFormat w:val="on"/>
    <w:rPr>
      <w:b/>
      <w:bCs/>
      <w:smallCaps/>
      <w:color w:val="ed7d31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 w:val="on"/>
    <w:rPr>
      <w:b/>
      <w:bCs/>
      <w:smallCaps/>
      <w:spacing w:val="5"/>
    </w:rPr>
  </w:style>
  <w:style w:type="paragraph" w:styleId="Footnotetext">
    <w:name w:val="Footnote text"/>
    <w:basedOn w:val="Normal"/>
    <w:link w:val="FootnoteTextChar"/>
    <w:uiPriority w:val="99"/>
    <w:semiHidden w:val="on"/>
    <w:unhideWhenUsed w:val="on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 w:val="on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 w:val="on"/>
    <w:unhideWhenUsed w:val="on"/>
    <w:rPr>
      <w:vertAlign w:val="superscript"/>
    </w:rPr>
  </w:style>
  <w:style w:type="paragraph" w:styleId="Endnotetext">
    <w:name w:val="Endnote text"/>
    <w:basedOn w:val="Normal"/>
    <w:link w:val="EndnoteTextChar"/>
    <w:uiPriority w:val="99"/>
    <w:semiHidden w:val="on"/>
    <w:unhideWhenUsed w:val="on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 w:val="on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 w:val="on"/>
    <w:unhideWhenUsed w:val="on"/>
    <w:rPr>
      <w:vertAlign w:val="superscript"/>
    </w:rPr>
  </w:style>
  <w:style w:type="paragraph" w:styleId="PlainText">
    <w:name w:val="Plain Text"/>
    <w:basedOn w:val="Normal"/>
    <w:link w:val="PlainTextChar"/>
    <w:uiPriority w:val="99"/>
    <w:semiHidden w:val="on"/>
    <w:unhideWhenUsed w:val="on"/>
    <w:pPr>
      <w:spacing w:after="0" w:line="240" w:lineRule="auto"/>
    </w:pPr>
    <w:rPr>
      <w:rFonts w:ascii="Courier New" w:cs="Courier New" w:hAnsi="Courier New"/>
      <w:sz w:val="21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rPr>
      <w:rFonts w:ascii="Courier New" w:cs="Courier New" w:hAnsi="Courier New"/>
      <w:sz w:val="21"/>
      <w:szCs w:val="21"/>
    </w:rPr>
  </w:style>
  <w:style w:type="paragraph" w:styleId="Caption">
    <w:name w:val="Caption"/>
    <w:basedOn w:val="Normal"/>
    <w:next w:val="Normal"/>
    <w:uiPriority w:val="35"/>
    <w:unhideWhenUsed w:val="on"/>
    <w:qFormat w:val="on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default="1" w:styleId="Normal">
    <w:name w:val="Normal"/>
    <w:uiPriority w:val="99"/>
    <w:qFormat w:val="on"/>
    <w:pPr>
      <w:jc w:val="both"/>
    </w:pPr>
  </w:style>
  <w:style w:type="paragraph" w:styleId="Heading1">
    <w:name w:val="Heading 1"/>
    <w:basedOn w:val="Normal"/>
    <w:next w:val="Normal"/>
    <w:link w:val="Heading1Char"/>
    <w:uiPriority w:val="9"/>
    <w:qFormat w:val="on"/>
    <w:pPr>
      <w:keepNext w:val="on"/>
      <w:keepLines w:val="on"/>
      <w:numPr>
        <w:ilvl w:val="0"/>
        <w:numId w:val="13"/>
      </w:numPr>
      <w:spacing w:before="120" w:after="120" w:line="360" w:lineRule="auto"/>
    </w:pPr>
    <w:rPr>
      <w:rFonts w:cstheme="majorBidi" w:eastAsiaTheme="majorEastAsia"/>
      <w:b/>
      <w:color w:val="00b0f0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 w:val="on"/>
    <w:qFormat w:val="on"/>
    <w:pPr>
      <w:keepNext w:val="on"/>
      <w:keepLines w:val="on"/>
      <w:spacing w:before="120" w:after="120" w:line="360" w:lineRule="auto"/>
    </w:pPr>
    <w:rPr>
      <w:rFonts w:cstheme="majorBidi" w:eastAsiaTheme="majorEastAsia"/>
      <w:color w:val="7030a0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 w:val="on"/>
    <w:qFormat w:val="on"/>
    <w:pPr>
      <w:keepNext w:val="on"/>
      <w:keepLines w:val="on"/>
      <w:spacing w:before="120" w:after="120" w:line="360" w:lineRule="auto"/>
    </w:pPr>
    <w:rPr>
      <w:rFonts w:eastAsia="Times New Roman"/>
      <w:b/>
      <w:color w:val="c55a11" w:themeColor="accent2" w:themeShade="bf"/>
      <w:sz w:val="26"/>
      <w:szCs w:val="24"/>
    </w:rPr>
  </w:style>
  <w:style w:type="character" w:default="1" w:styleId="DefaultParagraphFont">
    <w:name w:val="Default Paragraph Font"/>
    <w:uiPriority w:val="1"/>
    <w:semiHidden w:val="on"/>
    <w:unhideWhenUsed w:val="on"/>
  </w:style>
  <w:style w:type="table" w:default="1" w:styleId="NormalTable">
    <w:name w:val="Normal Table"/>
    <w:uiPriority w:val="99"/>
    <w:semiHidden w:val="on"/>
    <w:unhideWhenUsed w:val="on"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 w:val="on"/>
    <w:unhideWhenUsed w:val="on"/>
  </w:style>
  <w:style w:type="character" w:customStyle="1" w:styleId="Heading1Char">
    <w:name w:val="Heading 1 Char"/>
    <w:basedOn w:val="DefaultParagraphFont"/>
    <w:link w:val="Heading1"/>
    <w:uiPriority w:val="9"/>
    <w:rPr>
      <w:rFonts w:cstheme="majorBidi" w:eastAsiaTheme="majorEastAsia"/>
      <w:b/>
      <w:color w:val="00b0f0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Pr>
      <w:rFonts w:cstheme="majorBidi" w:eastAsiaTheme="majorEastAsia"/>
      <w:color w:val="7030a0"/>
      <w:sz w:val="28"/>
      <w:szCs w:val="26"/>
    </w:rPr>
  </w:style>
  <w:style w:type="character" w:customStyle="1" w:styleId="Heading3Char">
    <w:name w:val="Heading 3 Char"/>
    <w:link w:val="Heading3"/>
    <w:uiPriority w:val="9"/>
    <w:rPr>
      <w:rFonts w:eastAsia="Times New Roman"/>
      <w:b/>
      <w:color w:val="c55a11" w:themeColor="accent2" w:themeShade="bf"/>
      <w:sz w:val="26"/>
      <w:szCs w:val="24"/>
    </w:rPr>
  </w:style>
  <w:style w:type="paragraph" w:styleId="Title">
    <w:name w:val="Title"/>
    <w:basedOn w:val="Normal"/>
    <w:next w:val="Normal"/>
    <w:link w:val="TitleChar"/>
    <w:uiPriority w:val="10"/>
    <w:qFormat w:val="on"/>
    <w:pPr>
      <w:spacing w:after="0"/>
      <w:contextualSpacing w:val="on"/>
      <w:jc w:val="center"/>
    </w:pPr>
    <w:rPr>
      <w:rFonts w:cstheme="majorBidi" w:eastAsiaTheme="majorEastAsia"/>
      <w:b/>
      <w:spacing w:val="-10"/>
      <w:sz w:val="96"/>
      <w:szCs w:val="56"/>
    </w:rPr>
  </w:style>
  <w:style w:type="character" w:customStyle="1" w:styleId="TitleChar">
    <w:name w:val="Title Char"/>
    <w:basedOn w:val="DefaultParagraphFont"/>
    <w:link w:val="Title"/>
    <w:uiPriority w:val="10"/>
    <w:rPr>
      <w:rFonts w:ascii="Times New Roman" w:cstheme="majorBidi" w:eastAsiaTheme="majorEastAsia" w:hAnsi="Times New Roman"/>
      <w:b/>
      <w:color w:val="000000" w:themeColor="text1"/>
      <w:spacing w:val="-10"/>
      <w:sz w:val="9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 w:val="on"/>
    <w:pPr/>
    <w:rPr>
      <w:rFonts w:eastAsiaTheme="minorEastAsia"/>
      <w:color w:val="808080" w:themeColor="background1" w:themeShade="80"/>
      <w:spacing w:val="15"/>
      <w:sz w:val="72"/>
    </w:rPr>
  </w:style>
  <w:style w:type="character" w:customStyle="1" w:styleId="SubtitleChar">
    <w:name w:val="Subtitle Char"/>
    <w:basedOn w:val="DefaultParagraphFont"/>
    <w:link w:val="Subtitle"/>
    <w:uiPriority w:val="11"/>
    <w:rPr>
      <w:rFonts w:ascii="Times New Roman" w:eastAsiaTheme="minorEastAsia" w:hAnsi="Times New Roman"/>
      <w:color w:val="808080" w:themeColor="background1" w:themeShade="80"/>
      <w:spacing w:val="15"/>
      <w:sz w:val="72"/>
    </w:rPr>
  </w:style>
  <w:style w:type="paragraph" w:styleId="TOCHeading">
    <w:name w:val="TOC Heading"/>
    <w:basedOn w:val="Heading1"/>
    <w:next w:val="Normal"/>
    <w:uiPriority w:val="39"/>
    <w:unhideWhenUsed w:val="on"/>
    <w:qFormat w:val="on"/>
    <w:pPr>
      <w:spacing w:before="240" w:after="0" w:line="259" w:lineRule="auto"/>
      <w:jc w:val="left"/>
    </w:pPr>
    <w:rPr>
      <w:rFonts w:asciiTheme="majorHAnsi" w:hAnsiTheme="majorHAnsi"/>
      <w:b w:val="off"/>
      <w:color w:val="2f5395" w:themeColor="accent1" w:themeShade="bf"/>
      <w:lang w:eastAsia="en-GB"/>
    </w:rPr>
  </w:style>
  <w:style w:type="paragraph" w:styleId="ListParagraph">
    <w:name w:val="List Paragraph"/>
    <w:basedOn w:val="Normal"/>
    <w:uiPriority w:val="34"/>
    <w:qFormat w:val="on"/>
    <w:pPr>
      <w:ind w:left="720"/>
      <w:contextualSpacing w:val="on"/>
    </w:pPr>
  </w:style>
  <w:style w:type="paragraph" w:styleId="Toc1">
    <w:name w:val="Toc 1"/>
    <w:basedOn w:val="Normal"/>
    <w:next w:val="Normal"/>
    <w:uiPriority w:val="39"/>
    <w:unhideWhenUsed w:val="on"/>
    <w:pPr>
      <w:spacing w:after="100"/>
    </w:pPr>
  </w:style>
  <w:style w:type="paragraph" w:styleId="Toc2">
    <w:name w:val="Toc 2"/>
    <w:basedOn w:val="Normal"/>
    <w:next w:val="Normal"/>
    <w:uiPriority w:val="39"/>
    <w:unhideWhenUsed w:val="on"/>
    <w:pPr>
      <w:spacing w:after="100"/>
      <w:ind w:left="240"/>
    </w:pPr>
  </w:style>
  <w:style w:type="paragraph" w:styleId="Toc3">
    <w:name w:val="Toc 3"/>
    <w:basedOn w:val="Normal"/>
    <w:next w:val="Normal"/>
    <w:uiPriority w:val="39"/>
    <w:unhideWhenUsed w:val="on"/>
    <w:pPr>
      <w:tabs>
        <w:tab w:val="right" w:leader="dot" w:pos="9350"/>
      </w:tabs>
      <w:spacing w:before="120" w:after="120" w:line="360" w:lineRule="auto"/>
      <w:ind w:left="480"/>
    </w:pPr>
  </w:style>
  <w:style w:type="character" w:styleId="Hyperlink">
    <w:name w:val="Hyperlink"/>
    <w:basedOn w:val="DefaultParagraphFont"/>
    <w:uiPriority w:val="99"/>
    <w:unhideWhenUsed w:val="on"/>
    <w:rPr>
      <w:color w:val="0563c1" w:themeColor="hyperlink"/>
      <w:u w:val="single"/>
    </w:rPr>
  </w:style>
  <w:style w:type="paragraph" w:styleId="Normal(Web)">
    <w:name w:val="Normal (Web)"/>
    <w:basedOn w:val="Normal"/>
    <w:uiPriority w:val="99"/>
    <w:semiHidden w:val="on"/>
    <w:unhideWhenUsed w:val="on"/>
    <w:pPr>
      <w:spacing w:before="100" w:after="100" w:line="240" w:lineRule="auto"/>
      <w:jc w:val="left"/>
    </w:pPr>
    <w:rPr>
      <w:rFonts w:cs="Times New Roman" w:eastAsia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 w:val="on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Footer">
    <w:name w:val="Footer"/>
    <w:basedOn w:val="Normal"/>
    <w:link w:val="FooterChar"/>
    <w:uiPriority w:val="99"/>
    <w:unhideWhenUsed w:val="on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22631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74054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929207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44695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24786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06601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29906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1785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87062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09926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2215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80209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98308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51651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32526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77949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47419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20623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82297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90805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00011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0" Type="http://schemas.openxmlformats.org/officeDocument/2006/relationships/fontTable" Target="fontTable.xml"/><Relationship Id="rId11" Type="http://schemas.openxmlformats.org/officeDocument/2006/relationships/theme" Target="theme/theme1.xml"/><Relationship Id="rId12" Type="http://schemas.openxmlformats.org/officeDocument/2006/relationships/image" Target="media/image2.png"/><Relationship Id="rId13" Type="http://schemas.openxmlformats.org/officeDocument/2006/relationships/footer" Target="footer1.xml"/><Relationship Id="rId2" Type="http://schemas.openxmlformats.org/officeDocument/2006/relationships/numbering" Target="numbering.xml"/><Relationship Id="rId3" Type="http://schemas.openxmlformats.org/officeDocument/2006/relationships/styles" Target="styles.xml"/><Relationship Id="rId4" Type="http://schemas.openxmlformats.org/officeDocument/2006/relationships/settings" Target="settings.xml"/><Relationship Id="rId6" Type="http://schemas.openxmlformats.org/officeDocument/2006/relationships/footnotes" Target="footnotes.xml"/><Relationship Id="rId7" Type="http://schemas.openxmlformats.org/officeDocument/2006/relationships/endnotes" Target="endnotes.xml"/><Relationship Id="rId1" Type="http://schemas.openxmlformats.org/officeDocument/2006/relationships/customXml" Target="../customXml/item1.xml"/><Relationship Id="rId5" Type="http://schemas.openxmlformats.org/officeDocument/2006/relationships/webSettings" Target="webSettings.xml"/></Relationships>
</file>

<file path=word/_rels/endnotes.xml.rels><?xml version="1.0" encoding="UTF-8" standalone="yes"?>
<Relationships xmlns="http://schemas.openxmlformats.org/package/2006/relationships"></Relationships>
</file>

<file path=word/_rels/footer1.xml.rels><?xml version="1.0" encoding="UTF-8" standalone="yes"?>
<Relationships xmlns="http://schemas.openxmlformats.org/package/2006/relationships"></Relationships>
</file>

<file path=word/_rels/footnotes.xml.rels><?xml version="1.0" encoding="UTF-8" standalone="yes"?>
<Relationships xmlns="http://schemas.openxmlformats.org/package/2006/relationships"></Relationships>
</file>

<file path=word/_rels/numbering.xml.rels><?xml version="1.0" encoding="UTF-8" standalone="yes"?>
<Relationships xmlns="http://schemas.openxmlformats.org/package/2006/relationships"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Arab" typeface="Times New Roman"/>
        <a:font script="Armn" typeface="Arial"/>
        <a:font script="Beng" typeface="Vrinda"/>
        <a:font script="Bopo" typeface="Microsoft JhengHei"/>
        <a:font script="Cher" typeface="Plantagenet Cherokee"/>
        <a:font script="Deva" typeface="Mangal"/>
        <a:font script="Ethi" typeface="Nyala"/>
        <a:font script="Geor" typeface="Sylfaen"/>
        <a:font script="Gujr" typeface="Shruti"/>
        <a:font script="Guru" typeface="Raavi"/>
        <a:font script="Hang" typeface="맑은 고딕"/>
        <a:font script="Hebr" typeface="Times New Roman"/>
        <a:font script="Knda" typeface="Tunga"/>
        <a:font script="Khmr" typeface="MoolBoran"/>
        <a:font script="Laoo" typeface="DokChampa"/>
        <a:font script="Mlym" typeface="Kartika"/>
        <a:font script="Mong" typeface="Mongolian Baiti"/>
        <a:font script="Mymr" typeface="Myanmar Text"/>
        <a:font script="Orya" typeface="Kalinga"/>
        <a:font script="Sinh" typeface="Iskoola Pota"/>
        <a:font script="Syrc" typeface="Estrangelo Edessa"/>
        <a:font script="Taml" typeface="Latha"/>
        <a:font script="Telu" typeface="Gautami"/>
        <a:font script="Thaa" typeface="MV Boli"/>
        <a:font script="Thai" typeface="Angsana New"/>
        <a:font script="Tibt" typeface="Microsoft Himalaya"/>
        <a:font script="Cans" typeface="Euphemia"/>
        <a:font script="Yiii" typeface="Microsoft Yi Baiti"/>
        <a:font script="Osma" typeface="Ebrima"/>
        <a:font script="Tale" typeface="Microsoft Tai Le"/>
        <a:font script="Bugi" typeface="Leelawadee UI"/>
        <a:font script="Talu" typeface="Microsoft New Tai Lue"/>
        <a:font script="Tfng" typeface="Ebrima"/>
        <a:font script="Hans" typeface="等线 Light"/>
        <a:font script="Hant" typeface="新細明體"/>
        <a:font script="Java" typeface="Javanese Text"/>
        <a:font script="Nkoo" typeface="Ebrima"/>
        <a:font script="Phag" typeface="Phagspa"/>
        <a:font script="Syre" typeface="Estrangelo Edessa"/>
        <a:font script="Syrj" typeface="Estrangelo Edessa"/>
        <a:font script="Syrn" typeface="Estrangelo Edessa"/>
        <a:font script="Jpan" typeface="游ゴシック Light"/>
        <a:font script="Olck" typeface="Nirmala UI"/>
        <a:font script="Lisu" typeface="Segoe UI"/>
        <a:font script="Sora" typeface="Nirmala UI"/>
      </a:majorFont>
      <a:minorFont>
        <a:latin typeface="Calibri" panose="020F0502020204030204"/>
        <a:ea typeface=""/>
        <a:cs typeface=""/>
        <a:font script="Arab" typeface="Arial"/>
        <a:font script="Armn" typeface="Arial"/>
        <a:font script="Beng" typeface="Vrinda"/>
        <a:font script="Bopo" typeface="Microsoft JhengHei"/>
        <a:font script="Cher" typeface="Plantagenet Cherokee"/>
        <a:font script="Deva" typeface="Mangal"/>
        <a:font script="Ethi" typeface="Nyala"/>
        <a:font script="Geor" typeface="Sylfaen"/>
        <a:font script="Gujr" typeface="Shruti"/>
        <a:font script="Guru" typeface="Raavi"/>
        <a:font script="Hang" typeface="맑은 고딕"/>
        <a:font script="Hebr" typeface="Arial"/>
        <a:font script="Knda" typeface="Tunga"/>
        <a:font script="Khmr" typeface="DaunPenh"/>
        <a:font script="Laoo" typeface="DokChampa"/>
        <a:font script="Mlym" typeface="Kartika"/>
        <a:font script="Mong" typeface="Mongolian Baiti"/>
        <a:font script="Mymr" typeface="Myanmar Text"/>
        <a:font script="Orya" typeface="Kalinga"/>
        <a:font script="Sinh" typeface="Iskoola Pota"/>
        <a:font script="Syrc" typeface="Estrangelo Edessa"/>
        <a:font script="Taml" typeface="Latha"/>
        <a:font script="Telu" typeface="Gautami"/>
        <a:font script="Thaa" typeface="MV Boli"/>
        <a:font script="Thai" typeface="Cordia New"/>
        <a:font script="Tibt" typeface="Microsoft Himalaya"/>
        <a:font script="Cans" typeface="Euphemia"/>
        <a:font script="Yiii" typeface="Microsoft Yi Baiti"/>
        <a:font script="Osma" typeface="Ebrima"/>
        <a:font script="Tale" typeface="Microsoft Tai Le"/>
        <a:font script="Bugi" typeface="Leelawadee UI"/>
        <a:font script="Talu" typeface="Microsoft New Tai Lue"/>
        <a:font script="Tfng" typeface="Ebrima"/>
        <a:font script="Hans" typeface="等线"/>
        <a:font script="Hant" typeface="新細明體"/>
        <a:font script="Java" typeface="Javanese Text"/>
        <a:font script="Nkoo" typeface="Ebrima"/>
        <a:font script="Phag" typeface="Phagspa"/>
        <a:font script="Syre" typeface="Estrangelo Edessa"/>
        <a:font script="Syrj" typeface="Estrangelo Edessa"/>
        <a:font script="Syrn" typeface="Estrangelo Edessa"/>
        <a:font script="Jpan" typeface="游明朝"/>
        <a:font script="Olck" typeface="Nirmala UI"/>
        <a:font script="Lisu" typeface="Segoe UI"/>
        <a:font script="Sora" typeface="Nirmala UI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E492263-A002-4B91-8803-FAF7F56D4AE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1356</TotalTime>
  <Pages>1</Pages>
  <Words>3264</Words>
  <Characters>21510</Characters>
  <DocSecurity>0</DocSecurity>
  <Lines>384</Lines>
  <Paragraphs>225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24549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Alexandra Iova</dc:creator>
  <cp:lastModifiedBy>Alexandra Iova</cp:lastModifiedBy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20784eda5cbb5b4a60bd8183220aa38ccb6af65393efd838a30c4f1fea6ea826</vt:lpwstr>
  </property>
</Properties>
</file>