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5BEE2" w14:textId="77777777" w:rsidR="00E569A2" w:rsidRDefault="00000000">
      <w:pPr>
        <w:jc w:val="center"/>
      </w:pPr>
      <w:r>
        <w:rPr>
          <w:noProof/>
        </w:rPr>
        <w:drawing>
          <wp:inline distT="0" distB="0" distL="0" distR="0" wp14:anchorId="6BC4A759" wp14:editId="7254FCF6">
            <wp:extent cx="3381375" cy="13525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381375" cy="1352550"/>
                    </a:xfrm>
                    <a:prstGeom prst="rect">
                      <a:avLst/>
                    </a:prstGeom>
                    <a:ln/>
                  </pic:spPr>
                </pic:pic>
              </a:graphicData>
            </a:graphic>
          </wp:inline>
        </w:drawing>
      </w:r>
    </w:p>
    <w:p w14:paraId="027892C9" w14:textId="77777777" w:rsidR="00E569A2" w:rsidRDefault="00E569A2">
      <w:pPr>
        <w:jc w:val="center"/>
      </w:pPr>
    </w:p>
    <w:p w14:paraId="66A3E2B6" w14:textId="77777777" w:rsidR="00E569A2" w:rsidRDefault="00E569A2">
      <w:pPr>
        <w:jc w:val="center"/>
      </w:pPr>
    </w:p>
    <w:p w14:paraId="383D5B14" w14:textId="77777777" w:rsidR="00E569A2" w:rsidRDefault="00E569A2">
      <w:pPr>
        <w:jc w:val="center"/>
      </w:pPr>
    </w:p>
    <w:p w14:paraId="24DBDB85" w14:textId="77777777" w:rsidR="00E569A2" w:rsidRDefault="00E569A2">
      <w:pPr>
        <w:jc w:val="center"/>
      </w:pPr>
    </w:p>
    <w:p w14:paraId="21813B36" w14:textId="77777777" w:rsidR="00E569A2" w:rsidRDefault="00E569A2">
      <w:pPr>
        <w:jc w:val="center"/>
      </w:pPr>
    </w:p>
    <w:p w14:paraId="75C93B70" w14:textId="359E38A6" w:rsidR="00E569A2" w:rsidRDefault="00000000">
      <w:pPr>
        <w:jc w:val="center"/>
        <w:rPr>
          <w:b/>
          <w:bCs/>
          <w:sz w:val="28"/>
          <w:szCs w:val="28"/>
        </w:rPr>
      </w:pPr>
      <w:r>
        <w:rPr>
          <w:b/>
          <w:bCs/>
          <w:sz w:val="28"/>
          <w:szCs w:val="28"/>
        </w:rPr>
        <w:t xml:space="preserve">Student Name: Ronak </w:t>
      </w:r>
      <w:r w:rsidR="00042AF4">
        <w:rPr>
          <w:b/>
          <w:bCs/>
          <w:sz w:val="28"/>
          <w:szCs w:val="28"/>
        </w:rPr>
        <w:t xml:space="preserve">Rameshbhai </w:t>
      </w:r>
      <w:r>
        <w:rPr>
          <w:b/>
          <w:bCs/>
          <w:sz w:val="28"/>
          <w:szCs w:val="28"/>
        </w:rPr>
        <w:t>Sojitra</w:t>
      </w:r>
    </w:p>
    <w:p w14:paraId="43FA3A10" w14:textId="77777777" w:rsidR="00E569A2" w:rsidRDefault="00E569A2">
      <w:pPr>
        <w:jc w:val="center"/>
        <w:rPr>
          <w:b/>
          <w:bCs/>
          <w:sz w:val="28"/>
          <w:szCs w:val="28"/>
        </w:rPr>
      </w:pPr>
    </w:p>
    <w:p w14:paraId="719253BF" w14:textId="77777777" w:rsidR="00E569A2" w:rsidRDefault="00000000">
      <w:pPr>
        <w:jc w:val="center"/>
        <w:rPr>
          <w:b/>
          <w:bCs/>
          <w:sz w:val="28"/>
          <w:szCs w:val="28"/>
        </w:rPr>
      </w:pPr>
      <w:r>
        <w:rPr>
          <w:b/>
          <w:bCs/>
          <w:sz w:val="28"/>
          <w:szCs w:val="28"/>
        </w:rPr>
        <w:t>Student ID: 2519657</w:t>
      </w:r>
    </w:p>
    <w:p w14:paraId="15A3C1B9" w14:textId="77777777" w:rsidR="00E569A2" w:rsidRDefault="00E569A2">
      <w:pPr>
        <w:jc w:val="center"/>
        <w:rPr>
          <w:sz w:val="28"/>
          <w:szCs w:val="28"/>
        </w:rPr>
      </w:pPr>
    </w:p>
    <w:p w14:paraId="464B8915" w14:textId="77777777" w:rsidR="00E569A2" w:rsidRDefault="00E569A2">
      <w:pPr>
        <w:jc w:val="center"/>
        <w:rPr>
          <w:sz w:val="28"/>
          <w:szCs w:val="28"/>
        </w:rPr>
      </w:pPr>
    </w:p>
    <w:p w14:paraId="5AD6D148" w14:textId="7C3E6A2C" w:rsidR="00E569A2" w:rsidRDefault="00000000" w:rsidP="00042AF4">
      <w:pPr>
        <w:jc w:val="center"/>
        <w:rPr>
          <w:b/>
          <w:bCs/>
          <w:sz w:val="28"/>
          <w:szCs w:val="28"/>
        </w:rPr>
      </w:pPr>
      <w:r>
        <w:rPr>
          <w:b/>
          <w:bCs/>
          <w:sz w:val="28"/>
          <w:szCs w:val="28"/>
        </w:rPr>
        <w:t xml:space="preserve">Module Name: </w:t>
      </w:r>
      <w:r w:rsidR="00042AF4" w:rsidRPr="00042AF4">
        <w:rPr>
          <w:b/>
          <w:bCs/>
          <w:sz w:val="28"/>
          <w:szCs w:val="28"/>
        </w:rPr>
        <w:t>Human Capital Management</w:t>
      </w:r>
    </w:p>
    <w:p w14:paraId="7E278B26" w14:textId="77777777" w:rsidR="00E569A2" w:rsidRDefault="00E569A2">
      <w:pPr>
        <w:jc w:val="center"/>
        <w:rPr>
          <w:b/>
          <w:bCs/>
          <w:sz w:val="28"/>
          <w:szCs w:val="28"/>
        </w:rPr>
      </w:pPr>
    </w:p>
    <w:p w14:paraId="4E122265" w14:textId="141D4F65" w:rsidR="00E569A2" w:rsidRDefault="00000000">
      <w:pPr>
        <w:jc w:val="center"/>
        <w:rPr>
          <w:b/>
          <w:bCs/>
          <w:sz w:val="28"/>
          <w:szCs w:val="28"/>
        </w:rPr>
      </w:pPr>
      <w:r>
        <w:rPr>
          <w:b/>
          <w:bCs/>
          <w:sz w:val="28"/>
          <w:szCs w:val="28"/>
        </w:rPr>
        <w:t>Module Code: LCMB702</w:t>
      </w:r>
      <w:r w:rsidR="00042AF4">
        <w:rPr>
          <w:b/>
          <w:bCs/>
          <w:sz w:val="28"/>
          <w:szCs w:val="28"/>
        </w:rPr>
        <w:t>3</w:t>
      </w:r>
    </w:p>
    <w:p w14:paraId="28BE649E" w14:textId="77777777" w:rsidR="00E569A2" w:rsidRDefault="00E569A2">
      <w:pPr>
        <w:jc w:val="center"/>
        <w:rPr>
          <w:b/>
          <w:bCs/>
          <w:sz w:val="28"/>
          <w:szCs w:val="28"/>
        </w:rPr>
      </w:pPr>
    </w:p>
    <w:p w14:paraId="2B26D8C4" w14:textId="77777777" w:rsidR="00E569A2" w:rsidRDefault="00E569A2">
      <w:pPr>
        <w:jc w:val="center"/>
        <w:rPr>
          <w:b/>
          <w:bCs/>
          <w:sz w:val="28"/>
          <w:szCs w:val="28"/>
        </w:rPr>
      </w:pPr>
    </w:p>
    <w:p w14:paraId="0C56A91A" w14:textId="77777777" w:rsidR="00E569A2" w:rsidRDefault="00E569A2">
      <w:pPr>
        <w:jc w:val="center"/>
        <w:rPr>
          <w:b/>
          <w:bCs/>
          <w:sz w:val="28"/>
          <w:szCs w:val="28"/>
        </w:rPr>
      </w:pPr>
    </w:p>
    <w:p w14:paraId="73A21260" w14:textId="77777777" w:rsidR="00E569A2" w:rsidRDefault="00E569A2">
      <w:pPr>
        <w:jc w:val="center"/>
        <w:rPr>
          <w:b/>
          <w:bCs/>
          <w:sz w:val="28"/>
          <w:szCs w:val="28"/>
        </w:rPr>
      </w:pPr>
    </w:p>
    <w:p w14:paraId="2BA7D51A" w14:textId="307990C3" w:rsidR="00E569A2" w:rsidRDefault="00000000">
      <w:pPr>
        <w:jc w:val="center"/>
        <w:rPr>
          <w:b/>
          <w:bCs/>
          <w:sz w:val="28"/>
          <w:szCs w:val="28"/>
        </w:rPr>
      </w:pPr>
      <w:r>
        <w:rPr>
          <w:b/>
          <w:bCs/>
          <w:sz w:val="28"/>
          <w:szCs w:val="28"/>
        </w:rPr>
        <w:t xml:space="preserve">Lecturer’s Name: </w:t>
      </w:r>
      <w:r w:rsidR="00042AF4" w:rsidRPr="00042AF4">
        <w:rPr>
          <w:b/>
          <w:bCs/>
          <w:sz w:val="28"/>
          <w:szCs w:val="28"/>
        </w:rPr>
        <w:t>Dr. Charles Oham</w:t>
      </w:r>
    </w:p>
    <w:p w14:paraId="60A71365" w14:textId="77777777" w:rsidR="00E569A2" w:rsidRDefault="00E569A2">
      <w:pPr>
        <w:jc w:val="center"/>
        <w:rPr>
          <w:b/>
          <w:bCs/>
          <w:sz w:val="28"/>
          <w:szCs w:val="28"/>
        </w:rPr>
      </w:pPr>
    </w:p>
    <w:p w14:paraId="049FF870" w14:textId="77777777" w:rsidR="00E569A2" w:rsidRDefault="00E569A2">
      <w:pPr>
        <w:jc w:val="center"/>
        <w:rPr>
          <w:b/>
          <w:bCs/>
          <w:sz w:val="28"/>
          <w:szCs w:val="28"/>
        </w:rPr>
      </w:pPr>
    </w:p>
    <w:p w14:paraId="080AA600" w14:textId="77777777" w:rsidR="00E569A2" w:rsidRDefault="00E569A2">
      <w:pPr>
        <w:rPr>
          <w:b/>
          <w:bCs/>
          <w:sz w:val="28"/>
          <w:szCs w:val="28"/>
        </w:rPr>
      </w:pPr>
    </w:p>
    <w:p w14:paraId="1B8F0227" w14:textId="77777777" w:rsidR="00E569A2" w:rsidRDefault="00000000">
      <w:pPr>
        <w:jc w:val="center"/>
        <w:rPr>
          <w:b/>
          <w:bCs/>
          <w:sz w:val="28"/>
          <w:szCs w:val="28"/>
        </w:rPr>
      </w:pPr>
      <w:r>
        <w:rPr>
          <w:b/>
          <w:bCs/>
          <w:sz w:val="28"/>
          <w:szCs w:val="28"/>
        </w:rPr>
        <w:t>Work Count:2394</w:t>
      </w:r>
    </w:p>
    <w:p w14:paraId="585255D4" w14:textId="77777777" w:rsidR="00E569A2" w:rsidRDefault="00E569A2">
      <w:pPr>
        <w:jc w:val="center"/>
        <w:rPr>
          <w:b/>
          <w:bCs/>
          <w:sz w:val="28"/>
          <w:szCs w:val="28"/>
        </w:rPr>
      </w:pPr>
    </w:p>
    <w:p w14:paraId="69B380AD" w14:textId="77777777" w:rsidR="00E569A2" w:rsidRDefault="00E569A2">
      <w:pPr>
        <w:jc w:val="center"/>
        <w:rPr>
          <w:b/>
          <w:bCs/>
          <w:sz w:val="28"/>
          <w:szCs w:val="28"/>
        </w:rPr>
      </w:pPr>
    </w:p>
    <w:p w14:paraId="265C64CF" w14:textId="77777777" w:rsidR="00E569A2" w:rsidRDefault="00E569A2">
      <w:pPr>
        <w:jc w:val="center"/>
        <w:rPr>
          <w:b/>
          <w:bCs/>
          <w:sz w:val="28"/>
          <w:szCs w:val="28"/>
        </w:rPr>
      </w:pPr>
    </w:p>
    <w:p w14:paraId="41942B9F" w14:textId="77777777" w:rsidR="00E569A2" w:rsidRDefault="00E569A2">
      <w:pPr>
        <w:jc w:val="center"/>
        <w:rPr>
          <w:b/>
          <w:bCs/>
          <w:sz w:val="28"/>
          <w:szCs w:val="28"/>
        </w:rPr>
      </w:pPr>
    </w:p>
    <w:p w14:paraId="6C5A451B" w14:textId="77777777" w:rsidR="00E569A2" w:rsidRDefault="00E569A2">
      <w:pPr>
        <w:jc w:val="center"/>
        <w:rPr>
          <w:b/>
          <w:bCs/>
          <w:sz w:val="28"/>
          <w:szCs w:val="28"/>
        </w:rPr>
      </w:pPr>
    </w:p>
    <w:p w14:paraId="5E1A0E8C" w14:textId="77777777" w:rsidR="00E569A2" w:rsidRDefault="00000000">
      <w:pPr>
        <w:jc w:val="center"/>
        <w:rPr>
          <w:b/>
          <w:bCs/>
          <w:sz w:val="28"/>
          <w:szCs w:val="28"/>
        </w:rPr>
      </w:pPr>
      <w:r>
        <w:rPr>
          <w:b/>
          <w:bCs/>
          <w:sz w:val="28"/>
          <w:szCs w:val="28"/>
        </w:rPr>
        <w:t>Term 1</w:t>
      </w:r>
    </w:p>
    <w:p w14:paraId="28AD06E0" w14:textId="77777777" w:rsidR="00E569A2" w:rsidRDefault="00000000">
      <w:pPr>
        <w:rPr>
          <w:b/>
          <w:bCs/>
          <w:sz w:val="28"/>
          <w:szCs w:val="28"/>
        </w:rPr>
      </w:pPr>
      <w:r>
        <w:br w:type="page"/>
      </w:r>
    </w:p>
    <w:p w14:paraId="10ED7613" w14:textId="77777777" w:rsidR="00E569A2" w:rsidRDefault="00E569A2">
      <w:pPr>
        <w:spacing w:after="240" w:line="360" w:lineRule="auto"/>
        <w:jc w:val="center"/>
        <w:rPr>
          <w:b/>
          <w:bCs/>
          <w:sz w:val="28"/>
          <w:szCs w:val="28"/>
        </w:rPr>
      </w:pPr>
    </w:p>
    <w:p w14:paraId="00D7814F" w14:textId="77777777" w:rsidR="00E569A2" w:rsidRDefault="00E569A2">
      <w:pPr>
        <w:spacing w:after="240" w:line="360" w:lineRule="auto"/>
        <w:jc w:val="center"/>
        <w:rPr>
          <w:b/>
          <w:bCs/>
          <w:sz w:val="28"/>
          <w:szCs w:val="28"/>
        </w:rPr>
      </w:pPr>
    </w:p>
    <w:p w14:paraId="66887556" w14:textId="77777777" w:rsidR="00E569A2" w:rsidRDefault="00E569A2">
      <w:pPr>
        <w:spacing w:after="240" w:line="360" w:lineRule="auto"/>
        <w:jc w:val="center"/>
        <w:rPr>
          <w:b/>
          <w:bCs/>
          <w:sz w:val="28"/>
          <w:szCs w:val="28"/>
        </w:rPr>
      </w:pPr>
    </w:p>
    <w:p w14:paraId="1C0A4295" w14:textId="77777777" w:rsidR="00E569A2" w:rsidRDefault="00E569A2">
      <w:pPr>
        <w:spacing w:after="240" w:line="360" w:lineRule="auto"/>
        <w:jc w:val="center"/>
        <w:rPr>
          <w:b/>
          <w:bCs/>
          <w:sz w:val="28"/>
          <w:szCs w:val="28"/>
        </w:rPr>
      </w:pPr>
    </w:p>
    <w:p w14:paraId="50A90101" w14:textId="77777777" w:rsidR="00E569A2" w:rsidRDefault="00E569A2">
      <w:pPr>
        <w:spacing w:after="240" w:line="360" w:lineRule="auto"/>
        <w:jc w:val="center"/>
        <w:rPr>
          <w:b/>
          <w:bCs/>
          <w:sz w:val="28"/>
          <w:szCs w:val="28"/>
        </w:rPr>
      </w:pPr>
    </w:p>
    <w:p w14:paraId="7E986A03" w14:textId="77777777" w:rsidR="00E569A2" w:rsidRDefault="00000000">
      <w:pPr>
        <w:spacing w:after="240" w:line="360" w:lineRule="auto"/>
        <w:jc w:val="center"/>
        <w:rPr>
          <w:sz w:val="28"/>
          <w:szCs w:val="28"/>
        </w:rPr>
      </w:pPr>
      <w:r>
        <w:rPr>
          <w:b/>
          <w:bCs/>
          <w:sz w:val="28"/>
          <w:szCs w:val="28"/>
        </w:rPr>
        <w:t>LCMB7023 – Human Capital Management</w:t>
      </w:r>
    </w:p>
    <w:p w14:paraId="3827EF73" w14:textId="77777777" w:rsidR="00E569A2" w:rsidRDefault="00000000">
      <w:pPr>
        <w:spacing w:after="240" w:line="360" w:lineRule="auto"/>
        <w:jc w:val="center"/>
        <w:rPr>
          <w:sz w:val="28"/>
          <w:szCs w:val="28"/>
        </w:rPr>
      </w:pPr>
      <w:r>
        <w:rPr>
          <w:b/>
          <w:bCs/>
          <w:color w:val="1F4E79"/>
          <w:sz w:val="28"/>
          <w:szCs w:val="28"/>
        </w:rPr>
        <w:t>Integrated Human Capital Blueprint:</w:t>
      </w:r>
    </w:p>
    <w:p w14:paraId="6F19DA14" w14:textId="77777777" w:rsidR="00E569A2" w:rsidRDefault="00000000">
      <w:pPr>
        <w:spacing w:after="240" w:line="360" w:lineRule="auto"/>
        <w:jc w:val="center"/>
        <w:sectPr w:rsidR="00E569A2">
          <w:pgSz w:w="12240" w:h="15840"/>
          <w:pgMar w:top="1440" w:right="1440" w:bottom="1440" w:left="1440" w:header="708" w:footer="708" w:gutter="0"/>
          <w:pgNumType w:start="1"/>
          <w:cols w:space="720"/>
        </w:sectPr>
      </w:pPr>
      <w:r>
        <w:rPr>
          <w:b/>
          <w:bCs/>
          <w:color w:val="1F4E79"/>
          <w:sz w:val="28"/>
          <w:szCs w:val="28"/>
        </w:rPr>
        <w:t>Re-Engineering Performance &amp; Job Design at Aether Innovation</w:t>
      </w:r>
    </w:p>
    <w:p w14:paraId="4DD02029" w14:textId="77777777" w:rsidR="00E569A2" w:rsidRDefault="00E569A2">
      <w:pPr>
        <w:spacing w:after="240" w:line="360" w:lineRule="auto"/>
        <w:jc w:val="both"/>
      </w:pPr>
    </w:p>
    <w:p w14:paraId="446E9824" w14:textId="77777777" w:rsidR="00E569A2" w:rsidRDefault="00000000">
      <w:pPr>
        <w:keepNext/>
        <w:keepLines/>
        <w:pBdr>
          <w:top w:val="nil"/>
          <w:left w:val="nil"/>
          <w:bottom w:val="nil"/>
          <w:right w:val="nil"/>
          <w:between w:val="nil"/>
        </w:pBdr>
        <w:spacing w:before="240" w:line="259" w:lineRule="auto"/>
        <w:rPr>
          <w:rFonts w:ascii="Calibri" w:eastAsia="Calibri" w:hAnsi="Calibri" w:cs="Calibri"/>
          <w:b/>
          <w:bCs/>
          <w:color w:val="2F5496"/>
          <w:sz w:val="32"/>
          <w:szCs w:val="32"/>
        </w:rPr>
      </w:pPr>
      <w:r>
        <w:rPr>
          <w:rFonts w:ascii="Calibri" w:eastAsia="Calibri" w:hAnsi="Calibri" w:cs="Calibri"/>
          <w:b/>
          <w:bCs/>
          <w:color w:val="2F5496"/>
          <w:sz w:val="32"/>
          <w:szCs w:val="32"/>
        </w:rPr>
        <w:t>Table of Contents</w:t>
      </w:r>
    </w:p>
    <w:sdt>
      <w:sdtPr>
        <w:id w:val="1991139890"/>
        <w:docPartObj>
          <w:docPartGallery w:val="Table of Contents"/>
          <w:docPartUnique/>
        </w:docPartObj>
      </w:sdtPr>
      <w:sdtContent>
        <w:p w14:paraId="61CF6F59" w14:textId="77777777" w:rsidR="00E569A2" w:rsidRDefault="00000000">
          <w:pPr>
            <w:pBdr>
              <w:top w:val="nil"/>
              <w:left w:val="nil"/>
              <w:bottom w:val="nil"/>
              <w:right w:val="nil"/>
              <w:between w:val="nil"/>
            </w:pBdr>
            <w:tabs>
              <w:tab w:val="right" w:leader="dot" w:pos="9350"/>
            </w:tabs>
            <w:spacing w:after="100"/>
            <w:rPr>
              <w:rFonts w:ascii="Calibri" w:eastAsia="Calibri" w:hAnsi="Calibri" w:cs="Calibri"/>
              <w:color w:val="000000"/>
            </w:rPr>
          </w:pPr>
          <w:r>
            <w:fldChar w:fldCharType="begin"/>
          </w:r>
          <w:r>
            <w:instrText xml:space="preserve"> TOC \h \u \z \t "Heading 1,1,Heading 2,2,Heading 3,3,"</w:instrText>
          </w:r>
          <w:r>
            <w:fldChar w:fldCharType="separate"/>
          </w:r>
          <w:hyperlink w:anchor="_glqc0q8zl8ho">
            <w:r>
              <w:rPr>
                <w:color w:val="000000"/>
              </w:rPr>
              <w:t>Part 1: Re-Engineering Performance and Job Design at Aether Innovations</w:t>
            </w:r>
            <w:r>
              <w:rPr>
                <w:color w:val="000000"/>
              </w:rPr>
              <w:tab/>
              <w:t>4</w:t>
            </w:r>
          </w:hyperlink>
        </w:p>
        <w:p w14:paraId="6DEF941A" w14:textId="77777777" w:rsidR="00E569A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bjzjps3iwyi">
            <w:r>
              <w:rPr>
                <w:color w:val="000000"/>
              </w:rPr>
              <w:t>1.1 Introduction</w:t>
            </w:r>
            <w:r>
              <w:rPr>
                <w:color w:val="000000"/>
              </w:rPr>
              <w:tab/>
              <w:t>4</w:t>
            </w:r>
          </w:hyperlink>
        </w:p>
        <w:p w14:paraId="1B11A36E" w14:textId="77777777" w:rsidR="00E569A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lv3n4rlmq1mc">
            <w:r>
              <w:rPr>
                <w:color w:val="000000"/>
              </w:rPr>
              <w:t>1.2 Current Practices in Performance Appraisal and Job Design in Tech Companies</w:t>
            </w:r>
            <w:r>
              <w:rPr>
                <w:color w:val="000000"/>
              </w:rPr>
              <w:tab/>
              <w:t>4</w:t>
            </w:r>
          </w:hyperlink>
        </w:p>
        <w:p w14:paraId="0EB781B7" w14:textId="77777777" w:rsidR="00E569A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x3ht49nrn0hf">
            <w:r>
              <w:rPr>
                <w:color w:val="000000"/>
              </w:rPr>
              <w:t>1.3 Proposed Modern Performance Appraisal System</w:t>
            </w:r>
            <w:r>
              <w:rPr>
                <w:color w:val="000000"/>
              </w:rPr>
              <w:tab/>
              <w:t>5</w:t>
            </w:r>
          </w:hyperlink>
        </w:p>
        <w:p w14:paraId="30F7F949" w14:textId="77777777" w:rsidR="00E569A2"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rPr>
          </w:pPr>
          <w:hyperlink w:anchor="_k1vbbccashn3">
            <w:r>
              <w:rPr>
                <w:color w:val="000000"/>
              </w:rPr>
              <w:t>1.3.1 Objectives and Key Results (OKRs)</w:t>
            </w:r>
            <w:r>
              <w:rPr>
                <w:color w:val="000000"/>
              </w:rPr>
              <w:tab/>
              <w:t>5</w:t>
            </w:r>
          </w:hyperlink>
        </w:p>
        <w:p w14:paraId="34233B04" w14:textId="77777777" w:rsidR="00E569A2"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rPr>
          </w:pPr>
          <w:hyperlink w:anchor="_opu7ns6muysu">
            <w:r>
              <w:rPr>
                <w:color w:val="000000"/>
              </w:rPr>
              <w:t>1.3.2 360-Degree Feedback</w:t>
            </w:r>
            <w:r>
              <w:rPr>
                <w:color w:val="000000"/>
              </w:rPr>
              <w:tab/>
              <w:t>6</w:t>
            </w:r>
          </w:hyperlink>
        </w:p>
        <w:p w14:paraId="469BC598" w14:textId="77777777" w:rsidR="00E569A2"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rPr>
          </w:pPr>
          <w:hyperlink w:anchor="_agmdhr6uy1qp">
            <w:r>
              <w:rPr>
                <w:color w:val="000000"/>
              </w:rPr>
              <w:t>1.3.3 Continuous Performance Conversations</w:t>
            </w:r>
            <w:r>
              <w:rPr>
                <w:color w:val="000000"/>
              </w:rPr>
              <w:tab/>
              <w:t>6</w:t>
            </w:r>
          </w:hyperlink>
        </w:p>
        <w:p w14:paraId="60F83A73" w14:textId="77777777" w:rsidR="00E569A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ensq63e1kmfp">
            <w:r>
              <w:rPr>
                <w:color w:val="000000"/>
              </w:rPr>
              <w:t>1.4 Job Analysis and Redesign Using the Job Characteristics Model</w:t>
            </w:r>
            <w:r>
              <w:rPr>
                <w:color w:val="000000"/>
              </w:rPr>
              <w:tab/>
              <w:t>7</w:t>
            </w:r>
          </w:hyperlink>
        </w:p>
        <w:p w14:paraId="2DE72CA3" w14:textId="77777777" w:rsidR="00E569A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298124zgtmk5">
            <w:r>
              <w:rPr>
                <w:color w:val="000000"/>
              </w:rPr>
              <w:t>1.5 Connecting Performance Appraisal and Job Design for a Performance-Driven Culture</w:t>
            </w:r>
            <w:r>
              <w:rPr>
                <w:color w:val="000000"/>
              </w:rPr>
              <w:tab/>
              <w:t>9</w:t>
            </w:r>
          </w:hyperlink>
        </w:p>
        <w:p w14:paraId="18A84168" w14:textId="77777777" w:rsidR="00E569A2" w:rsidRDefault="00000000">
          <w:pPr>
            <w:pBdr>
              <w:top w:val="nil"/>
              <w:left w:val="nil"/>
              <w:bottom w:val="nil"/>
              <w:right w:val="nil"/>
              <w:between w:val="nil"/>
            </w:pBdr>
            <w:tabs>
              <w:tab w:val="right" w:leader="dot" w:pos="9350"/>
            </w:tabs>
            <w:spacing w:after="100"/>
            <w:rPr>
              <w:rFonts w:ascii="Calibri" w:eastAsia="Calibri" w:hAnsi="Calibri" w:cs="Calibri"/>
              <w:color w:val="000000"/>
            </w:rPr>
          </w:pPr>
          <w:hyperlink w:anchor="_uwnw7q6rb2hg">
            <w:r>
              <w:rPr>
                <w:color w:val="000000"/>
              </w:rPr>
              <w:t>Part 2: Reflective Account</w:t>
            </w:r>
            <w:r>
              <w:rPr>
                <w:color w:val="000000"/>
              </w:rPr>
              <w:tab/>
              <w:t>11</w:t>
            </w:r>
          </w:hyperlink>
        </w:p>
        <w:p w14:paraId="09E2049B" w14:textId="77777777" w:rsidR="00E569A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b3k31har3h27">
            <w:r>
              <w:rPr>
                <w:color w:val="000000"/>
              </w:rPr>
              <w:t>2.1 Reflection on the Learning Journey Using Gibbs’ Reflective Cycle</w:t>
            </w:r>
            <w:r>
              <w:rPr>
                <w:color w:val="000000"/>
              </w:rPr>
              <w:tab/>
              <w:t>11</w:t>
            </w:r>
          </w:hyperlink>
        </w:p>
        <w:p w14:paraId="3ED76F46" w14:textId="77777777" w:rsidR="00E569A2"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rPr>
          </w:pPr>
          <w:hyperlink w:anchor="_dmt67ga2516o">
            <w:r>
              <w:rPr>
                <w:color w:val="000000"/>
              </w:rPr>
              <w:t>Description</w:t>
            </w:r>
            <w:r>
              <w:rPr>
                <w:color w:val="000000"/>
              </w:rPr>
              <w:tab/>
              <w:t>11</w:t>
            </w:r>
          </w:hyperlink>
        </w:p>
        <w:p w14:paraId="69D49669" w14:textId="77777777" w:rsidR="00E569A2"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rPr>
          </w:pPr>
          <w:hyperlink w:anchor="_jzavbbkubbza">
            <w:r>
              <w:rPr>
                <w:color w:val="000000"/>
              </w:rPr>
              <w:t>Feelings</w:t>
            </w:r>
            <w:r>
              <w:rPr>
                <w:color w:val="000000"/>
              </w:rPr>
              <w:tab/>
              <w:t>11</w:t>
            </w:r>
          </w:hyperlink>
        </w:p>
        <w:p w14:paraId="1B9B2D03" w14:textId="77777777" w:rsidR="00E569A2"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rPr>
          </w:pPr>
          <w:hyperlink w:anchor="_2vz09rwg0h9w">
            <w:r>
              <w:rPr>
                <w:color w:val="000000"/>
              </w:rPr>
              <w:t>Evaluation</w:t>
            </w:r>
            <w:r>
              <w:rPr>
                <w:color w:val="000000"/>
              </w:rPr>
              <w:tab/>
              <w:t>11</w:t>
            </w:r>
          </w:hyperlink>
        </w:p>
        <w:p w14:paraId="2B1A9107" w14:textId="77777777" w:rsidR="00E569A2"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rPr>
          </w:pPr>
          <w:hyperlink w:anchor="_xm6czvpxjuvh">
            <w:r>
              <w:rPr>
                <w:color w:val="000000"/>
              </w:rPr>
              <w:t>Analysis</w:t>
            </w:r>
            <w:r>
              <w:rPr>
                <w:color w:val="000000"/>
              </w:rPr>
              <w:tab/>
              <w:t>12</w:t>
            </w:r>
          </w:hyperlink>
        </w:p>
        <w:p w14:paraId="353A7137" w14:textId="77777777" w:rsidR="00E569A2"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rPr>
          </w:pPr>
          <w:hyperlink w:anchor="_2lelc76w7azw">
            <w:r>
              <w:rPr>
                <w:color w:val="000000"/>
              </w:rPr>
              <w:t>Conclusion</w:t>
            </w:r>
            <w:r>
              <w:rPr>
                <w:color w:val="000000"/>
              </w:rPr>
              <w:tab/>
              <w:t>12</w:t>
            </w:r>
          </w:hyperlink>
        </w:p>
        <w:p w14:paraId="1E162340" w14:textId="77777777" w:rsidR="00E569A2"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rPr>
          </w:pPr>
          <w:hyperlink w:anchor="_aiehfijht9v">
            <w:r>
              <w:rPr>
                <w:color w:val="000000"/>
              </w:rPr>
              <w:t>Action Plan</w:t>
            </w:r>
            <w:r>
              <w:rPr>
                <w:color w:val="000000"/>
              </w:rPr>
              <w:tab/>
              <w:t>12</w:t>
            </w:r>
          </w:hyperlink>
        </w:p>
        <w:p w14:paraId="525300AD" w14:textId="77777777" w:rsidR="00E569A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4kc154vu9i34">
            <w:r>
              <w:rPr>
                <w:color w:val="000000"/>
              </w:rPr>
              <w:t>2.2 Staying Relevant in the Age of Artificial Intelligence</w:t>
            </w:r>
            <w:r>
              <w:rPr>
                <w:color w:val="000000"/>
              </w:rPr>
              <w:tab/>
              <w:t>12</w:t>
            </w:r>
          </w:hyperlink>
        </w:p>
        <w:p w14:paraId="554DD00D" w14:textId="77777777" w:rsidR="00E569A2"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mqbelkgmkgpq">
            <w:r>
              <w:rPr>
                <w:color w:val="000000"/>
              </w:rPr>
              <w:t>Reference List</w:t>
            </w:r>
            <w:r>
              <w:rPr>
                <w:color w:val="000000"/>
              </w:rPr>
              <w:tab/>
              <w:t>14</w:t>
            </w:r>
          </w:hyperlink>
        </w:p>
        <w:p w14:paraId="25336F72" w14:textId="77777777" w:rsidR="00E569A2" w:rsidRDefault="00000000">
          <w:r>
            <w:fldChar w:fldCharType="end"/>
          </w:r>
        </w:p>
      </w:sdtContent>
    </w:sdt>
    <w:p w14:paraId="41473165" w14:textId="77777777" w:rsidR="00E569A2" w:rsidRDefault="00000000">
      <w:pPr>
        <w:spacing w:after="240" w:line="360" w:lineRule="auto"/>
        <w:jc w:val="both"/>
      </w:pPr>
      <w:r>
        <w:br w:type="page"/>
      </w:r>
    </w:p>
    <w:p w14:paraId="633EC662" w14:textId="77777777" w:rsidR="00E569A2" w:rsidRDefault="00000000">
      <w:pPr>
        <w:pStyle w:val="Heading1"/>
        <w:pBdr>
          <w:bottom w:val="single" w:sz="4" w:space="1" w:color="000000"/>
        </w:pBdr>
      </w:pPr>
      <w:bookmarkStart w:id="0" w:name="_glqc0q8zl8ho" w:colFirst="0" w:colLast="0"/>
      <w:bookmarkEnd w:id="0"/>
      <w:r>
        <w:lastRenderedPageBreak/>
        <w:t>Part 1: Re-Engineering Performance and Job Design at Aether Innovations</w:t>
      </w:r>
    </w:p>
    <w:p w14:paraId="7A4D7D82" w14:textId="77777777" w:rsidR="00E569A2" w:rsidRDefault="00000000">
      <w:pPr>
        <w:pStyle w:val="Heading2"/>
      </w:pPr>
      <w:bookmarkStart w:id="1" w:name="_bjzjps3iwyi" w:colFirst="0" w:colLast="0"/>
      <w:bookmarkEnd w:id="1"/>
      <w:r>
        <w:t>1.1 Introduction</w:t>
      </w:r>
    </w:p>
    <w:p w14:paraId="09D4D140" w14:textId="77777777" w:rsidR="00E569A2" w:rsidRDefault="00000000">
      <w:pPr>
        <w:spacing w:after="240" w:line="360" w:lineRule="auto"/>
        <w:jc w:val="both"/>
      </w:pPr>
      <w:r>
        <w:t xml:space="preserve">Aether Innovations is a technology company with 300 employees, characterized by interlinked issues such as low growth and staff turnover as well as customer dissatisfaction. All these are usually indications of more systemic failure in how organisations cope with performance and design work (Lasa, Pedroni &amp; Komm 2024). This report is an offer to embark on a comprehensive overhaul of human capital by re-engineering the performance appraisal framework, as well as the job structure of the six top leadership positions. </w:t>
      </w:r>
    </w:p>
    <w:p w14:paraId="446C42D1" w14:textId="77777777" w:rsidR="00E569A2" w:rsidRDefault="00000000">
      <w:pPr>
        <w:spacing w:after="240" w:line="360" w:lineRule="auto"/>
        <w:jc w:val="both"/>
      </w:pPr>
      <w:r>
        <w:t>Through aligning current appraisal processes with, and based on, the Job Characteristics Model (JCM) which offers the enriched version of job design, Aether will be able to foster performance-oriented culture, which will boost employee engagement and organisational results at the same time. Since Sinisterra, Peñalver and Salanova (2024) contend, talent management practices are directly associated with engagement and also decrease turnover intention, the dual intervention is timely and is strategically critical to Aether recovery.</w:t>
      </w:r>
    </w:p>
    <w:p w14:paraId="084C191B" w14:textId="77777777" w:rsidR="00E569A2" w:rsidRDefault="00000000">
      <w:pPr>
        <w:pStyle w:val="Heading2"/>
      </w:pPr>
      <w:bookmarkStart w:id="2" w:name="_lv3n4rlmq1mc" w:colFirst="0" w:colLast="0"/>
      <w:bookmarkEnd w:id="2"/>
      <w:r>
        <w:t>1.2 Current Practices in Performance Appraisal and Job Design in Tech Companies</w:t>
      </w:r>
    </w:p>
    <w:p w14:paraId="6A6BD7BB" w14:textId="77777777" w:rsidR="00E569A2" w:rsidRDefault="00000000">
      <w:pPr>
        <w:spacing w:after="240" w:line="360" w:lineRule="auto"/>
        <w:jc w:val="both"/>
      </w:pPr>
      <w:r>
        <w:t xml:space="preserve">In the technological industry performance appraisal has changed immensely in the last ten years. The traditional annual review systems which are characterised by backward looking appraisals and forced ranking distributions have been highly criticised to fail in motivating knowledge workers. In a systematic review, Ivan and Botelho (2023) found that traditional appraisals are usually accompanied by anxiety and not a positive change, especially where appraisals focus on judging instead of developing. Micacchi et al. (2023) also show that perceptions of appraisal justice are significant predictors of work </w:t>
      </w:r>
      <w:r>
        <w:lastRenderedPageBreak/>
        <w:t>engagement, which indicates that ineffectively developed systems actively harm the psychological contract between an employer and an employee.</w:t>
      </w:r>
    </w:p>
    <w:p w14:paraId="4640003E" w14:textId="77777777" w:rsidR="00E569A2" w:rsidRDefault="00000000">
      <w:pPr>
        <w:spacing w:after="240" w:line="360" w:lineRule="auto"/>
        <w:jc w:val="both"/>
      </w:pPr>
      <w:r>
        <w:t>As a reaction, the major technological corporations, including Google, Adobe, and Microsoft, have switched to the system of continuous feedback, agile goal frameworks, and conversations (Giamos, Doucet &amp; Léger 2023). Kinaeas firm research also confirms that organisations where people are centred in performance management record significantly improved innovation and retention results (Losa, Pedroni &amp; Komm 2024). In spite of such progress, a large number of mid-sized companies such as Aether are still tied to the traditional systems which fail to record real-time inputs as well as create an environment of psychological safety.</w:t>
      </w:r>
    </w:p>
    <w:p w14:paraId="2056262A" w14:textId="77777777" w:rsidR="00E569A2" w:rsidRDefault="00000000">
      <w:pPr>
        <w:spacing w:after="240" w:line="360" w:lineRule="auto"/>
        <w:jc w:val="both"/>
      </w:pPr>
      <w:r>
        <w:t>When it comes to job design, the prehistoric paradigm in technology firms tends to revert to previous definitions of roles that existed in the pyramid organisations. But, recent studies note that enriched job design, defined by autonomy, skill variety, and meaningful feedback, is necessary to maintain experience of engagement in creativity-intensive, knowledge-intensive workplaces (Cotič et al. 2025). This mismatch between the requirements of modern workers and the structure characteristic of traditional ones is the reason behind a lot of the present turnover and disengagement issue Aether is facing.</w:t>
      </w:r>
    </w:p>
    <w:p w14:paraId="2402D25B" w14:textId="77777777" w:rsidR="00E569A2" w:rsidRDefault="00000000">
      <w:pPr>
        <w:pStyle w:val="Heading2"/>
      </w:pPr>
      <w:bookmarkStart w:id="3" w:name="_x3ht49nrn0hf" w:colFirst="0" w:colLast="0"/>
      <w:bookmarkEnd w:id="3"/>
      <w:r>
        <w:t>1.3 Proposed Modern Performance Appraisal System</w:t>
      </w:r>
    </w:p>
    <w:p w14:paraId="1B4CB046" w14:textId="77777777" w:rsidR="00E569A2" w:rsidRDefault="00000000">
      <w:pPr>
        <w:spacing w:after="240" w:line="360" w:lineRule="auto"/>
        <w:jc w:val="both"/>
      </w:pPr>
      <w:r>
        <w:t>The current report advises Aether Innovations to implement an integrated performance appraisal system based on a combination of Objectives and Key Results (OKRs) with the 360-degree feedback mechanisms along with ongoing performance conversations.</w:t>
      </w:r>
    </w:p>
    <w:p w14:paraId="68131E48" w14:textId="77777777" w:rsidR="00E569A2" w:rsidRDefault="00000000">
      <w:pPr>
        <w:pStyle w:val="Heading3"/>
      </w:pPr>
      <w:bookmarkStart w:id="4" w:name="_k1vbbccashn3" w:colFirst="0" w:colLast="0"/>
      <w:bookmarkEnd w:id="4"/>
      <w:r>
        <w:t>1.3.1 Objectives and Key Results (OKRs)</w:t>
      </w:r>
    </w:p>
    <w:p w14:paraId="407D9A7B" w14:textId="77777777" w:rsidR="00E569A2" w:rsidRDefault="00000000">
      <w:pPr>
        <w:spacing w:after="240" w:line="360" w:lineRule="auto"/>
        <w:jc w:val="both"/>
      </w:pPr>
      <w:r>
        <w:t xml:space="preserve">OKRs are a clear, outcome-oriented tool that identifies the contribution of individuals with the organisational strategy. A systematic literature review by Troian et al. (2022) revealed that OKRs can be used to improve strategic unity and cross-functional alignment, which are both essential in a company with a flat growth. In contrast to the classical KPIs, the OKRs promote very ambitious and stretch goals that lead to innovation. Zulaikha Al-Saadi et al. (2023) investigated the implementation of the OKR in one of the higher education </w:t>
      </w:r>
      <w:r>
        <w:lastRenderedPageBreak/>
        <w:t>institutions and discovered that despite the benefits such as increased transparency and alignment of goals, effective implementation of the system demanded a high level of leadership sponsorship and sufficient training, which applies directly to the situation in Aether.</w:t>
      </w:r>
    </w:p>
    <w:p w14:paraId="2D9C30DC" w14:textId="77777777" w:rsidR="00E569A2" w:rsidRDefault="00000000">
      <w:pPr>
        <w:pStyle w:val="Heading3"/>
      </w:pPr>
      <w:bookmarkStart w:id="5" w:name="_opu7ns6muysu" w:colFirst="0" w:colLast="0"/>
      <w:bookmarkEnd w:id="5"/>
      <w:r>
        <w:t>1.3.2 360-Degree Feedback</w:t>
      </w:r>
    </w:p>
    <w:p w14:paraId="5C0B2908" w14:textId="77777777" w:rsidR="00E569A2" w:rsidRDefault="00000000">
      <w:pPr>
        <w:spacing w:after="240" w:line="360" w:lineRule="auto"/>
        <w:jc w:val="both"/>
      </w:pPr>
      <w:r>
        <w:t>Adding to OKRs, 360-feedback gives a multi-source assessment that includes the opinion of subordinates, peers, supervisors, and clients. As stated by Dalvi et al. (2023), 360-degree systems enhance self-knowledge and unveil the areas where a person cannot see; something that the top-down reviews fail to notice altogether. Specifically, Judijanto and Mintawati (2025) studied Indonesian technology companies and found that the use of 360-degree feedback had a positive impact on the individual performance and career developmental changes. In the case of Aether, the multi-directional strategy is able to restore the trust and accountability in a workforce which has clearly become disengaged under the current processes.</w:t>
      </w:r>
    </w:p>
    <w:p w14:paraId="33321231" w14:textId="77777777" w:rsidR="00E569A2" w:rsidRDefault="00000000">
      <w:pPr>
        <w:pStyle w:val="Heading3"/>
      </w:pPr>
      <w:bookmarkStart w:id="6" w:name="_agmdhr6uy1qp" w:colFirst="0" w:colLast="0"/>
      <w:bookmarkEnd w:id="6"/>
      <w:r>
        <w:t>1.3.3 Continuous Performance Conversations</w:t>
      </w:r>
    </w:p>
    <w:p w14:paraId="22F0A610" w14:textId="77777777" w:rsidR="00E569A2" w:rsidRDefault="00000000">
      <w:pPr>
        <w:spacing w:after="240" w:line="360" w:lineRule="auto"/>
        <w:jc w:val="both"/>
      </w:pPr>
      <w:r>
        <w:t>Studies conducted by Giamos, Doucet and Léger (2023) proved that constant feedback (both outcome-based and process-based content) proved to be much more effective in terms of motivation and involvement with the tasks than regular reviews. At Aether, monthly one to one developmental discussion would be checked on quarterly with OKRs so that instead of the anxiety of annual reviews, a performance dialogue rhythm is created which allows the continual creation of growth opportunities.</w:t>
      </w:r>
    </w:p>
    <w:p w14:paraId="051F7980" w14:textId="77777777" w:rsidR="00E569A2" w:rsidRDefault="00000000">
      <w:pPr>
        <w:spacing w:before="300" w:after="240" w:line="360" w:lineRule="auto"/>
        <w:jc w:val="both"/>
      </w:pPr>
      <w:r>
        <w:rPr>
          <w:b/>
          <w:bCs/>
        </w:rPr>
        <w:t>Table 1: Proposed Performance Appraisal Framework for Aether Innovations</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0"/>
        <w:gridCol w:w="3580"/>
        <w:gridCol w:w="3580"/>
      </w:tblGrid>
      <w:tr w:rsidR="00E569A2" w14:paraId="3A72D6C7" w14:textId="77777777">
        <w:tc>
          <w:tcPr>
            <w:tcW w:w="2200" w:type="dxa"/>
            <w:tcBorders>
              <w:top w:val="single" w:sz="4" w:space="0" w:color="999999"/>
              <w:left w:val="single" w:sz="4" w:space="0" w:color="999999"/>
              <w:bottom w:val="single" w:sz="4" w:space="0" w:color="999999"/>
              <w:right w:val="single" w:sz="4" w:space="0" w:color="999999"/>
            </w:tcBorders>
            <w:shd w:val="clear" w:color="auto" w:fill="1F4E79"/>
            <w:tcMar>
              <w:top w:w="60" w:type="dxa"/>
              <w:left w:w="100" w:type="dxa"/>
              <w:bottom w:w="60" w:type="dxa"/>
              <w:right w:w="100" w:type="dxa"/>
            </w:tcMar>
          </w:tcPr>
          <w:p w14:paraId="2384D421" w14:textId="77777777" w:rsidR="00E569A2" w:rsidRDefault="00000000">
            <w:pPr>
              <w:spacing w:after="240" w:line="360" w:lineRule="auto"/>
              <w:jc w:val="both"/>
            </w:pPr>
            <w:r>
              <w:rPr>
                <w:b/>
                <w:bCs/>
                <w:color w:val="FFFFFF"/>
              </w:rPr>
              <w:t>Component</w:t>
            </w:r>
          </w:p>
        </w:tc>
        <w:tc>
          <w:tcPr>
            <w:tcW w:w="3580" w:type="dxa"/>
            <w:tcBorders>
              <w:top w:val="single" w:sz="4" w:space="0" w:color="999999"/>
              <w:left w:val="single" w:sz="4" w:space="0" w:color="999999"/>
              <w:bottom w:val="single" w:sz="4" w:space="0" w:color="999999"/>
              <w:right w:val="single" w:sz="4" w:space="0" w:color="999999"/>
            </w:tcBorders>
            <w:shd w:val="clear" w:color="auto" w:fill="1F4E79"/>
            <w:tcMar>
              <w:top w:w="60" w:type="dxa"/>
              <w:left w:w="100" w:type="dxa"/>
              <w:bottom w:w="60" w:type="dxa"/>
              <w:right w:w="100" w:type="dxa"/>
            </w:tcMar>
          </w:tcPr>
          <w:p w14:paraId="39CACB68" w14:textId="77777777" w:rsidR="00E569A2" w:rsidRDefault="00000000">
            <w:pPr>
              <w:spacing w:after="240" w:line="360" w:lineRule="auto"/>
              <w:jc w:val="both"/>
            </w:pPr>
            <w:r>
              <w:rPr>
                <w:b/>
                <w:bCs/>
                <w:color w:val="FFFFFF"/>
              </w:rPr>
              <w:t>Mechanism</w:t>
            </w:r>
          </w:p>
        </w:tc>
        <w:tc>
          <w:tcPr>
            <w:tcW w:w="3580" w:type="dxa"/>
            <w:tcBorders>
              <w:top w:val="single" w:sz="4" w:space="0" w:color="999999"/>
              <w:left w:val="single" w:sz="4" w:space="0" w:color="999999"/>
              <w:bottom w:val="single" w:sz="4" w:space="0" w:color="999999"/>
              <w:right w:val="single" w:sz="4" w:space="0" w:color="999999"/>
            </w:tcBorders>
            <w:shd w:val="clear" w:color="auto" w:fill="1F4E79"/>
            <w:tcMar>
              <w:top w:w="60" w:type="dxa"/>
              <w:left w:w="100" w:type="dxa"/>
              <w:bottom w:w="60" w:type="dxa"/>
              <w:right w:w="100" w:type="dxa"/>
            </w:tcMar>
          </w:tcPr>
          <w:p w14:paraId="33EA3152" w14:textId="77777777" w:rsidR="00E569A2" w:rsidRDefault="00000000">
            <w:pPr>
              <w:spacing w:after="240" w:line="360" w:lineRule="auto"/>
              <w:jc w:val="both"/>
            </w:pPr>
            <w:r>
              <w:rPr>
                <w:b/>
                <w:bCs/>
                <w:color w:val="FFFFFF"/>
              </w:rPr>
              <w:t>Frequency &amp; Purpose</w:t>
            </w:r>
          </w:p>
        </w:tc>
      </w:tr>
      <w:tr w:rsidR="00E569A2" w14:paraId="24D94AD6" w14:textId="77777777">
        <w:tc>
          <w:tcPr>
            <w:tcW w:w="22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2A66EC7" w14:textId="77777777" w:rsidR="00E569A2" w:rsidRDefault="00000000">
            <w:pPr>
              <w:spacing w:after="240" w:line="360" w:lineRule="auto"/>
              <w:jc w:val="both"/>
            </w:pPr>
            <w:r>
              <w:t>Goal Setting</w:t>
            </w:r>
          </w:p>
        </w:tc>
        <w:tc>
          <w:tcPr>
            <w:tcW w:w="358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5F4A402" w14:textId="77777777" w:rsidR="00E569A2" w:rsidRDefault="00000000">
            <w:pPr>
              <w:spacing w:after="240" w:line="360" w:lineRule="auto"/>
              <w:jc w:val="both"/>
            </w:pPr>
            <w:r>
              <w:t>OKRs were broken down to individual and company levels.</w:t>
            </w:r>
          </w:p>
        </w:tc>
        <w:tc>
          <w:tcPr>
            <w:tcW w:w="358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544A0CB" w14:textId="77777777" w:rsidR="00E569A2" w:rsidRDefault="00000000">
            <w:pPr>
              <w:spacing w:after="240" w:line="360" w:lineRule="auto"/>
              <w:jc w:val="both"/>
            </w:pPr>
            <w:r>
              <w:t>Quarterly; strategy congruency and stretch targets.</w:t>
            </w:r>
          </w:p>
        </w:tc>
      </w:tr>
      <w:tr w:rsidR="00E569A2" w14:paraId="7D23416D" w14:textId="77777777">
        <w:tc>
          <w:tcPr>
            <w:tcW w:w="22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F18CB55" w14:textId="77777777" w:rsidR="00E569A2" w:rsidRDefault="00000000">
            <w:pPr>
              <w:spacing w:after="240" w:line="360" w:lineRule="auto"/>
              <w:jc w:val="both"/>
            </w:pPr>
            <w:r>
              <w:lastRenderedPageBreak/>
              <w:t>Multi-Source Evaluation</w:t>
            </w:r>
          </w:p>
        </w:tc>
        <w:tc>
          <w:tcPr>
            <w:tcW w:w="358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53D62AE" w14:textId="77777777" w:rsidR="00E569A2" w:rsidRDefault="00000000">
            <w:pPr>
              <w:spacing w:after="240" w:line="360" w:lineRule="auto"/>
              <w:jc w:val="both"/>
            </w:pPr>
            <w:r>
              <w:t>Peer ratings, subordinate ratings, Manager ratings, Client’s ratings.</w:t>
            </w:r>
          </w:p>
        </w:tc>
        <w:tc>
          <w:tcPr>
            <w:tcW w:w="358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EFF8F25" w14:textId="77777777" w:rsidR="00E569A2" w:rsidRDefault="00000000">
            <w:pPr>
              <w:spacing w:after="240" w:line="360" w:lineRule="auto"/>
              <w:jc w:val="both"/>
            </w:pPr>
            <w:r>
              <w:t>Every six months; whole self-awareness and responsibility.</w:t>
            </w:r>
          </w:p>
        </w:tc>
      </w:tr>
      <w:tr w:rsidR="00E569A2" w14:paraId="785A2BD3" w14:textId="77777777">
        <w:tc>
          <w:tcPr>
            <w:tcW w:w="22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C91DB46" w14:textId="77777777" w:rsidR="00E569A2" w:rsidRDefault="00000000">
            <w:pPr>
              <w:spacing w:after="240" w:line="360" w:lineRule="auto"/>
              <w:jc w:val="both"/>
            </w:pPr>
            <w:r>
              <w:t>Developmental Dialogue</w:t>
            </w:r>
          </w:p>
        </w:tc>
        <w:tc>
          <w:tcPr>
            <w:tcW w:w="358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295DCD5" w14:textId="77777777" w:rsidR="00E569A2" w:rsidRDefault="00000000">
            <w:pPr>
              <w:spacing w:after="240" w:line="360" w:lineRule="auto"/>
              <w:jc w:val="both"/>
            </w:pPr>
            <w:r>
              <w:t>Ongoing one to one coaching dialogues.</w:t>
            </w:r>
          </w:p>
        </w:tc>
        <w:tc>
          <w:tcPr>
            <w:tcW w:w="358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A458709" w14:textId="77777777" w:rsidR="00E569A2" w:rsidRDefault="00000000">
            <w:pPr>
              <w:spacing w:after="240" w:line="360" w:lineRule="auto"/>
              <w:jc w:val="both"/>
            </w:pPr>
            <w:r>
              <w:t>Monthly; course correction/ real time growth.</w:t>
            </w:r>
          </w:p>
        </w:tc>
      </w:tr>
      <w:tr w:rsidR="00E569A2" w14:paraId="2DBDD54E" w14:textId="77777777">
        <w:tc>
          <w:tcPr>
            <w:tcW w:w="22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6502966" w14:textId="77777777" w:rsidR="00E569A2" w:rsidRDefault="00000000">
            <w:pPr>
              <w:spacing w:after="240" w:line="360" w:lineRule="auto"/>
              <w:jc w:val="both"/>
            </w:pPr>
            <w:r>
              <w:t>Recognition</w:t>
            </w:r>
          </w:p>
        </w:tc>
        <w:tc>
          <w:tcPr>
            <w:tcW w:w="358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C510FB0" w14:textId="77777777" w:rsidR="00E569A2" w:rsidRDefault="00000000">
            <w:pPr>
              <w:spacing w:after="240" w:line="360" w:lineRule="auto"/>
              <w:jc w:val="both"/>
            </w:pPr>
            <w:r>
              <w:t>Manager-supported and peer-nominated achievement awards.</w:t>
            </w:r>
          </w:p>
        </w:tc>
        <w:tc>
          <w:tcPr>
            <w:tcW w:w="358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CD3A06B" w14:textId="77777777" w:rsidR="00E569A2" w:rsidRDefault="00000000">
            <w:pPr>
              <w:spacing w:after="240" w:line="360" w:lineRule="auto"/>
              <w:jc w:val="both"/>
            </w:pPr>
            <w:r>
              <w:t xml:space="preserve">Continuing; strengthening innovation and teamwork. </w:t>
            </w:r>
          </w:p>
        </w:tc>
      </w:tr>
    </w:tbl>
    <w:p w14:paraId="66ACE029" w14:textId="77777777" w:rsidR="00E569A2" w:rsidRDefault="00E569A2">
      <w:pPr>
        <w:spacing w:after="240" w:line="360" w:lineRule="auto"/>
        <w:jc w:val="both"/>
      </w:pPr>
    </w:p>
    <w:p w14:paraId="11206209" w14:textId="77777777" w:rsidR="00E569A2" w:rsidRDefault="00000000">
      <w:pPr>
        <w:pStyle w:val="Heading2"/>
      </w:pPr>
      <w:bookmarkStart w:id="7" w:name="_ensq63e1kmfp" w:colFirst="0" w:colLast="0"/>
      <w:bookmarkEnd w:id="7"/>
      <w:r>
        <w:t>1.4 Job Analysis and Redesign Using the Job Characteristics Model</w:t>
      </w:r>
    </w:p>
    <w:p w14:paraId="225D9E48" w14:textId="77777777" w:rsidR="00E569A2" w:rsidRDefault="00000000">
      <w:pPr>
        <w:spacing w:after="240" w:line="360" w:lineRule="auto"/>
        <w:jc w:val="both"/>
      </w:pPr>
      <w:r>
        <w:t>According to Job Characteristics Model by Hackman and Oldham (1976), there are five fundamental dimensions of jobs namely; skill variety, task identity, task significance, autonomy, and feedback which contribute to high motivation, satisfaction and performance. As Cotič et al. (2025) deliver quite solid modern evidence, these five dimensions are highly predictive of work engagement with autonomy and feedback presenting notably strong results in the knowledge-intensive industries. This model will therefore be best incorporated in reworking of Aether leadership positions.</w:t>
      </w:r>
    </w:p>
    <w:p w14:paraId="7C8DEDAB" w14:textId="77777777" w:rsidR="00E569A2" w:rsidRDefault="00000000">
      <w:pPr>
        <w:spacing w:after="240" w:line="360" w:lineRule="auto"/>
        <w:jc w:val="both"/>
      </w:pPr>
      <w:r>
        <w:rPr>
          <w:noProof/>
        </w:rPr>
        <w:lastRenderedPageBreak/>
        <w:drawing>
          <wp:inline distT="0" distB="0" distL="0" distR="0" wp14:anchorId="41795E7B" wp14:editId="682A6AED">
            <wp:extent cx="5943600" cy="334264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342640"/>
                    </a:xfrm>
                    <a:prstGeom prst="rect">
                      <a:avLst/>
                    </a:prstGeom>
                    <a:ln/>
                  </pic:spPr>
                </pic:pic>
              </a:graphicData>
            </a:graphic>
          </wp:inline>
        </w:drawing>
      </w:r>
    </w:p>
    <w:p w14:paraId="6BE3BE31" w14:textId="77777777" w:rsidR="00E569A2" w:rsidRDefault="00000000">
      <w:pPr>
        <w:spacing w:after="240" w:line="360" w:lineRule="auto"/>
        <w:jc w:val="both"/>
      </w:pPr>
      <w:r>
        <w:rPr>
          <w:b/>
          <w:bCs/>
        </w:rPr>
        <w:t>Figure 1:</w:t>
      </w:r>
      <w:r>
        <w:t xml:space="preserve"> Job Characteristics Model </w:t>
      </w:r>
      <w:r>
        <w:rPr>
          <w:i/>
          <w:iCs/>
        </w:rPr>
        <w:t>(Self-Generated Lucid chart)</w:t>
      </w:r>
    </w:p>
    <w:p w14:paraId="1B044E6C" w14:textId="77777777" w:rsidR="00E569A2" w:rsidRDefault="00000000">
      <w:pPr>
        <w:spacing w:before="300" w:after="240" w:line="360" w:lineRule="auto"/>
        <w:jc w:val="both"/>
      </w:pPr>
      <w:r>
        <w:rPr>
          <w:b/>
          <w:bCs/>
        </w:rPr>
        <w:t>Table 2: Summary Job Descriptions and Specifications for Six Key Leadership Roles</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0"/>
        <w:gridCol w:w="2800"/>
        <w:gridCol w:w="2760"/>
        <w:gridCol w:w="2700"/>
      </w:tblGrid>
      <w:tr w:rsidR="00E569A2" w14:paraId="6EA832C2" w14:textId="77777777">
        <w:tc>
          <w:tcPr>
            <w:tcW w:w="1100" w:type="dxa"/>
            <w:tcBorders>
              <w:top w:val="single" w:sz="4" w:space="0" w:color="999999"/>
              <w:left w:val="single" w:sz="4" w:space="0" w:color="999999"/>
              <w:bottom w:val="single" w:sz="4" w:space="0" w:color="999999"/>
              <w:right w:val="single" w:sz="4" w:space="0" w:color="999999"/>
            </w:tcBorders>
            <w:shd w:val="clear" w:color="auto" w:fill="1F4E79"/>
            <w:tcMar>
              <w:top w:w="60" w:type="dxa"/>
              <w:left w:w="100" w:type="dxa"/>
              <w:bottom w:w="60" w:type="dxa"/>
              <w:right w:w="100" w:type="dxa"/>
            </w:tcMar>
          </w:tcPr>
          <w:p w14:paraId="0F413903" w14:textId="77777777" w:rsidR="00E569A2" w:rsidRDefault="00000000">
            <w:pPr>
              <w:spacing w:after="240" w:line="360" w:lineRule="auto"/>
              <w:jc w:val="both"/>
            </w:pPr>
            <w:r>
              <w:rPr>
                <w:b/>
                <w:bCs/>
                <w:color w:val="FFFFFF"/>
              </w:rPr>
              <w:t>Role</w:t>
            </w:r>
          </w:p>
        </w:tc>
        <w:tc>
          <w:tcPr>
            <w:tcW w:w="2800" w:type="dxa"/>
            <w:tcBorders>
              <w:top w:val="single" w:sz="4" w:space="0" w:color="999999"/>
              <w:left w:val="single" w:sz="4" w:space="0" w:color="999999"/>
              <w:bottom w:val="single" w:sz="4" w:space="0" w:color="999999"/>
              <w:right w:val="single" w:sz="4" w:space="0" w:color="999999"/>
            </w:tcBorders>
            <w:shd w:val="clear" w:color="auto" w:fill="1F4E79"/>
            <w:tcMar>
              <w:top w:w="60" w:type="dxa"/>
              <w:left w:w="100" w:type="dxa"/>
              <w:bottom w:w="60" w:type="dxa"/>
              <w:right w:w="100" w:type="dxa"/>
            </w:tcMar>
          </w:tcPr>
          <w:p w14:paraId="5434EF45" w14:textId="77777777" w:rsidR="00E569A2" w:rsidRDefault="00000000">
            <w:pPr>
              <w:spacing w:after="240" w:line="360" w:lineRule="auto"/>
              <w:jc w:val="both"/>
            </w:pPr>
            <w:r>
              <w:rPr>
                <w:b/>
                <w:bCs/>
                <w:color w:val="FFFFFF"/>
              </w:rPr>
              <w:t>Key Responsibilities</w:t>
            </w:r>
          </w:p>
        </w:tc>
        <w:tc>
          <w:tcPr>
            <w:tcW w:w="2760" w:type="dxa"/>
            <w:tcBorders>
              <w:top w:val="single" w:sz="4" w:space="0" w:color="999999"/>
              <w:left w:val="single" w:sz="4" w:space="0" w:color="999999"/>
              <w:bottom w:val="single" w:sz="4" w:space="0" w:color="999999"/>
              <w:right w:val="single" w:sz="4" w:space="0" w:color="999999"/>
            </w:tcBorders>
            <w:shd w:val="clear" w:color="auto" w:fill="1F4E79"/>
            <w:tcMar>
              <w:top w:w="60" w:type="dxa"/>
              <w:left w:w="100" w:type="dxa"/>
              <w:bottom w:w="60" w:type="dxa"/>
              <w:right w:w="100" w:type="dxa"/>
            </w:tcMar>
          </w:tcPr>
          <w:p w14:paraId="0DCC1957" w14:textId="77777777" w:rsidR="00E569A2" w:rsidRDefault="00000000">
            <w:pPr>
              <w:spacing w:after="240" w:line="360" w:lineRule="auto"/>
              <w:jc w:val="both"/>
            </w:pPr>
            <w:r>
              <w:rPr>
                <w:b/>
                <w:bCs/>
                <w:color w:val="FFFFFF"/>
              </w:rPr>
              <w:t>JCM Enrichment</w:t>
            </w:r>
          </w:p>
        </w:tc>
        <w:tc>
          <w:tcPr>
            <w:tcW w:w="2700" w:type="dxa"/>
            <w:tcBorders>
              <w:top w:val="single" w:sz="4" w:space="0" w:color="999999"/>
              <w:left w:val="single" w:sz="4" w:space="0" w:color="999999"/>
              <w:bottom w:val="single" w:sz="4" w:space="0" w:color="999999"/>
              <w:right w:val="single" w:sz="4" w:space="0" w:color="999999"/>
            </w:tcBorders>
            <w:shd w:val="clear" w:color="auto" w:fill="1F4E79"/>
            <w:tcMar>
              <w:top w:w="60" w:type="dxa"/>
              <w:left w:w="100" w:type="dxa"/>
              <w:bottom w:w="60" w:type="dxa"/>
              <w:right w:w="100" w:type="dxa"/>
            </w:tcMar>
          </w:tcPr>
          <w:p w14:paraId="69F4C7F7" w14:textId="77777777" w:rsidR="00E569A2" w:rsidRDefault="00000000">
            <w:pPr>
              <w:spacing w:after="240" w:line="360" w:lineRule="auto"/>
              <w:jc w:val="both"/>
            </w:pPr>
            <w:r>
              <w:rPr>
                <w:b/>
                <w:bCs/>
                <w:color w:val="FFFFFF"/>
              </w:rPr>
              <w:t>Person Specification</w:t>
            </w:r>
          </w:p>
        </w:tc>
      </w:tr>
      <w:tr w:rsidR="00E569A2" w14:paraId="6EFCE7D9" w14:textId="77777777">
        <w:tc>
          <w:tcPr>
            <w:tcW w:w="11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5B0291F" w14:textId="77777777" w:rsidR="00E569A2" w:rsidRDefault="00000000">
            <w:pPr>
              <w:spacing w:after="240" w:line="360" w:lineRule="auto"/>
              <w:jc w:val="both"/>
            </w:pPr>
            <w:r>
              <w:rPr>
                <w:b/>
                <w:bCs/>
              </w:rPr>
              <w:t>CEO</w:t>
            </w:r>
          </w:p>
        </w:tc>
        <w:tc>
          <w:tcPr>
            <w:tcW w:w="28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22672CA" w14:textId="77777777" w:rsidR="00E569A2" w:rsidRDefault="00000000">
            <w:pPr>
              <w:spacing w:after="240" w:line="360" w:lineRule="auto"/>
              <w:jc w:val="both"/>
            </w:pPr>
            <w:r>
              <w:t>Strategic vision, management of stakeholders, leadership of culture, cross-functional alignment.</w:t>
            </w:r>
          </w:p>
        </w:tc>
        <w:tc>
          <w:tcPr>
            <w:tcW w:w="276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80E71C4" w14:textId="77777777" w:rsidR="00E569A2" w:rsidRDefault="00000000">
            <w:pPr>
              <w:spacing w:after="240" w:line="360" w:lineRule="auto"/>
              <w:jc w:val="both"/>
            </w:pPr>
            <w:r>
              <w:t>Strategic choice; role significance via impacting the company-wide; diversity of skills in finance, technology and people areas.</w:t>
            </w:r>
          </w:p>
        </w:tc>
        <w:tc>
          <w:tcPr>
            <w:tcW w:w="27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D2F69DC" w14:textId="77777777" w:rsidR="00E569A2" w:rsidRDefault="00000000">
            <w:pPr>
              <w:spacing w:after="240" w:line="360" w:lineRule="auto"/>
              <w:jc w:val="both"/>
            </w:pPr>
            <w:r>
              <w:t>MBA or other, 15 + years’ experience in leadership; visionary thinking; emotional intelligence.</w:t>
            </w:r>
          </w:p>
        </w:tc>
      </w:tr>
      <w:tr w:rsidR="00E569A2" w14:paraId="4865331D" w14:textId="77777777">
        <w:tc>
          <w:tcPr>
            <w:tcW w:w="11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757623F" w14:textId="77777777" w:rsidR="00E569A2" w:rsidRDefault="00000000">
            <w:pPr>
              <w:spacing w:after="240" w:line="360" w:lineRule="auto"/>
              <w:jc w:val="both"/>
            </w:pPr>
            <w:r>
              <w:rPr>
                <w:b/>
                <w:bCs/>
              </w:rPr>
              <w:t>CFO</w:t>
            </w:r>
          </w:p>
        </w:tc>
        <w:tc>
          <w:tcPr>
            <w:tcW w:w="28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E60F2CF" w14:textId="77777777" w:rsidR="00E569A2" w:rsidRDefault="00000000">
            <w:pPr>
              <w:spacing w:after="240" w:line="360" w:lineRule="auto"/>
              <w:jc w:val="both"/>
            </w:pPr>
            <w:r>
              <w:t xml:space="preserve">Financial plan, risk, investor relations, </w:t>
            </w:r>
            <w:r>
              <w:lastRenderedPageBreak/>
              <w:t>innovation resource allocation.</w:t>
            </w:r>
          </w:p>
        </w:tc>
        <w:tc>
          <w:tcPr>
            <w:tcW w:w="276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84FED02" w14:textId="77777777" w:rsidR="00E569A2" w:rsidRDefault="00000000">
            <w:pPr>
              <w:spacing w:after="240" w:line="360" w:lineRule="auto"/>
              <w:jc w:val="both"/>
            </w:pPr>
            <w:r>
              <w:lastRenderedPageBreak/>
              <w:t xml:space="preserve">Task identity by virtue of end-to-end financial stewardship; autonomy through capital </w:t>
            </w:r>
            <w:r>
              <w:lastRenderedPageBreak/>
              <w:t>allocation; feedback by way of OKR financial targets.</w:t>
            </w:r>
          </w:p>
        </w:tc>
        <w:tc>
          <w:tcPr>
            <w:tcW w:w="27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D44184D" w14:textId="77777777" w:rsidR="00E569A2" w:rsidRDefault="00000000">
            <w:pPr>
              <w:spacing w:after="240" w:line="360" w:lineRule="auto"/>
              <w:jc w:val="both"/>
            </w:pPr>
            <w:r>
              <w:lastRenderedPageBreak/>
              <w:t xml:space="preserve">CPA/ACCA qualified; 10 years or more years finance leadership; analytical rigour; </w:t>
            </w:r>
            <w:r>
              <w:lastRenderedPageBreak/>
              <w:t>strategic communication skills.</w:t>
            </w:r>
          </w:p>
        </w:tc>
      </w:tr>
      <w:tr w:rsidR="00E569A2" w14:paraId="4EFEBC9F" w14:textId="77777777">
        <w:tc>
          <w:tcPr>
            <w:tcW w:w="11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D66C403" w14:textId="77777777" w:rsidR="00E569A2" w:rsidRDefault="00000000">
            <w:pPr>
              <w:spacing w:after="240" w:line="360" w:lineRule="auto"/>
              <w:jc w:val="both"/>
            </w:pPr>
            <w:r>
              <w:rPr>
                <w:b/>
                <w:bCs/>
              </w:rPr>
              <w:lastRenderedPageBreak/>
              <w:t>CTO</w:t>
            </w:r>
          </w:p>
        </w:tc>
        <w:tc>
          <w:tcPr>
            <w:tcW w:w="28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A7A972F" w14:textId="77777777" w:rsidR="00E569A2" w:rsidRDefault="00000000">
            <w:pPr>
              <w:spacing w:after="240" w:line="360" w:lineRule="auto"/>
              <w:jc w:val="both"/>
            </w:pPr>
            <w:r>
              <w:t>Technology road, R&amp;D management, architecture, technical talent, development.</w:t>
            </w:r>
          </w:p>
        </w:tc>
        <w:tc>
          <w:tcPr>
            <w:tcW w:w="276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C06B5B8" w14:textId="77777777" w:rsidR="00E569A2" w:rsidRDefault="00000000">
            <w:pPr>
              <w:spacing w:after="240" w:line="360" w:lineRule="auto"/>
              <w:jc w:val="both"/>
            </w:pPr>
            <w:r>
              <w:t>Diversity in skills of all fields of engineering; independence in the selection of technology; product delivery feedback.</w:t>
            </w:r>
          </w:p>
        </w:tc>
        <w:tc>
          <w:tcPr>
            <w:tcW w:w="27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8765744" w14:textId="77777777" w:rsidR="00E569A2" w:rsidRDefault="00000000">
            <w:pPr>
              <w:spacing w:after="240" w:line="360" w:lineRule="auto"/>
              <w:jc w:val="both"/>
            </w:pPr>
            <w:r>
              <w:t>MSc/Phd in CS or Engineering; 10 years technical leadership; innovation perspective; systems thinking.</w:t>
            </w:r>
          </w:p>
        </w:tc>
      </w:tr>
      <w:tr w:rsidR="00E569A2" w14:paraId="6B2FC9DF" w14:textId="77777777">
        <w:tc>
          <w:tcPr>
            <w:tcW w:w="11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D96EF57" w14:textId="77777777" w:rsidR="00E569A2" w:rsidRDefault="00000000">
            <w:pPr>
              <w:spacing w:after="240" w:line="360" w:lineRule="auto"/>
              <w:jc w:val="both"/>
            </w:pPr>
            <w:r>
              <w:rPr>
                <w:b/>
                <w:bCs/>
              </w:rPr>
              <w:t>CIO*</w:t>
            </w:r>
          </w:p>
        </w:tc>
        <w:tc>
          <w:tcPr>
            <w:tcW w:w="28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2688C56" w14:textId="77777777" w:rsidR="00E569A2" w:rsidRDefault="00000000">
            <w:pPr>
              <w:spacing w:after="240" w:line="360" w:lineRule="auto"/>
              <w:jc w:val="both"/>
            </w:pPr>
            <w:r>
              <w:t>Innovation pipeline, intra-professional programmes of intrapreneurship, cross-functional innovation sprints, strategy of IP.</w:t>
            </w:r>
          </w:p>
        </w:tc>
        <w:tc>
          <w:tcPr>
            <w:tcW w:w="276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FDC8DC4" w14:textId="77777777" w:rsidR="00E569A2" w:rsidRDefault="00000000">
            <w:pPr>
              <w:spacing w:after="240" w:line="360" w:lineRule="auto"/>
              <w:jc w:val="both"/>
            </w:pPr>
            <w:r>
              <w:t>Task significance as driver of innovation is high; freedom to explore, variety of skills in market research and in prototyping.</w:t>
            </w:r>
          </w:p>
        </w:tc>
        <w:tc>
          <w:tcPr>
            <w:tcW w:w="27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B377FD5" w14:textId="77777777" w:rsidR="00E569A2" w:rsidRDefault="00000000">
            <w:pPr>
              <w:spacing w:after="240" w:line="360" w:lineRule="auto"/>
              <w:jc w:val="both"/>
            </w:pPr>
            <w:r>
              <w:t>Ph. D; 8+ years of experience in innovation/R&amp;D; design thinking; entrepreneurial orientation.</w:t>
            </w:r>
          </w:p>
        </w:tc>
      </w:tr>
      <w:tr w:rsidR="00E569A2" w14:paraId="4ED387F1" w14:textId="77777777">
        <w:tc>
          <w:tcPr>
            <w:tcW w:w="11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3605265" w14:textId="77777777" w:rsidR="00E569A2" w:rsidRDefault="00000000">
            <w:pPr>
              <w:spacing w:after="240" w:line="360" w:lineRule="auto"/>
              <w:jc w:val="both"/>
            </w:pPr>
            <w:r>
              <w:rPr>
                <w:b/>
                <w:bCs/>
              </w:rPr>
              <w:t>HR Dir.</w:t>
            </w:r>
          </w:p>
        </w:tc>
        <w:tc>
          <w:tcPr>
            <w:tcW w:w="28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145B333" w14:textId="77777777" w:rsidR="00E569A2" w:rsidRDefault="00000000">
            <w:pPr>
              <w:spacing w:after="240" w:line="360" w:lineRule="auto"/>
              <w:jc w:val="both"/>
            </w:pPr>
            <w:r>
              <w:t>Strategic talent, L&amp;D, employee engagement, performance management, DEI, initiatives.</w:t>
            </w:r>
          </w:p>
        </w:tc>
        <w:tc>
          <w:tcPr>
            <w:tcW w:w="276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9F88272" w14:textId="77777777" w:rsidR="00E569A2" w:rsidRDefault="00000000">
            <w:pPr>
              <w:spacing w:after="240" w:line="360" w:lineRule="auto"/>
              <w:jc w:val="both"/>
            </w:pPr>
            <w:r>
              <w:t>Task identity in defining life cycle employee lifecycle; feedback through engagement survey; skill variety between disciplines in the HR field.</w:t>
            </w:r>
          </w:p>
        </w:tc>
        <w:tc>
          <w:tcPr>
            <w:tcW w:w="27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DB11DDD" w14:textId="77777777" w:rsidR="00E569A2" w:rsidRDefault="00000000">
            <w:pPr>
              <w:spacing w:after="240" w:line="360" w:lineRule="auto"/>
              <w:jc w:val="both"/>
            </w:pPr>
            <w:r>
              <w:t>CIPD Level 7 or equivalent; 10yrs + HR experience; evidence-based practice; compassionate management.</w:t>
            </w:r>
          </w:p>
        </w:tc>
      </w:tr>
      <w:tr w:rsidR="00E569A2" w14:paraId="0D64F26E" w14:textId="77777777">
        <w:tc>
          <w:tcPr>
            <w:tcW w:w="11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4130E88" w14:textId="77777777" w:rsidR="00E569A2" w:rsidRDefault="00000000">
            <w:pPr>
              <w:spacing w:after="240" w:line="360" w:lineRule="auto"/>
              <w:jc w:val="both"/>
            </w:pPr>
            <w:r>
              <w:rPr>
                <w:b/>
                <w:bCs/>
              </w:rPr>
              <w:t>Head R&amp;D</w:t>
            </w:r>
          </w:p>
        </w:tc>
        <w:tc>
          <w:tcPr>
            <w:tcW w:w="28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A21330E" w14:textId="77777777" w:rsidR="00E569A2" w:rsidRDefault="00000000">
            <w:pPr>
              <w:spacing w:after="240" w:line="360" w:lineRule="auto"/>
              <w:jc w:val="both"/>
            </w:pPr>
            <w:r>
              <w:t>Innovation of the product, development of prototypes, research, quality control.</w:t>
            </w:r>
          </w:p>
        </w:tc>
        <w:tc>
          <w:tcPr>
            <w:tcW w:w="276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6B043AE" w14:textId="77777777" w:rsidR="00E569A2" w:rsidRDefault="00000000">
            <w:pPr>
              <w:spacing w:after="240" w:line="360" w:lineRule="auto"/>
              <w:jc w:val="both"/>
            </w:pPr>
            <w:r>
              <w:t xml:space="preserve">Skill variety of applied research; identity of task based on ownership of </w:t>
            </w:r>
            <w:r>
              <w:lastRenderedPageBreak/>
              <w:t>product lifecycle; choice in research direction.</w:t>
            </w:r>
          </w:p>
        </w:tc>
        <w:tc>
          <w:tcPr>
            <w:tcW w:w="27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3212867" w14:textId="77777777" w:rsidR="00E569A2" w:rsidRDefault="00000000">
            <w:pPr>
              <w:spacing w:after="240" w:line="360" w:lineRule="auto"/>
              <w:jc w:val="both"/>
            </w:pPr>
            <w:r>
              <w:lastRenderedPageBreak/>
              <w:t xml:space="preserve">PhD is desired; experience in leadership in the R&amp;D 8 or more years; </w:t>
            </w:r>
            <w:r>
              <w:lastRenderedPageBreak/>
              <w:t xml:space="preserve">publication history; team relationships. </w:t>
            </w:r>
          </w:p>
          <w:p w14:paraId="4A17C81E" w14:textId="77777777" w:rsidR="00E569A2" w:rsidRDefault="00E569A2">
            <w:pPr>
              <w:spacing w:after="240" w:line="360" w:lineRule="auto"/>
              <w:jc w:val="both"/>
            </w:pPr>
          </w:p>
        </w:tc>
      </w:tr>
    </w:tbl>
    <w:p w14:paraId="74B51D08" w14:textId="77777777" w:rsidR="00E569A2" w:rsidRDefault="00E569A2">
      <w:pPr>
        <w:spacing w:after="240" w:line="360" w:lineRule="auto"/>
        <w:jc w:val="both"/>
      </w:pPr>
    </w:p>
    <w:p w14:paraId="6327A926" w14:textId="77777777" w:rsidR="00E569A2" w:rsidRDefault="00000000">
      <w:pPr>
        <w:pStyle w:val="Heading2"/>
      </w:pPr>
      <w:bookmarkStart w:id="8" w:name="_298124zgtmk5" w:colFirst="0" w:colLast="0"/>
      <w:bookmarkEnd w:id="8"/>
      <w:r>
        <w:t>1.5 Connecting Performance Appraisal and Job Design for a Performance-Driven Culture</w:t>
      </w:r>
    </w:p>
    <w:p w14:paraId="039110B8" w14:textId="77777777" w:rsidR="00E569A2" w:rsidRDefault="00000000">
      <w:pPr>
        <w:spacing w:after="240" w:line="360" w:lineRule="auto"/>
        <w:jc w:val="both"/>
      </w:pPr>
      <w:r>
        <w:t xml:space="preserve">The real strategic worth becomes apparent as the suggested performance appraisal mechanism and enhanced job designs are viewed as a combined one instead of individual HR activities. OKRs are a translation of the added autonomy and importance of work in each position into specific, uncovered goals. When the CTO has real decision-making power regarding technology roadmap (autonomy) and their OKRs indicate innovation milestones, the interface between role design and performance expectations will be smooth. </w:t>
      </w:r>
    </w:p>
    <w:p w14:paraId="6F3B0442" w14:textId="77777777" w:rsidR="00E569A2" w:rsidRDefault="00000000">
      <w:pPr>
        <w:spacing w:after="240" w:line="360" w:lineRule="auto"/>
        <w:jc w:val="both"/>
      </w:pPr>
      <w:r>
        <w:t>Equally, 360-degree feedback triggers the knowledge of results-focused psychological state that Cotič et al. (2025) note is essential to engaging in the process of sustaining engagement, which the 360-degree feedback enables following the dimension of the JCM called feedback.</w:t>
      </w:r>
    </w:p>
    <w:p w14:paraId="461F58A1" w14:textId="77777777" w:rsidR="00E569A2" w:rsidRDefault="00E569A2">
      <w:pPr>
        <w:spacing w:after="240" w:line="360" w:lineRule="auto"/>
        <w:jc w:val="both"/>
      </w:pPr>
    </w:p>
    <w:p w14:paraId="3B97EDAF" w14:textId="77777777" w:rsidR="00E569A2" w:rsidRDefault="00E569A2">
      <w:pPr>
        <w:spacing w:after="240" w:line="360" w:lineRule="auto"/>
        <w:jc w:val="both"/>
      </w:pPr>
    </w:p>
    <w:p w14:paraId="4E861A35" w14:textId="77777777" w:rsidR="00E569A2" w:rsidRDefault="00E569A2">
      <w:pPr>
        <w:spacing w:after="240" w:line="360" w:lineRule="auto"/>
        <w:jc w:val="both"/>
      </w:pPr>
    </w:p>
    <w:p w14:paraId="09A82F9C" w14:textId="77777777" w:rsidR="00E569A2" w:rsidRDefault="00E569A2">
      <w:pPr>
        <w:spacing w:after="240" w:line="360" w:lineRule="auto"/>
        <w:jc w:val="both"/>
      </w:pPr>
    </w:p>
    <w:p w14:paraId="14372AAC" w14:textId="77777777" w:rsidR="00E569A2" w:rsidRDefault="00E569A2">
      <w:pPr>
        <w:spacing w:after="240" w:line="360" w:lineRule="auto"/>
        <w:jc w:val="both"/>
      </w:pPr>
    </w:p>
    <w:p w14:paraId="236CC866" w14:textId="77777777" w:rsidR="00E569A2" w:rsidRDefault="00E569A2">
      <w:pPr>
        <w:spacing w:after="240" w:line="360" w:lineRule="auto"/>
        <w:jc w:val="both"/>
      </w:pPr>
    </w:p>
    <w:p w14:paraId="1F50C893" w14:textId="77777777" w:rsidR="00E569A2" w:rsidRDefault="00000000">
      <w:pPr>
        <w:spacing w:after="240" w:line="360" w:lineRule="auto"/>
        <w:jc w:val="both"/>
      </w:pPr>
      <w:r>
        <w:lastRenderedPageBreak/>
        <w:t xml:space="preserve">The argument of Sinisterra, Peñalver and Salanova (2024) is very strong because the authors argue that integrated talent management practices provide a virtuous cycle: the enriched jobs attract high-potential employees, strong appraisal systems keep them in the company through feedback development and the ensuing engagement results in high organisational performance. In the case of Aether Innovations, that would imply that the offered system is not only dealing with the symptoms of turnover and stagnation, but rather restructuring of the very principles of interaction between people and their work and organisational strategy. </w:t>
      </w:r>
    </w:p>
    <w:p w14:paraId="792B68DF" w14:textId="77777777" w:rsidR="00E569A2" w:rsidRDefault="00000000">
      <w:pPr>
        <w:spacing w:after="240" w:line="360" w:lineRule="auto"/>
        <w:jc w:val="both"/>
      </w:pPr>
      <w:r>
        <w:t>As Lasa, Pedroni and Komm (2024) also stress, the management of performance is more effective with people in the first place - and it is exactly this goal that the combination of JCM-enriched roles and the use of the OKR-based, feedback-rich appraisal will guarantee.</w:t>
      </w:r>
    </w:p>
    <w:p w14:paraId="11631911" w14:textId="77777777" w:rsidR="00E569A2" w:rsidRDefault="00000000">
      <w:pPr>
        <w:spacing w:line="360" w:lineRule="auto"/>
        <w:jc w:val="both"/>
        <w:rPr>
          <w:b/>
          <w:bCs/>
          <w:color w:val="1F4E79"/>
        </w:rPr>
      </w:pPr>
      <w:r>
        <w:br w:type="page"/>
      </w:r>
    </w:p>
    <w:p w14:paraId="21C563F0" w14:textId="77777777" w:rsidR="00E569A2" w:rsidRDefault="00000000">
      <w:pPr>
        <w:pStyle w:val="Heading1"/>
        <w:pBdr>
          <w:bottom w:val="single" w:sz="4" w:space="1" w:color="000000"/>
        </w:pBdr>
      </w:pPr>
      <w:bookmarkStart w:id="9" w:name="_uwnw7q6rb2hg" w:colFirst="0" w:colLast="0"/>
      <w:bookmarkEnd w:id="9"/>
      <w:r>
        <w:lastRenderedPageBreak/>
        <w:t>Part 2: Reflective Account</w:t>
      </w:r>
    </w:p>
    <w:p w14:paraId="2C97C1F5" w14:textId="77777777" w:rsidR="00E569A2" w:rsidRDefault="00000000">
      <w:pPr>
        <w:pStyle w:val="Heading2"/>
      </w:pPr>
      <w:bookmarkStart w:id="10" w:name="_b3k31har3h27" w:colFirst="0" w:colLast="0"/>
      <w:bookmarkEnd w:id="10"/>
      <w:r>
        <w:t>2.1 Reflection on the Learning Journey Using Gibbs’ Reflective Cycle</w:t>
      </w:r>
    </w:p>
    <w:p w14:paraId="54F8B0B0" w14:textId="77777777" w:rsidR="00E569A2" w:rsidRDefault="00000000">
      <w:pPr>
        <w:pStyle w:val="Heading3"/>
      </w:pPr>
      <w:bookmarkStart w:id="11" w:name="_dmt67ga2516o" w:colFirst="0" w:colLast="0"/>
      <w:bookmarkEnd w:id="11"/>
      <w:r>
        <w:t>Description</w:t>
      </w:r>
    </w:p>
    <w:p w14:paraId="639F4439" w14:textId="77777777" w:rsidR="00E569A2" w:rsidRDefault="00000000">
      <w:pPr>
        <w:spacing w:after="240" w:line="360" w:lineRule="auto"/>
        <w:jc w:val="both"/>
      </w:pPr>
      <w:r>
        <w:t>Over the past several weeks, I also studied a wide variety of HRM theories and modern models, such as performance management systems, talent ecosystem, organisational culture, and future of work. The theories of the Job Characteristics Model, the OKRs, the 360-degree feedback, and strategic workforce planning were among the concepts that I have been introduced to via lectures, case studies, and group discussions. This assessment assignment implied the profession of a consultant where I will be expected to apply these concepts to a real-life scenario within an organisation, which was very reasonable in my pragmatic knowledge.</w:t>
      </w:r>
    </w:p>
    <w:p w14:paraId="70093B4F" w14:textId="77777777" w:rsidR="00E569A2" w:rsidRDefault="00000000">
      <w:pPr>
        <w:pStyle w:val="Heading3"/>
      </w:pPr>
      <w:bookmarkStart w:id="12" w:name="_jzavbbkubbza" w:colFirst="0" w:colLast="0"/>
      <w:bookmarkEnd w:id="12"/>
      <w:r>
        <w:t>Feelings</w:t>
      </w:r>
    </w:p>
    <w:p w14:paraId="2D354887" w14:textId="77777777" w:rsidR="00E569A2" w:rsidRDefault="00000000">
      <w:pPr>
        <w:spacing w:after="240" w:line="360" w:lineRule="auto"/>
        <w:jc w:val="both"/>
      </w:pPr>
      <w:r>
        <w:t>First, I was too much overwhelmed by the scope of the HRM literature and the necessity to be a critical thinker rather than just describe theories. Nevertheless, throughout the course of the module, I gained trust in the ability to synthesise various points of view and the interconnection of HRM practices. The test was both a difficult and thought-provoking experience since it required me to go beyond the information I could find in textbooks to suggest original, evidence-based solutions.</w:t>
      </w:r>
    </w:p>
    <w:p w14:paraId="702C1C36" w14:textId="77777777" w:rsidR="00E569A2" w:rsidRDefault="00000000">
      <w:pPr>
        <w:pStyle w:val="Heading3"/>
      </w:pPr>
      <w:bookmarkStart w:id="13" w:name="_2vz09rwg0h9w" w:colFirst="0" w:colLast="0"/>
      <w:bookmarkEnd w:id="13"/>
      <w:r>
        <w:t>Evaluation</w:t>
      </w:r>
    </w:p>
    <w:p w14:paraId="67433428" w14:textId="77777777" w:rsidR="00E569A2" w:rsidRDefault="00000000">
      <w:pPr>
        <w:spacing w:after="240" w:line="360" w:lineRule="auto"/>
        <w:jc w:val="both"/>
      </w:pPr>
      <w:r>
        <w:t xml:space="preserve">It was a rather good experience. The formal system of performance management and job design offered me a transferable analytic system. The JCM was especially helpful to me since it provided a systematic angle through which I should interpret why some roles provide engagement and other disengagement. The lessons shared about the use of OKRs and 360-degree feedback helped me overcome my initial thought that the use of appraisals is necessarily penal and demonstrated their potential to develop as designed. One of the less successful points was that I usually tried to apply models prescriptively </w:t>
      </w:r>
      <w:r>
        <w:lastRenderedPageBreak/>
        <w:t>without paying attention to the limitations of the context which I later overcame through additional reading.</w:t>
      </w:r>
    </w:p>
    <w:p w14:paraId="1834DC25" w14:textId="77777777" w:rsidR="00E569A2" w:rsidRDefault="00000000">
      <w:pPr>
        <w:pStyle w:val="Heading3"/>
        <w:rPr>
          <w:sz w:val="24"/>
          <w:szCs w:val="24"/>
        </w:rPr>
      </w:pPr>
      <w:bookmarkStart w:id="14" w:name="_xm6czvpxjuvh" w:colFirst="0" w:colLast="0"/>
      <w:bookmarkEnd w:id="14"/>
      <w:r>
        <w:t>Analysis</w:t>
      </w:r>
    </w:p>
    <w:p w14:paraId="3EEE235A" w14:textId="77777777" w:rsidR="00E569A2" w:rsidRDefault="00000000">
      <w:pPr>
        <w:spacing w:after="240" w:line="360" w:lineRule="auto"/>
        <w:jc w:val="both"/>
      </w:pPr>
      <w:r>
        <w:t>In further consideration, I realise that the module has radically changed my perception of HRM as an administrative role to a strategy. It was a powerful idea of the integrated talent management (Sinisterra, Peñalver &amp; Salanova 2024), which made me realize that ignoring the interdependence of isolated HR practices and their alignment with studies, as well as with overall organisational strategy, was counterproductive to forming sustainable value. It has implications on my personal growth and development, namely, to develop a growth mindset, it is essential not only to develop isolated skills but also to develop an inter-related portfolio of capabilities that develops based on the requirements of the professional setting.</w:t>
      </w:r>
    </w:p>
    <w:p w14:paraId="50CEF81B" w14:textId="77777777" w:rsidR="00E569A2" w:rsidRDefault="00000000">
      <w:pPr>
        <w:pStyle w:val="Heading3"/>
        <w:rPr>
          <w:sz w:val="24"/>
          <w:szCs w:val="24"/>
        </w:rPr>
      </w:pPr>
      <w:bookmarkStart w:id="15" w:name="_2lelc76w7azw" w:colFirst="0" w:colLast="0"/>
      <w:bookmarkEnd w:id="15"/>
      <w:r>
        <w:t>Conclusion</w:t>
      </w:r>
    </w:p>
    <w:p w14:paraId="2F10F76E" w14:textId="77777777" w:rsidR="00E569A2" w:rsidRDefault="00000000">
      <w:pPr>
        <w:spacing w:after="240" w:line="360" w:lineRule="auto"/>
        <w:jc w:val="both"/>
      </w:pPr>
      <w:r>
        <w:t>The module has given me a strong foundation on the design of Learning and Development approaches. I have also realised that successful L&amp;D has to be nonstop, individualised, and connected to personal ambitions and corporate ambitions- just like one of my suggested principles to Aether Innovations. Going forward, I will use a personal OKR system to frame my professional growth, request frequent 360-degree style feedback on my colleagues and mentors, and actively pursuit of the new research in the area of HRM and organisational behaviour.</w:t>
      </w:r>
    </w:p>
    <w:p w14:paraId="38F105B6" w14:textId="77777777" w:rsidR="00E569A2" w:rsidRDefault="00000000">
      <w:pPr>
        <w:pStyle w:val="Heading3"/>
      </w:pPr>
      <w:bookmarkStart w:id="16" w:name="_aiehfijht9v" w:colFirst="0" w:colLast="0"/>
      <w:bookmarkEnd w:id="16"/>
      <w:r>
        <w:t>Action Plan</w:t>
      </w:r>
    </w:p>
    <w:p w14:paraId="1174ED4A" w14:textId="77777777" w:rsidR="00E569A2" w:rsidRDefault="00000000">
      <w:pPr>
        <w:spacing w:after="240" w:line="360" w:lineRule="auto"/>
        <w:jc w:val="both"/>
      </w:pPr>
      <w:r>
        <w:t>In particular, I will seek professional HR certification to formalise the already acquired knowledge, create competence in people analytics to balance qualitative knowledge, and establish the Culture of Reflective Practice through keeping a professional learning journal. The above measures will incorporate innovation and growth mindset in my personal development ecosystem, which will keep me flexible and constantly enhance myself as an HR practitioner in the future.</w:t>
      </w:r>
    </w:p>
    <w:p w14:paraId="4DBFDF03" w14:textId="77777777" w:rsidR="00E569A2" w:rsidRDefault="00000000">
      <w:pPr>
        <w:pStyle w:val="Heading2"/>
      </w:pPr>
      <w:bookmarkStart w:id="17" w:name="_4kc154vu9i34" w:colFirst="0" w:colLast="0"/>
      <w:bookmarkEnd w:id="17"/>
      <w:r>
        <w:t>2.2 Staying Relevant in the Age of Artificial Intelligence</w:t>
      </w:r>
    </w:p>
    <w:p w14:paraId="54DB5998" w14:textId="77777777" w:rsidR="00E569A2" w:rsidRDefault="00000000">
      <w:pPr>
        <w:spacing w:after="240" w:line="360" w:lineRule="auto"/>
        <w:jc w:val="both"/>
      </w:pPr>
      <w:r>
        <w:lastRenderedPageBreak/>
        <w:t xml:space="preserve">The blistering development of artificial intelligence offers prospects and existential concerns to the professionals of all professions. The AI systems are becoming more and more automatized, with the ability to ascertain regular thought processes in data processing, report creation, scheduling, and even performance assessment components. This fact necessitates this conscious approach to keeping oneself professionally relevant. </w:t>
      </w:r>
    </w:p>
    <w:p w14:paraId="7E08FE72" w14:textId="77777777" w:rsidR="00E569A2" w:rsidRDefault="00000000">
      <w:pPr>
        <w:spacing w:after="240" w:line="360" w:lineRule="auto"/>
        <w:jc w:val="both"/>
      </w:pPr>
      <w:r>
        <w:t xml:space="preserve">I will also organize AI as an addition aid and not as a threat to competition. Specifically, HRM, AI has the capability to handle large volumes of engagement surveys, determine the trends of turnover risk, and produce rough analysis significantly faster than traditional methods. I am planning to gain skills in the usage of AI-based HR analytics tools, which will allow me to apply them and focus my personal activities on the more human aspects of HRM: relationship creation, ethical decision-making, organisational politics, and uncomfortable performance and development discussions. </w:t>
      </w:r>
    </w:p>
    <w:p w14:paraId="3A1660A3" w14:textId="77777777" w:rsidR="00E569A2" w:rsidRDefault="00000000">
      <w:pPr>
        <w:spacing w:after="240" w:line="360" w:lineRule="auto"/>
        <w:jc w:val="both"/>
      </w:pPr>
      <w:r>
        <w:t xml:space="preserve">Most importantly, the elements of human capital management that enable the production of the most value, coaching staffs in the field of career change, creating cultures that motivate creativity, making delicate choices about talent in unclear cases, demand emotional intelligence, situational knowledge, and moral decisions, which the AI is not able to produce. </w:t>
      </w:r>
    </w:p>
    <w:p w14:paraId="0786258F" w14:textId="77777777" w:rsidR="00E569A2" w:rsidRDefault="00000000">
      <w:pPr>
        <w:spacing w:after="240" w:line="360" w:lineRule="auto"/>
        <w:jc w:val="both"/>
      </w:pPr>
      <w:r>
        <w:t>This is why I have chosen a three-fold approach: the first one would be to make myself technically literate in AI applications that could be applied in HRM; the second would be to ensure that I invest immensely in the further development of interpersonal and strategic skills, which cannot be replaced by AI; the third would be to keep the learning mentality about continuously evolving counterparts of human and machine capabilities. The adoption of AI as a partner and not a threat would allow me to make sure that technology will actually improve but not replace my professional input.</w:t>
      </w:r>
    </w:p>
    <w:p w14:paraId="405B9858" w14:textId="77777777" w:rsidR="00E569A2" w:rsidRDefault="00000000">
      <w:pPr>
        <w:spacing w:after="240" w:line="360" w:lineRule="auto"/>
        <w:jc w:val="both"/>
      </w:pPr>
      <w:r>
        <w:br w:type="page"/>
      </w:r>
    </w:p>
    <w:p w14:paraId="14F0470E" w14:textId="77777777" w:rsidR="00E569A2" w:rsidRDefault="00000000">
      <w:pPr>
        <w:pStyle w:val="Heading2"/>
      </w:pPr>
      <w:bookmarkStart w:id="18" w:name="_mqbelkgmkgpq" w:colFirst="0" w:colLast="0"/>
      <w:bookmarkEnd w:id="18"/>
      <w:r>
        <w:lastRenderedPageBreak/>
        <w:t>Reference List</w:t>
      </w:r>
    </w:p>
    <w:p w14:paraId="60E2AAD1" w14:textId="77777777" w:rsidR="00E569A2" w:rsidRDefault="00000000">
      <w:pPr>
        <w:numPr>
          <w:ilvl w:val="0"/>
          <w:numId w:val="1"/>
        </w:numPr>
        <w:pBdr>
          <w:top w:val="nil"/>
          <w:left w:val="nil"/>
          <w:bottom w:val="nil"/>
          <w:right w:val="nil"/>
          <w:between w:val="nil"/>
        </w:pBdr>
        <w:spacing w:line="360" w:lineRule="auto"/>
        <w:jc w:val="both"/>
      </w:pPr>
      <w:r>
        <w:rPr>
          <w:color w:val="000000"/>
        </w:rPr>
        <w:t xml:space="preserve">Cotič, LP, Man, MMK, Soga, LR, Konstantopoulou, A &amp; Lodorfos, G 2025, ‘Job Characteristics for Work Engagement: Autonomy, Feedback, Skill Variety, Task Identity, and Task Significance’, </w:t>
      </w:r>
      <w:r>
        <w:rPr>
          <w:i/>
          <w:iCs/>
          <w:color w:val="000000"/>
        </w:rPr>
        <w:t>Global Business and Organizational Excellence</w:t>
      </w:r>
      <w:r>
        <w:rPr>
          <w:color w:val="000000"/>
        </w:rPr>
        <w:t xml:space="preserve">, Wiley. </w:t>
      </w:r>
      <w:hyperlink r:id="rId9">
        <w:r>
          <w:rPr>
            <w:color w:val="0563C1"/>
            <w:u w:val="single"/>
          </w:rPr>
          <w:t>https://onlinelibrary.wiley.com/doi/10.1002/joe.22295</w:t>
        </w:r>
      </w:hyperlink>
      <w:r>
        <w:rPr>
          <w:color w:val="000000"/>
        </w:rPr>
        <w:t xml:space="preserve"> </w:t>
      </w:r>
    </w:p>
    <w:p w14:paraId="72BFFFBF" w14:textId="77777777" w:rsidR="00E569A2" w:rsidRDefault="00000000">
      <w:pPr>
        <w:numPr>
          <w:ilvl w:val="0"/>
          <w:numId w:val="1"/>
        </w:numPr>
        <w:pBdr>
          <w:top w:val="nil"/>
          <w:left w:val="nil"/>
          <w:bottom w:val="nil"/>
          <w:right w:val="nil"/>
          <w:between w:val="nil"/>
        </w:pBdr>
        <w:spacing w:line="360" w:lineRule="auto"/>
        <w:jc w:val="both"/>
      </w:pPr>
      <w:r>
        <w:rPr>
          <w:color w:val="000000"/>
        </w:rPr>
        <w:t xml:space="preserve">Dalvi, C, Sawant, SB, Mohite, RA &amp; Bajaj, KK 2023, ‘360-Degree Feedback as a Tool for Improving Employee Performance’, </w:t>
      </w:r>
      <w:r>
        <w:rPr>
          <w:i/>
          <w:iCs/>
          <w:color w:val="000000"/>
        </w:rPr>
        <w:t>Tuijin Jishu/Journal of Propulsion Technology</w:t>
      </w:r>
      <w:r>
        <w:rPr>
          <w:color w:val="000000"/>
        </w:rPr>
        <w:t xml:space="preserve">, vol. 44, Science Research Society, no. 4, pp. 1938–1945. </w:t>
      </w:r>
      <w:hyperlink r:id="rId10">
        <w:r>
          <w:rPr>
            <w:color w:val="0563C1"/>
            <w:u w:val="single"/>
          </w:rPr>
          <w:t>https://www.researchgate.net/publication/374978873_360-Degree_Feedback_as_a_Tool_for_Improving_Employee_Performance</w:t>
        </w:r>
      </w:hyperlink>
      <w:r>
        <w:rPr>
          <w:color w:val="000000"/>
        </w:rPr>
        <w:t xml:space="preserve">  </w:t>
      </w:r>
    </w:p>
    <w:p w14:paraId="4AC32AD6" w14:textId="77777777" w:rsidR="00E569A2" w:rsidRDefault="00000000">
      <w:pPr>
        <w:numPr>
          <w:ilvl w:val="0"/>
          <w:numId w:val="1"/>
        </w:numPr>
        <w:pBdr>
          <w:top w:val="nil"/>
          <w:left w:val="nil"/>
          <w:bottom w:val="nil"/>
          <w:right w:val="nil"/>
          <w:between w:val="nil"/>
        </w:pBdr>
        <w:spacing w:line="360" w:lineRule="auto"/>
        <w:jc w:val="both"/>
      </w:pPr>
      <w:r>
        <w:rPr>
          <w:color w:val="000000"/>
        </w:rPr>
        <w:t xml:space="preserve">Giamos, D., Doucet, O., &amp; Léger, P.-M. (2023). Continuous performance feedback: investigating the effects of feedback content and feedback sources on performance, motivation to improve performance and task engagement. </w:t>
      </w:r>
      <w:r>
        <w:rPr>
          <w:i/>
          <w:iCs/>
          <w:color w:val="000000"/>
        </w:rPr>
        <w:t>Journal of Organizational Behavior Management</w:t>
      </w:r>
      <w:r>
        <w:rPr>
          <w:color w:val="000000"/>
        </w:rPr>
        <w:t xml:space="preserve">, </w:t>
      </w:r>
      <w:r>
        <w:rPr>
          <w:i/>
          <w:iCs/>
          <w:color w:val="000000"/>
        </w:rPr>
        <w:t>44</w:t>
      </w:r>
      <w:r>
        <w:rPr>
          <w:color w:val="000000"/>
        </w:rPr>
        <w:t xml:space="preserve">(3), 1–20. </w:t>
      </w:r>
      <w:hyperlink r:id="rId11">
        <w:r>
          <w:rPr>
            <w:color w:val="0563C1"/>
            <w:u w:val="single"/>
          </w:rPr>
          <w:t>https://www.tandfonline.com/doi/full/10.1080/01608061.2023.2238029</w:t>
        </w:r>
      </w:hyperlink>
      <w:r>
        <w:rPr>
          <w:color w:val="000000"/>
        </w:rPr>
        <w:t xml:space="preserve"> </w:t>
      </w:r>
    </w:p>
    <w:p w14:paraId="3C4F35AD" w14:textId="77777777" w:rsidR="00E569A2" w:rsidRDefault="00000000">
      <w:pPr>
        <w:numPr>
          <w:ilvl w:val="0"/>
          <w:numId w:val="1"/>
        </w:numPr>
        <w:pBdr>
          <w:top w:val="nil"/>
          <w:left w:val="nil"/>
          <w:bottom w:val="nil"/>
          <w:right w:val="nil"/>
          <w:between w:val="nil"/>
        </w:pBdr>
        <w:spacing w:line="360" w:lineRule="auto"/>
        <w:jc w:val="both"/>
      </w:pPr>
      <w:r>
        <w:rPr>
          <w:color w:val="000000"/>
        </w:rPr>
        <w:t xml:space="preserve">Ivan, Maria João Velez, &amp; Botelho, C. (2023). </w:t>
      </w:r>
      <w:r>
        <w:rPr>
          <w:i/>
          <w:iCs/>
          <w:color w:val="000000"/>
        </w:rPr>
        <w:t>Purposes of Performance Appraisal: A Systematic Review and Agenda for Future Research</w:t>
      </w:r>
      <w:r>
        <w:rPr>
          <w:color w:val="000000"/>
        </w:rPr>
        <w:t xml:space="preserve">. </w:t>
      </w:r>
      <w:r>
        <w:rPr>
          <w:i/>
          <w:iCs/>
          <w:color w:val="000000"/>
        </w:rPr>
        <w:t>8</w:t>
      </w:r>
      <w:r>
        <w:rPr>
          <w:color w:val="000000"/>
        </w:rPr>
        <w:t xml:space="preserve">(7), e02274–e02274. </w:t>
      </w:r>
      <w:hyperlink r:id="rId12">
        <w:r>
          <w:rPr>
            <w:color w:val="0563C1"/>
            <w:u w:val="single"/>
          </w:rPr>
          <w:t>https://doi.org/10.26668/businessreview/2023.v8i7.2274</w:t>
        </w:r>
      </w:hyperlink>
    </w:p>
    <w:p w14:paraId="45CAF0D5" w14:textId="77777777" w:rsidR="00E569A2" w:rsidRDefault="00000000">
      <w:pPr>
        <w:numPr>
          <w:ilvl w:val="0"/>
          <w:numId w:val="1"/>
        </w:numPr>
        <w:pBdr>
          <w:top w:val="nil"/>
          <w:left w:val="nil"/>
          <w:bottom w:val="nil"/>
          <w:right w:val="nil"/>
          <w:between w:val="nil"/>
        </w:pBdr>
        <w:spacing w:line="360" w:lineRule="auto"/>
        <w:jc w:val="both"/>
      </w:pPr>
      <w:r>
        <w:rPr>
          <w:color w:val="000000"/>
        </w:rPr>
        <w:t>Judijanto, L., &amp; Mintawati, H. (2025). The Influence of the 360-Degree Feedback System on Employee Performance and Career Development in Technology Companies in Indonesia. </w:t>
      </w:r>
      <w:r>
        <w:rPr>
          <w:i/>
          <w:iCs/>
          <w:color w:val="000000"/>
        </w:rPr>
        <w:t>The Eastasouth Management and Business</w:t>
      </w:r>
      <w:r>
        <w:rPr>
          <w:color w:val="000000"/>
        </w:rPr>
        <w:t>, </w:t>
      </w:r>
      <w:r>
        <w:rPr>
          <w:i/>
          <w:iCs/>
          <w:color w:val="000000"/>
        </w:rPr>
        <w:t>4</w:t>
      </w:r>
      <w:r>
        <w:rPr>
          <w:color w:val="000000"/>
        </w:rPr>
        <w:t xml:space="preserve">(01), 108 – 118. </w:t>
      </w:r>
      <w:hyperlink r:id="rId13">
        <w:r>
          <w:rPr>
            <w:color w:val="0563C1"/>
            <w:u w:val="single"/>
          </w:rPr>
          <w:t>https://esj.eastasouth-institute.com/index.php/esmb/article/view/755/574</w:t>
        </w:r>
      </w:hyperlink>
    </w:p>
    <w:p w14:paraId="1586040F" w14:textId="77777777" w:rsidR="00E569A2" w:rsidRDefault="00000000">
      <w:pPr>
        <w:numPr>
          <w:ilvl w:val="0"/>
          <w:numId w:val="1"/>
        </w:numPr>
        <w:pBdr>
          <w:top w:val="nil"/>
          <w:left w:val="nil"/>
          <w:bottom w:val="nil"/>
          <w:right w:val="nil"/>
          <w:between w:val="nil"/>
        </w:pBdr>
        <w:spacing w:line="360" w:lineRule="auto"/>
        <w:jc w:val="both"/>
      </w:pPr>
      <w:r>
        <w:rPr>
          <w:color w:val="000000"/>
        </w:rPr>
        <w:t xml:space="preserve">Lasa, AN, Pedroni, A &amp; Komm, A 2024, </w:t>
      </w:r>
      <w:r>
        <w:rPr>
          <w:i/>
          <w:iCs/>
          <w:color w:val="000000"/>
        </w:rPr>
        <w:t>Performance management that puts people first</w:t>
      </w:r>
      <w:r>
        <w:rPr>
          <w:color w:val="000000"/>
        </w:rPr>
        <w:t xml:space="preserve">, Mckinsey &amp; Company. </w:t>
      </w:r>
      <w:hyperlink r:id="rId14">
        <w:r>
          <w:rPr>
            <w:color w:val="0563C1"/>
            <w:u w:val="single"/>
          </w:rPr>
          <w:t>https://www.mckinsey.com/capabilities/people-and-organizational-performance/our-insights/in-the-spotlight-performance-management-that-puts-people-first</w:t>
        </w:r>
      </w:hyperlink>
      <w:r>
        <w:rPr>
          <w:color w:val="000000"/>
        </w:rPr>
        <w:t xml:space="preserve"> </w:t>
      </w:r>
    </w:p>
    <w:p w14:paraId="51565D69" w14:textId="77777777" w:rsidR="00E569A2" w:rsidRDefault="00000000">
      <w:pPr>
        <w:numPr>
          <w:ilvl w:val="0"/>
          <w:numId w:val="1"/>
        </w:numPr>
        <w:pBdr>
          <w:top w:val="nil"/>
          <w:left w:val="nil"/>
          <w:bottom w:val="nil"/>
          <w:right w:val="nil"/>
          <w:between w:val="nil"/>
        </w:pBdr>
        <w:spacing w:line="360" w:lineRule="auto"/>
        <w:jc w:val="both"/>
      </w:pPr>
      <w:r>
        <w:rPr>
          <w:color w:val="000000"/>
        </w:rPr>
        <w:t xml:space="preserve">Micacchi, L., Vidè, F., Giacomelli, G., &amp; Barbieri, M. (2023). Performance appraisal justice and employees’ work engagement in the public sector: Making the most of performance appraisal design. </w:t>
      </w:r>
      <w:r>
        <w:rPr>
          <w:i/>
          <w:iCs/>
          <w:color w:val="000000"/>
        </w:rPr>
        <w:t>Public Administration</w:t>
      </w:r>
      <w:r>
        <w:rPr>
          <w:color w:val="000000"/>
        </w:rPr>
        <w:t xml:space="preserve">, </w:t>
      </w:r>
      <w:r>
        <w:rPr>
          <w:i/>
          <w:iCs/>
          <w:color w:val="000000"/>
        </w:rPr>
        <w:t>102</w:t>
      </w:r>
      <w:r>
        <w:rPr>
          <w:color w:val="000000"/>
        </w:rPr>
        <w:t xml:space="preserve">(3). </w:t>
      </w:r>
      <w:hyperlink r:id="rId15">
        <w:r>
          <w:rPr>
            <w:color w:val="0563C1"/>
            <w:u w:val="single"/>
          </w:rPr>
          <w:t>https://doi.org/10.1111/padm.12952</w:t>
        </w:r>
      </w:hyperlink>
    </w:p>
    <w:p w14:paraId="794A5431" w14:textId="77777777" w:rsidR="00E569A2" w:rsidRDefault="00000000">
      <w:pPr>
        <w:numPr>
          <w:ilvl w:val="0"/>
          <w:numId w:val="1"/>
        </w:numPr>
        <w:pBdr>
          <w:top w:val="nil"/>
          <w:left w:val="nil"/>
          <w:bottom w:val="nil"/>
          <w:right w:val="nil"/>
          <w:between w:val="nil"/>
        </w:pBdr>
        <w:spacing w:line="360" w:lineRule="auto"/>
        <w:jc w:val="both"/>
      </w:pPr>
      <w:r>
        <w:rPr>
          <w:color w:val="000000"/>
        </w:rPr>
        <w:lastRenderedPageBreak/>
        <w:t xml:space="preserve">Sinisterra, L., Peñalver, J., &amp; Salanova, M. (2024). Connecting the organizational incomes and outcomes: a systematic review of the relationship between talent management, employee engagement, and turnover intention. </w:t>
      </w:r>
      <w:r>
        <w:rPr>
          <w:i/>
          <w:iCs/>
          <w:color w:val="000000"/>
        </w:rPr>
        <w:t>Frontiers in Psychology</w:t>
      </w:r>
      <w:r>
        <w:rPr>
          <w:color w:val="000000"/>
        </w:rPr>
        <w:t xml:space="preserve">, </w:t>
      </w:r>
      <w:r>
        <w:rPr>
          <w:i/>
          <w:iCs/>
          <w:color w:val="000000"/>
        </w:rPr>
        <w:t>15</w:t>
      </w:r>
      <w:r>
        <w:rPr>
          <w:color w:val="000000"/>
        </w:rPr>
        <w:t xml:space="preserve">. </w:t>
      </w:r>
      <w:hyperlink r:id="rId16">
        <w:r>
          <w:rPr>
            <w:color w:val="0563C1"/>
            <w:u w:val="single"/>
          </w:rPr>
          <w:t>https://doi.org/10.3389/fpsyg.2024.1439127</w:t>
        </w:r>
      </w:hyperlink>
      <w:r>
        <w:rPr>
          <w:color w:val="000000"/>
        </w:rPr>
        <w:t xml:space="preserve"> </w:t>
      </w:r>
    </w:p>
    <w:p w14:paraId="338CCDD8" w14:textId="77777777" w:rsidR="00E569A2" w:rsidRDefault="00000000">
      <w:pPr>
        <w:numPr>
          <w:ilvl w:val="0"/>
          <w:numId w:val="1"/>
        </w:numPr>
        <w:pBdr>
          <w:top w:val="nil"/>
          <w:left w:val="nil"/>
          <w:bottom w:val="nil"/>
          <w:right w:val="nil"/>
          <w:between w:val="nil"/>
        </w:pBdr>
        <w:spacing w:line="360" w:lineRule="auto"/>
        <w:jc w:val="both"/>
      </w:pPr>
      <w:r>
        <w:rPr>
          <w:color w:val="000000"/>
        </w:rPr>
        <w:t xml:space="preserve">THOMAS ANDRES TROIAN, SOARES, R., DANIEL PACHECO LACERDA, GAUSS, L., &amp; JACSON RAFAEL WEBER. (2022). </w:t>
      </w:r>
      <w:r>
        <w:rPr>
          <w:i/>
          <w:iCs/>
          <w:color w:val="000000"/>
        </w:rPr>
        <w:t>OKRs as a results-focused management model: a systematic literature review</w:t>
      </w:r>
      <w:r>
        <w:rPr>
          <w:color w:val="000000"/>
        </w:rPr>
        <w:t xml:space="preserve">. </w:t>
      </w:r>
      <w:hyperlink r:id="rId17">
        <w:r>
          <w:rPr>
            <w:color w:val="0563C1"/>
            <w:u w:val="single"/>
          </w:rPr>
          <w:t>https://www.researchgate.net/publication/364701997_OKRs_as_a_results-focused_management_model_a_systematic_literature_review</w:t>
        </w:r>
      </w:hyperlink>
    </w:p>
    <w:p w14:paraId="3BC19CA1" w14:textId="77777777" w:rsidR="00E569A2" w:rsidRDefault="00000000">
      <w:pPr>
        <w:numPr>
          <w:ilvl w:val="0"/>
          <w:numId w:val="1"/>
        </w:numPr>
        <w:pBdr>
          <w:top w:val="nil"/>
          <w:left w:val="nil"/>
          <w:bottom w:val="nil"/>
          <w:right w:val="nil"/>
          <w:between w:val="nil"/>
        </w:pBdr>
        <w:spacing w:after="160" w:line="360" w:lineRule="auto"/>
        <w:jc w:val="both"/>
      </w:pPr>
      <w:r>
        <w:rPr>
          <w:color w:val="000000"/>
        </w:rPr>
        <w:t xml:space="preserve">Zulaikha Al-Saadi, Wafaa Al-Maawali, Ibrahim, H., &amp; Ibtisam Al Rushaidi. (2023). </w:t>
      </w:r>
      <w:r>
        <w:rPr>
          <w:i/>
          <w:iCs/>
          <w:color w:val="000000"/>
        </w:rPr>
        <w:t>The Perceived Affordances and Challenges in the Newly Introduced OKR-Based Performance Appraisal System in an Omani HEI</w:t>
      </w:r>
      <w:r>
        <w:rPr>
          <w:color w:val="000000"/>
        </w:rPr>
        <w:t xml:space="preserve">. </w:t>
      </w:r>
      <w:r>
        <w:rPr>
          <w:i/>
          <w:iCs/>
          <w:color w:val="000000"/>
        </w:rPr>
        <w:t>13</w:t>
      </w:r>
      <w:r>
        <w:rPr>
          <w:color w:val="000000"/>
        </w:rPr>
        <w:t xml:space="preserve">(2). </w:t>
      </w:r>
      <w:hyperlink r:id="rId18">
        <w:r>
          <w:rPr>
            <w:color w:val="0563C1"/>
            <w:u w:val="single"/>
          </w:rPr>
          <w:t>https://doi.org/10.1177/21582440231179632</w:t>
        </w:r>
      </w:hyperlink>
      <w:r>
        <w:rPr>
          <w:color w:val="000000"/>
        </w:rPr>
        <w:t xml:space="preserve"> </w:t>
      </w:r>
    </w:p>
    <w:p w14:paraId="0DA29912" w14:textId="77777777" w:rsidR="00E569A2" w:rsidRDefault="00E569A2">
      <w:pPr>
        <w:spacing w:after="160" w:line="360" w:lineRule="auto"/>
        <w:jc w:val="both"/>
      </w:pPr>
    </w:p>
    <w:p w14:paraId="31D6ED14" w14:textId="77777777" w:rsidR="00E569A2" w:rsidRDefault="00E569A2">
      <w:pPr>
        <w:spacing w:line="360" w:lineRule="auto"/>
        <w:jc w:val="both"/>
      </w:pPr>
    </w:p>
    <w:p w14:paraId="1D51F22F" w14:textId="77777777" w:rsidR="00E569A2" w:rsidRDefault="00E569A2">
      <w:pPr>
        <w:spacing w:after="240" w:line="360" w:lineRule="auto"/>
        <w:ind w:left="720" w:hanging="720"/>
        <w:jc w:val="both"/>
      </w:pPr>
    </w:p>
    <w:sectPr w:rsidR="00E569A2">
      <w:headerReference w:type="default" r:id="rId19"/>
      <w:footerReference w:type="default" r:id="rId20"/>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97517" w14:textId="77777777" w:rsidR="006420C9" w:rsidRDefault="006420C9">
      <w:r>
        <w:separator/>
      </w:r>
    </w:p>
  </w:endnote>
  <w:endnote w:type="continuationSeparator" w:id="0">
    <w:p w14:paraId="6C44E0A1" w14:textId="77777777" w:rsidR="006420C9" w:rsidRDefault="00642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1" w:fontKey="{5B09B18B-B7C4-45B7-8C95-E2D906F57E57}"/>
  </w:font>
  <w:font w:name="Calibri">
    <w:panose1 w:val="020F0502020204030204"/>
    <w:charset w:val="00"/>
    <w:family w:val="swiss"/>
    <w:pitch w:val="variable"/>
    <w:sig w:usb0="E4002EFF" w:usb1="C200247B" w:usb2="00000009" w:usb3="00000000" w:csb0="000001FF" w:csb1="00000000"/>
    <w:embedRegular r:id="rId2" w:fontKey="{0D63B591-DD6F-4C73-AACA-123797051B09}"/>
    <w:embedBold r:id="rId3" w:fontKey="{56AA21B1-B2C1-4795-A132-E79C62E578FF}"/>
  </w:font>
  <w:font w:name="Shruti">
    <w:panose1 w:val="020B0502040204020203"/>
    <w:charset w:val="00"/>
    <w:family w:val="swiss"/>
    <w:pitch w:val="variable"/>
    <w:sig w:usb0="00040003" w:usb1="00000000" w:usb2="00000000" w:usb3="00000000" w:csb0="00000001" w:csb1="00000000"/>
    <w:embedRegular r:id="rId4" w:fontKey="{F62CBCE1-9A9B-4FFB-BF67-95789BB295D2}"/>
  </w:font>
  <w:font w:name="Cambria">
    <w:panose1 w:val="02040503050406030204"/>
    <w:charset w:val="00"/>
    <w:family w:val="roman"/>
    <w:pitch w:val="variable"/>
    <w:sig w:usb0="E00006FF" w:usb1="420024FF" w:usb2="02000000" w:usb3="00000000" w:csb0="0000019F" w:csb1="00000000"/>
    <w:embedRegular r:id="rId5" w:fontKey="{C6880AB5-7A67-4658-84C2-E44C30E415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B9EC9" w14:textId="42D6A1C9" w:rsidR="00E569A2"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042AF4">
      <w:rPr>
        <w:noProof/>
        <w:sz w:val="18"/>
        <w:szCs w:val="18"/>
      </w:rPr>
      <w:t>3</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AF156" w14:textId="77777777" w:rsidR="006420C9" w:rsidRDefault="006420C9">
      <w:r>
        <w:separator/>
      </w:r>
    </w:p>
  </w:footnote>
  <w:footnote w:type="continuationSeparator" w:id="0">
    <w:p w14:paraId="4DA36F9A" w14:textId="77777777" w:rsidR="006420C9" w:rsidRDefault="006420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32180" w14:textId="77777777" w:rsidR="00E569A2" w:rsidRDefault="00E569A2">
    <w:pPr>
      <w:jc w:val="right"/>
      <w:rPr>
        <w:i/>
        <w:iCs/>
        <w:color w:val="888888"/>
        <w:sz w:val="18"/>
        <w:szCs w:val="18"/>
      </w:rPr>
    </w:pPr>
  </w:p>
  <w:p w14:paraId="60891F90" w14:textId="77777777" w:rsidR="00E569A2" w:rsidRDefault="00E569A2">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50D22"/>
    <w:multiLevelType w:val="multilevel"/>
    <w:tmpl w:val="E502F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12000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9A2"/>
    <w:rsid w:val="00042AF4"/>
    <w:rsid w:val="006420C9"/>
    <w:rsid w:val="00A37601"/>
    <w:rsid w:val="00E569A2"/>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336B6"/>
  <w15:docId w15:val="{E8D45846-707F-436F-83DD-36227D98F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360" w:after="200" w:line="360" w:lineRule="auto"/>
      <w:outlineLvl w:val="0"/>
    </w:pPr>
    <w:rPr>
      <w:b/>
      <w:bCs/>
      <w:color w:val="1F4E79"/>
      <w:sz w:val="32"/>
      <w:szCs w:val="32"/>
    </w:rPr>
  </w:style>
  <w:style w:type="paragraph" w:styleId="Heading2">
    <w:name w:val="heading 2"/>
    <w:basedOn w:val="Normal"/>
    <w:next w:val="Normal"/>
    <w:uiPriority w:val="9"/>
    <w:unhideWhenUsed/>
    <w:qFormat/>
    <w:pPr>
      <w:pBdr>
        <w:top w:val="nil"/>
        <w:left w:val="nil"/>
        <w:bottom w:val="nil"/>
        <w:right w:val="nil"/>
        <w:between w:val="nil"/>
      </w:pBdr>
      <w:spacing w:before="240" w:after="160" w:line="360" w:lineRule="auto"/>
      <w:outlineLvl w:val="1"/>
    </w:pPr>
    <w:rPr>
      <w:b/>
      <w:bCs/>
      <w:color w:val="2E75B5"/>
      <w:sz w:val="28"/>
      <w:szCs w:val="28"/>
      <w:u w:val="single"/>
    </w:rPr>
  </w:style>
  <w:style w:type="paragraph" w:styleId="Heading3">
    <w:name w:val="heading 3"/>
    <w:basedOn w:val="Normal"/>
    <w:next w:val="Normal"/>
    <w:uiPriority w:val="9"/>
    <w:unhideWhenUsed/>
    <w:qFormat/>
    <w:pPr>
      <w:pBdr>
        <w:top w:val="nil"/>
        <w:left w:val="nil"/>
        <w:bottom w:val="nil"/>
        <w:right w:val="nil"/>
        <w:between w:val="nil"/>
      </w:pBdr>
      <w:spacing w:before="200" w:after="120" w:line="360" w:lineRule="auto"/>
      <w:outlineLvl w:val="2"/>
    </w:pPr>
    <w:rPr>
      <w:b/>
      <w:bCs/>
      <w:color w:val="000000"/>
      <w:sz w:val="26"/>
      <w:szCs w:val="26"/>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sj.eastasouth-institute.com/index.php/esmb/article/view/755/574" TargetMode="External"/><Relationship Id="rId18" Type="http://schemas.openxmlformats.org/officeDocument/2006/relationships/hyperlink" Target="https://doi.org/10.1177/2158244023117963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26668/businessreview/2023.v8i7.2274" TargetMode="External"/><Relationship Id="rId17" Type="http://schemas.openxmlformats.org/officeDocument/2006/relationships/hyperlink" Target="https://www.researchgate.net/publication/364701997_OKRs_as_a_results-focused_management_model_a_systematic_literature_review" TargetMode="External"/><Relationship Id="rId2" Type="http://schemas.openxmlformats.org/officeDocument/2006/relationships/styles" Target="styles.xml"/><Relationship Id="rId16" Type="http://schemas.openxmlformats.org/officeDocument/2006/relationships/hyperlink" Target="https://doi.org/10.3389/fpsyg.2024.1439127"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1080/01608061.2023.2238029" TargetMode="External"/><Relationship Id="rId5" Type="http://schemas.openxmlformats.org/officeDocument/2006/relationships/footnotes" Target="footnotes.xml"/><Relationship Id="rId15" Type="http://schemas.openxmlformats.org/officeDocument/2006/relationships/hyperlink" Target="https://doi.org/10.1111/padm.12952" TargetMode="External"/><Relationship Id="rId10" Type="http://schemas.openxmlformats.org/officeDocument/2006/relationships/hyperlink" Target="https://www.researchgate.net/publication/374978873_360-Degree_Feedback_as_a_Tool_for_Improving_Employee_Performanc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onlinelibrary.wiley.com/doi/10.1002/joe.22295" TargetMode="External"/><Relationship Id="rId14" Type="http://schemas.openxmlformats.org/officeDocument/2006/relationships/hyperlink" Target="https://www.mckinsey.com/capabilities/people-and-organizational-performance/our-insights/in-the-spotlight-performance-management-that-puts-people-first"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3333</Words>
  <Characters>19001</Characters>
  <Application>Microsoft Office Word</Application>
  <DocSecurity>0</DocSecurity>
  <Lines>158</Lines>
  <Paragraphs>44</Paragraphs>
  <ScaleCrop>false</ScaleCrop>
  <Company/>
  <LinksUpToDate>false</LinksUpToDate>
  <CharactersWithSpaces>22290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ronak devani</cp:lastModifiedBy>
  <cp:revision>2</cp:revision>
  <dcterms:created xsi:type="dcterms:W3CDTF">2026-03-19T10:29:00Z</dcterms:created>
  <dcterms:modified xsi:type="dcterms:W3CDTF">2026-03-19T10:30:00Z</dcterms:modified>
</cp:coreProperties>
</file>