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5223FEBC" w:rsidP="5223FEBC" w:rsidRDefault="5223FEBC" w14:paraId="1F7D9E2D" w14:textId="4B772755">
      <w:pPr>
        <w:pStyle w:val="Normal"/>
        <w:spacing w:after="0" w:line="480" w:lineRule="auto"/>
        <w:jc w:val="center"/>
        <w:rPr>
          <w:rFonts w:ascii="Arial Nova" w:hAnsi="Arial Nova" w:eastAsia="Arial Nova" w:cs="Arial Nova"/>
          <w:b w:val="1"/>
          <w:bCs w:val="1"/>
          <w:sz w:val="52"/>
          <w:szCs w:val="52"/>
        </w:rPr>
      </w:pPr>
      <w:r w:rsidRPr="5223FEBC" w:rsidR="5223FEBC">
        <w:rPr>
          <w:rFonts w:ascii="Arial Nova" w:hAnsi="Arial Nova" w:eastAsia="Arial Nova" w:cs="Arial Nova"/>
          <w:b w:val="1"/>
          <w:bCs w:val="1"/>
          <w:sz w:val="48"/>
          <w:szCs w:val="48"/>
        </w:rPr>
        <w:t>Tabitha Kalyan</w:t>
      </w:r>
    </w:p>
    <w:p w:rsidR="5223FEBC" w:rsidP="5223FEBC" w:rsidRDefault="5223FEBC" w14:paraId="149BEADE" w14:textId="551D69FF">
      <w:pPr>
        <w:pStyle w:val="Normal"/>
        <w:spacing w:after="0" w:line="480" w:lineRule="auto"/>
        <w:jc w:val="center"/>
        <w:rPr>
          <w:rFonts w:ascii="Arial Nova" w:hAnsi="Arial Nova" w:eastAsia="Arial Nova" w:cs="Arial Nova"/>
          <w:b w:val="1"/>
          <w:bCs w:val="1"/>
          <w:sz w:val="52"/>
          <w:szCs w:val="52"/>
        </w:rPr>
      </w:pPr>
      <w:r w:rsidRPr="5223FEBC" w:rsidR="5223FEBC">
        <w:rPr>
          <w:rFonts w:ascii="Arial Nova" w:hAnsi="Arial Nova" w:eastAsia="Arial Nova" w:cs="Arial Nova"/>
          <w:b w:val="1"/>
          <w:bCs w:val="1"/>
          <w:sz w:val="48"/>
          <w:szCs w:val="48"/>
        </w:rPr>
        <w:t>2020004</w:t>
      </w:r>
    </w:p>
    <w:p w:rsidR="5223FEBC" w:rsidP="5223FEBC" w:rsidRDefault="5223FEBC" w14:paraId="3247E8A1" w14:textId="48EF29A6">
      <w:pPr>
        <w:pStyle w:val="Normal"/>
        <w:spacing w:after="0" w:line="480" w:lineRule="auto"/>
        <w:jc w:val="center"/>
        <w:rPr>
          <w:rFonts w:ascii="Arial Nova" w:hAnsi="Arial Nova" w:eastAsia="Arial Nova" w:cs="Arial Nova"/>
          <w:b w:val="1"/>
          <w:bCs w:val="1"/>
          <w:sz w:val="40"/>
          <w:szCs w:val="40"/>
        </w:rPr>
      </w:pPr>
      <w:r w:rsidRPr="5223FEBC" w:rsidR="5223FEBC">
        <w:rPr>
          <w:rFonts w:ascii="Arial Nova" w:hAnsi="Arial Nova" w:eastAsia="Arial Nova" w:cs="Arial Nova"/>
          <w:b w:val="1"/>
          <w:bCs w:val="1"/>
          <w:sz w:val="36"/>
          <w:szCs w:val="36"/>
        </w:rPr>
        <w:t>BMHP6021- Health, Wellbeing and Sustainability Development</w:t>
      </w:r>
    </w:p>
    <w:p w:rsidR="5223FEBC" w:rsidP="5223FEBC" w:rsidRDefault="5223FEBC" w14:paraId="0CCF6E0E" w14:textId="15CB17D9">
      <w:pPr>
        <w:pStyle w:val="Normal"/>
        <w:spacing w:after="0" w:line="480" w:lineRule="auto"/>
        <w:jc w:val="center"/>
        <w:rPr>
          <w:rFonts w:ascii="Arial Nova" w:hAnsi="Arial Nova" w:eastAsia="Arial Nova" w:cs="Arial Nova"/>
          <w:b w:val="1"/>
          <w:bCs w:val="1"/>
          <w:sz w:val="40"/>
          <w:szCs w:val="40"/>
        </w:rPr>
      </w:pPr>
      <w:r w:rsidRPr="5223FEBC" w:rsidR="5223FEBC">
        <w:rPr>
          <w:rFonts w:ascii="Arial Nova" w:hAnsi="Arial Nova" w:eastAsia="Arial Nova" w:cs="Arial Nova"/>
          <w:b w:val="1"/>
          <w:bCs w:val="1"/>
          <w:sz w:val="36"/>
          <w:szCs w:val="36"/>
        </w:rPr>
        <w:t xml:space="preserve">Chloe </w:t>
      </w:r>
      <w:r w:rsidRPr="5223FEBC" w:rsidR="5223FEBC">
        <w:rPr>
          <w:rFonts w:ascii="Arial Nova" w:hAnsi="Arial Nova" w:eastAsia="Arial Nova" w:cs="Arial Nova"/>
          <w:b w:val="1"/>
          <w:bCs w:val="1"/>
          <w:sz w:val="36"/>
          <w:szCs w:val="36"/>
        </w:rPr>
        <w:t>Harries and</w:t>
      </w:r>
      <w:r w:rsidRPr="5223FEBC" w:rsidR="5223FEBC">
        <w:rPr>
          <w:rFonts w:ascii="Arial Nova" w:hAnsi="Arial Nova" w:eastAsia="Arial Nova" w:cs="Arial Nova"/>
          <w:b w:val="1"/>
          <w:bCs w:val="1"/>
          <w:sz w:val="36"/>
          <w:szCs w:val="36"/>
        </w:rPr>
        <w:t xml:space="preserve"> Joanne Davies</w:t>
      </w:r>
    </w:p>
    <w:p w:rsidR="5223FEBC" w:rsidP="5223FEBC" w:rsidRDefault="5223FEBC" w14:paraId="1F6732E9" w14:textId="315AF6B1">
      <w:pPr>
        <w:pStyle w:val="Normal"/>
        <w:spacing w:after="0" w:line="480" w:lineRule="auto"/>
        <w:jc w:val="center"/>
        <w:rPr>
          <w:rFonts w:ascii="Arial Nova" w:hAnsi="Arial Nova" w:eastAsia="Arial Nova" w:cs="Arial Nova"/>
          <w:b w:val="1"/>
          <w:bCs w:val="1"/>
          <w:sz w:val="48"/>
          <w:szCs w:val="48"/>
        </w:rPr>
      </w:pPr>
      <w:r w:rsidRPr="5223FEBC" w:rsidR="5223FEBC">
        <w:rPr>
          <w:rFonts w:ascii="Arial Nova" w:hAnsi="Arial Nova" w:eastAsia="Arial Nova" w:cs="Arial Nova"/>
          <w:b w:val="1"/>
          <w:bCs w:val="1"/>
          <w:sz w:val="48"/>
          <w:szCs w:val="48"/>
        </w:rPr>
        <w:t>Component</w:t>
      </w:r>
      <w:r w:rsidRPr="5223FEBC" w:rsidR="5223FEBC">
        <w:rPr>
          <w:rFonts w:ascii="Arial Nova" w:hAnsi="Arial Nova" w:eastAsia="Arial Nova" w:cs="Arial Nova"/>
          <w:b w:val="1"/>
          <w:bCs w:val="1"/>
          <w:sz w:val="48"/>
          <w:szCs w:val="48"/>
        </w:rPr>
        <w:t xml:space="preserve"> 1- Written Report</w:t>
      </w:r>
    </w:p>
    <w:p w:rsidR="5223FEBC" w:rsidP="5223FEBC" w:rsidRDefault="5223FEBC" w14:paraId="7FBE726E" w14:textId="0C965A78">
      <w:pPr>
        <w:pStyle w:val="Normal"/>
        <w:spacing w:after="0" w:line="480" w:lineRule="auto"/>
        <w:jc w:val="center"/>
        <w:rPr>
          <w:rFonts w:ascii="Times New Roman" w:hAnsi="Times New Roman" w:eastAsia="Arial Nova" w:cs="Times New Roman"/>
          <w:b w:val="1"/>
          <w:bCs w:val="1"/>
          <w:sz w:val="36"/>
          <w:szCs w:val="36"/>
        </w:rPr>
      </w:pPr>
    </w:p>
    <w:p w:rsidR="5223FEBC" w:rsidP="5223FEBC" w:rsidRDefault="5223FEBC" w14:paraId="0664E0C4" w14:textId="39DA4F11">
      <w:pPr>
        <w:pStyle w:val="Normal"/>
        <w:spacing w:after="0" w:line="480" w:lineRule="auto"/>
        <w:jc w:val="center"/>
        <w:rPr>
          <w:rFonts w:ascii="Times New Roman" w:hAnsi="Times New Roman" w:eastAsia="Arial Nova" w:cs="Times New Roman"/>
          <w:b w:val="1"/>
          <w:bCs w:val="1"/>
          <w:sz w:val="36"/>
          <w:szCs w:val="36"/>
        </w:rPr>
      </w:pPr>
    </w:p>
    <w:p w:rsidR="5223FEBC" w:rsidP="5223FEBC" w:rsidRDefault="5223FEBC" w14:paraId="7BE95D4F" w14:textId="105E18E0">
      <w:pPr>
        <w:pStyle w:val="Normal"/>
        <w:spacing w:after="0" w:line="480" w:lineRule="auto"/>
        <w:jc w:val="center"/>
        <w:rPr>
          <w:rFonts w:ascii="Times New Roman" w:hAnsi="Times New Roman" w:eastAsia="Arial Nova" w:cs="Times New Roman"/>
          <w:b w:val="1"/>
          <w:bCs w:val="1"/>
          <w:sz w:val="28"/>
          <w:szCs w:val="28"/>
        </w:rPr>
      </w:pPr>
    </w:p>
    <w:p w:rsidR="5223FEBC" w:rsidP="5223FEBC" w:rsidRDefault="5223FEBC" w14:paraId="6CA81139" w14:textId="487B30DA">
      <w:pPr>
        <w:pStyle w:val="Normal"/>
        <w:spacing w:after="0" w:line="480" w:lineRule="auto"/>
        <w:jc w:val="center"/>
        <w:rPr>
          <w:rFonts w:ascii="Times New Roman" w:hAnsi="Times New Roman" w:eastAsia="Arial Nova" w:cs="Times New Roman"/>
          <w:b w:val="1"/>
          <w:bCs w:val="1"/>
          <w:sz w:val="24"/>
          <w:szCs w:val="24"/>
        </w:rPr>
      </w:pPr>
    </w:p>
    <w:p w:rsidR="5223FEBC" w:rsidP="5223FEBC" w:rsidRDefault="5223FEBC" w14:paraId="1CF28540" w14:textId="3515345B">
      <w:pPr>
        <w:pStyle w:val="Normal"/>
        <w:spacing w:after="0" w:line="480" w:lineRule="auto"/>
        <w:jc w:val="center"/>
        <w:rPr>
          <w:rFonts w:ascii="Times New Roman" w:hAnsi="Times New Roman" w:eastAsia="Arial Nova" w:cs="Times New Roman"/>
          <w:b w:val="1"/>
          <w:bCs w:val="1"/>
          <w:sz w:val="24"/>
          <w:szCs w:val="24"/>
        </w:rPr>
      </w:pPr>
    </w:p>
    <w:p w:rsidRPr="003C104B" w:rsidR="001A5328" w:rsidP="00D80A08" w:rsidRDefault="001A5328" w14:paraId="029FBE53" w14:textId="77777777" w14:noSpellErr="1">
      <w:pPr>
        <w:spacing w:after="0" w:line="480" w:lineRule="auto"/>
        <w:jc w:val="both"/>
        <w:rPr>
          <w:rFonts w:ascii="Times New Roman" w:hAnsi="Times New Roman" w:cs="Times New Roman"/>
          <w:sz w:val="24"/>
          <w:szCs w:val="24"/>
          <w:lang w:val="en-US"/>
        </w:rPr>
      </w:pPr>
    </w:p>
    <w:sdt>
      <w:sdtPr>
        <w:rPr>
          <w:rFonts w:ascii="Times New Roman" w:hAnsi="Times New Roman" w:cs="Times New Roman" w:eastAsiaTheme="minorHAnsi"/>
          <w:color w:val="auto"/>
          <w:sz w:val="24"/>
          <w:szCs w:val="24"/>
          <w:lang w:val=""/>
        </w:rPr>
        <w:id w:val="65696965"/>
        <w:docPartObj>
          <w:docPartGallery w:val="Table of Contents"/>
          <w:docPartUnique/>
        </w:docPartObj>
      </w:sdtPr>
      <w:sdtEndPr>
        <w:rPr>
          <w:b/>
          <w:bCs/>
          <w:noProof/>
        </w:rPr>
      </w:sdtEndPr>
      <w:sdtContent>
        <w:p w:rsidRPr="003C104B" w:rsidR="0097366C" w:rsidP="5223FEBC" w:rsidRDefault="2D9DA515" w14:paraId="6CA0CA41" w14:textId="6BB6E789" w14:noSpellErr="1">
          <w:pPr>
            <w:pStyle w:val="TOCHeading"/>
            <w:jc w:val="both"/>
            <w:rPr>
              <w:rFonts w:ascii="Arial Nova" w:hAnsi="Arial Nova" w:eastAsia="Arial Nova" w:cs="Arial Nova"/>
              <w:b w:val="1"/>
              <w:bCs w:val="1"/>
              <w:color w:val="000000" w:themeColor="text1"/>
              <w:sz w:val="22"/>
              <w:szCs w:val="22"/>
            </w:rPr>
          </w:pPr>
          <w:r w:rsidRPr="5223FEBC" w:rsidR="5223FEBC">
            <w:rPr>
              <w:rFonts w:ascii="Arial Nova" w:hAnsi="Arial Nova" w:eastAsia="Arial Nova" w:cs="Arial Nova"/>
              <w:b w:val="1"/>
              <w:bCs w:val="1"/>
              <w:color w:val="000000" w:themeColor="text1" w:themeTint="FF" w:themeShade="FF"/>
              <w:sz w:val="22"/>
              <w:szCs w:val="22"/>
            </w:rPr>
            <w:t>Table of Contents</w:t>
          </w:r>
        </w:p>
        <w:p w:rsidRPr="003C104B" w:rsidR="00E97356" w:rsidP="5223FEBC" w:rsidRDefault="001128D7" w14:paraId="3FCA889A" w14:textId="2A3BC400" w14:noSpellErr="1">
          <w:pPr>
            <w:pStyle w:val="TOC1"/>
            <w:tabs>
              <w:tab w:val="right" w:leader="dot" w:pos="9350"/>
            </w:tabs>
            <w:jc w:val="both"/>
            <w:rPr>
              <w:rFonts w:ascii="Arial Nova" w:hAnsi="Arial Nova" w:eastAsia="Arial Nova" w:cs="Arial Nova"/>
              <w:noProof/>
              <w:sz w:val="22"/>
              <w:szCs w:val="22"/>
            </w:rPr>
          </w:pPr>
          <w:r w:rsidRPr="003C104B">
            <w:rPr>
              <w:rFonts w:ascii="Times New Roman" w:hAnsi="Times New Roman" w:cs="Times New Roman"/>
              <w:sz w:val="24"/>
              <w:szCs w:val="24"/>
            </w:rPr>
            <w:fldChar w:fldCharType="begin"/>
          </w:r>
          <w:r w:rsidRPr="003C104B">
            <w:rPr>
              <w:rFonts w:ascii="Times New Roman" w:hAnsi="Times New Roman" w:cs="Times New Roman"/>
              <w:sz w:val="24"/>
              <w:szCs w:val="24"/>
            </w:rPr>
            <w:instrText xml:space="preserve"> TOC \o "1-3" \h \z \u </w:instrText>
          </w:r>
          <w:r w:rsidRPr="003C104B">
            <w:rPr>
              <w:rFonts w:ascii="Times New Roman" w:hAnsi="Times New Roman" w:cs="Times New Roman"/>
              <w:sz w:val="24"/>
              <w:szCs w:val="24"/>
            </w:rPr>
            <w:fldChar w:fldCharType="separate"/>
          </w:r>
          <w:hyperlink w:history="1" w:anchor="_Toc150758968">
            <w:r w:rsidRPr="5223FEBC" w:rsidR="00E97356">
              <w:rPr>
                <w:rStyle w:val="Hyperlink"/>
                <w:rFonts w:ascii="Times New Roman" w:hAnsi="Times New Roman" w:cs="Times New Roman"/>
                <w:noProof/>
                <w:sz w:val="24"/>
                <w:szCs w:val="24"/>
              </w:rPr>
              <w:t>Health and Social Care Report</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_Toc150758968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3</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57E7473F" w14:textId="7444C079" w14:noSpellErr="1">
          <w:pPr>
            <w:pStyle w:val="TOC1"/>
            <w:tabs>
              <w:tab w:val="right" w:leader="dot" w:pos="9350"/>
            </w:tabs>
            <w:jc w:val="both"/>
            <w:rPr>
              <w:rFonts w:ascii="Arial Nova" w:hAnsi="Arial Nova" w:eastAsia="Arial Nova" w:cs="Arial Nova"/>
              <w:noProof/>
              <w:sz w:val="22"/>
              <w:szCs w:val="22"/>
            </w:rPr>
          </w:pPr>
          <w:hyperlink w:history="1" w:anchor="_Toc150758969">
            <w:r w:rsidRPr="5223FEBC" w:rsidR="00E97356">
              <w:rPr>
                <w:rStyle w:val="Hyperlink"/>
                <w:rFonts w:ascii="Times New Roman" w:hAnsi="Times New Roman" w:cs="Times New Roman"/>
                <w:noProof/>
                <w:sz w:val="24"/>
                <w:szCs w:val="24"/>
              </w:rPr>
              <w:t>Introduction to Concepts</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_Toc150758969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4</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5EA52AC7" w14:textId="6BB9F4DD" w14:noSpellErr="1">
          <w:pPr>
            <w:pStyle w:val="TOC2"/>
            <w:tabs>
              <w:tab w:val="right" w:leader="dot" w:pos="9350"/>
            </w:tabs>
            <w:jc w:val="both"/>
            <w:rPr>
              <w:rFonts w:ascii="Arial Nova" w:hAnsi="Arial Nova" w:eastAsia="Arial Nova" w:cs="Arial Nova"/>
              <w:noProof/>
              <w:sz w:val="22"/>
              <w:szCs w:val="22"/>
            </w:rPr>
          </w:pPr>
          <w:hyperlink w:history="1" w:anchor="_Toc150758970">
            <w:r w:rsidRPr="5223FEBC" w:rsidR="00E97356">
              <w:rPr>
                <w:rStyle w:val="Hyperlink"/>
                <w:rFonts w:ascii="Times New Roman" w:hAnsi="Times New Roman" w:cs="Times New Roman"/>
                <w:noProof/>
                <w:sz w:val="24"/>
                <w:szCs w:val="24"/>
              </w:rPr>
              <w:t>Sustainable Development</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_Toc150758970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5</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01670DE8" w14:textId="79699188" w14:noSpellErr="1">
          <w:pPr>
            <w:pStyle w:val="TOC2"/>
            <w:tabs>
              <w:tab w:val="right" w:leader="dot" w:pos="9350"/>
            </w:tabs>
            <w:jc w:val="both"/>
            <w:rPr>
              <w:rFonts w:ascii="Arial Nova" w:hAnsi="Arial Nova" w:eastAsia="Arial Nova" w:cs="Arial Nova"/>
              <w:noProof/>
              <w:sz w:val="22"/>
              <w:szCs w:val="22"/>
            </w:rPr>
          </w:pPr>
          <w:hyperlink w:history="1" w:anchor="_Toc150758971">
            <w:r w:rsidRPr="5223FEBC" w:rsidR="00E97356">
              <w:rPr>
                <w:rStyle w:val="Hyperlink"/>
                <w:rFonts w:ascii="Times New Roman" w:hAnsi="Times New Roman" w:cs="Times New Roman"/>
                <w:noProof/>
                <w:sz w:val="24"/>
                <w:szCs w:val="24"/>
              </w:rPr>
              <w:t>Health</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_Toc150758971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6</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698D2930" w14:textId="0F3B5278" w14:noSpellErr="1">
          <w:pPr>
            <w:pStyle w:val="TOC2"/>
            <w:tabs>
              <w:tab w:val="right" w:leader="dot" w:pos="9350"/>
            </w:tabs>
            <w:jc w:val="both"/>
            <w:rPr>
              <w:rFonts w:ascii="Arial Nova" w:hAnsi="Arial Nova" w:eastAsia="Arial Nova" w:cs="Arial Nova"/>
              <w:noProof/>
              <w:sz w:val="22"/>
              <w:szCs w:val="22"/>
            </w:rPr>
          </w:pPr>
          <w:hyperlink w:history="1" w:anchor="_Toc150758972">
            <w:r w:rsidRPr="5223FEBC" w:rsidR="00E97356">
              <w:rPr>
                <w:rStyle w:val="Hyperlink"/>
                <w:rFonts w:ascii="Times New Roman" w:hAnsi="Times New Roman" w:cs="Times New Roman"/>
                <w:noProof/>
                <w:sz w:val="24"/>
                <w:szCs w:val="24"/>
              </w:rPr>
              <w:t>Sustainable Development Goals</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_Toc150758972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7</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67720136" w14:textId="764A6F3C" w14:noSpellErr="1">
          <w:pPr>
            <w:pStyle w:val="TOC1"/>
            <w:tabs>
              <w:tab w:val="right" w:leader="dot" w:pos="9350"/>
            </w:tabs>
            <w:jc w:val="both"/>
            <w:rPr>
              <w:rFonts w:ascii="Arial Nova" w:hAnsi="Arial Nova" w:eastAsia="Arial Nova" w:cs="Arial Nova"/>
              <w:noProof/>
              <w:sz w:val="22"/>
              <w:szCs w:val="22"/>
            </w:rPr>
          </w:pPr>
          <w:hyperlink w:history="1" w:anchor="_Toc150758973">
            <w:r w:rsidRPr="5223FEBC" w:rsidR="00E97356">
              <w:rPr>
                <w:rStyle w:val="Hyperlink"/>
                <w:rFonts w:ascii="Times New Roman" w:hAnsi="Times New Roman" w:cs="Times New Roman"/>
                <w:noProof/>
                <w:sz w:val="24"/>
                <w:szCs w:val="24"/>
              </w:rPr>
              <w:t>Goal A: No Poverty</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_Toc150758973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7</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1BA553B4" w14:textId="384CA8AE" w14:noSpellErr="1">
          <w:pPr>
            <w:pStyle w:val="TOC2"/>
            <w:tabs>
              <w:tab w:val="right" w:leader="dot" w:pos="9350"/>
            </w:tabs>
            <w:jc w:val="both"/>
            <w:rPr>
              <w:rFonts w:ascii="Arial Nova" w:hAnsi="Arial Nova" w:eastAsia="Arial Nova" w:cs="Arial Nova"/>
              <w:noProof/>
              <w:sz w:val="22"/>
              <w:szCs w:val="22"/>
            </w:rPr>
          </w:pPr>
          <w:hyperlink w:history="1" w:anchor="_Toc150758974">
            <w:r w:rsidRPr="5223FEBC" w:rsidR="00E97356">
              <w:rPr>
                <w:rStyle w:val="Hyperlink"/>
                <w:rFonts w:ascii="Times New Roman" w:hAnsi="Times New Roman" w:cs="Times New Roman"/>
                <w:noProof/>
                <w:sz w:val="24"/>
                <w:szCs w:val="24"/>
              </w:rPr>
              <w:t>Definition of the Selected Goal</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_Toc150758974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7</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3088E720" w14:textId="2C63A6BB" w14:noSpellErr="1">
          <w:pPr>
            <w:pStyle w:val="TOC2"/>
            <w:tabs>
              <w:tab w:val="right" w:leader="dot" w:pos="9350"/>
            </w:tabs>
            <w:jc w:val="both"/>
            <w:rPr>
              <w:rFonts w:ascii="Arial Nova" w:hAnsi="Arial Nova" w:eastAsia="Arial Nova" w:cs="Arial Nova"/>
              <w:noProof/>
              <w:sz w:val="22"/>
              <w:szCs w:val="22"/>
            </w:rPr>
          </w:pPr>
          <w:hyperlink w:history="1" w:anchor="_Toc150758975">
            <w:r w:rsidRPr="5223FEBC" w:rsidR="00E97356">
              <w:rPr>
                <w:rStyle w:val="Hyperlink"/>
                <w:rFonts w:ascii="Times New Roman" w:hAnsi="Times New Roman" w:cs="Times New Roman"/>
                <w:noProof/>
                <w:sz w:val="24"/>
                <w:szCs w:val="24"/>
              </w:rPr>
              <w:t>UK No Poverty Initiative 1: Universal Credit</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_Toc150758975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8</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0F177C16" w14:textId="13359E91" w14:noSpellErr="1">
          <w:pPr>
            <w:pStyle w:val="TOC2"/>
            <w:tabs>
              <w:tab w:val="right" w:leader="dot" w:pos="9350"/>
            </w:tabs>
            <w:jc w:val="both"/>
            <w:rPr>
              <w:rFonts w:ascii="Arial Nova" w:hAnsi="Arial Nova" w:eastAsia="Arial Nova" w:cs="Arial Nova"/>
              <w:noProof/>
              <w:sz w:val="22"/>
              <w:szCs w:val="22"/>
            </w:rPr>
          </w:pPr>
          <w:hyperlink w:history="1" w:anchor="_Toc150758976">
            <w:r w:rsidRPr="5223FEBC" w:rsidR="00E97356">
              <w:rPr>
                <w:rStyle w:val="Hyperlink"/>
                <w:rFonts w:ascii="Times New Roman" w:hAnsi="Times New Roman" w:cs="Times New Roman"/>
                <w:noProof/>
                <w:sz w:val="24"/>
                <w:szCs w:val="24"/>
              </w:rPr>
              <w:t>UK No Poverty Initiative 2: National Minimum Wage and National Living Wage Rates</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_Toc150758976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9</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13001A15" w14:textId="37621DA1" w14:noSpellErr="1">
          <w:pPr>
            <w:pStyle w:val="TOC2"/>
            <w:tabs>
              <w:tab w:val="right" w:leader="dot" w:pos="9350"/>
            </w:tabs>
            <w:jc w:val="both"/>
            <w:rPr>
              <w:rFonts w:ascii="Arial Nova" w:hAnsi="Arial Nova" w:eastAsia="Arial Nova" w:cs="Arial Nova"/>
              <w:noProof/>
              <w:sz w:val="22"/>
              <w:szCs w:val="22"/>
            </w:rPr>
          </w:pPr>
          <w:hyperlink w:history="1" w:anchor="_Toc150758977">
            <w:r w:rsidRPr="5223FEBC" w:rsidR="00E97356">
              <w:rPr>
                <w:rStyle w:val="Hyperlink"/>
                <w:rFonts w:ascii="Times New Roman" w:hAnsi="Times New Roman" w:cs="Times New Roman"/>
                <w:noProof/>
                <w:sz w:val="24"/>
                <w:szCs w:val="24"/>
              </w:rPr>
              <w:t>Evaluating the Initiatives</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_Toc150758977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10</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05F5530D" w14:textId="3AB40069" w14:noSpellErr="1">
          <w:pPr>
            <w:pStyle w:val="TOC2"/>
            <w:tabs>
              <w:tab w:val="right" w:leader="dot" w:pos="9350"/>
            </w:tabs>
            <w:jc w:val="both"/>
            <w:rPr>
              <w:rFonts w:ascii="Arial Nova" w:hAnsi="Arial Nova" w:eastAsia="Arial Nova" w:cs="Arial Nova"/>
              <w:noProof/>
              <w:sz w:val="22"/>
              <w:szCs w:val="22"/>
            </w:rPr>
          </w:pPr>
          <w:hyperlink w:history="1" w:anchor="_Toc150758978">
            <w:r w:rsidRPr="5223FEBC" w:rsidR="00E97356">
              <w:rPr>
                <w:rStyle w:val="Hyperlink"/>
                <w:rFonts w:ascii="Times New Roman" w:hAnsi="Times New Roman" w:cs="Times New Roman"/>
                <w:noProof/>
                <w:sz w:val="24"/>
                <w:szCs w:val="24"/>
              </w:rPr>
              <w:t>Impact of Implementing the No Poverty SDG On Health, Well-Being, and Sustainability</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_Toc150758978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12</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2F7FCEC6" w14:textId="30FD1394" w14:noSpellErr="1">
          <w:pPr>
            <w:pStyle w:val="TOC2"/>
            <w:tabs>
              <w:tab w:val="right" w:leader="dot" w:pos="9350"/>
            </w:tabs>
            <w:jc w:val="both"/>
            <w:rPr>
              <w:rFonts w:ascii="Arial Nova" w:hAnsi="Arial Nova" w:eastAsia="Arial Nova" w:cs="Arial Nova"/>
              <w:noProof/>
              <w:sz w:val="22"/>
              <w:szCs w:val="22"/>
            </w:rPr>
          </w:pPr>
          <w:hyperlink w:history="1" w:anchor="_Toc150758979">
            <w:r w:rsidRPr="5223FEBC" w:rsidR="00E97356">
              <w:rPr>
                <w:rStyle w:val="Hyperlink"/>
                <w:rFonts w:ascii="Times New Roman" w:hAnsi="Times New Roman" w:cs="Times New Roman"/>
                <w:noProof/>
                <w:sz w:val="24"/>
                <w:szCs w:val="24"/>
              </w:rPr>
              <w:t>Challenges of Implementing the Goal</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_Toc150758979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12</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552C4C7B" w14:textId="1D01CDD3" w14:noSpellErr="1">
          <w:pPr>
            <w:pStyle w:val="TOC2"/>
            <w:tabs>
              <w:tab w:val="right" w:leader="dot" w:pos="9350"/>
            </w:tabs>
            <w:jc w:val="both"/>
            <w:rPr>
              <w:rFonts w:ascii="Arial Nova" w:hAnsi="Arial Nova" w:eastAsia="Arial Nova" w:cs="Arial Nova"/>
              <w:noProof/>
              <w:sz w:val="22"/>
              <w:szCs w:val="22"/>
            </w:rPr>
          </w:pPr>
          <w:hyperlink w:history="1" w:anchor="_Toc150758980">
            <w:r w:rsidRPr="5223FEBC" w:rsidR="00E97356">
              <w:rPr>
                <w:rStyle w:val="Hyperlink"/>
                <w:rFonts w:ascii="Times New Roman" w:hAnsi="Times New Roman" w:cs="Times New Roman"/>
                <w:noProof/>
                <w:sz w:val="24"/>
                <w:szCs w:val="24"/>
              </w:rPr>
              <w:t>Recommendations for Achieving the No Poverty SDG</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_Toc150758980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12</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1F7F009F" w14:textId="6D28246D" w14:noSpellErr="1">
          <w:pPr>
            <w:pStyle w:val="TOC1"/>
            <w:tabs>
              <w:tab w:val="right" w:leader="dot" w:pos="9350"/>
            </w:tabs>
            <w:jc w:val="both"/>
            <w:rPr>
              <w:rFonts w:ascii="Arial Nova" w:hAnsi="Arial Nova" w:eastAsia="Arial Nova" w:cs="Arial Nova"/>
              <w:noProof/>
              <w:sz w:val="22"/>
              <w:szCs w:val="22"/>
            </w:rPr>
          </w:pPr>
          <w:hyperlink w:history="1" w:anchor="_Toc150758981">
            <w:r w:rsidRPr="5223FEBC" w:rsidR="00E97356">
              <w:rPr>
                <w:rStyle w:val="Hyperlink"/>
                <w:rFonts w:ascii="Times New Roman" w:hAnsi="Times New Roman" w:cs="Times New Roman"/>
                <w:noProof/>
                <w:sz w:val="24"/>
                <w:szCs w:val="24"/>
              </w:rPr>
              <w:t>Goal B: Gender Equality</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_Toc150758981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13</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6647A9DA" w14:textId="0705A6DC" w14:noSpellErr="1">
          <w:pPr>
            <w:pStyle w:val="TOC2"/>
            <w:tabs>
              <w:tab w:val="right" w:leader="dot" w:pos="9350"/>
            </w:tabs>
            <w:jc w:val="both"/>
            <w:rPr>
              <w:rFonts w:ascii="Arial Nova" w:hAnsi="Arial Nova" w:eastAsia="Arial Nova" w:cs="Arial Nova"/>
              <w:noProof/>
              <w:sz w:val="22"/>
              <w:szCs w:val="22"/>
            </w:rPr>
          </w:pPr>
          <w:hyperlink w:history="1" w:anchor="_Toc150758982">
            <w:r w:rsidRPr="5223FEBC" w:rsidR="00E97356">
              <w:rPr>
                <w:rStyle w:val="Hyperlink"/>
                <w:rFonts w:ascii="Times New Roman" w:hAnsi="Times New Roman" w:cs="Times New Roman"/>
                <w:noProof/>
                <w:sz w:val="24"/>
                <w:szCs w:val="24"/>
              </w:rPr>
              <w:t>Definition of the Goal</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_Toc150758982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13</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664C0515" w14:textId="0AA3DEE4" w14:noSpellErr="1">
          <w:pPr>
            <w:pStyle w:val="TOC2"/>
            <w:tabs>
              <w:tab w:val="right" w:leader="dot" w:pos="9350"/>
            </w:tabs>
            <w:jc w:val="both"/>
            <w:rPr>
              <w:rFonts w:ascii="Arial Nova" w:hAnsi="Arial Nova" w:eastAsia="Arial Nova" w:cs="Arial Nova"/>
              <w:noProof/>
              <w:sz w:val="22"/>
              <w:szCs w:val="22"/>
            </w:rPr>
          </w:pPr>
          <w:hyperlink w:history="1" w:anchor="_Toc150758983">
            <w:r w:rsidRPr="5223FEBC" w:rsidR="00E97356">
              <w:rPr>
                <w:rStyle w:val="Hyperlink"/>
                <w:rFonts w:ascii="Times New Roman" w:hAnsi="Times New Roman" w:cs="Times New Roman"/>
                <w:noProof/>
                <w:sz w:val="24"/>
                <w:szCs w:val="24"/>
              </w:rPr>
              <w:t>UK Gender Equality Initiative 1: Gender Pay Gap Reporting</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_Toc150758983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14</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0D6BDE42" w14:textId="6244AF23" w14:noSpellErr="1">
          <w:pPr>
            <w:pStyle w:val="TOC2"/>
            <w:tabs>
              <w:tab w:val="right" w:leader="dot" w:pos="9350"/>
            </w:tabs>
            <w:jc w:val="both"/>
            <w:rPr>
              <w:rFonts w:ascii="Arial Nova" w:hAnsi="Arial Nova" w:eastAsia="Arial Nova" w:cs="Arial Nova"/>
              <w:noProof/>
              <w:sz w:val="22"/>
              <w:szCs w:val="22"/>
            </w:rPr>
          </w:pPr>
          <w:hyperlink w:history="1" w:anchor="_Toc150758984">
            <w:r w:rsidRPr="5223FEBC" w:rsidR="00E97356">
              <w:rPr>
                <w:rStyle w:val="Hyperlink"/>
                <w:rFonts w:ascii="Times New Roman" w:hAnsi="Times New Roman" w:cs="Times New Roman"/>
                <w:noProof/>
                <w:sz w:val="24"/>
                <w:szCs w:val="24"/>
              </w:rPr>
              <w:t>UK Gender Equality Initiative 2: Violence Against Women and Girls</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_Toc150758984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15</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7E3A4577" w14:textId="1D1F8767" w14:noSpellErr="1">
          <w:pPr>
            <w:pStyle w:val="TOC2"/>
            <w:tabs>
              <w:tab w:val="right" w:leader="dot" w:pos="9350"/>
            </w:tabs>
            <w:jc w:val="both"/>
            <w:rPr>
              <w:rFonts w:ascii="Arial Nova" w:hAnsi="Arial Nova" w:eastAsia="Arial Nova" w:cs="Arial Nova"/>
              <w:noProof/>
              <w:sz w:val="22"/>
              <w:szCs w:val="22"/>
            </w:rPr>
          </w:pPr>
          <w:hyperlink w:history="1" w:anchor="_Toc150758985">
            <w:r w:rsidRPr="5223FEBC" w:rsidR="00E97356">
              <w:rPr>
                <w:rStyle w:val="Hyperlink"/>
                <w:rFonts w:ascii="Times New Roman" w:hAnsi="Times New Roman" w:cs="Times New Roman"/>
                <w:noProof/>
                <w:sz w:val="24"/>
                <w:szCs w:val="24"/>
              </w:rPr>
              <w:t>Evaluating the Initiatives</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_Toc150758985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15</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1C87EEFA" w14:textId="5EBEC3C8" w14:noSpellErr="1">
          <w:pPr>
            <w:pStyle w:val="TOC2"/>
            <w:tabs>
              <w:tab w:val="right" w:leader="dot" w:pos="9350"/>
            </w:tabs>
            <w:jc w:val="both"/>
            <w:rPr>
              <w:rFonts w:ascii="Arial Nova" w:hAnsi="Arial Nova" w:eastAsia="Arial Nova" w:cs="Arial Nova"/>
              <w:noProof/>
              <w:sz w:val="22"/>
              <w:szCs w:val="22"/>
            </w:rPr>
          </w:pPr>
          <w:hyperlink w:history="1" w:anchor="_Toc150758986">
            <w:r w:rsidRPr="5223FEBC" w:rsidR="00E97356">
              <w:rPr>
                <w:rStyle w:val="Hyperlink"/>
                <w:rFonts w:ascii="Times New Roman" w:hAnsi="Times New Roman" w:cs="Times New Roman"/>
                <w:noProof/>
                <w:sz w:val="24"/>
                <w:szCs w:val="24"/>
              </w:rPr>
              <w:t>Impact of Implementing Gender Equality</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_Toc150758986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16</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25E7B354" w14:textId="337BA117" w14:noSpellErr="1">
          <w:pPr>
            <w:pStyle w:val="TOC2"/>
            <w:tabs>
              <w:tab w:val="right" w:leader="dot" w:pos="9350"/>
            </w:tabs>
            <w:jc w:val="both"/>
            <w:rPr>
              <w:rFonts w:ascii="Arial Nova" w:hAnsi="Arial Nova" w:eastAsia="Arial Nova" w:cs="Arial Nova"/>
              <w:noProof/>
              <w:sz w:val="22"/>
              <w:szCs w:val="22"/>
            </w:rPr>
          </w:pPr>
          <w:hyperlink w:history="1" w:anchor="_Toc150758987">
            <w:r w:rsidRPr="5223FEBC" w:rsidR="00E97356">
              <w:rPr>
                <w:rStyle w:val="Hyperlink"/>
                <w:rFonts w:ascii="Times New Roman" w:hAnsi="Times New Roman" w:cs="Times New Roman"/>
                <w:noProof/>
                <w:sz w:val="24"/>
                <w:szCs w:val="24"/>
              </w:rPr>
              <w:t>Challenges of Implementing Gender Equality</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_Toc150758987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17</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44D7746F" w14:textId="62C18095" w14:noSpellErr="1">
          <w:pPr>
            <w:pStyle w:val="TOC2"/>
            <w:tabs>
              <w:tab w:val="right" w:leader="dot" w:pos="9350"/>
            </w:tabs>
            <w:jc w:val="both"/>
            <w:rPr>
              <w:rFonts w:ascii="Arial Nova" w:hAnsi="Arial Nova" w:eastAsia="Arial Nova" w:cs="Arial Nova"/>
              <w:noProof/>
              <w:sz w:val="22"/>
              <w:szCs w:val="22"/>
            </w:rPr>
          </w:pPr>
          <w:hyperlink w:history="1" w:anchor="_Toc150758988">
            <w:r w:rsidRPr="5223FEBC" w:rsidR="00E97356">
              <w:rPr>
                <w:rStyle w:val="Hyperlink"/>
                <w:rFonts w:ascii="Times New Roman" w:hAnsi="Times New Roman" w:cs="Times New Roman"/>
                <w:noProof/>
                <w:sz w:val="24"/>
                <w:szCs w:val="24"/>
              </w:rPr>
              <w:t>Recommendations for Achieving Gender Equality</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_Toc150758988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17</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189A94C7" w14:textId="68453ED3" w14:noSpellErr="1">
          <w:pPr>
            <w:pStyle w:val="TOC1"/>
            <w:tabs>
              <w:tab w:val="right" w:leader="dot" w:pos="9350"/>
            </w:tabs>
            <w:jc w:val="both"/>
            <w:rPr>
              <w:rFonts w:ascii="Arial Nova" w:hAnsi="Arial Nova" w:eastAsia="Arial Nova" w:cs="Arial Nova"/>
              <w:noProof/>
              <w:sz w:val="22"/>
              <w:szCs w:val="22"/>
            </w:rPr>
          </w:pPr>
          <w:hyperlink w:history="1" w:anchor="_Toc150758989">
            <w:r w:rsidRPr="5223FEBC" w:rsidR="00E97356">
              <w:rPr>
                <w:rStyle w:val="Hyperlink"/>
                <w:rFonts w:ascii="Times New Roman" w:hAnsi="Times New Roman" w:cs="Times New Roman"/>
                <w:noProof/>
                <w:sz w:val="24"/>
                <w:szCs w:val="24"/>
              </w:rPr>
              <w:t>Conclusion</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_Toc150758989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18</w:t>
            </w:r>
            <w:r w:rsidRPr="003C104B" w:rsidR="00E97356">
              <w:rPr>
                <w:rFonts w:ascii="Times New Roman" w:hAnsi="Times New Roman" w:cs="Times New Roman"/>
                <w:noProof/>
                <w:webHidden/>
                <w:sz w:val="24"/>
                <w:szCs w:val="24"/>
              </w:rPr>
              <w:fldChar w:fldCharType="end"/>
            </w:r>
          </w:hyperlink>
        </w:p>
        <w:p w:rsidRPr="003C104B" w:rsidR="00E97356" w:rsidP="5223FEBC" w:rsidRDefault="004A6321" w14:paraId="7D4A5095" w14:textId="6EBCF9DB" w14:noSpellErr="1">
          <w:pPr>
            <w:pStyle w:val="TOC1"/>
            <w:tabs>
              <w:tab w:val="right" w:leader="dot" w:pos="9350"/>
            </w:tabs>
            <w:jc w:val="both"/>
            <w:rPr>
              <w:rFonts w:ascii="Arial Nova" w:hAnsi="Arial Nova" w:eastAsia="Arial Nova" w:cs="Arial Nova"/>
              <w:noProof/>
              <w:sz w:val="22"/>
              <w:szCs w:val="22"/>
            </w:rPr>
          </w:pPr>
          <w:hyperlink w:history="1" w:anchor="_Toc150758990">
            <w:r w:rsidRPr="5223FEBC" w:rsidR="00E97356">
              <w:rPr>
                <w:rStyle w:val="Hyperlink"/>
                <w:rFonts w:ascii="Times New Roman" w:hAnsi="Times New Roman" w:cs="Times New Roman"/>
                <w:noProof/>
                <w:sz w:val="24"/>
                <w:szCs w:val="24"/>
              </w:rPr>
              <w:t>References</w:t>
            </w:r>
            <w:r w:rsidRPr="003C104B" w:rsidR="00E97356">
              <w:rPr>
                <w:rFonts w:ascii="Times New Roman" w:hAnsi="Times New Roman" w:cs="Times New Roman"/>
                <w:noProof/>
                <w:webHidden/>
                <w:sz w:val="24"/>
                <w:szCs w:val="24"/>
              </w:rPr>
              <w:tab/>
            </w:r>
            <w:r w:rsidRPr="003C104B" w:rsidR="00E97356">
              <w:rPr>
                <w:rFonts w:ascii="Times New Roman" w:hAnsi="Times New Roman" w:cs="Times New Roman"/>
                <w:noProof/>
                <w:webHidden/>
                <w:sz w:val="24"/>
                <w:szCs w:val="24"/>
              </w:rPr>
              <w:fldChar w:fldCharType="begin"/>
            </w:r>
            <w:r w:rsidRPr="003C104B" w:rsidR="00E97356">
              <w:rPr>
                <w:rFonts w:ascii="Times New Roman" w:hAnsi="Times New Roman" w:cs="Times New Roman"/>
                <w:noProof/>
                <w:webHidden/>
                <w:sz w:val="24"/>
                <w:szCs w:val="24"/>
              </w:rPr>
              <w:instrText xml:space="preserve"> PAGEREF _Toc150758990 \h </w:instrText>
            </w:r>
            <w:r w:rsidRPr="003C104B" w:rsidR="00E97356">
              <w:rPr>
                <w:rFonts w:ascii="Times New Roman" w:hAnsi="Times New Roman" w:cs="Times New Roman"/>
                <w:noProof/>
                <w:webHidden/>
                <w:sz w:val="24"/>
                <w:szCs w:val="24"/>
              </w:rPr>
            </w:r>
            <w:r w:rsidRPr="003C104B" w:rsidR="00E97356">
              <w:rPr>
                <w:rFonts w:ascii="Times New Roman" w:hAnsi="Times New Roman" w:cs="Times New Roman"/>
                <w:noProof/>
                <w:webHidden/>
                <w:sz w:val="24"/>
                <w:szCs w:val="24"/>
              </w:rPr>
              <w:fldChar w:fldCharType="separate"/>
            </w:r>
            <w:r w:rsidRPr="5223FEBC" w:rsidR="00E97356">
              <w:rPr>
                <w:rFonts w:ascii="Times New Roman" w:hAnsi="Times New Roman" w:cs="Times New Roman"/>
                <w:noProof/>
                <w:webHidden/>
                <w:sz w:val="24"/>
                <w:szCs w:val="24"/>
              </w:rPr>
              <w:t>20</w:t>
            </w:r>
            <w:r w:rsidRPr="003C104B" w:rsidR="00E97356">
              <w:rPr>
                <w:rFonts w:ascii="Times New Roman" w:hAnsi="Times New Roman" w:cs="Times New Roman"/>
                <w:noProof/>
                <w:webHidden/>
                <w:sz w:val="24"/>
                <w:szCs w:val="24"/>
              </w:rPr>
              <w:fldChar w:fldCharType="end"/>
            </w:r>
          </w:hyperlink>
        </w:p>
        <w:p w:rsidRPr="003C104B" w:rsidR="00CE0D45" w:rsidP="5223FEBC" w:rsidRDefault="001128D7" w14:paraId="14F88CA3" w14:textId="27027079" w14:noSpellErr="1">
          <w:pPr>
            <w:spacing w:line="360" w:lineRule="auto"/>
            <w:jc w:val="both"/>
            <w:rPr>
              <w:rFonts w:ascii="Times New Roman" w:hAnsi="Times New Roman" w:eastAsia="Arial Nova" w:cs="Times New Roman"/>
              <w:sz w:val="22"/>
              <w:szCs w:val="22"/>
            </w:rPr>
          </w:pPr>
          <w:r w:rsidRPr="5223FEBC">
            <w:rPr>
              <w:rFonts w:ascii="Times New Roman" w:hAnsi="Times New Roman" w:cs="Times New Roman"/>
              <w:b w:val="1"/>
              <w:bCs w:val="1"/>
              <w:noProof/>
              <w:sz w:val="24"/>
              <w:szCs w:val="24"/>
            </w:rPr>
            <w:fldChar w:fldCharType="end"/>
          </w:r>
        </w:p>
      </w:sdtContent>
    </w:sdt>
    <w:p w:rsidRPr="003C104B" w:rsidR="00CE0D45" w:rsidP="5223FEBC" w:rsidRDefault="001128D7" w14:paraId="68557C66" w14:textId="32923364" w14:noSpellErr="1">
      <w:pPr>
        <w:spacing w:after="0" w:line="360" w:lineRule="auto"/>
        <w:jc w:val="both"/>
        <w:rPr>
          <w:rFonts w:ascii="Times New Roman" w:hAnsi="Times New Roman" w:eastAsia="Arial Nova" w:cs="Times New Roman"/>
          <w:sz w:val="22"/>
          <w:szCs w:val="22"/>
          <w:lang w:val="en-US"/>
        </w:rPr>
      </w:pPr>
      <w:r w:rsidRPr="5223FEBC">
        <w:rPr>
          <w:rFonts w:ascii="Times New Roman" w:hAnsi="Times New Roman" w:eastAsia="Arial Nova" w:cs="Times New Roman"/>
          <w:sz w:val="22"/>
          <w:szCs w:val="22"/>
        </w:rPr>
        <w:br w:type="page"/>
      </w:r>
    </w:p>
    <w:p w:rsidRPr="003C104B" w:rsidR="001A5328" w:rsidP="5223FEBC" w:rsidRDefault="2D9DA515" w14:paraId="2F808E15" w14:textId="33973F05" w14:noSpellErr="1">
      <w:pPr>
        <w:pStyle w:val="Heading1"/>
        <w:spacing w:line="360" w:lineRule="auto"/>
        <w:jc w:val="both"/>
        <w:rPr>
          <w:rFonts w:ascii="Arial Nova" w:hAnsi="Arial Nova" w:eastAsia="Arial Nova" w:cs="Arial Nova"/>
          <w:b w:val="1"/>
          <w:bCs w:val="1"/>
          <w:sz w:val="22"/>
          <w:szCs w:val="22"/>
        </w:rPr>
      </w:pPr>
      <w:bookmarkStart w:name="_Toc150758968" w:id="0"/>
      <w:r w:rsidRPr="5223FEBC" w:rsidR="5223FEBC">
        <w:rPr>
          <w:rFonts w:ascii="Arial Nova" w:hAnsi="Arial Nova" w:eastAsia="Arial Nova" w:cs="Arial Nova"/>
          <w:b w:val="1"/>
          <w:bCs w:val="1"/>
          <w:sz w:val="22"/>
          <w:szCs w:val="22"/>
        </w:rPr>
        <w:t>Health and Social Care Report</w:t>
      </w:r>
      <w:bookmarkEnd w:id="0"/>
    </w:p>
    <w:p w:rsidRPr="003C104B" w:rsidR="00CF7E1F" w:rsidP="5223FEBC" w:rsidRDefault="00B01692" w14:paraId="66A5A233" w14:textId="7466DD22">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Rapid changes and unique growth opportunities characterize the contemporary world. However, a vast array of challenges still must be addressed. "Salihu and </w:t>
      </w:r>
      <w:r w:rsidRPr="5223FEBC" w:rsidR="5223FEBC">
        <w:rPr>
          <w:rFonts w:ascii="Arial Nova" w:hAnsi="Arial Nova" w:eastAsia="Arial Nova" w:cs="Arial Nova"/>
          <w:sz w:val="22"/>
          <w:szCs w:val="22"/>
        </w:rPr>
        <w:t>Azuine</w:t>
      </w:r>
      <w:r w:rsidRPr="5223FEBC" w:rsidR="5223FEBC">
        <w:rPr>
          <w:rFonts w:ascii="Arial Nova" w:hAnsi="Arial Nova" w:eastAsia="Arial Nova" w:cs="Arial Nova"/>
          <w:sz w:val="22"/>
          <w:szCs w:val="22"/>
        </w:rPr>
        <w:t xml:space="preserve"> (2020) highlight major global health threats like air pollution, climate change, non-communicable diseases, instability from war and drought, global flu pandemics, resistance to antimicrobials, dengue, HIV, and vaccine hesitancy, among others." Taylor (2018) explains that global health issues are real, far-reaching, and are backed by overwhelming evidence and data. These have adverse effects on human life. For instance, </w:t>
      </w:r>
      <w:r w:rsidRPr="5223FEBC" w:rsidR="5223FEBC">
        <w:rPr>
          <w:rFonts w:ascii="Arial Nova" w:hAnsi="Arial Nova" w:eastAsia="Arial Nova" w:cs="Arial Nova"/>
          <w:sz w:val="22"/>
          <w:szCs w:val="22"/>
        </w:rPr>
        <w:t>Salihu</w:t>
      </w:r>
      <w:r w:rsidRPr="5223FEBC" w:rsidR="5223FEBC">
        <w:rPr>
          <w:rFonts w:ascii="Arial Nova" w:hAnsi="Arial Nova" w:eastAsia="Arial Nova" w:cs="Arial Nova"/>
          <w:sz w:val="22"/>
          <w:szCs w:val="22"/>
        </w:rPr>
        <w:t xml:space="preserve"> and </w:t>
      </w:r>
      <w:r w:rsidRPr="5223FEBC" w:rsidR="5223FEBC">
        <w:rPr>
          <w:rFonts w:ascii="Arial Nova" w:hAnsi="Arial Nova" w:eastAsia="Arial Nova" w:cs="Arial Nova"/>
          <w:sz w:val="22"/>
          <w:szCs w:val="22"/>
        </w:rPr>
        <w:t>Azuine</w:t>
      </w:r>
      <w:r w:rsidRPr="5223FEBC" w:rsidR="5223FEBC">
        <w:rPr>
          <w:rFonts w:ascii="Arial Nova" w:hAnsi="Arial Nova" w:eastAsia="Arial Nova" w:cs="Arial Nova"/>
          <w:sz w:val="22"/>
          <w:szCs w:val="22"/>
        </w:rPr>
        <w:t xml:space="preserve"> (2020) state that climate change and manufactured health stressors </w:t>
      </w:r>
      <w:r w:rsidRPr="5223FEBC" w:rsidR="5223FEBC">
        <w:rPr>
          <w:rFonts w:ascii="Arial Nova" w:hAnsi="Arial Nova" w:eastAsia="Arial Nova" w:cs="Arial Nova"/>
          <w:sz w:val="22"/>
          <w:szCs w:val="22"/>
        </w:rPr>
        <w:t>impact</w:t>
      </w:r>
      <w:r w:rsidRPr="5223FEBC" w:rsidR="5223FEBC">
        <w:rPr>
          <w:rFonts w:ascii="Arial Nova" w:hAnsi="Arial Nova" w:eastAsia="Arial Nova" w:cs="Arial Nova"/>
          <w:sz w:val="22"/>
          <w:szCs w:val="22"/>
        </w:rPr>
        <w:t xml:space="preserve"> human health, causing a rise in respiratory and cardiovascular diseases, injuries, premature deaths, and changes in the spread of water and food-related diseases. Therefore, addressing these global health issues is critical to preserving human life and improving people's quality of life.</w:t>
      </w:r>
    </w:p>
    <w:p w:rsidRPr="003C104B" w:rsidR="00324CAF" w:rsidP="5223FEBC" w:rsidRDefault="00212AF8" w14:paraId="1529454D" w14:textId="3858B85E">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As the global community has faced significant issues that affect global health, as stipulated above, the United Nations </w:t>
      </w:r>
      <w:r w:rsidRPr="5223FEBC" w:rsidR="5223FEBC">
        <w:rPr>
          <w:rFonts w:ascii="Arial Nova" w:hAnsi="Arial Nova" w:eastAsia="Arial Nova" w:cs="Arial Nova"/>
          <w:sz w:val="22"/>
          <w:szCs w:val="22"/>
        </w:rPr>
        <w:t>established</w:t>
      </w:r>
      <w:r w:rsidRPr="5223FEBC" w:rsidR="5223FEBC">
        <w:rPr>
          <w:rFonts w:ascii="Arial Nova" w:hAnsi="Arial Nova" w:eastAsia="Arial Nova" w:cs="Arial Nova"/>
          <w:sz w:val="22"/>
          <w:szCs w:val="22"/>
        </w:rPr>
        <w:t xml:space="preserve"> a framework for addressing the critical issues. The framework </w:t>
      </w:r>
      <w:r w:rsidRPr="5223FEBC" w:rsidR="5223FEBC">
        <w:rPr>
          <w:rFonts w:ascii="Arial Nova" w:hAnsi="Arial Nova" w:eastAsia="Arial Nova" w:cs="Arial Nova"/>
          <w:sz w:val="22"/>
          <w:szCs w:val="22"/>
        </w:rPr>
        <w:t>comprises</w:t>
      </w:r>
      <w:r w:rsidRPr="5223FEBC" w:rsidR="5223FEBC">
        <w:rPr>
          <w:rFonts w:ascii="Arial Nova" w:hAnsi="Arial Nova" w:eastAsia="Arial Nova" w:cs="Arial Nova"/>
          <w:sz w:val="22"/>
          <w:szCs w:val="22"/>
        </w:rPr>
        <w:t xml:space="preserve"> Sustainable Development Goals (SDGs). Renganathan and Davies (2023) posit that SDGs are seventeen goals to promote sustainable development by addressing inequality, poverty, climate change, health, and other global challenges by 2030. The SDGs were adopted by 193 countries, including Malaysia, at the 2015 United Nations General Assembly, and they </w:t>
      </w:r>
      <w:r w:rsidRPr="5223FEBC" w:rsidR="5223FEBC">
        <w:rPr>
          <w:rFonts w:ascii="Arial Nova" w:hAnsi="Arial Nova" w:eastAsia="Arial Nova" w:cs="Arial Nova"/>
          <w:sz w:val="22"/>
          <w:szCs w:val="22"/>
        </w:rPr>
        <w:t>represent</w:t>
      </w:r>
      <w:r w:rsidRPr="5223FEBC" w:rsidR="5223FEBC">
        <w:rPr>
          <w:rFonts w:ascii="Arial Nova" w:hAnsi="Arial Nova" w:eastAsia="Arial Nova" w:cs="Arial Nova"/>
          <w:sz w:val="22"/>
          <w:szCs w:val="22"/>
        </w:rPr>
        <w:t xml:space="preserve"> a comprehensive framework for achieving sustainable development worldwide. Some SDGs include no poverty, zero hunger, good health and well-being, quality education, gender equality, clean water and sanitation, and affordable and clean energy.</w:t>
      </w:r>
    </w:p>
    <w:p w:rsidRPr="003C104B" w:rsidR="00EA2AB7" w:rsidP="5223FEBC" w:rsidRDefault="2D9DA515" w14:paraId="566526A7" w14:textId="0F94F084">
      <w:pPr>
        <w:spacing w:after="0" w:line="360" w:lineRule="auto"/>
        <w:jc w:val="both"/>
        <w:rPr>
          <w:rFonts w:ascii="Arial Nova" w:hAnsi="Arial Nova" w:eastAsia="Arial Nova" w:cs="Arial Nova"/>
          <w:sz w:val="22"/>
          <w:szCs w:val="22"/>
        </w:rPr>
      </w:pPr>
      <w:r w:rsidRPr="5223FEBC" w:rsidR="5223FEBC">
        <w:rPr>
          <w:rFonts w:ascii="Arial Nova" w:hAnsi="Arial Nova" w:eastAsia="Arial Nova" w:cs="Arial Nova"/>
          <w:sz w:val="22"/>
          <w:szCs w:val="22"/>
        </w:rPr>
        <w:t xml:space="preserve">      This report aims to examine the extent to which the United Kingdom has made efforts to </w:t>
      </w:r>
      <w:r w:rsidRPr="5223FEBC" w:rsidR="5223FEBC">
        <w:rPr>
          <w:rFonts w:ascii="Arial Nova" w:hAnsi="Arial Nova" w:eastAsia="Arial Nova" w:cs="Arial Nova"/>
          <w:sz w:val="22"/>
          <w:szCs w:val="22"/>
        </w:rPr>
        <w:t>attain</w:t>
      </w:r>
      <w:r w:rsidRPr="5223FEBC" w:rsidR="5223FEBC">
        <w:rPr>
          <w:rFonts w:ascii="Arial Nova" w:hAnsi="Arial Nova" w:eastAsia="Arial Nova" w:cs="Arial Nova"/>
          <w:sz w:val="22"/>
          <w:szCs w:val="22"/>
        </w:rPr>
        <w:t xml:space="preserve"> two sustainable development goals to solve global issues that have adverse impacts on people. This is done by selecting two goals from the UN SDGs and </w:t>
      </w:r>
      <w:r w:rsidRPr="5223FEBC" w:rsidR="5223FEBC">
        <w:rPr>
          <w:rFonts w:ascii="Arial Nova" w:hAnsi="Arial Nova" w:eastAsia="Arial Nova" w:cs="Arial Nova"/>
          <w:sz w:val="22"/>
          <w:szCs w:val="22"/>
        </w:rPr>
        <w:t>identifying</w:t>
      </w:r>
      <w:r w:rsidRPr="5223FEBC" w:rsidR="5223FEBC">
        <w:rPr>
          <w:rFonts w:ascii="Arial Nova" w:hAnsi="Arial Nova" w:eastAsia="Arial Nova" w:cs="Arial Nova"/>
          <w:sz w:val="22"/>
          <w:szCs w:val="22"/>
        </w:rPr>
        <w:t xml:space="preserve"> two initiatives in each goal implemented in the UK in pursuit of those goals. The initiatives are critically reviewed, and their progress is evaluated. The impacts of implementing the SDGs on health and well-being are then described, challenges in </w:t>
      </w:r>
      <w:r w:rsidRPr="5223FEBC" w:rsidR="5223FEBC">
        <w:rPr>
          <w:rFonts w:ascii="Arial Nova" w:hAnsi="Arial Nova" w:eastAsia="Arial Nova" w:cs="Arial Nova"/>
          <w:sz w:val="22"/>
          <w:szCs w:val="22"/>
        </w:rPr>
        <w:t>attaining</w:t>
      </w:r>
      <w:r w:rsidRPr="5223FEBC" w:rsidR="5223FEBC">
        <w:rPr>
          <w:rFonts w:ascii="Arial Nova" w:hAnsi="Arial Nova" w:eastAsia="Arial Nova" w:cs="Arial Nova"/>
          <w:sz w:val="22"/>
          <w:szCs w:val="22"/>
        </w:rPr>
        <w:t xml:space="preserve"> the goals are outlined, and recommendations for </w:t>
      </w:r>
      <w:r w:rsidRPr="5223FEBC" w:rsidR="5223FEBC">
        <w:rPr>
          <w:rFonts w:ascii="Arial Nova" w:hAnsi="Arial Nova" w:eastAsia="Arial Nova" w:cs="Arial Nova"/>
          <w:sz w:val="22"/>
          <w:szCs w:val="22"/>
        </w:rPr>
        <w:t>attaining</w:t>
      </w:r>
      <w:r w:rsidRPr="5223FEBC" w:rsidR="5223FEBC">
        <w:rPr>
          <w:rFonts w:ascii="Arial Nova" w:hAnsi="Arial Nova" w:eastAsia="Arial Nova" w:cs="Arial Nova"/>
          <w:sz w:val="22"/>
          <w:szCs w:val="22"/>
        </w:rPr>
        <w:t xml:space="preserve"> the goals are provided. The report concludes by summarizing the key findings, insights, and recommendations presented in the entire paper.</w:t>
      </w:r>
    </w:p>
    <w:p w:rsidRPr="003C104B" w:rsidR="00EA2AB7" w:rsidP="5223FEBC" w:rsidRDefault="2D9DA515" w14:paraId="7F82EB4E" w14:textId="0DD04A20">
      <w:pPr>
        <w:spacing w:after="0" w:line="360" w:lineRule="auto"/>
        <w:jc w:val="both"/>
        <w:rPr>
          <w:rFonts w:ascii="Arial Nova" w:hAnsi="Arial Nova" w:eastAsia="Arial Nova" w:cs="Arial Nova"/>
          <w:b w:val="1"/>
          <w:bCs w:val="1"/>
          <w:sz w:val="22"/>
          <w:szCs w:val="22"/>
        </w:rPr>
      </w:pPr>
    </w:p>
    <w:p w:rsidRPr="003C104B" w:rsidR="00EA2AB7" w:rsidP="5223FEBC" w:rsidRDefault="2D9DA515" w14:paraId="4703ED46" w14:textId="344E1BD2">
      <w:pPr>
        <w:spacing w:after="0" w:line="360" w:lineRule="auto"/>
        <w:jc w:val="both"/>
        <w:rPr>
          <w:rFonts w:ascii="Arial Nova" w:hAnsi="Arial Nova" w:eastAsia="Arial Nova" w:cs="Arial Nova"/>
          <w:b w:val="1"/>
          <w:bCs w:val="1"/>
          <w:sz w:val="22"/>
          <w:szCs w:val="22"/>
        </w:rPr>
      </w:pPr>
    </w:p>
    <w:p w:rsidRPr="003C104B" w:rsidR="00EA2AB7" w:rsidP="5223FEBC" w:rsidRDefault="2D9DA515" w14:paraId="6E28974F" w14:textId="6C6AB632">
      <w:pPr>
        <w:spacing w:after="0" w:line="360" w:lineRule="auto"/>
        <w:jc w:val="both"/>
        <w:rPr>
          <w:rFonts w:ascii="Arial Nova" w:hAnsi="Arial Nova" w:eastAsia="Arial Nova" w:cs="Arial Nova"/>
          <w:b w:val="1"/>
          <w:bCs w:val="1"/>
          <w:sz w:val="22"/>
          <w:szCs w:val="22"/>
        </w:rPr>
      </w:pPr>
      <w:bookmarkStart w:name="_Toc150758969" w:id="1"/>
      <w:r w:rsidRPr="5223FEBC" w:rsidR="5223FEBC">
        <w:rPr>
          <w:rFonts w:ascii="Arial Nova" w:hAnsi="Arial Nova" w:eastAsia="Arial Nova" w:cs="Arial Nova"/>
          <w:b w:val="1"/>
          <w:bCs w:val="1"/>
          <w:sz w:val="22"/>
          <w:szCs w:val="22"/>
        </w:rPr>
        <w:t>Introduction to Concepts</w:t>
      </w:r>
      <w:bookmarkEnd w:id="1"/>
    </w:p>
    <w:p w:rsidRPr="003C104B" w:rsidR="00D95979" w:rsidP="5223FEBC" w:rsidRDefault="00B317AF" w14:paraId="2654CE54" w14:textId="18DD9565">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Before explaining the progress made in the UK in </w:t>
      </w:r>
      <w:r w:rsidRPr="5223FEBC" w:rsidR="5223FEBC">
        <w:rPr>
          <w:rFonts w:ascii="Arial Nova" w:hAnsi="Arial Nova" w:eastAsia="Arial Nova" w:cs="Arial Nova"/>
          <w:sz w:val="22"/>
          <w:szCs w:val="22"/>
        </w:rPr>
        <w:t>attaining</w:t>
      </w:r>
      <w:r w:rsidRPr="5223FEBC" w:rsidR="5223FEBC">
        <w:rPr>
          <w:rFonts w:ascii="Arial Nova" w:hAnsi="Arial Nova" w:eastAsia="Arial Nova" w:cs="Arial Nova"/>
          <w:sz w:val="22"/>
          <w:szCs w:val="22"/>
        </w:rPr>
        <w:t xml:space="preserve"> the SDGs, it is vital to understand various concepts related to the topic that are used throughout the paper. Some concepts are explained in this section, including well-being, sustainable development, health, and sustainable development goals. The importance of each of the concepts is also provided.</w:t>
      </w:r>
    </w:p>
    <w:p w:rsidRPr="003C104B" w:rsidR="007E7C5E" w:rsidP="5223FEBC" w:rsidRDefault="2D9DA515" w14:paraId="165A0519" w14:textId="309C82AA" w14:noSpellErr="1">
      <w:pPr>
        <w:spacing w:after="0" w:line="360" w:lineRule="auto"/>
        <w:jc w:val="both"/>
        <w:rPr>
          <w:rFonts w:ascii="Arial Nova" w:hAnsi="Arial Nova" w:eastAsia="Arial Nova" w:cs="Arial Nova"/>
          <w:b w:val="1"/>
          <w:bCs w:val="1"/>
          <w:i w:val="1"/>
          <w:iCs w:val="1"/>
          <w:sz w:val="22"/>
          <w:szCs w:val="22"/>
          <w:lang w:val="en-US"/>
        </w:rPr>
      </w:pPr>
      <w:r w:rsidRPr="5223FEBC" w:rsidR="5223FEBC">
        <w:rPr>
          <w:rFonts w:ascii="Arial Nova" w:hAnsi="Arial Nova" w:eastAsia="Arial Nova" w:cs="Arial Nova"/>
          <w:b w:val="1"/>
          <w:bCs w:val="1"/>
          <w:i w:val="1"/>
          <w:iCs w:val="1"/>
          <w:sz w:val="22"/>
          <w:szCs w:val="22"/>
        </w:rPr>
        <w:t>Well-being</w:t>
      </w:r>
    </w:p>
    <w:p w:rsidRPr="003C104B" w:rsidR="004C047A" w:rsidP="5223FEBC" w:rsidRDefault="00BE4FDB" w14:paraId="6ACCEA4B" w14:textId="3F1E4B8B">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Well-being is a concept that has piqued human attention, dated back thousands of years, and elicited complex indigenous understandings. Jarden and Roache (2023) explain that the notion of well-being has endured the test of time and </w:t>
      </w:r>
      <w:r w:rsidRPr="5223FEBC" w:rsidR="5223FEBC">
        <w:rPr>
          <w:rFonts w:ascii="Arial Nova" w:hAnsi="Arial Nova" w:eastAsia="Arial Nova" w:cs="Arial Nova"/>
          <w:sz w:val="22"/>
          <w:szCs w:val="22"/>
        </w:rPr>
        <w:t>remains</w:t>
      </w:r>
      <w:r w:rsidRPr="5223FEBC" w:rsidR="5223FEBC">
        <w:rPr>
          <w:rFonts w:ascii="Arial Nova" w:hAnsi="Arial Nova" w:eastAsia="Arial Nova" w:cs="Arial Nova"/>
          <w:sz w:val="22"/>
          <w:szCs w:val="22"/>
        </w:rPr>
        <w:t xml:space="preserve"> vital to subjects such as social sciences. While the concept of well-being has attracted significant attention through the ages, Jarden and Roache (2023) assert that there is no consensus concerning the definition and conceptualization of the term. Nevertheless, Jarden and </w:t>
      </w:r>
      <w:r w:rsidRPr="5223FEBC" w:rsidR="5223FEBC">
        <w:rPr>
          <w:rFonts w:ascii="Arial Nova" w:hAnsi="Arial Nova" w:eastAsia="Arial Nova" w:cs="Arial Nova"/>
          <w:sz w:val="22"/>
          <w:szCs w:val="22"/>
        </w:rPr>
        <w:t>Roache</w:t>
      </w:r>
      <w:r w:rsidRPr="5223FEBC" w:rsidR="5223FEBC">
        <w:rPr>
          <w:rFonts w:ascii="Arial Nova" w:hAnsi="Arial Nova" w:eastAsia="Arial Nova" w:cs="Arial Nova"/>
          <w:sz w:val="22"/>
          <w:szCs w:val="22"/>
        </w:rPr>
        <w:t xml:space="preserve"> (2023) stipulate that there is a general agreement that well-being is a multi-dimensional concept.</w:t>
      </w:r>
    </w:p>
    <w:p w:rsidRPr="003C104B" w:rsidR="008530AC" w:rsidP="5223FEBC" w:rsidRDefault="007D68A6" w14:paraId="57364938" w14:textId="7C186D10">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The absence of consensus concerning the definition and conceptualization of well-being does not mean that scholars have not </w:t>
      </w:r>
      <w:r w:rsidRPr="5223FEBC" w:rsidR="5223FEBC">
        <w:rPr>
          <w:rFonts w:ascii="Arial Nova" w:hAnsi="Arial Nova" w:eastAsia="Arial Nova" w:cs="Arial Nova"/>
          <w:sz w:val="22"/>
          <w:szCs w:val="22"/>
        </w:rPr>
        <w:t>attempted</w:t>
      </w:r>
      <w:r w:rsidRPr="5223FEBC" w:rsidR="5223FEBC">
        <w:rPr>
          <w:rFonts w:ascii="Arial Nova" w:hAnsi="Arial Nova" w:eastAsia="Arial Nova" w:cs="Arial Nova"/>
          <w:sz w:val="22"/>
          <w:szCs w:val="22"/>
        </w:rPr>
        <w:t xml:space="preserve"> to define the term. Jarden and Roache (2023) assert that disciplines have defined well-being differently. One of the most cited definitions of well-being is that it refers to how people feel and their functioning on personal and social levels, including their evaluation of their lives (Jarden &amp; Roache 2023). Another definition of well-being provided by Simons and Baldwin (2021) as the subjective state of positive emotions and realization of one's full potential, not gauged through objective measures. This definition points to well-being having several elements in the broad categories of </w:t>
      </w:r>
      <w:r w:rsidRPr="5223FEBC" w:rsidR="5223FEBC">
        <w:rPr>
          <w:rFonts w:ascii="Arial Nova" w:hAnsi="Arial Nova" w:eastAsia="Arial Nova" w:cs="Arial Nova"/>
          <w:sz w:val="22"/>
          <w:szCs w:val="22"/>
        </w:rPr>
        <w:t>behaviour</w:t>
      </w:r>
      <w:r w:rsidRPr="5223FEBC" w:rsidR="5223FEBC">
        <w:rPr>
          <w:rFonts w:ascii="Arial Nova" w:hAnsi="Arial Nova" w:eastAsia="Arial Nova" w:cs="Arial Nova"/>
          <w:sz w:val="22"/>
          <w:szCs w:val="22"/>
        </w:rPr>
        <w:t>, emotion, cognition, and relationships.</w:t>
      </w:r>
    </w:p>
    <w:p w:rsidRPr="003C104B" w:rsidR="00CF7E1F" w:rsidP="5223FEBC" w:rsidRDefault="001128D7" w14:paraId="3EB833DA" w14:textId="22E80D7E">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The importance of well-being has been vastly studied. For instance, Karvonen, Tokola, and </w:t>
      </w:r>
      <w:r w:rsidRPr="5223FEBC" w:rsidR="5223FEBC">
        <w:rPr>
          <w:rFonts w:ascii="Arial Nova" w:hAnsi="Arial Nova" w:eastAsia="Arial Nova" w:cs="Arial Nova"/>
          <w:sz w:val="22"/>
          <w:szCs w:val="22"/>
        </w:rPr>
        <w:t>Rimpelä</w:t>
      </w:r>
      <w:r w:rsidRPr="5223FEBC" w:rsidR="5223FEBC">
        <w:rPr>
          <w:rFonts w:ascii="Arial Nova" w:hAnsi="Arial Nova" w:eastAsia="Arial Nova" w:cs="Arial Nova"/>
          <w:sz w:val="22"/>
          <w:szCs w:val="22"/>
        </w:rPr>
        <w:t xml:space="preserve"> (2018) examined the differences in academic achievement based on distinct levels of well-being for various schools. The research concluded that educational institutions </w:t>
      </w:r>
      <w:r w:rsidRPr="5223FEBC" w:rsidR="5223FEBC">
        <w:rPr>
          <w:rFonts w:ascii="Arial Nova" w:hAnsi="Arial Nova" w:eastAsia="Arial Nova" w:cs="Arial Nova"/>
          <w:sz w:val="22"/>
          <w:szCs w:val="22"/>
        </w:rPr>
        <w:t>exhibiting</w:t>
      </w:r>
      <w:r w:rsidRPr="5223FEBC" w:rsidR="5223FEBC">
        <w:rPr>
          <w:rFonts w:ascii="Arial Nova" w:hAnsi="Arial Nova" w:eastAsia="Arial Nova" w:cs="Arial Nova"/>
          <w:sz w:val="22"/>
          <w:szCs w:val="22"/>
        </w:rPr>
        <w:t xml:space="preserve"> poor academic progress </w:t>
      </w:r>
      <w:r w:rsidRPr="5223FEBC" w:rsidR="5223FEBC">
        <w:rPr>
          <w:rFonts w:ascii="Arial Nova" w:hAnsi="Arial Nova" w:eastAsia="Arial Nova" w:cs="Arial Nova"/>
          <w:sz w:val="22"/>
          <w:szCs w:val="22"/>
        </w:rPr>
        <w:t>frequently</w:t>
      </w:r>
      <w:r w:rsidRPr="5223FEBC" w:rsidR="5223FEBC">
        <w:rPr>
          <w:rFonts w:ascii="Arial Nova" w:hAnsi="Arial Nova" w:eastAsia="Arial Nova" w:cs="Arial Nova"/>
          <w:sz w:val="22"/>
          <w:szCs w:val="22"/>
        </w:rPr>
        <w:t xml:space="preserve"> corresponded with diminished development trajectories, </w:t>
      </w:r>
      <w:r w:rsidRPr="5223FEBC" w:rsidR="5223FEBC">
        <w:rPr>
          <w:rFonts w:ascii="Arial Nova" w:hAnsi="Arial Nova" w:eastAsia="Arial Nova" w:cs="Arial Nova"/>
          <w:sz w:val="22"/>
          <w:szCs w:val="22"/>
        </w:rPr>
        <w:t>whereas</w:t>
      </w:r>
      <w:r w:rsidRPr="5223FEBC" w:rsidR="5223FEBC">
        <w:rPr>
          <w:rFonts w:ascii="Arial Nova" w:hAnsi="Arial Nova" w:eastAsia="Arial Nova" w:cs="Arial Nova"/>
          <w:sz w:val="22"/>
          <w:szCs w:val="22"/>
        </w:rPr>
        <w:t xml:space="preserve"> enhanced performance was linked to improved well-being. Wren-Lewis and </w:t>
      </w:r>
      <w:r w:rsidRPr="5223FEBC" w:rsidR="5223FEBC">
        <w:rPr>
          <w:rFonts w:ascii="Arial Nova" w:hAnsi="Arial Nova" w:eastAsia="Arial Nova" w:cs="Arial Nova"/>
          <w:sz w:val="22"/>
          <w:szCs w:val="22"/>
        </w:rPr>
        <w:t>Alexandrova's</w:t>
      </w:r>
      <w:r w:rsidRPr="5223FEBC" w:rsidR="5223FEBC">
        <w:rPr>
          <w:rFonts w:ascii="Arial Nova" w:hAnsi="Arial Nova" w:eastAsia="Arial Nova" w:cs="Arial Nova"/>
          <w:sz w:val="22"/>
          <w:szCs w:val="22"/>
        </w:rPr>
        <w:t xml:space="preserve"> 2021 study asserts that mental health, being a fundamental good, serves as a psychological basis for pursuing any ideal life, including well-being. Although well-being and mental health are not identical, a strong correlation exists between them. </w:t>
      </w:r>
      <w:r w:rsidRPr="5223FEBC" w:rsidR="5223FEBC">
        <w:rPr>
          <w:rFonts w:ascii="Arial Nova" w:hAnsi="Arial Nova" w:eastAsia="Arial Nova" w:cs="Arial Nova"/>
          <w:sz w:val="22"/>
          <w:szCs w:val="22"/>
        </w:rPr>
        <w:t>Lubowiecki-Vikuk</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sz w:val="22"/>
          <w:szCs w:val="22"/>
        </w:rPr>
        <w:t>Dąbrowska</w:t>
      </w:r>
      <w:r w:rsidRPr="5223FEBC" w:rsidR="5223FEBC">
        <w:rPr>
          <w:rFonts w:ascii="Arial Nova" w:hAnsi="Arial Nova" w:eastAsia="Arial Nova" w:cs="Arial Nova"/>
          <w:sz w:val="22"/>
          <w:szCs w:val="22"/>
        </w:rPr>
        <w:t xml:space="preserve">, and </w:t>
      </w:r>
      <w:r w:rsidRPr="5223FEBC" w:rsidR="5223FEBC">
        <w:rPr>
          <w:rFonts w:ascii="Arial Nova" w:hAnsi="Arial Nova" w:eastAsia="Arial Nova" w:cs="Arial Nova"/>
          <w:sz w:val="22"/>
          <w:szCs w:val="22"/>
        </w:rPr>
        <w:t>Machnik</w:t>
      </w:r>
      <w:r w:rsidRPr="5223FEBC" w:rsidR="5223FEBC">
        <w:rPr>
          <w:rFonts w:ascii="Arial Nova" w:hAnsi="Arial Nova" w:eastAsia="Arial Nova" w:cs="Arial Nova"/>
          <w:sz w:val="22"/>
          <w:szCs w:val="22"/>
        </w:rPr>
        <w:t xml:space="preserve"> (2021) also link well-being to better life choices.</w:t>
      </w:r>
    </w:p>
    <w:p w:rsidRPr="003C104B" w:rsidR="21C17280" w:rsidP="5223FEBC" w:rsidRDefault="21C17280" w14:paraId="601A9CA0" w14:textId="09FA0BB2" w14:noSpellErr="1">
      <w:pPr>
        <w:pStyle w:val="Heading2"/>
        <w:spacing w:line="360" w:lineRule="auto"/>
        <w:jc w:val="both"/>
        <w:rPr>
          <w:rFonts w:ascii="Arial Nova" w:hAnsi="Arial Nova" w:eastAsia="Arial Nova" w:cs="Arial Nova"/>
          <w:b w:val="1"/>
          <w:bCs w:val="1"/>
          <w:sz w:val="22"/>
          <w:szCs w:val="22"/>
        </w:rPr>
      </w:pPr>
    </w:p>
    <w:p w:rsidRPr="003C104B" w:rsidR="00617D25" w:rsidP="5223FEBC" w:rsidRDefault="2D9DA515" w14:paraId="5EA3F49B" w14:textId="291279BB" w14:noSpellErr="1">
      <w:pPr>
        <w:pStyle w:val="Heading2"/>
        <w:spacing w:line="360" w:lineRule="auto"/>
        <w:jc w:val="both"/>
        <w:rPr>
          <w:rFonts w:ascii="Arial Nova" w:hAnsi="Arial Nova" w:eastAsia="Arial Nova" w:cs="Arial Nova"/>
          <w:b w:val="1"/>
          <w:bCs w:val="1"/>
          <w:sz w:val="22"/>
          <w:szCs w:val="22"/>
        </w:rPr>
      </w:pPr>
      <w:bookmarkStart w:name="_Toc150758970" w:id="2"/>
      <w:r w:rsidRPr="5223FEBC" w:rsidR="5223FEBC">
        <w:rPr>
          <w:rFonts w:ascii="Arial Nova" w:hAnsi="Arial Nova" w:eastAsia="Arial Nova" w:cs="Arial Nova"/>
          <w:b w:val="1"/>
          <w:bCs w:val="1"/>
          <w:sz w:val="22"/>
          <w:szCs w:val="22"/>
        </w:rPr>
        <w:t>Sustainable Development</w:t>
      </w:r>
      <w:bookmarkEnd w:id="2"/>
    </w:p>
    <w:p w:rsidRPr="003C104B" w:rsidR="0095269E" w:rsidP="5223FEBC" w:rsidRDefault="007B3DAD" w14:paraId="72FD1C29" w14:textId="54E2A449">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The concept of sustainable development comes from the word sustainability. Moldovan et al. (2022) define sustainability as the characteristic of an operation that can be executed without causing environmental damage, without depleting existing resources, and without obstruct the potential for future generations to meet their needs. According to Moldovan et al. (2022), sustainable development is a concept that stems from the definition of sustainability. It involves meeting the needs of present generations without causing environmental harm, without exhausting available resources, and without undermining the ability of future generations to </w:t>
      </w:r>
      <w:r w:rsidRPr="5223FEBC" w:rsidR="5223FEBC">
        <w:rPr>
          <w:rFonts w:ascii="Arial Nova" w:hAnsi="Arial Nova" w:eastAsia="Arial Nova" w:cs="Arial Nova"/>
          <w:sz w:val="22"/>
          <w:szCs w:val="22"/>
        </w:rPr>
        <w:t>procure</w:t>
      </w:r>
      <w:r w:rsidRPr="5223FEBC" w:rsidR="5223FEBC">
        <w:rPr>
          <w:rFonts w:ascii="Arial Nova" w:hAnsi="Arial Nova" w:eastAsia="Arial Nova" w:cs="Arial Nova"/>
          <w:sz w:val="22"/>
          <w:szCs w:val="22"/>
        </w:rPr>
        <w:t xml:space="preserve"> the resources they will </w:t>
      </w:r>
      <w:r w:rsidRPr="5223FEBC" w:rsidR="5223FEBC">
        <w:rPr>
          <w:rFonts w:ascii="Arial Nova" w:hAnsi="Arial Nova" w:eastAsia="Arial Nova" w:cs="Arial Nova"/>
          <w:sz w:val="22"/>
          <w:szCs w:val="22"/>
        </w:rPr>
        <w:t>require</w:t>
      </w:r>
      <w:r w:rsidRPr="5223FEBC" w:rsidR="5223FEBC">
        <w:rPr>
          <w:rFonts w:ascii="Arial Nova" w:hAnsi="Arial Nova" w:eastAsia="Arial Nova" w:cs="Arial Nova"/>
          <w:sz w:val="22"/>
          <w:szCs w:val="22"/>
        </w:rPr>
        <w:t>.</w:t>
      </w:r>
    </w:p>
    <w:p w:rsidRPr="003C104B" w:rsidR="00495928" w:rsidP="5223FEBC" w:rsidRDefault="009D65F7" w14:paraId="30CBC5F1" w14:textId="11B15D01">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Sustainable development is essential for several reasons. Moldovan et al. (2022), emphasize the importance of thoroughly respecting a broad array of human rights, encompassing the fundamental right to life and healthcare. As per Moldovan et al. (2022), human rights embody a comprehensive collection of basic rights that all individuals should </w:t>
      </w:r>
      <w:r w:rsidRPr="5223FEBC" w:rsidR="5223FEBC">
        <w:rPr>
          <w:rFonts w:ascii="Arial Nova" w:hAnsi="Arial Nova" w:eastAsia="Arial Nova" w:cs="Arial Nova"/>
          <w:sz w:val="22"/>
          <w:szCs w:val="22"/>
        </w:rPr>
        <w:t>possess</w:t>
      </w:r>
      <w:r w:rsidRPr="5223FEBC" w:rsidR="5223FEBC">
        <w:rPr>
          <w:rFonts w:ascii="Arial Nova" w:hAnsi="Arial Nova" w:eastAsia="Arial Nova" w:cs="Arial Nova"/>
          <w:sz w:val="22"/>
          <w:szCs w:val="22"/>
        </w:rPr>
        <w:t xml:space="preserve">. In the sphere of healthcare, these rights encapsulate the endorsement of equal opportunities, the provision of healthcare access, and the advocacy of sustainable and responsible conduct. Sustainable development ensures that people have these rights in the present and the future (Kaltenborn, </w:t>
      </w:r>
      <w:r w:rsidRPr="5223FEBC" w:rsidR="5223FEBC">
        <w:rPr>
          <w:rFonts w:ascii="Arial Nova" w:hAnsi="Arial Nova" w:eastAsia="Arial Nova" w:cs="Arial Nova"/>
          <w:sz w:val="22"/>
          <w:szCs w:val="22"/>
        </w:rPr>
        <w:t>Krajewski</w:t>
      </w:r>
      <w:r w:rsidRPr="5223FEBC" w:rsidR="5223FEBC">
        <w:rPr>
          <w:rFonts w:ascii="Arial Nova" w:hAnsi="Arial Nova" w:eastAsia="Arial Nova" w:cs="Arial Nova"/>
          <w:sz w:val="22"/>
          <w:szCs w:val="22"/>
        </w:rPr>
        <w:t xml:space="preserve"> &amp; Kuhn, 2020). Through sustainable development, the environment is preserved, biodiversity is protected, climate change is mitigated, poverty is eradicated, and social inclusivity is promoted.</w:t>
      </w:r>
    </w:p>
    <w:p w:rsidRPr="003C104B" w:rsidR="004169A0" w:rsidP="5223FEBC" w:rsidRDefault="2D9DA515" w14:paraId="69645151" w14:textId="11C0813C" w14:noSpellErr="1">
      <w:pPr>
        <w:pStyle w:val="Heading2"/>
        <w:spacing w:line="360" w:lineRule="auto"/>
        <w:jc w:val="both"/>
        <w:rPr>
          <w:rFonts w:ascii="Arial Nova" w:hAnsi="Arial Nova" w:eastAsia="Arial Nova" w:cs="Arial Nova"/>
          <w:b w:val="1"/>
          <w:bCs w:val="1"/>
          <w:sz w:val="22"/>
          <w:szCs w:val="22"/>
        </w:rPr>
      </w:pPr>
      <w:bookmarkStart w:name="_Toc150758971" w:id="3"/>
      <w:r w:rsidRPr="5223FEBC" w:rsidR="5223FEBC">
        <w:rPr>
          <w:rFonts w:ascii="Arial Nova" w:hAnsi="Arial Nova" w:eastAsia="Arial Nova" w:cs="Arial Nova"/>
          <w:b w:val="1"/>
          <w:bCs w:val="1"/>
          <w:sz w:val="22"/>
          <w:szCs w:val="22"/>
        </w:rPr>
        <w:t>Health</w:t>
      </w:r>
      <w:bookmarkEnd w:id="3"/>
    </w:p>
    <w:p w:rsidRPr="003C104B" w:rsidR="00A840ED" w:rsidP="5223FEBC" w:rsidRDefault="009220F3" w14:paraId="7BBD2146" w14:textId="09E2A535">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Health is a state of being or an outcome highly prioritized and valued globally. Health is a term related to well-being; like well-being, there is no one-size-fits-all definition. Several definitions have been </w:t>
      </w:r>
      <w:r w:rsidRPr="5223FEBC" w:rsidR="5223FEBC">
        <w:rPr>
          <w:rFonts w:ascii="Arial Nova" w:hAnsi="Arial Nova" w:eastAsia="Arial Nova" w:cs="Arial Nova"/>
          <w:sz w:val="22"/>
          <w:szCs w:val="22"/>
        </w:rPr>
        <w:t>provided</w:t>
      </w:r>
      <w:r w:rsidRPr="5223FEBC" w:rsidR="5223FEBC">
        <w:rPr>
          <w:rFonts w:ascii="Arial Nova" w:hAnsi="Arial Nova" w:eastAsia="Arial Nova" w:cs="Arial Nova"/>
          <w:sz w:val="22"/>
          <w:szCs w:val="22"/>
        </w:rPr>
        <w:t xml:space="preserve"> for health. McCartney et al. (2019) propound that health </w:t>
      </w:r>
      <w:r w:rsidRPr="5223FEBC" w:rsidR="5223FEBC">
        <w:rPr>
          <w:rFonts w:ascii="Arial Nova" w:hAnsi="Arial Nova" w:eastAsia="Arial Nova" w:cs="Arial Nova"/>
          <w:sz w:val="22"/>
          <w:szCs w:val="22"/>
        </w:rPr>
        <w:t>constitutes</w:t>
      </w:r>
      <w:r w:rsidRPr="5223FEBC" w:rsidR="5223FEBC">
        <w:rPr>
          <w:rFonts w:ascii="Arial Nova" w:hAnsi="Arial Nova" w:eastAsia="Arial Nova" w:cs="Arial Nova"/>
          <w:sz w:val="22"/>
          <w:szCs w:val="22"/>
        </w:rPr>
        <w:t xml:space="preserve"> a comprehensive state of mental, physical, and social wellness, rather than just the lack of illness. They further contend that there is not a simple difference between good health and poor health, and merely being free from disabilities or diseases does not necessarily </w:t>
      </w:r>
      <w:r w:rsidRPr="5223FEBC" w:rsidR="5223FEBC">
        <w:rPr>
          <w:rFonts w:ascii="Arial Nova" w:hAnsi="Arial Nova" w:eastAsia="Arial Nova" w:cs="Arial Nova"/>
          <w:sz w:val="22"/>
          <w:szCs w:val="22"/>
        </w:rPr>
        <w:t>identify</w:t>
      </w:r>
      <w:r w:rsidRPr="5223FEBC" w:rsidR="5223FEBC">
        <w:rPr>
          <w:rFonts w:ascii="Arial Nova" w:hAnsi="Arial Nova" w:eastAsia="Arial Nova" w:cs="Arial Nova"/>
          <w:sz w:val="22"/>
          <w:szCs w:val="22"/>
        </w:rPr>
        <w:t xml:space="preserve"> to a state of good health.</w:t>
      </w:r>
    </w:p>
    <w:p w:rsidRPr="003C104B" w:rsidR="00661581" w:rsidP="5223FEBC" w:rsidRDefault="005235CE" w14:paraId="4A0C1F37" w14:textId="7F49D15F">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The concept of health is vital and must be given significant attention. According to </w:t>
      </w:r>
      <w:r w:rsidRPr="5223FEBC" w:rsidR="5223FEBC">
        <w:rPr>
          <w:rFonts w:ascii="Arial Nova" w:hAnsi="Arial Nova" w:eastAsia="Arial Nova" w:cs="Arial Nova"/>
          <w:sz w:val="22"/>
          <w:szCs w:val="22"/>
        </w:rPr>
        <w:t>Cabaj</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sz w:val="22"/>
          <w:szCs w:val="22"/>
        </w:rPr>
        <w:t>Musto</w:t>
      </w:r>
      <w:r w:rsidRPr="5223FEBC" w:rsidR="5223FEBC">
        <w:rPr>
          <w:rFonts w:ascii="Arial Nova" w:hAnsi="Arial Nova" w:eastAsia="Arial Nova" w:cs="Arial Nova"/>
          <w:sz w:val="22"/>
          <w:szCs w:val="22"/>
        </w:rPr>
        <w:t xml:space="preserve">, and </w:t>
      </w:r>
      <w:r w:rsidRPr="5223FEBC" w:rsidR="5223FEBC">
        <w:rPr>
          <w:rFonts w:ascii="Arial Nova" w:hAnsi="Arial Nova" w:eastAsia="Arial Nova" w:cs="Arial Nova"/>
          <w:sz w:val="22"/>
          <w:szCs w:val="22"/>
        </w:rPr>
        <w:t>Ghali</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sz w:val="22"/>
          <w:szCs w:val="22"/>
        </w:rPr>
        <w:t>2019</w:t>
      </w:r>
      <w:r w:rsidRPr="5223FEBC" w:rsidR="5223FEBC">
        <w:rPr>
          <w:rFonts w:ascii="Arial Nova" w:hAnsi="Arial Nova" w:eastAsia="Arial Nova" w:cs="Arial Nova"/>
          <w:sz w:val="22"/>
          <w:szCs w:val="22"/>
        </w:rPr>
        <w:t>)</w:t>
      </w:r>
      <w:r w:rsidRPr="5223FEBC" w:rsidR="5223FEBC">
        <w:rPr>
          <w:rFonts w:ascii="Arial Nova" w:hAnsi="Arial Nova" w:eastAsia="Arial Nova" w:cs="Arial Nova"/>
          <w:sz w:val="22"/>
          <w:szCs w:val="22"/>
        </w:rPr>
        <w:t xml:space="preserve">, addressing health, such as public health, is essential since it is the foundation of prosperity. </w:t>
      </w:r>
      <w:r w:rsidRPr="5223FEBC" w:rsidR="5223FEBC">
        <w:rPr>
          <w:rFonts w:ascii="Arial Nova" w:hAnsi="Arial Nova" w:eastAsia="Arial Nova" w:cs="Arial Nova"/>
          <w:sz w:val="22"/>
          <w:szCs w:val="22"/>
        </w:rPr>
        <w:t xml:space="preserve">Investing in health is vital since </w:t>
      </w:r>
      <w:r w:rsidRPr="5223FEBC" w:rsidR="5223FEBC">
        <w:rPr>
          <w:rFonts w:ascii="Arial Nova" w:hAnsi="Arial Nova" w:eastAsia="Arial Nova" w:cs="Arial Nova"/>
          <w:sz w:val="22"/>
          <w:szCs w:val="22"/>
        </w:rPr>
        <w:t>health allows people to function effectively in all areas of life, such as at work.</w:t>
      </w:r>
      <w:r w:rsidRPr="5223FEBC" w:rsidR="5223FEBC">
        <w:rPr>
          <w:rFonts w:ascii="Arial Nova" w:hAnsi="Arial Nova" w:eastAsia="Arial Nova" w:cs="Arial Nova"/>
          <w:sz w:val="22"/>
          <w:szCs w:val="22"/>
        </w:rPr>
        <w:t xml:space="preserve"> Without health, </w:t>
      </w:r>
      <w:r w:rsidRPr="5223FEBC" w:rsidR="5223FEBC">
        <w:rPr>
          <w:rFonts w:ascii="Arial Nova" w:hAnsi="Arial Nova" w:eastAsia="Arial Nova" w:cs="Arial Nova"/>
          <w:sz w:val="22"/>
          <w:szCs w:val="22"/>
        </w:rPr>
        <w:t xml:space="preserve">individuals, </w:t>
      </w:r>
      <w:r w:rsidRPr="5223FEBC" w:rsidR="5223FEBC">
        <w:rPr>
          <w:rFonts w:ascii="Arial Nova" w:hAnsi="Arial Nova" w:eastAsia="Arial Nova" w:cs="Arial Nova"/>
          <w:sz w:val="22"/>
          <w:szCs w:val="22"/>
        </w:rPr>
        <w:t>and larger entities such a</w:t>
      </w:r>
      <w:r w:rsidRPr="5223FEBC" w:rsidR="5223FEBC">
        <w:rPr>
          <w:rFonts w:ascii="Arial Nova" w:hAnsi="Arial Nova" w:eastAsia="Arial Nova" w:cs="Arial Nova"/>
          <w:sz w:val="22"/>
          <w:szCs w:val="22"/>
        </w:rPr>
        <w:t xml:space="preserve">s </w:t>
      </w:r>
      <w:r w:rsidRPr="5223FEBC" w:rsidR="5223FEBC">
        <w:rPr>
          <w:rFonts w:ascii="Arial Nova" w:hAnsi="Arial Nova" w:eastAsia="Arial Nova" w:cs="Arial Nova"/>
          <w:sz w:val="22"/>
          <w:szCs w:val="22"/>
        </w:rPr>
        <w:t xml:space="preserve">organizations and </w:t>
      </w:r>
      <w:r w:rsidRPr="5223FEBC" w:rsidR="5223FEBC">
        <w:rPr>
          <w:rFonts w:ascii="Arial Nova" w:hAnsi="Arial Nova" w:eastAsia="Arial Nova" w:cs="Arial Nova"/>
          <w:sz w:val="22"/>
          <w:szCs w:val="22"/>
        </w:rPr>
        <w:t xml:space="preserve">governments </w:t>
      </w:r>
      <w:r w:rsidRPr="5223FEBC" w:rsidR="5223FEBC">
        <w:rPr>
          <w:rFonts w:ascii="Arial Nova" w:hAnsi="Arial Nova" w:eastAsia="Arial Nova" w:cs="Arial Nova"/>
          <w:sz w:val="22"/>
          <w:szCs w:val="22"/>
        </w:rPr>
        <w:t xml:space="preserve">focus significant resources, such as time and money, on </w:t>
      </w:r>
      <w:r w:rsidRPr="5223FEBC" w:rsidR="5223FEBC">
        <w:rPr>
          <w:rFonts w:ascii="Arial Nova" w:hAnsi="Arial Nova" w:eastAsia="Arial Nova" w:cs="Arial Nova"/>
          <w:sz w:val="22"/>
          <w:szCs w:val="22"/>
        </w:rPr>
        <w:t xml:space="preserve">restoring health to ensure that people can return to </w:t>
      </w:r>
      <w:r w:rsidRPr="5223FEBC" w:rsidR="5223FEBC">
        <w:rPr>
          <w:rFonts w:ascii="Arial Nova" w:hAnsi="Arial Nova" w:eastAsia="Arial Nova" w:cs="Arial Nova"/>
          <w:sz w:val="22"/>
          <w:szCs w:val="22"/>
        </w:rPr>
        <w:t>optimal</w:t>
      </w:r>
      <w:r w:rsidRPr="5223FEBC" w:rsidR="5223FEBC">
        <w:rPr>
          <w:rFonts w:ascii="Arial Nova" w:hAnsi="Arial Nova" w:eastAsia="Arial Nova" w:cs="Arial Nova"/>
          <w:sz w:val="22"/>
          <w:szCs w:val="22"/>
        </w:rPr>
        <w:t xml:space="preserve"> functioning.</w:t>
      </w:r>
    </w:p>
    <w:p w:rsidRPr="003C104B" w:rsidR="00AE4FDC" w:rsidP="5223FEBC" w:rsidRDefault="2D9DA515" w14:paraId="27E27D26" w14:textId="51D47A98" w14:noSpellErr="1">
      <w:pPr>
        <w:pStyle w:val="Heading2"/>
        <w:spacing w:line="360" w:lineRule="auto"/>
        <w:jc w:val="both"/>
        <w:rPr>
          <w:rFonts w:ascii="Arial Nova" w:hAnsi="Arial Nova" w:eastAsia="Arial Nova" w:cs="Arial Nova"/>
          <w:b w:val="1"/>
          <w:bCs w:val="1"/>
          <w:sz w:val="22"/>
          <w:szCs w:val="22"/>
        </w:rPr>
      </w:pPr>
      <w:bookmarkStart w:name="_Toc150758972" w:id="4"/>
      <w:r w:rsidRPr="5223FEBC" w:rsidR="5223FEBC">
        <w:rPr>
          <w:rFonts w:ascii="Arial Nova" w:hAnsi="Arial Nova" w:eastAsia="Arial Nova" w:cs="Arial Nova"/>
          <w:b w:val="1"/>
          <w:bCs w:val="1"/>
          <w:sz w:val="22"/>
          <w:szCs w:val="22"/>
        </w:rPr>
        <w:t>Sustainable Development Goals</w:t>
      </w:r>
      <w:bookmarkEnd w:id="4"/>
    </w:p>
    <w:p w:rsidRPr="003C104B" w:rsidR="00C66D86" w:rsidP="5223FEBC" w:rsidRDefault="00C66D86" w14:paraId="02118857" w14:textId="65392046">
      <w:pPr>
        <w:spacing w:after="0" w:line="360" w:lineRule="auto"/>
        <w:jc w:val="both"/>
        <w:rPr>
          <w:rFonts w:ascii="Arial Nova" w:hAnsi="Arial Nova" w:eastAsia="Arial Nova" w:cs="Arial Nova"/>
          <w:sz w:val="22"/>
          <w:szCs w:val="22"/>
        </w:rPr>
      </w:pPr>
      <w:r w:rsidRPr="5223FEBC" w:rsidR="5223FEBC">
        <w:rPr>
          <w:rFonts w:ascii="Arial Nova" w:hAnsi="Arial Nova" w:eastAsia="Arial Nova" w:cs="Arial Nova"/>
          <w:sz w:val="22"/>
          <w:szCs w:val="22"/>
        </w:rPr>
        <w:t xml:space="preserve">    The Sustainable Development Goals (SDGs) represent the collective global endeavour towards achieving overall development. Adopted during the 2015 United Nations General Assembly by 193 nations, including Malaysia, this framework (Renganathan and Davies 2023) lays out various </w:t>
      </w:r>
      <w:r w:rsidRPr="5223FEBC" w:rsidR="5223FEBC">
        <w:rPr>
          <w:rFonts w:ascii="Arial Nova" w:hAnsi="Arial Nova" w:eastAsia="Arial Nova" w:cs="Arial Nova"/>
          <w:sz w:val="22"/>
          <w:szCs w:val="22"/>
        </w:rPr>
        <w:t>objectives</w:t>
      </w:r>
      <w:r w:rsidRPr="5223FEBC" w:rsidR="5223FEBC">
        <w:rPr>
          <w:rFonts w:ascii="Arial Nova" w:hAnsi="Arial Nova" w:eastAsia="Arial Nova" w:cs="Arial Nova"/>
          <w:sz w:val="22"/>
          <w:szCs w:val="22"/>
        </w:rPr>
        <w:t>. These encompass eradicating poverty, ending hunger, promoting health and well-being, ensuring quality education, striving for gender equality, and securing access to clean and affordable water.</w:t>
      </w:r>
    </w:p>
    <w:p w:rsidRPr="003C104B" w:rsidR="00C66D86" w:rsidP="5223FEBC" w:rsidRDefault="00C66D86" w14:paraId="4CE01C9B" w14:textId="4193F209">
      <w:pPr>
        <w:pStyle w:val="Normal"/>
        <w:spacing w:after="0" w:line="360" w:lineRule="auto"/>
        <w:jc w:val="both"/>
        <w:rPr>
          <w:rFonts w:ascii="Arial Nova" w:hAnsi="Arial Nova" w:eastAsia="Arial Nova" w:cs="Arial Nova"/>
          <w:sz w:val="22"/>
          <w:szCs w:val="22"/>
        </w:rPr>
      </w:pPr>
      <w:r w:rsidRPr="5223FEBC" w:rsidR="5223FEBC">
        <w:rPr>
          <w:rFonts w:ascii="Arial Nova" w:hAnsi="Arial Nova" w:eastAsia="Arial Nova" w:cs="Arial Nova"/>
          <w:sz w:val="22"/>
          <w:szCs w:val="22"/>
        </w:rPr>
        <w:t xml:space="preserve">     The 2030 Agenda for Sustainable Development, adopted by United Nations countries, includes these Sustainable Development Goals. Listed by the World Health Organization (2023), these goals consist of 17 targets and 169 specific </w:t>
      </w:r>
      <w:r w:rsidRPr="5223FEBC" w:rsidR="5223FEBC">
        <w:rPr>
          <w:rFonts w:ascii="Arial Nova" w:hAnsi="Arial Nova" w:eastAsia="Arial Nova" w:cs="Arial Nova"/>
          <w:sz w:val="22"/>
          <w:szCs w:val="22"/>
        </w:rPr>
        <w:t>objectives</w:t>
      </w:r>
      <w:r w:rsidRPr="5223FEBC" w:rsidR="5223FEBC">
        <w:rPr>
          <w:rFonts w:ascii="Arial Nova" w:hAnsi="Arial Nova" w:eastAsia="Arial Nova" w:cs="Arial Nova"/>
          <w:sz w:val="22"/>
          <w:szCs w:val="22"/>
        </w:rPr>
        <w:t xml:space="preserve">, reflecting diverse and ambitious aims. These adopted targets hold significant importance for the global community, urging action to enhance various aspects of people’s lives (World Health Organization 2023). They focus on </w:t>
      </w:r>
      <w:r w:rsidRPr="5223FEBC" w:rsidR="5223FEBC">
        <w:rPr>
          <w:rFonts w:ascii="Arial Nova" w:hAnsi="Arial Nova" w:eastAsia="Arial Nova" w:cs="Arial Nova"/>
          <w:sz w:val="22"/>
          <w:szCs w:val="22"/>
        </w:rPr>
        <w:t>eliminating</w:t>
      </w:r>
      <w:r w:rsidRPr="5223FEBC" w:rsidR="5223FEBC">
        <w:rPr>
          <w:rFonts w:ascii="Arial Nova" w:hAnsi="Arial Nova" w:eastAsia="Arial Nova" w:cs="Arial Nova"/>
          <w:sz w:val="22"/>
          <w:szCs w:val="22"/>
        </w:rPr>
        <w:t xml:space="preserve"> poverty and inequality, preserving the environment, and ensuring universal equality, health, and well-being for all.</w:t>
      </w:r>
    </w:p>
    <w:p w:rsidR="5223FEBC" w:rsidP="5223FEBC" w:rsidRDefault="5223FEBC" w14:paraId="504B8B4C" w14:textId="5B3DAAAC">
      <w:pPr>
        <w:pStyle w:val="Heading1"/>
        <w:spacing w:line="360" w:lineRule="auto"/>
        <w:jc w:val="center"/>
        <w:rPr>
          <w:rFonts w:ascii="Arial Nova" w:hAnsi="Arial Nova" w:eastAsia="Arial Nova" w:cs="Arial Nova"/>
          <w:b w:val="1"/>
          <w:bCs w:val="1"/>
          <w:sz w:val="22"/>
          <w:szCs w:val="22"/>
        </w:rPr>
      </w:pPr>
    </w:p>
    <w:p w:rsidRPr="003C104B" w:rsidR="00B44DF4" w:rsidP="5223FEBC" w:rsidRDefault="00C66D86" w14:paraId="491D9EA8" w14:textId="4CB65188" w14:noSpellErr="1">
      <w:pPr>
        <w:pStyle w:val="Heading1"/>
        <w:spacing w:line="360" w:lineRule="auto"/>
        <w:jc w:val="center"/>
        <w:rPr>
          <w:rFonts w:ascii="Arial Nova" w:hAnsi="Arial Nova" w:eastAsia="Arial Nova" w:cs="Arial Nova"/>
          <w:b w:val="1"/>
          <w:bCs w:val="1"/>
          <w:sz w:val="22"/>
          <w:szCs w:val="22"/>
        </w:rPr>
      </w:pPr>
      <w:bookmarkStart w:name="_Toc150758973" w:id="5"/>
      <w:r w:rsidRPr="5223FEBC" w:rsidR="5223FEBC">
        <w:rPr>
          <w:rFonts w:ascii="Arial Nova" w:hAnsi="Arial Nova" w:eastAsia="Arial Nova" w:cs="Arial Nova"/>
          <w:b w:val="1"/>
          <w:bCs w:val="1"/>
          <w:sz w:val="22"/>
          <w:szCs w:val="22"/>
        </w:rPr>
        <w:t>Goal A: No Poverty</w:t>
      </w:r>
      <w:bookmarkEnd w:id="5"/>
    </w:p>
    <w:p w:rsidRPr="003C104B" w:rsidR="00245FE0" w:rsidP="5223FEBC" w:rsidRDefault="2D9DA515" w14:paraId="59164D55" w14:textId="3CB4239A" w14:noSpellErr="1">
      <w:pPr>
        <w:pStyle w:val="Heading2"/>
        <w:spacing w:line="360" w:lineRule="auto"/>
        <w:jc w:val="both"/>
        <w:rPr>
          <w:rFonts w:ascii="Arial Nova" w:hAnsi="Arial Nova" w:eastAsia="Arial Nova" w:cs="Arial Nova"/>
          <w:b w:val="1"/>
          <w:bCs w:val="1"/>
          <w:sz w:val="22"/>
          <w:szCs w:val="22"/>
        </w:rPr>
      </w:pPr>
      <w:bookmarkStart w:name="_Toc150758974" w:id="6"/>
      <w:r w:rsidRPr="5223FEBC" w:rsidR="5223FEBC">
        <w:rPr>
          <w:rFonts w:ascii="Arial Nova" w:hAnsi="Arial Nova" w:eastAsia="Arial Nova" w:cs="Arial Nova"/>
          <w:b w:val="1"/>
          <w:bCs w:val="1"/>
          <w:sz w:val="22"/>
          <w:szCs w:val="22"/>
        </w:rPr>
        <w:t>Definition of the Selected Goal</w:t>
      </w:r>
      <w:bookmarkEnd w:id="6"/>
    </w:p>
    <w:p w:rsidRPr="003C104B" w:rsidR="00641A70" w:rsidP="5223FEBC" w:rsidRDefault="00BF0E77" w14:paraId="3DAAC1B1" w14:textId="76F403B9">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The first goal of the UN’s SDGs is no poverty. The United Nations (n.d.) states that one of the greatest challenges humanity faces is the complete eradication of poverty in all its manifestations. Despite a reduction in extreme poverty by over half from 1990 to 2015, a substantial number of individuals continue to live in poverty. According to the United Nations (n.d.), approximately 736 million people worldwide were living on less than US $1.9 per day in 2015, signifying poverty. Many of these individuals lack access to clean water, food, and adequate sanitation. Additionally, despite substantial advancements in countries like India and China lifting</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sz w:val="22"/>
          <w:szCs w:val="22"/>
        </w:rPr>
        <w:t>numerou</w:t>
      </w:r>
      <w:r w:rsidRPr="5223FEBC" w:rsidR="5223FEBC">
        <w:rPr>
          <w:rFonts w:ascii="Arial Nova" w:hAnsi="Arial Nova" w:eastAsia="Arial Nova" w:cs="Arial Nova"/>
          <w:sz w:val="22"/>
          <w:szCs w:val="22"/>
        </w:rPr>
        <w:t>s</w:t>
      </w:r>
      <w:r w:rsidRPr="5223FEBC" w:rsidR="5223FEBC">
        <w:rPr>
          <w:rFonts w:ascii="Arial Nova" w:hAnsi="Arial Nova" w:eastAsia="Arial Nova" w:cs="Arial Nova"/>
          <w:sz w:val="22"/>
          <w:szCs w:val="22"/>
        </w:rPr>
        <w:t xml:space="preserve"> people out of poverty, the progress has been inconsistent. For example, women often face higher poverty rates than men due to lower compensation, education levels, and property ownership. Regions like Sub-Saharan Africa and South Asia, housing over 80% of the world's extremely poor, have seen limited advancements. The 'No Poverty' SDG seeks to eradicate all forms of poverty by 2030, focusing on enhancing essential services, aiding the most vulnerable, and</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sz w:val="22"/>
          <w:szCs w:val="22"/>
        </w:rPr>
        <w:t>assistin</w:t>
      </w:r>
      <w:r w:rsidRPr="5223FEBC" w:rsidR="5223FEBC">
        <w:rPr>
          <w:rFonts w:ascii="Arial Nova" w:hAnsi="Arial Nova" w:eastAsia="Arial Nova" w:cs="Arial Nova"/>
          <w:sz w:val="22"/>
          <w:szCs w:val="22"/>
        </w:rPr>
        <w:t>g</w:t>
      </w:r>
      <w:r w:rsidRPr="5223FEBC" w:rsidR="5223FEBC">
        <w:rPr>
          <w:rFonts w:ascii="Arial Nova" w:hAnsi="Arial Nova" w:eastAsia="Arial Nova" w:cs="Arial Nova"/>
          <w:sz w:val="22"/>
          <w:szCs w:val="22"/>
        </w:rPr>
        <w:t xml:space="preserve"> communities</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sz w:val="22"/>
          <w:szCs w:val="22"/>
        </w:rPr>
        <w:t>impacte</w:t>
      </w:r>
      <w:r w:rsidRPr="5223FEBC" w:rsidR="5223FEBC">
        <w:rPr>
          <w:rFonts w:ascii="Arial Nova" w:hAnsi="Arial Nova" w:eastAsia="Arial Nova" w:cs="Arial Nova"/>
          <w:sz w:val="22"/>
          <w:szCs w:val="22"/>
        </w:rPr>
        <w:t>d</w:t>
      </w:r>
      <w:r w:rsidRPr="5223FEBC" w:rsidR="5223FEBC">
        <w:rPr>
          <w:rFonts w:ascii="Arial Nova" w:hAnsi="Arial Nova" w:eastAsia="Arial Nova" w:cs="Arial Nova"/>
          <w:sz w:val="22"/>
          <w:szCs w:val="22"/>
        </w:rPr>
        <w:t xml:space="preserve"> by conflict and other poverty-inducing disasters.</w:t>
      </w:r>
    </w:p>
    <w:p w:rsidRPr="003C104B" w:rsidR="00B17CCD" w:rsidP="5223FEBC" w:rsidRDefault="21C17280" w14:paraId="15284091" w14:textId="10AC0ECE">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The 'No Poverty' goal has specific </w:t>
      </w:r>
      <w:r w:rsidRPr="5223FEBC" w:rsidR="5223FEBC">
        <w:rPr>
          <w:rFonts w:ascii="Arial Nova" w:hAnsi="Arial Nova" w:eastAsia="Arial Nova" w:cs="Arial Nova"/>
          <w:sz w:val="22"/>
          <w:szCs w:val="22"/>
        </w:rPr>
        <w:t>objectives</w:t>
      </w:r>
      <w:r w:rsidRPr="5223FEBC" w:rsidR="5223FEBC">
        <w:rPr>
          <w:rFonts w:ascii="Arial Nova" w:hAnsi="Arial Nova" w:eastAsia="Arial Nova" w:cs="Arial Nova"/>
          <w:sz w:val="22"/>
          <w:szCs w:val="22"/>
        </w:rPr>
        <w:t xml:space="preserve">, including a target to decrease the poverty rate by a minimum of 50% for all impoverished men, women, and children in every aspect by 2030. The objective aims to </w:t>
      </w:r>
      <w:r w:rsidRPr="5223FEBC" w:rsidR="5223FEBC">
        <w:rPr>
          <w:rFonts w:ascii="Arial Nova" w:hAnsi="Arial Nova" w:eastAsia="Arial Nova" w:cs="Arial Nova"/>
          <w:sz w:val="22"/>
          <w:szCs w:val="22"/>
        </w:rPr>
        <w:t>establish</w:t>
      </w:r>
      <w:r w:rsidRPr="5223FEBC" w:rsidR="5223FEBC">
        <w:rPr>
          <w:rFonts w:ascii="Arial Nova" w:hAnsi="Arial Nova" w:eastAsia="Arial Nova" w:cs="Arial Nova"/>
          <w:sz w:val="22"/>
          <w:szCs w:val="22"/>
        </w:rPr>
        <w:t xml:space="preserve"> suitable, country-specific social protection strategies and systems to </w:t>
      </w:r>
      <w:r w:rsidRPr="5223FEBC" w:rsidR="5223FEBC">
        <w:rPr>
          <w:rFonts w:ascii="Arial Nova" w:hAnsi="Arial Nova" w:eastAsia="Arial Nova" w:cs="Arial Nova"/>
          <w:sz w:val="22"/>
          <w:szCs w:val="22"/>
        </w:rPr>
        <w:t>benefit</w:t>
      </w:r>
      <w:r w:rsidRPr="5223FEBC" w:rsidR="5223FEBC">
        <w:rPr>
          <w:rFonts w:ascii="Arial Nova" w:hAnsi="Arial Nova" w:eastAsia="Arial Nova" w:cs="Arial Nova"/>
          <w:sz w:val="22"/>
          <w:szCs w:val="22"/>
        </w:rPr>
        <w:t xml:space="preserve"> everyone, particularly the underprivileged, with an aim to significantly expand coverage for such groups by 2030. Moreover, the aim is to guarantee that everyone, particularly those who are poor and at risk, have an equal share in economic resources. This includes equal opportunities to basic ownership, services, and control over various forms of property like land, natural resources, inheritance, suitable technologies, and financial services (United Nations, n.d.). further stipulates that the no poverty goal aims to enhance poor people’s resilience and the resilience of people living in vulnerable areas to reduce their exposure to disasters that increase their vulnerability.</w:t>
      </w:r>
    </w:p>
    <w:p w:rsidRPr="003C104B" w:rsidR="00470804" w:rsidP="5223FEBC" w:rsidRDefault="2D9DA515" w14:paraId="14828C01" w14:textId="0C005ACD" w14:noSpellErr="1">
      <w:pPr>
        <w:pStyle w:val="Heading2"/>
        <w:spacing w:line="360" w:lineRule="auto"/>
        <w:jc w:val="both"/>
        <w:rPr>
          <w:rFonts w:ascii="Arial Nova" w:hAnsi="Arial Nova" w:eastAsia="Arial Nova" w:cs="Arial Nova"/>
          <w:b w:val="1"/>
          <w:bCs w:val="1"/>
          <w:sz w:val="22"/>
          <w:szCs w:val="22"/>
        </w:rPr>
      </w:pPr>
      <w:bookmarkStart w:name="_Toc150758975" w:id="7"/>
      <w:r w:rsidRPr="5223FEBC" w:rsidR="5223FEBC">
        <w:rPr>
          <w:rFonts w:ascii="Arial Nova" w:hAnsi="Arial Nova" w:eastAsia="Arial Nova" w:cs="Arial Nova"/>
          <w:b w:val="1"/>
          <w:bCs w:val="1"/>
          <w:sz w:val="22"/>
          <w:szCs w:val="22"/>
        </w:rPr>
        <w:t>UK No Poverty Initiative 1: Universal Credit</w:t>
      </w:r>
      <w:bookmarkEnd w:id="7"/>
    </w:p>
    <w:p w:rsidRPr="003C104B" w:rsidR="00A1720C" w:rsidP="5223FEBC" w:rsidRDefault="00A1720C" w14:paraId="2980F341" w14:textId="12D6EB08">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One of the measures taken to reduce poverty in the UK is Universal Credit. According to the UK government (n.d.a) Universal Credit is a payment that helps some people in Scotland cover their living costs. Universal Credit is a monthly or bi-monthly financia</w:t>
      </w:r>
      <w:r w:rsidRPr="5223FEBC" w:rsidR="5223FEBC">
        <w:rPr>
          <w:rFonts w:ascii="Arial Nova" w:hAnsi="Arial Nova" w:eastAsia="Arial Nova" w:cs="Arial Nova"/>
          <w:sz w:val="22"/>
          <w:szCs w:val="22"/>
        </w:rPr>
        <w:t xml:space="preserve">l </w:t>
      </w:r>
      <w:r w:rsidRPr="5223FEBC" w:rsidR="5223FEBC">
        <w:rPr>
          <w:rFonts w:ascii="Arial Nova" w:hAnsi="Arial Nova" w:eastAsia="Arial Nova" w:cs="Arial Nova"/>
          <w:sz w:val="22"/>
          <w:szCs w:val="22"/>
        </w:rPr>
        <w:t>a</w:t>
      </w:r>
      <w:r w:rsidRPr="5223FEBC" w:rsidR="5223FEBC">
        <w:rPr>
          <w:rFonts w:ascii="Arial Nova" w:hAnsi="Arial Nova" w:eastAsia="Arial Nova" w:cs="Arial Nova"/>
          <w:sz w:val="22"/>
          <w:szCs w:val="22"/>
        </w:rPr>
        <w:t>ssistan</w:t>
      </w:r>
      <w:r w:rsidRPr="5223FEBC" w:rsidR="5223FEBC">
        <w:rPr>
          <w:rFonts w:ascii="Arial Nova" w:hAnsi="Arial Nova" w:eastAsia="Arial Nova" w:cs="Arial Nova"/>
          <w:sz w:val="22"/>
          <w:szCs w:val="22"/>
        </w:rPr>
        <w:t>ce</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sz w:val="22"/>
          <w:szCs w:val="22"/>
        </w:rPr>
        <w:t>for people on low incomes, unemployed or unable to work. It is presented as a benefit reform to simplify the healthcare system by combining six needs-based benefits into a single monthly or twice-monthly payment (Cheetham et al., 2019). Universal Credit replaces si</w:t>
      </w:r>
      <w:r w:rsidRPr="5223FEBC" w:rsidR="5223FEBC">
        <w:rPr>
          <w:rFonts w:ascii="Arial Nova" w:hAnsi="Arial Nova" w:eastAsia="Arial Nova" w:cs="Arial Nova"/>
          <w:sz w:val="22"/>
          <w:szCs w:val="22"/>
        </w:rPr>
        <w:t xml:space="preserve">x </w:t>
      </w:r>
      <w:r w:rsidRPr="5223FEBC" w:rsidR="5223FEBC">
        <w:rPr>
          <w:rFonts w:ascii="Arial Nova" w:hAnsi="Arial Nova" w:eastAsia="Arial Nova" w:cs="Arial Nova"/>
          <w:sz w:val="22"/>
          <w:szCs w:val="22"/>
        </w:rPr>
        <w:t>p</w:t>
      </w:r>
      <w:r w:rsidRPr="5223FEBC" w:rsidR="5223FEBC">
        <w:rPr>
          <w:rFonts w:ascii="Arial Nova" w:hAnsi="Arial Nova" w:eastAsia="Arial Nova" w:cs="Arial Nova"/>
          <w:sz w:val="22"/>
          <w:szCs w:val="22"/>
        </w:rPr>
        <w:t>revio</w:t>
      </w:r>
      <w:r w:rsidRPr="5223FEBC" w:rsidR="5223FEBC">
        <w:rPr>
          <w:rFonts w:ascii="Arial Nova" w:hAnsi="Arial Nova" w:eastAsia="Arial Nova" w:cs="Arial Nova"/>
          <w:sz w:val="22"/>
          <w:szCs w:val="22"/>
        </w:rPr>
        <w:t>us</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sz w:val="22"/>
          <w:szCs w:val="22"/>
        </w:rPr>
        <w:t>income-based benefits. These are Housing Benefit, Child Tax Benefit, Income Support, Employment and Support Allowance (ESA), Self-Employment Income (JSA) and Employment Tax.</w:t>
      </w:r>
    </w:p>
    <w:p w:rsidRPr="003C104B" w:rsidR="00A1720C" w:rsidP="5223FEBC" w:rsidRDefault="00A1720C" w14:paraId="5300BB16" w14:textId="632D56BC">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Eligible criteria for Universal Credit are people on low incomes or who need a</w:t>
      </w:r>
      <w:r w:rsidRPr="5223FEBC" w:rsidR="5223FEBC">
        <w:rPr>
          <w:rFonts w:ascii="Arial Nova" w:hAnsi="Arial Nova" w:eastAsia="Arial Nova" w:cs="Arial Nova"/>
          <w:sz w:val="22"/>
          <w:szCs w:val="22"/>
        </w:rPr>
        <w:t xml:space="preserve">ssistance </w:t>
      </w:r>
      <w:r w:rsidRPr="5223FEBC" w:rsidR="5223FEBC">
        <w:rPr>
          <w:rFonts w:ascii="Arial Nova" w:hAnsi="Arial Nova" w:eastAsia="Arial Nova" w:cs="Arial Nova"/>
          <w:sz w:val="22"/>
          <w:szCs w:val="22"/>
        </w:rPr>
        <w:t>for a variety of reasons; for example, if they are working part-time or freelance or are unable to work due to illness (UK Government). The UK government (n.d.a) added that eligible people must be resident in the UK, aged 18 or over, on the state pension and have savings, savings, and asset investments of £16,000 or less. If a person lives with a partner, they must apply jointly on behalf of their family, even if one partner is not eligible. Once eligibility is proven, the first payment usually takes around five weeks and if the money arrives faster while they wait for the first payment, they can apply for a pre-payment (in the UK Government). These funds are typically paid monthly and are typically deposited into the individual’s bank, credit union, or community bank.</w:t>
      </w:r>
    </w:p>
    <w:p w:rsidRPr="003C104B" w:rsidR="000C269D" w:rsidP="5223FEBC" w:rsidRDefault="00A1720C" w14:paraId="7286F63E" w14:textId="5E1616DA" w14:noSpellErr="1">
      <w:pPr>
        <w:pStyle w:val="Heading2"/>
        <w:spacing w:line="360" w:lineRule="auto"/>
        <w:jc w:val="both"/>
        <w:rPr>
          <w:rFonts w:ascii="Arial Nova" w:hAnsi="Arial Nova" w:eastAsia="Arial Nova" w:cs="Arial Nova"/>
          <w:sz w:val="22"/>
          <w:szCs w:val="22"/>
        </w:rPr>
      </w:pPr>
      <w:bookmarkStart w:name="_Toc150758976" w:id="8"/>
      <w:r w:rsidRPr="5223FEBC" w:rsidR="5223FEBC">
        <w:rPr>
          <w:rFonts w:ascii="Arial Nova" w:hAnsi="Arial Nova" w:eastAsia="Arial Nova" w:cs="Arial Nova"/>
          <w:b w:val="1"/>
          <w:bCs w:val="1"/>
          <w:sz w:val="22"/>
          <w:szCs w:val="22"/>
        </w:rPr>
        <w:t>UK No Poverty Initiative 2: National Minimum Wage and National Living Wage Rates</w:t>
      </w:r>
      <w:bookmarkEnd w:id="8"/>
    </w:p>
    <w:p w:rsidRPr="003C104B" w:rsidR="00B44DF4" w:rsidP="5223FEBC" w:rsidRDefault="000DEF61" w14:paraId="475E9AF0" w14:textId="53BACA96">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To further the Sustainable Development Goal of eradicating poverty, the UK government has put into place the National Minimum Wage (NMW) and the National Living Wage (NLW) rates. These hourly rates are dependent on an individual's age and whether they are an apprentice, as set out by the UK Government in 2023. As per these regulations, to be eligible for the national minimum wage, one must be of at least school-leaving age, </w:t>
      </w:r>
      <w:r w:rsidRPr="5223FEBC" w:rsidR="5223FEBC">
        <w:rPr>
          <w:rFonts w:ascii="Arial Nova" w:hAnsi="Arial Nova" w:eastAsia="Arial Nova" w:cs="Arial Nova"/>
          <w:sz w:val="22"/>
          <w:szCs w:val="22"/>
        </w:rPr>
        <w:t>whereas</w:t>
      </w:r>
      <w:r w:rsidRPr="5223FEBC" w:rsidR="5223FEBC">
        <w:rPr>
          <w:rFonts w:ascii="Arial Nova" w:hAnsi="Arial Nova" w:eastAsia="Arial Nova" w:cs="Arial Nova"/>
          <w:sz w:val="22"/>
          <w:szCs w:val="22"/>
        </w:rPr>
        <w:t xml:space="preserve"> for the national living wage, the minimum age is 23. Consequently, the minimum wage applies to those who are 22 years old or younger. The UK Government (2023) has set the national living wage for those aged 23 and older at 10.42 pounds per hour. For those at or above the school-leaving age, the national minimum wage rates are as follows: apprentices and those under 18 years old receive 5.28 pounds per hour, those aged 21 to 22 receive 10.18 pounds per hour, and those aged 23 and above receive 10.42 pounds per hour. The NMW and NLW policies aim to </w:t>
      </w:r>
      <w:r w:rsidRPr="5223FEBC" w:rsidR="5223FEBC">
        <w:rPr>
          <w:rFonts w:ascii="Arial Nova" w:hAnsi="Arial Nova" w:eastAsia="Arial Nova" w:cs="Arial Nova"/>
          <w:sz w:val="22"/>
          <w:szCs w:val="22"/>
        </w:rPr>
        <w:t>provide</w:t>
      </w:r>
      <w:r w:rsidRPr="5223FEBC" w:rsidR="5223FEBC">
        <w:rPr>
          <w:rFonts w:ascii="Arial Nova" w:hAnsi="Arial Nova" w:eastAsia="Arial Nova" w:cs="Arial Nova"/>
          <w:sz w:val="22"/>
          <w:szCs w:val="22"/>
        </w:rPr>
        <w:t xml:space="preserve"> basic income levels for low-wage workers and </w:t>
      </w:r>
      <w:r w:rsidRPr="5223FEBC" w:rsidR="5223FEBC">
        <w:rPr>
          <w:rFonts w:ascii="Arial Nova" w:hAnsi="Arial Nova" w:eastAsia="Arial Nova" w:cs="Arial Nova"/>
          <w:sz w:val="22"/>
          <w:szCs w:val="22"/>
        </w:rPr>
        <w:t>assist</w:t>
      </w:r>
      <w:r w:rsidRPr="5223FEBC" w:rsidR="5223FEBC">
        <w:rPr>
          <w:rFonts w:ascii="Arial Nova" w:hAnsi="Arial Nova" w:eastAsia="Arial Nova" w:cs="Arial Nova"/>
          <w:sz w:val="22"/>
          <w:szCs w:val="22"/>
        </w:rPr>
        <w:t xml:space="preserve"> in reducing in-work poverty.</w:t>
      </w:r>
    </w:p>
    <w:p w:rsidRPr="003C104B" w:rsidR="00B42E49" w:rsidP="5223FEBC" w:rsidRDefault="2D9DA515" w14:paraId="171B9398" w14:textId="72A4F300" w14:noSpellErr="1">
      <w:pPr>
        <w:pStyle w:val="Heading2"/>
        <w:spacing w:line="360" w:lineRule="auto"/>
        <w:jc w:val="both"/>
        <w:rPr>
          <w:rFonts w:ascii="Arial Nova" w:hAnsi="Arial Nova" w:eastAsia="Arial Nova" w:cs="Arial Nova"/>
          <w:b w:val="1"/>
          <w:bCs w:val="1"/>
          <w:sz w:val="22"/>
          <w:szCs w:val="22"/>
        </w:rPr>
      </w:pPr>
      <w:bookmarkStart w:name="_Toc150758977" w:id="9"/>
      <w:r w:rsidRPr="5223FEBC" w:rsidR="5223FEBC">
        <w:rPr>
          <w:rFonts w:ascii="Arial Nova" w:hAnsi="Arial Nova" w:eastAsia="Arial Nova" w:cs="Arial Nova"/>
          <w:b w:val="1"/>
          <w:bCs w:val="1"/>
          <w:sz w:val="22"/>
          <w:szCs w:val="22"/>
        </w:rPr>
        <w:t>Evaluating the Initiatives</w:t>
      </w:r>
      <w:bookmarkEnd w:id="9"/>
    </w:p>
    <w:p w:rsidRPr="003C104B" w:rsidR="00803540" w:rsidP="5223FEBC" w:rsidRDefault="00412817" w14:paraId="7E814218" w14:textId="528F8427">
      <w:pPr>
        <w:spacing w:after="0" w:line="360" w:lineRule="auto"/>
        <w:jc w:val="both"/>
        <w:rPr>
          <w:rFonts w:ascii="Arial Nova" w:hAnsi="Arial Nova" w:eastAsia="Arial Nova" w:cs="Arial Nova"/>
          <w:sz w:val="22"/>
          <w:szCs w:val="22"/>
        </w:rPr>
      </w:pPr>
      <w:r w:rsidRPr="5223FEBC" w:rsidR="5223FEBC">
        <w:rPr>
          <w:rFonts w:ascii="Arial Nova" w:hAnsi="Arial Nova" w:eastAsia="Arial Nova" w:cs="Arial Nova"/>
          <w:sz w:val="22"/>
          <w:szCs w:val="22"/>
        </w:rPr>
        <w:t xml:space="preserve">        Health systems, whether in high-income countries or low-money countries, play a key role in </w:t>
      </w:r>
      <w:r w:rsidRPr="5223FEBC" w:rsidR="5223FEBC">
        <w:rPr>
          <w:rFonts w:ascii="Arial Nova" w:hAnsi="Arial Nova" w:eastAsia="Arial Nova" w:cs="Arial Nova"/>
          <w:sz w:val="22"/>
          <w:szCs w:val="22"/>
        </w:rPr>
        <w:t>determining</w:t>
      </w:r>
      <w:r w:rsidRPr="5223FEBC" w:rsidR="5223FEBC">
        <w:rPr>
          <w:rFonts w:ascii="Arial Nova" w:hAnsi="Arial Nova" w:eastAsia="Arial Nova" w:cs="Arial Nova"/>
          <w:sz w:val="22"/>
          <w:szCs w:val="22"/>
        </w:rPr>
        <w:t xml:space="preserve"> public health and health inequalities. Considering that most public expenditures are </w:t>
      </w:r>
      <w:r w:rsidRPr="5223FEBC" w:rsidR="5223FEBC">
        <w:rPr>
          <w:rFonts w:ascii="Arial Nova" w:hAnsi="Arial Nova" w:eastAsia="Arial Nova" w:cs="Arial Nova"/>
          <w:sz w:val="22"/>
          <w:szCs w:val="22"/>
        </w:rPr>
        <w:t>allocated</w:t>
      </w:r>
      <w:r w:rsidRPr="5223FEBC" w:rsidR="5223FEBC">
        <w:rPr>
          <w:rFonts w:ascii="Arial Nova" w:hAnsi="Arial Nova" w:eastAsia="Arial Nova" w:cs="Arial Nova"/>
          <w:sz w:val="22"/>
          <w:szCs w:val="22"/>
        </w:rPr>
        <w:t xml:space="preserve"> to these systems, their evaluation is especially important for public health research. Craig and Katikireddi (2020) analysed the Universal Credit scheme and found essential information. Evaluations revealed that there were many problems in the transition to universal credit after the program was launched. In response to these reports, the government highlighted the success of Universal Credit in encouraging the unemployed to take on workers more quickly. However, Craig and Katikireddi (2020) note that </w:t>
      </w:r>
      <w:r w:rsidRPr="5223FEBC" w:rsidR="5223FEBC">
        <w:rPr>
          <w:rFonts w:ascii="Arial Nova" w:hAnsi="Arial Nova" w:eastAsia="Arial Nova" w:cs="Arial Nova"/>
          <w:sz w:val="22"/>
          <w:szCs w:val="22"/>
        </w:rPr>
        <w:t>previous</w:t>
      </w:r>
      <w:r w:rsidRPr="5223FEBC" w:rsidR="5223FEBC">
        <w:rPr>
          <w:rFonts w:ascii="Arial Nova" w:hAnsi="Arial Nova" w:eastAsia="Arial Nova" w:cs="Arial Nova"/>
          <w:sz w:val="22"/>
          <w:szCs w:val="22"/>
        </w:rPr>
        <w:t xml:space="preserve"> studies have confirmed an increase in stress among the unemployed after receiving international aid. This increased stress can be attributed to several factors, including the stress of the claims process and uncertainty caused by stringent eligibility requirements. Craig and </w:t>
      </w:r>
      <w:r w:rsidRPr="5223FEBC" w:rsidR="5223FEBC">
        <w:rPr>
          <w:rFonts w:ascii="Arial Nova" w:hAnsi="Arial Nova" w:eastAsia="Arial Nova" w:cs="Arial Nova"/>
          <w:sz w:val="22"/>
          <w:szCs w:val="22"/>
        </w:rPr>
        <w:t>Katikireddi</w:t>
      </w:r>
      <w:r w:rsidRPr="5223FEBC" w:rsidR="5223FEBC">
        <w:rPr>
          <w:rFonts w:ascii="Arial Nova" w:hAnsi="Arial Nova" w:eastAsia="Arial Nova" w:cs="Arial Nova"/>
          <w:sz w:val="22"/>
          <w:szCs w:val="22"/>
        </w:rPr>
        <w:t xml:space="preserve"> (2020) argue that while the concept of Universal Credit is important and specific to the UK, focusing solely on employment outcomes is not enough. Other crucial factors, such as the health impact of plans to replace existing systems, should also be considered. Progress towards this goal is also </w:t>
      </w:r>
      <w:r w:rsidRPr="5223FEBC" w:rsidR="5223FEBC">
        <w:rPr>
          <w:rFonts w:ascii="Arial Nova" w:hAnsi="Arial Nova" w:eastAsia="Arial Nova" w:cs="Arial Nova"/>
          <w:sz w:val="22"/>
          <w:szCs w:val="22"/>
        </w:rPr>
        <w:t>monitored</w:t>
      </w:r>
      <w:r w:rsidRPr="5223FEBC" w:rsidR="5223FEBC">
        <w:rPr>
          <w:rFonts w:ascii="Arial Nova" w:hAnsi="Arial Nova" w:eastAsia="Arial Nova" w:cs="Arial Nova"/>
          <w:sz w:val="22"/>
          <w:szCs w:val="22"/>
        </w:rPr>
        <w:t xml:space="preserve">. Craig and </w:t>
      </w:r>
      <w:r w:rsidRPr="5223FEBC" w:rsidR="5223FEBC">
        <w:rPr>
          <w:rFonts w:ascii="Arial Nova" w:hAnsi="Arial Nova" w:eastAsia="Arial Nova" w:cs="Arial Nova"/>
          <w:sz w:val="22"/>
          <w:szCs w:val="22"/>
        </w:rPr>
        <w:t>Katikireddi</w:t>
      </w:r>
      <w:r w:rsidRPr="5223FEBC" w:rsidR="5223FEBC">
        <w:rPr>
          <w:rFonts w:ascii="Arial Nova" w:hAnsi="Arial Nova" w:eastAsia="Arial Nova" w:cs="Arial Nova"/>
          <w:sz w:val="22"/>
          <w:szCs w:val="22"/>
        </w:rPr>
        <w:t xml:space="preserve"> (2020) explain that some efforts have already been made to implement the Universal Credit scheme. Craig and </w:t>
      </w:r>
      <w:r w:rsidRPr="5223FEBC" w:rsidR="5223FEBC">
        <w:rPr>
          <w:rFonts w:ascii="Arial Nova" w:hAnsi="Arial Nova" w:eastAsia="Arial Nova" w:cs="Arial Nova"/>
          <w:sz w:val="22"/>
          <w:szCs w:val="22"/>
        </w:rPr>
        <w:t>Katikireddi</w:t>
      </w:r>
      <w:r w:rsidRPr="5223FEBC" w:rsidR="5223FEBC">
        <w:rPr>
          <w:rFonts w:ascii="Arial Nova" w:hAnsi="Arial Nova" w:eastAsia="Arial Nova" w:cs="Arial Nova"/>
          <w:sz w:val="22"/>
          <w:szCs w:val="22"/>
        </w:rPr>
        <w:t xml:space="preserve"> (2020) argue that this measure only applies to new unemployment claims. However, the government plans to exclude approximately 5.5 million people from existing benefits under the new system. This shows that despite some efforts to alleviate poverty from the beginning, more needs to be done to achieve the Sustainable Development Goals. </w:t>
      </w:r>
    </w:p>
    <w:p w:rsidRPr="003C104B" w:rsidR="00803540" w:rsidP="5223FEBC" w:rsidRDefault="00412817" w14:paraId="7132EF71" w14:textId="1EACA4C9">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The National Minimum Wage and the National Living Wage are also being reviewed. According to Dube (2019), NMW and NLW have been successful UK. These measures successfully increased the income of low-income workers and helped reduce workers’ poverty. However, Dube (2019) acknowledges that NMW and NLW may create new challenges that will affect the poor. For example, Dube (2019) notes that a minimum wage can increase the income of those living at the lower end of the wage scale, but the costs associated with administering these standards must also be considered. These costs will have </w:t>
      </w:r>
      <w:r w:rsidRPr="5223FEBC" w:rsidR="5223FEBC">
        <w:rPr>
          <w:rFonts w:ascii="Arial Nova" w:hAnsi="Arial Nova" w:eastAsia="Arial Nova" w:cs="Arial Nova"/>
          <w:sz w:val="22"/>
          <w:szCs w:val="22"/>
        </w:rPr>
        <w:t>additional</w:t>
      </w:r>
      <w:r w:rsidRPr="5223FEBC" w:rsidR="5223FEBC">
        <w:rPr>
          <w:rFonts w:ascii="Arial Nova" w:hAnsi="Arial Nova" w:eastAsia="Arial Nova" w:cs="Arial Nova"/>
          <w:sz w:val="22"/>
          <w:szCs w:val="22"/>
        </w:rPr>
        <w:t xml:space="preserve"> consequences for low-income workers. For example, given the rise in labour costs, employers may reduce the number of workers, resulting in fewer or fewer working hours for low-wage workers (Morrissey 2023). However, </w:t>
      </w:r>
      <w:r w:rsidRPr="5223FEBC" w:rsidR="5223FEBC">
        <w:rPr>
          <w:rFonts w:ascii="Arial Nova" w:hAnsi="Arial Nova" w:eastAsia="Arial Nova" w:cs="Arial Nova"/>
          <w:sz w:val="22"/>
          <w:szCs w:val="22"/>
        </w:rPr>
        <w:t>Dube</w:t>
      </w:r>
      <w:r w:rsidRPr="5223FEBC" w:rsidR="5223FEBC">
        <w:rPr>
          <w:rFonts w:ascii="Arial Nova" w:hAnsi="Arial Nova" w:eastAsia="Arial Nova" w:cs="Arial Nova"/>
          <w:sz w:val="22"/>
          <w:szCs w:val="22"/>
        </w:rPr>
        <w:t xml:space="preserve"> (2019) notes that this benefit is small because minimum wage workers are not easily replaced by machines or more skilled workers. In addition, employers choose to pass on increased production costs to consumers, allowing low-wage workers to keep their jobs. As a result, NMW and NLW are well received in the UK and work to increase the wages of low-paid workers, reduce poverty and its impacts, and support the Sustainable Development Goals of zero poverty.</w:t>
      </w:r>
    </w:p>
    <w:p w:rsidRPr="003C104B" w:rsidR="008C784F" w:rsidP="5223FEBC" w:rsidRDefault="2D9DA515" w14:paraId="33A2201E" w14:textId="0E7D3A16" w14:noSpellErr="1">
      <w:pPr>
        <w:pStyle w:val="Heading2"/>
        <w:spacing w:line="360" w:lineRule="auto"/>
        <w:jc w:val="both"/>
        <w:rPr>
          <w:rFonts w:ascii="Arial Nova" w:hAnsi="Arial Nova" w:eastAsia="Arial Nova" w:cs="Arial Nova"/>
          <w:b w:val="1"/>
          <w:bCs w:val="1"/>
          <w:sz w:val="22"/>
          <w:szCs w:val="22"/>
        </w:rPr>
      </w:pPr>
      <w:bookmarkStart w:name="_Toc150758978" w:id="10"/>
      <w:r w:rsidRPr="5223FEBC" w:rsidR="5223FEBC">
        <w:rPr>
          <w:rFonts w:ascii="Arial Nova" w:hAnsi="Arial Nova" w:eastAsia="Arial Nova" w:cs="Arial Nova"/>
          <w:b w:val="1"/>
          <w:bCs w:val="1"/>
          <w:sz w:val="22"/>
          <w:szCs w:val="22"/>
        </w:rPr>
        <w:t>Impact of Implementing the No Poverty SDG On Health, Well-Being, and Sustainability</w:t>
      </w:r>
      <w:bookmarkEnd w:id="10"/>
    </w:p>
    <w:p w:rsidRPr="003C104B" w:rsidR="00C31AEA" w:rsidP="5223FEBC" w:rsidRDefault="00D65EC1" w14:paraId="77C999E6" w14:textId="26F39732">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Implementing the No Poverty SDG is vital to health, well-being, and sustainability. According to the United Nations (n.d.), poverty is a determinant of reduced well-being and poor health. Poor health and well-being are associated with lower academic achievements (Karvonen, Tokola &amp; </w:t>
      </w:r>
      <w:r w:rsidRPr="5223FEBC" w:rsidR="5223FEBC">
        <w:rPr>
          <w:rFonts w:ascii="Arial Nova" w:hAnsi="Arial Nova" w:eastAsia="Arial Nova" w:cs="Arial Nova"/>
          <w:sz w:val="22"/>
          <w:szCs w:val="22"/>
        </w:rPr>
        <w:t>Rimpelä</w:t>
      </w:r>
      <w:r w:rsidRPr="5223FEBC" w:rsidR="5223FEBC">
        <w:rPr>
          <w:rFonts w:ascii="Arial Nova" w:hAnsi="Arial Nova" w:eastAsia="Arial Nova" w:cs="Arial Nova"/>
          <w:sz w:val="22"/>
          <w:szCs w:val="22"/>
        </w:rPr>
        <w:t xml:space="preserve"> 2018), poor mental health (Wren-Lewis &amp; </w:t>
      </w:r>
      <w:r w:rsidRPr="5223FEBC" w:rsidR="5223FEBC">
        <w:rPr>
          <w:rFonts w:ascii="Arial Nova" w:hAnsi="Arial Nova" w:eastAsia="Arial Nova" w:cs="Arial Nova"/>
          <w:sz w:val="22"/>
          <w:szCs w:val="22"/>
        </w:rPr>
        <w:t>Alexandrova</w:t>
      </w:r>
      <w:r w:rsidRPr="5223FEBC" w:rsidR="5223FEBC">
        <w:rPr>
          <w:rFonts w:ascii="Arial Nova" w:hAnsi="Arial Nova" w:eastAsia="Arial Nova" w:cs="Arial Nova"/>
          <w:sz w:val="22"/>
          <w:szCs w:val="22"/>
        </w:rPr>
        <w:t xml:space="preserve"> 2021), and better life choices (</w:t>
      </w:r>
      <w:r w:rsidRPr="5223FEBC" w:rsidR="5223FEBC">
        <w:rPr>
          <w:rFonts w:ascii="Arial Nova" w:hAnsi="Arial Nova" w:eastAsia="Arial Nova" w:cs="Arial Nova"/>
          <w:sz w:val="22"/>
          <w:szCs w:val="22"/>
        </w:rPr>
        <w:t>Lubowiecki-Vikuk</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sz w:val="22"/>
          <w:szCs w:val="22"/>
        </w:rPr>
        <w:t>Dąbrowska</w:t>
      </w:r>
      <w:r w:rsidRPr="5223FEBC" w:rsidR="5223FEBC">
        <w:rPr>
          <w:rFonts w:ascii="Arial Nova" w:hAnsi="Arial Nova" w:eastAsia="Arial Nova" w:cs="Arial Nova"/>
          <w:sz w:val="22"/>
          <w:szCs w:val="22"/>
        </w:rPr>
        <w:t xml:space="preserve">, &amp; </w:t>
      </w:r>
      <w:r w:rsidRPr="5223FEBC" w:rsidR="5223FEBC">
        <w:rPr>
          <w:rFonts w:ascii="Arial Nova" w:hAnsi="Arial Nova" w:eastAsia="Arial Nova" w:cs="Arial Nova"/>
          <w:sz w:val="22"/>
          <w:szCs w:val="22"/>
        </w:rPr>
        <w:t>Machnik</w:t>
      </w:r>
      <w:r w:rsidRPr="5223FEBC" w:rsidR="5223FEBC">
        <w:rPr>
          <w:rFonts w:ascii="Arial Nova" w:hAnsi="Arial Nova" w:eastAsia="Arial Nova" w:cs="Arial Nova"/>
          <w:sz w:val="22"/>
          <w:szCs w:val="22"/>
        </w:rPr>
        <w:t xml:space="preserve"> 2021). Therefore, implementing the no-poverty SDG will ensure that individuals at school or otherwise have improved performance, better mental health, and better life choices. Additionally, implementing the no-poverty SDG </w:t>
      </w:r>
      <w:r w:rsidRPr="5223FEBC" w:rsidR="5223FEBC">
        <w:rPr>
          <w:rFonts w:ascii="Arial Nova" w:hAnsi="Arial Nova" w:eastAsia="Arial Nova" w:cs="Arial Nova"/>
          <w:sz w:val="22"/>
          <w:szCs w:val="22"/>
        </w:rPr>
        <w:t>impacts</w:t>
      </w:r>
      <w:r w:rsidRPr="5223FEBC" w:rsidR="5223FEBC">
        <w:rPr>
          <w:rFonts w:ascii="Arial Nova" w:hAnsi="Arial Nova" w:eastAsia="Arial Nova" w:cs="Arial Nova"/>
          <w:sz w:val="22"/>
          <w:szCs w:val="22"/>
        </w:rPr>
        <w:t xml:space="preserve"> sustainable development by allowing more people to actively engage in the labour force and contribute to national economic development, which is concerned with ensuring sustainability.</w:t>
      </w:r>
    </w:p>
    <w:p w:rsidRPr="003C104B" w:rsidR="006F2CD3" w:rsidP="5223FEBC" w:rsidRDefault="2D9DA515" w14:paraId="163E0204" w14:textId="7791B99F" w14:noSpellErr="1">
      <w:pPr>
        <w:pStyle w:val="Heading2"/>
        <w:spacing w:line="360" w:lineRule="auto"/>
        <w:jc w:val="both"/>
        <w:rPr>
          <w:rFonts w:ascii="Arial Nova" w:hAnsi="Arial Nova" w:eastAsia="Arial Nova" w:cs="Arial Nova"/>
          <w:b w:val="1"/>
          <w:bCs w:val="1"/>
          <w:sz w:val="22"/>
          <w:szCs w:val="22"/>
        </w:rPr>
      </w:pPr>
      <w:bookmarkStart w:name="_Toc150758979" w:id="11"/>
      <w:r w:rsidRPr="5223FEBC" w:rsidR="5223FEBC">
        <w:rPr>
          <w:rFonts w:ascii="Arial Nova" w:hAnsi="Arial Nova" w:eastAsia="Arial Nova" w:cs="Arial Nova"/>
          <w:b w:val="1"/>
          <w:bCs w:val="1"/>
          <w:sz w:val="22"/>
          <w:szCs w:val="22"/>
        </w:rPr>
        <w:t>Challenges of Implementing the Goal</w:t>
      </w:r>
      <w:bookmarkEnd w:id="11"/>
    </w:p>
    <w:p w:rsidRPr="003C104B" w:rsidR="007D6983" w:rsidP="5223FEBC" w:rsidRDefault="001738AA" w14:paraId="53F1009B" w14:textId="5162927A">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Some of the challenges of implementing the no-poverty SDG have been highlighted in the </w:t>
      </w:r>
      <w:r w:rsidRPr="5223FEBC" w:rsidR="5223FEBC">
        <w:rPr>
          <w:rFonts w:ascii="Arial Nova" w:hAnsi="Arial Nova" w:eastAsia="Arial Nova" w:cs="Arial Nova"/>
          <w:sz w:val="22"/>
          <w:szCs w:val="22"/>
        </w:rPr>
        <w:t>previous</w:t>
      </w:r>
      <w:r w:rsidRPr="5223FEBC" w:rsidR="5223FEBC">
        <w:rPr>
          <w:rFonts w:ascii="Arial Nova" w:hAnsi="Arial Nova" w:eastAsia="Arial Nova" w:cs="Arial Nova"/>
          <w:sz w:val="22"/>
          <w:szCs w:val="22"/>
        </w:rPr>
        <w:t xml:space="preserve"> sections. One is the uncertainty that comes with implementing changes in already existing systems. For instance, Craig and Katikireddi (2020) assert that there were mental health issues that occurred among unemployed people when Universal Credit was launched. This is due to the uncertainties and difficulties of working with the new system. Dube (2019) explains that new initiatives also have some trade-offs that must be accounted for to ensure they work.</w:t>
      </w:r>
    </w:p>
    <w:p w:rsidRPr="003C104B" w:rsidR="00306D7C" w:rsidP="5223FEBC" w:rsidRDefault="2D9DA515" w14:paraId="2B6AF0E1" w14:textId="0FA1A77B" w14:noSpellErr="1">
      <w:pPr>
        <w:pStyle w:val="Heading2"/>
        <w:spacing w:line="360" w:lineRule="auto"/>
        <w:jc w:val="both"/>
        <w:rPr>
          <w:rFonts w:ascii="Arial Nova" w:hAnsi="Arial Nova" w:eastAsia="Arial Nova" w:cs="Arial Nova"/>
          <w:sz w:val="22"/>
          <w:szCs w:val="22"/>
        </w:rPr>
      </w:pPr>
      <w:bookmarkStart w:name="_Toc150758980" w:id="12"/>
      <w:r w:rsidRPr="5223FEBC" w:rsidR="5223FEBC">
        <w:rPr>
          <w:rFonts w:ascii="Arial Nova" w:hAnsi="Arial Nova" w:eastAsia="Arial Nova" w:cs="Arial Nova"/>
          <w:sz w:val="22"/>
          <w:szCs w:val="22"/>
        </w:rPr>
        <w:t>Recommendations for Achieving the No Poverty SDG</w:t>
      </w:r>
      <w:bookmarkEnd w:id="12"/>
    </w:p>
    <w:p w:rsidRPr="003C104B" w:rsidR="00C13610" w:rsidP="5223FEBC" w:rsidRDefault="00C13610" w14:paraId="016B4BA6" w14:textId="77777777" w14:noSpellErr="1">
      <w:pPr>
        <w:spacing w:after="0" w:line="360" w:lineRule="auto"/>
        <w:jc w:val="both"/>
        <w:rPr>
          <w:rFonts w:ascii="Arial Nova" w:hAnsi="Arial Nova" w:eastAsia="Arial Nova" w:cs="Arial Nova"/>
          <w:sz w:val="22"/>
          <w:szCs w:val="22"/>
          <w:lang w:val="en-US"/>
        </w:rPr>
      </w:pPr>
    </w:p>
    <w:p w:rsidRPr="003C104B" w:rsidR="00F06437" w:rsidP="5223FEBC" w:rsidRDefault="005400AC" w14:paraId="70BCBAEF" w14:textId="7CB24E4F">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The challenges in achieving the no poverty SDG must be addressed to </w:t>
      </w:r>
      <w:r w:rsidRPr="5223FEBC" w:rsidR="5223FEBC">
        <w:rPr>
          <w:rFonts w:ascii="Arial Nova" w:hAnsi="Arial Nova" w:eastAsia="Arial Nova" w:cs="Arial Nova"/>
          <w:sz w:val="22"/>
          <w:szCs w:val="22"/>
        </w:rPr>
        <w:t>attain</w:t>
      </w:r>
      <w:r w:rsidRPr="5223FEBC" w:rsidR="5223FEBC">
        <w:rPr>
          <w:rFonts w:ascii="Arial Nova" w:hAnsi="Arial Nova" w:eastAsia="Arial Nova" w:cs="Arial Nova"/>
          <w:sz w:val="22"/>
          <w:szCs w:val="22"/>
        </w:rPr>
        <w:t xml:space="preserve"> the goal’s targets by 2030. For instance, Craig and Katikireddi (2020) explain that there is a need to make more considerations when implementing new initiatives since they </w:t>
      </w:r>
      <w:r w:rsidRPr="5223FEBC" w:rsidR="5223FEBC">
        <w:rPr>
          <w:rFonts w:ascii="Arial Nova" w:hAnsi="Arial Nova" w:eastAsia="Arial Nova" w:cs="Arial Nova"/>
          <w:sz w:val="22"/>
          <w:szCs w:val="22"/>
        </w:rPr>
        <w:t>impact</w:t>
      </w:r>
      <w:r w:rsidRPr="5223FEBC" w:rsidR="5223FEBC">
        <w:rPr>
          <w:rFonts w:ascii="Arial Nova" w:hAnsi="Arial Nova" w:eastAsia="Arial Nova" w:cs="Arial Nova"/>
          <w:sz w:val="22"/>
          <w:szCs w:val="22"/>
        </w:rPr>
        <w:t xml:space="preserve"> others in ways that exceed employment outcomes. Craig and Katikireddi (2020) recommend a rigorous and comprehensive evaluation of the impacts of the initiatives, for instance, through conducting mental health assessments. For issues that may arise following minimum wage stipulations, </w:t>
      </w:r>
      <w:r w:rsidRPr="5223FEBC" w:rsidR="5223FEBC">
        <w:rPr>
          <w:rFonts w:ascii="Arial Nova" w:hAnsi="Arial Nova" w:eastAsia="Arial Nova" w:cs="Arial Nova"/>
          <w:sz w:val="22"/>
          <w:szCs w:val="22"/>
        </w:rPr>
        <w:t>Dube</w:t>
      </w:r>
      <w:r w:rsidRPr="5223FEBC" w:rsidR="5223FEBC">
        <w:rPr>
          <w:rFonts w:ascii="Arial Nova" w:hAnsi="Arial Nova" w:eastAsia="Arial Nova" w:cs="Arial Nova"/>
          <w:sz w:val="22"/>
          <w:szCs w:val="22"/>
        </w:rPr>
        <w:t xml:space="preserve"> (2019) recommends assessing the </w:t>
      </w:r>
      <w:r w:rsidRPr="5223FEBC" w:rsidR="5223FEBC">
        <w:rPr>
          <w:rFonts w:ascii="Arial Nova" w:hAnsi="Arial Nova" w:eastAsia="Arial Nova" w:cs="Arial Nova"/>
          <w:sz w:val="22"/>
          <w:szCs w:val="22"/>
        </w:rPr>
        <w:t>sectoral</w:t>
      </w:r>
      <w:r w:rsidRPr="5223FEBC" w:rsidR="5223FEBC">
        <w:rPr>
          <w:rFonts w:ascii="Arial Nova" w:hAnsi="Arial Nova" w:eastAsia="Arial Nova" w:cs="Arial Nova"/>
          <w:sz w:val="22"/>
          <w:szCs w:val="22"/>
        </w:rPr>
        <w:t xml:space="preserve"> composition of workers affected by diverse levels of minimum wage.</w:t>
      </w:r>
    </w:p>
    <w:p w:rsidR="5223FEBC" w:rsidP="5223FEBC" w:rsidRDefault="5223FEBC" w14:paraId="7C0EBF31" w14:textId="3F417F94">
      <w:pPr>
        <w:pStyle w:val="Heading1"/>
        <w:spacing w:line="360" w:lineRule="auto"/>
        <w:jc w:val="center"/>
        <w:rPr>
          <w:rFonts w:ascii="Arial Nova" w:hAnsi="Arial Nova" w:eastAsia="Arial Nova" w:cs="Arial Nova"/>
          <w:b w:val="1"/>
          <w:bCs w:val="1"/>
          <w:sz w:val="22"/>
          <w:szCs w:val="22"/>
        </w:rPr>
      </w:pPr>
    </w:p>
    <w:p w:rsidRPr="003C104B" w:rsidR="001629E7" w:rsidP="5223FEBC" w:rsidRDefault="2D9DA515" w14:paraId="60010B9B" w14:textId="0CF61CE4" w14:noSpellErr="1">
      <w:pPr>
        <w:pStyle w:val="Heading1"/>
        <w:spacing w:line="360" w:lineRule="auto"/>
        <w:jc w:val="center"/>
        <w:rPr>
          <w:rFonts w:ascii="Arial Nova" w:hAnsi="Arial Nova" w:eastAsia="Arial Nova" w:cs="Arial Nova"/>
          <w:b w:val="1"/>
          <w:bCs w:val="1"/>
          <w:sz w:val="22"/>
          <w:szCs w:val="22"/>
        </w:rPr>
      </w:pPr>
      <w:bookmarkStart w:name="_Toc150758981" w:id="13"/>
      <w:r w:rsidRPr="5223FEBC" w:rsidR="5223FEBC">
        <w:rPr>
          <w:rFonts w:ascii="Arial Nova" w:hAnsi="Arial Nova" w:eastAsia="Arial Nova" w:cs="Arial Nova"/>
          <w:b w:val="1"/>
          <w:bCs w:val="1"/>
          <w:sz w:val="22"/>
          <w:szCs w:val="22"/>
        </w:rPr>
        <w:t>Goal B: Gender Equality</w:t>
      </w:r>
      <w:bookmarkEnd w:id="13"/>
    </w:p>
    <w:p w:rsidRPr="003C104B" w:rsidR="00B942EA" w:rsidP="5223FEBC" w:rsidRDefault="2D9DA515" w14:paraId="6D15057A" w14:textId="09C2E506" w14:noSpellErr="1">
      <w:pPr>
        <w:pStyle w:val="Heading2"/>
        <w:spacing w:line="360" w:lineRule="auto"/>
        <w:jc w:val="both"/>
        <w:rPr>
          <w:rFonts w:ascii="Arial Nova" w:hAnsi="Arial Nova" w:eastAsia="Arial Nova" w:cs="Arial Nova"/>
          <w:b w:val="1"/>
          <w:bCs w:val="1"/>
          <w:sz w:val="22"/>
          <w:szCs w:val="22"/>
        </w:rPr>
      </w:pPr>
      <w:bookmarkStart w:name="_Toc150758982" w:id="14"/>
      <w:r w:rsidRPr="5223FEBC" w:rsidR="5223FEBC">
        <w:rPr>
          <w:rFonts w:ascii="Arial Nova" w:hAnsi="Arial Nova" w:eastAsia="Arial Nova" w:cs="Arial Nova"/>
          <w:b w:val="1"/>
          <w:bCs w:val="1"/>
          <w:sz w:val="22"/>
          <w:szCs w:val="22"/>
        </w:rPr>
        <w:t>Definition of the Goal</w:t>
      </w:r>
      <w:bookmarkEnd w:id="14"/>
    </w:p>
    <w:p w:rsidRPr="003C104B" w:rsidR="0097100C" w:rsidP="5223FEBC" w:rsidRDefault="0097100C" w14:paraId="1F0EE63F" w14:textId="3870B7DC">
      <w:pPr>
        <w:spacing w:after="0" w:line="360" w:lineRule="auto"/>
        <w:jc w:val="both"/>
        <w:rPr>
          <w:rFonts w:ascii="Arial Nova" w:hAnsi="Arial Nova" w:eastAsia="Arial Nova" w:cs="Arial Nova"/>
          <w:sz w:val="22"/>
          <w:szCs w:val="22"/>
          <w:lang w:val="en-US"/>
        </w:rPr>
      </w:pPr>
      <w:bookmarkStart w:name="_Toc150758983" w:id="15"/>
      <w:r w:rsidRPr="5223FEBC" w:rsidR="5223FEBC">
        <w:rPr>
          <w:rFonts w:ascii="Arial Nova" w:hAnsi="Arial Nova" w:eastAsia="Arial Nova" w:cs="Arial Nova"/>
          <w:sz w:val="22"/>
          <w:szCs w:val="22"/>
        </w:rPr>
        <w:t xml:space="preserve">     Gender equality, a heavily debated subject in today's world, holds immense importance for society. </w:t>
      </w:r>
      <w:r w:rsidRPr="5223FEBC" w:rsidR="5223FEBC">
        <w:rPr>
          <w:rFonts w:ascii="Arial Nova" w:hAnsi="Arial Nova" w:eastAsia="Arial Nova" w:cs="Arial Nova"/>
          <w:sz w:val="22"/>
          <w:szCs w:val="22"/>
        </w:rPr>
        <w:t>Eliminating</w:t>
      </w:r>
      <w:r w:rsidRPr="5223FEBC" w:rsidR="5223FEBC">
        <w:rPr>
          <w:rFonts w:ascii="Arial Nova" w:hAnsi="Arial Nova" w:eastAsia="Arial Nova" w:cs="Arial Nova"/>
          <w:sz w:val="22"/>
          <w:szCs w:val="22"/>
        </w:rPr>
        <w:t xml:space="preserve"> gender discrimination stands as a crucial step towards safeguarding human rights and fostering sustainability. Evidence supports that empowering woman not only drives economic growth but also reflects progress. The UNDP's dedicated efforts towards gender parity have yielded significant strides over the past two decades. Notable achievements include enhanced enrolment of girls in schools and achieving a gender balance in primary education across several regions. However, persistent challenges persist. Despite increased female workforce participation, women often </w:t>
      </w:r>
      <w:r w:rsidRPr="5223FEBC" w:rsidR="5223FEBC">
        <w:rPr>
          <w:rFonts w:ascii="Arial Nova" w:hAnsi="Arial Nova" w:eastAsia="Arial Nova" w:cs="Arial Nova"/>
          <w:sz w:val="22"/>
          <w:szCs w:val="22"/>
        </w:rPr>
        <w:t>encounter</w:t>
      </w:r>
      <w:r w:rsidRPr="5223FEBC" w:rsidR="5223FEBC">
        <w:rPr>
          <w:rFonts w:ascii="Arial Nova" w:hAnsi="Arial Nova" w:eastAsia="Arial Nova" w:cs="Arial Nova"/>
          <w:sz w:val="22"/>
          <w:szCs w:val="22"/>
        </w:rPr>
        <w:t xml:space="preserve"> discrimination in specific sectors, facing unequal employment opportunities compared to men. Issues like sexual violence, bias in public roles, and uneven distribution of domestic responsibilities further compound these disparities in various regions.</w:t>
      </w:r>
    </w:p>
    <w:p w:rsidRPr="003C104B" w:rsidR="0097100C" w:rsidP="5223FEBC" w:rsidRDefault="0097100C" w14:paraId="412EAAA2" w14:textId="309A9D3A">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The Sustainable Development Goal (SDG) for gender equality underscores the necessity of granting women equal rights in reproductive and sexual health, land ownership, property, technology access, and internet usage. The UN outlines a comprehensive set of </w:t>
      </w:r>
      <w:r w:rsidRPr="5223FEBC" w:rsidR="5223FEBC">
        <w:rPr>
          <w:rFonts w:ascii="Arial Nova" w:hAnsi="Arial Nova" w:eastAsia="Arial Nova" w:cs="Arial Nova"/>
          <w:sz w:val="22"/>
          <w:szCs w:val="22"/>
        </w:rPr>
        <w:t>objectives</w:t>
      </w:r>
      <w:r w:rsidRPr="5223FEBC" w:rsidR="5223FEBC">
        <w:rPr>
          <w:rFonts w:ascii="Arial Nova" w:hAnsi="Arial Nova" w:eastAsia="Arial Nova" w:cs="Arial Nova"/>
          <w:sz w:val="22"/>
          <w:szCs w:val="22"/>
        </w:rPr>
        <w:t xml:space="preserve"> to achieve gender parity, aiming to </w:t>
      </w:r>
      <w:r w:rsidRPr="5223FEBC" w:rsidR="5223FEBC">
        <w:rPr>
          <w:rFonts w:ascii="Arial Nova" w:hAnsi="Arial Nova" w:eastAsia="Arial Nova" w:cs="Arial Nova"/>
          <w:sz w:val="22"/>
          <w:szCs w:val="22"/>
        </w:rPr>
        <w:t>eliminate</w:t>
      </w:r>
      <w:r w:rsidRPr="5223FEBC" w:rsidR="5223FEBC">
        <w:rPr>
          <w:rFonts w:ascii="Arial Nova" w:hAnsi="Arial Nova" w:eastAsia="Arial Nova" w:cs="Arial Nova"/>
          <w:sz w:val="22"/>
          <w:szCs w:val="22"/>
        </w:rPr>
        <w:t xml:space="preserve"> all global discriminatory practices against women, halt violence in both public and private spheres, and abolish harmful customs like female genital mutilation and coerced early marriages. Furthermore, the UN emphasizes recognizing the value of unpaid care and domestic work and advocates for policies </w:t>
      </w:r>
      <w:r w:rsidRPr="5223FEBC" w:rsidR="5223FEBC">
        <w:rPr>
          <w:rFonts w:ascii="Arial Nova" w:hAnsi="Arial Nova" w:eastAsia="Arial Nova" w:cs="Arial Nova"/>
          <w:sz w:val="22"/>
          <w:szCs w:val="22"/>
        </w:rPr>
        <w:t>facilitating</w:t>
      </w:r>
      <w:r w:rsidRPr="5223FEBC" w:rsidR="5223FEBC">
        <w:rPr>
          <w:rFonts w:ascii="Arial Nova" w:hAnsi="Arial Nova" w:eastAsia="Arial Nova" w:cs="Arial Nova"/>
          <w:sz w:val="22"/>
          <w:szCs w:val="22"/>
        </w:rPr>
        <w:t xml:space="preserve"> shared responsibilities. The overarching goal is to empower women for </w:t>
      </w:r>
      <w:r w:rsidRPr="5223FEBC" w:rsidR="5223FEBC">
        <w:rPr>
          <w:rFonts w:ascii="Arial Nova" w:hAnsi="Arial Nova" w:eastAsia="Arial Nova" w:cs="Arial Nova"/>
          <w:sz w:val="22"/>
          <w:szCs w:val="22"/>
        </w:rPr>
        <w:t>equitable</w:t>
      </w:r>
      <w:r w:rsidRPr="5223FEBC" w:rsidR="5223FEBC">
        <w:rPr>
          <w:rFonts w:ascii="Arial Nova" w:hAnsi="Arial Nova" w:eastAsia="Arial Nova" w:cs="Arial Nova"/>
          <w:sz w:val="22"/>
          <w:szCs w:val="22"/>
        </w:rPr>
        <w:t xml:space="preserve"> participation across public, economic, and political decision-making realms.</w:t>
      </w:r>
    </w:p>
    <w:p w:rsidRPr="003C104B" w:rsidR="00ED60E1" w:rsidP="5223FEBC" w:rsidRDefault="2D9DA515" w14:paraId="6C80D01C" w14:textId="5FC5C54B" w14:noSpellErr="1">
      <w:pPr>
        <w:spacing w:after="0" w:line="360" w:lineRule="auto"/>
        <w:jc w:val="both"/>
        <w:rPr>
          <w:rFonts w:ascii="Arial Nova" w:hAnsi="Arial Nova" w:eastAsia="Arial Nova" w:cs="Arial Nova"/>
          <w:i w:val="1"/>
          <w:iCs w:val="1"/>
          <w:sz w:val="22"/>
          <w:szCs w:val="22"/>
        </w:rPr>
      </w:pPr>
      <w:r w:rsidRPr="5223FEBC" w:rsidR="5223FEBC">
        <w:rPr>
          <w:rFonts w:ascii="Arial Nova" w:hAnsi="Arial Nova" w:eastAsia="Arial Nova" w:cs="Arial Nova"/>
          <w:b w:val="1"/>
          <w:bCs w:val="1"/>
          <w:i w:val="1"/>
          <w:iCs w:val="1"/>
          <w:sz w:val="22"/>
          <w:szCs w:val="22"/>
        </w:rPr>
        <w:t>UK Gender Equality Initiative 1: Gender Pay Gap Reporting</w:t>
      </w:r>
      <w:bookmarkEnd w:id="15"/>
    </w:p>
    <w:p w:rsidRPr="003C104B" w:rsidR="0081336C" w:rsidP="5223FEBC" w:rsidRDefault="0081336C" w14:paraId="023AF12D" w14:textId="77777777">
      <w:pPr>
        <w:spacing w:after="0" w:line="360" w:lineRule="auto"/>
        <w:jc w:val="both"/>
        <w:rPr>
          <w:rStyle w:val="sw"/>
          <w:rFonts w:ascii="Arial Nova" w:hAnsi="Arial Nova" w:eastAsia="Arial Nova" w:cs="Arial Nova"/>
          <w:color w:val="000000"/>
          <w:sz w:val="22"/>
          <w:szCs w:val="22"/>
          <w:shd w:val="clear" w:color="auto" w:fill="FFFFFF"/>
        </w:rPr>
      </w:pPr>
      <w:bookmarkStart w:name="_Toc150758984" w:id="16"/>
      <w:r w:rsidRPr="5223FEBC">
        <w:rPr>
          <w:rStyle w:val="sw"/>
          <w:rFonts w:ascii="Arial Nova" w:hAnsi="Arial Nova" w:eastAsia="Arial Nova" w:cs="Arial Nova"/>
          <w:color w:val="000000"/>
          <w:sz w:val="22"/>
          <w:szCs w:val="22"/>
          <w:shd w:val="clear" w:color="auto" w:fill="FFFFFF"/>
        </w:rPr>
        <w:t xml:space="preserve">     The primary approach adopted in the UK to address gender inequality involves managing the issue of gender pay disparity. According to the UK government's guidelines in (2023b), large-scale employers have an obligation to reveal details concerning the gender pay gap. Specifically, </w:t>
      </w:r>
      <w:r w:rsidRPr="5223FEBC">
        <w:rPr>
          <w:rStyle w:val="sw"/>
          <w:rFonts w:ascii="Arial Nova" w:hAnsi="Arial Nova" w:eastAsia="Arial Nova" w:cs="Arial Nova"/>
          <w:color w:val="000000"/>
          <w:sz w:val="22"/>
          <w:szCs w:val="22"/>
          <w:shd w:val="clear" w:color="auto" w:fill="FFFFFF"/>
        </w:rPr>
        <w:lastRenderedPageBreak/>
        <w:t>companies with 250 or more employees need to release gender-specific wage data at certain intervals throughout the year. This data must be published within a year from its collection date, with the annual reporting requirement applicable if the company had 250 or more employees at the data collection time.</w:t>
      </w:r>
    </w:p>
    <w:p w:rsidRPr="003C104B" w:rsidR="000A7FB7" w:rsidP="5223FEBC" w:rsidRDefault="0081336C" w14:paraId="743B336B" w14:textId="27086F25">
      <w:pPr>
        <w:pStyle w:val="Normal"/>
        <w:spacing w:after="0" w:line="360" w:lineRule="auto"/>
        <w:jc w:val="both"/>
        <w:rPr>
          <w:rStyle w:val="sw"/>
          <w:rFonts w:ascii="Arial Nova" w:hAnsi="Arial Nova" w:eastAsia="Arial Nova" w:cs="Arial Nova"/>
          <w:color w:val="000000"/>
          <w:sz w:val="22"/>
          <w:szCs w:val="22"/>
          <w:shd w:val="clear" w:color="auto" w:fill="FFFFFF"/>
        </w:rPr>
      </w:pPr>
      <w:r w:rsidRPr="5223FEBC">
        <w:rPr>
          <w:rStyle w:val="sw"/>
          <w:rFonts w:ascii="Arial Nova" w:hAnsi="Arial Nova" w:eastAsia="Arial Nova" w:cs="Arial Nova"/>
          <w:color w:val="000000"/>
          <w:sz w:val="22"/>
          <w:szCs w:val="22"/>
          <w:shd w:val="clear" w:color="auto" w:fill="FFFFFF"/>
        </w:rPr>
        <w:t xml:space="preserve">     Employers are mandated to </w:t>
      </w:r>
      <w:r w:rsidRPr="5223FEBC">
        <w:rPr>
          <w:rStyle w:val="sw"/>
          <w:rFonts w:ascii="Arial Nova" w:hAnsi="Arial Nova" w:eastAsia="Arial Nova" w:cs="Arial Nova"/>
          <w:color w:val="000000"/>
          <w:sz w:val="22"/>
          <w:szCs w:val="22"/>
          <w:shd w:val="clear" w:color="auto" w:fill="FFFFFF"/>
        </w:rPr>
        <w:t>disclose</w:t>
      </w:r>
      <w:r w:rsidRPr="5223FEBC">
        <w:rPr>
          <w:rStyle w:val="sw"/>
          <w:rFonts w:ascii="Arial Nova" w:hAnsi="Arial Nova" w:eastAsia="Arial Nova" w:cs="Arial Nova"/>
          <w:color w:val="000000"/>
          <w:sz w:val="22"/>
          <w:szCs w:val="22"/>
          <w:shd w:val="clear" w:color="auto" w:fill="FFFFFF"/>
        </w:rPr>
        <w:t xml:space="preserve"> all significant aspects of gender pay. The essential components for submission encompass gender pay metrics and corresponding explanations. Gender pays gap information includes breakdowns like the distribution of wage disparities between men and women, average and median differences in hourly pay based on gender, the percentage of male and female staff receiving bonuses, and the average bonus discrepancy between genders, as specified by the UK Government in (2023b). While private sector or volunteer employers need to </w:t>
      </w:r>
      <w:r w:rsidRPr="5223FEBC">
        <w:rPr>
          <w:rStyle w:val="sw"/>
          <w:rFonts w:ascii="Arial Nova" w:hAnsi="Arial Nova" w:eastAsia="Arial Nova" w:cs="Arial Nova"/>
          <w:color w:val="000000"/>
          <w:sz w:val="22"/>
          <w:szCs w:val="22"/>
          <w:shd w:val="clear" w:color="auto" w:fill="FFFFFF"/>
        </w:rPr>
        <w:t>furnish</w:t>
      </w:r>
      <w:r w:rsidRPr="5223FEBC">
        <w:rPr>
          <w:rStyle w:val="sw"/>
          <w:rFonts w:ascii="Arial Nova" w:hAnsi="Arial Nova" w:eastAsia="Arial Nova" w:cs="Arial Nova"/>
          <w:color w:val="000000"/>
          <w:sz w:val="22"/>
          <w:szCs w:val="22"/>
          <w:shd w:val="clear" w:color="auto" w:fill="FFFFFF"/>
        </w:rPr>
        <w:t xml:space="preserve"> a written statement, most public employers might not </w:t>
      </w:r>
      <w:r w:rsidRPr="5223FEBC">
        <w:rPr>
          <w:rStyle w:val="sw"/>
          <w:rFonts w:ascii="Arial Nova" w:hAnsi="Arial Nova" w:eastAsia="Arial Nova" w:cs="Arial Nova"/>
          <w:color w:val="000000"/>
          <w:sz w:val="22"/>
          <w:szCs w:val="22"/>
          <w:shd w:val="clear" w:color="auto" w:fill="FFFFFF"/>
        </w:rPr>
        <w:t>necessitate</w:t>
      </w:r>
      <w:r w:rsidRPr="5223FEBC">
        <w:rPr>
          <w:rStyle w:val="sw"/>
          <w:rFonts w:ascii="Arial Nova" w:hAnsi="Arial Nova" w:eastAsia="Arial Nova" w:cs="Arial Nova"/>
          <w:color w:val="000000"/>
          <w:sz w:val="22"/>
          <w:szCs w:val="22"/>
          <w:shd w:val="clear" w:color="auto" w:fill="FFFFFF"/>
        </w:rPr>
        <w:t xml:space="preserve"> one. The UK Government (2023b) highlights that the written confirmation must </w:t>
      </w:r>
      <w:r w:rsidRPr="5223FEBC">
        <w:rPr>
          <w:rStyle w:val="sw"/>
          <w:rFonts w:ascii="Arial Nova" w:hAnsi="Arial Nova" w:eastAsia="Arial Nova" w:cs="Arial Nova"/>
          <w:color w:val="000000"/>
          <w:sz w:val="22"/>
          <w:szCs w:val="22"/>
          <w:shd w:val="clear" w:color="auto" w:fill="FFFFFF"/>
        </w:rPr>
        <w:t>validate</w:t>
      </w:r>
      <w:r w:rsidRPr="5223FEBC">
        <w:rPr>
          <w:rStyle w:val="sw"/>
          <w:rFonts w:ascii="Arial Nova" w:hAnsi="Arial Nova" w:eastAsia="Arial Nova" w:cs="Arial Nova"/>
          <w:color w:val="000000"/>
          <w:sz w:val="22"/>
          <w:szCs w:val="22"/>
          <w:shd w:val="clear" w:color="auto" w:fill="FFFFFF"/>
        </w:rPr>
        <w:t xml:space="preserve"> the accuracy of gender pay data and must bear the signature of </w:t>
      </w:r>
      <w:r w:rsidRPr="5223FEBC">
        <w:rPr>
          <w:rStyle w:val="sw"/>
          <w:rFonts w:ascii="Arial Nova" w:hAnsi="Arial Nova" w:eastAsia="Arial Nova" w:cs="Arial Nova"/>
          <w:color w:val="000000"/>
          <w:sz w:val="22"/>
          <w:szCs w:val="22"/>
          <w:shd w:val="clear" w:color="auto" w:fill="FFFFFF"/>
        </w:rPr>
        <w:t>an appropriate authority</w:t>
      </w:r>
      <w:r w:rsidRPr="5223FEBC">
        <w:rPr>
          <w:rStyle w:val="sw"/>
          <w:rFonts w:ascii="Arial Nova" w:hAnsi="Arial Nova" w:eastAsia="Arial Nova" w:cs="Arial Nova"/>
          <w:color w:val="000000"/>
          <w:sz w:val="22"/>
          <w:szCs w:val="22"/>
          <w:shd w:val="clear" w:color="auto" w:fill="FFFFFF"/>
        </w:rPr>
        <w:t>, such as the head of a non-LLP corporate entity or a participating member of an LLP General Partner or other relevant roles.</w:t>
      </w:r>
    </w:p>
    <w:p w:rsidRPr="003C104B" w:rsidR="009528C9" w:rsidP="5223FEBC" w:rsidRDefault="2D9DA515" w14:paraId="7E73E88D" w14:textId="5704F516" w14:noSpellErr="1">
      <w:pPr>
        <w:spacing w:after="0" w:line="360" w:lineRule="auto"/>
        <w:jc w:val="both"/>
        <w:rPr>
          <w:rFonts w:ascii="Arial Nova" w:hAnsi="Arial Nova" w:eastAsia="Arial Nova" w:cs="Arial Nova"/>
          <w:b w:val="1"/>
          <w:bCs w:val="1"/>
          <w:i w:val="1"/>
          <w:iCs w:val="1"/>
          <w:sz w:val="22"/>
          <w:szCs w:val="22"/>
        </w:rPr>
      </w:pPr>
      <w:r w:rsidRPr="5223FEBC" w:rsidR="5223FEBC">
        <w:rPr>
          <w:rFonts w:ascii="Arial Nova" w:hAnsi="Arial Nova" w:eastAsia="Arial Nova" w:cs="Arial Nova"/>
          <w:b w:val="1"/>
          <w:bCs w:val="1"/>
          <w:i w:val="1"/>
          <w:iCs w:val="1"/>
          <w:sz w:val="22"/>
          <w:szCs w:val="22"/>
        </w:rPr>
        <w:t>UK Gender Equality Initiative 2: Violence Against Women and Girls</w:t>
      </w:r>
      <w:bookmarkEnd w:id="16"/>
    </w:p>
    <w:p w:rsidRPr="003C104B" w:rsidR="001A7B66" w:rsidP="5223FEBC" w:rsidRDefault="2D9DA515" w14:paraId="3399C19A" w14:textId="2EC095CB">
      <w:pPr>
        <w:spacing w:after="0" w:line="360" w:lineRule="auto"/>
        <w:jc w:val="both"/>
        <w:rPr>
          <w:rFonts w:ascii="Arial Nova" w:hAnsi="Arial Nova" w:eastAsia="Arial Nova" w:cs="Arial Nova"/>
          <w:b w:val="1"/>
          <w:bCs w:val="1"/>
          <w:sz w:val="22"/>
          <w:szCs w:val="22"/>
        </w:rPr>
      </w:pPr>
      <w:r w:rsidRPr="5223FEBC" w:rsidR="5223FEBC">
        <w:rPr>
          <w:rFonts w:ascii="Arial Nova" w:hAnsi="Arial Nova" w:eastAsia="Arial Nova" w:cs="Arial Nova"/>
          <w:sz w:val="22"/>
          <w:szCs w:val="22"/>
        </w:rPr>
        <w:t xml:space="preserve">      The second initiative for gender equality implemented in the UK is the Violence Against Women and Girls (VAWG) program. As per the UK Government's (2022) report, VAWG encompasses a variety of deeply troubling and intolerable criminal activities, such as rape and other forms of sexual misconduct. VAWG also includes domestic abuse, stalking, up-skirting, revenge porn, and honour-based abuse such as forced marriage, female genital mutilation, and honour killings. It is important to note that such crimes can also occur to boys and men, and the approaches for handling the girls' and women's cases apply to male victims and survivors. UK Government (2022) further posits that crimes and behaviours can affect victims of all abilities, ages, sexualities, and backgrounds, and can occur in </w:t>
      </w:r>
      <w:r w:rsidRPr="5223FEBC" w:rsidR="5223FEBC">
        <w:rPr>
          <w:rFonts w:ascii="Arial Nova" w:hAnsi="Arial Nova" w:eastAsia="Arial Nova" w:cs="Arial Nova"/>
          <w:sz w:val="22"/>
          <w:szCs w:val="22"/>
        </w:rPr>
        <w:t>previous</w:t>
      </w:r>
      <w:r w:rsidRPr="5223FEBC" w:rsidR="5223FEBC">
        <w:rPr>
          <w:rFonts w:ascii="Arial Nova" w:hAnsi="Arial Nova" w:eastAsia="Arial Nova" w:cs="Arial Nova"/>
          <w:sz w:val="22"/>
          <w:szCs w:val="22"/>
        </w:rPr>
        <w:t xml:space="preserve"> or current relationships, families, and communities.</w:t>
      </w:r>
    </w:p>
    <w:p w:rsidRPr="003C104B" w:rsidR="001A7B66" w:rsidP="5223FEBC" w:rsidRDefault="2D9DA515" w14:paraId="0C00153F" w14:textId="13C9716F" w14:noSpellErr="1">
      <w:pPr>
        <w:spacing w:after="0" w:line="360" w:lineRule="auto"/>
        <w:jc w:val="both"/>
        <w:rPr>
          <w:rFonts w:ascii="Arial Nova" w:hAnsi="Arial Nova" w:eastAsia="Arial Nova" w:cs="Arial Nova"/>
          <w:b w:val="1"/>
          <w:bCs w:val="1"/>
          <w:i w:val="1"/>
          <w:iCs w:val="1"/>
          <w:sz w:val="22"/>
          <w:szCs w:val="22"/>
        </w:rPr>
      </w:pPr>
      <w:bookmarkStart w:name="_Toc150758985" w:id="17"/>
      <w:r w:rsidRPr="5223FEBC" w:rsidR="5223FEBC">
        <w:rPr>
          <w:rFonts w:ascii="Arial Nova" w:hAnsi="Arial Nova" w:eastAsia="Arial Nova" w:cs="Arial Nova"/>
          <w:b w:val="1"/>
          <w:bCs w:val="1"/>
          <w:i w:val="1"/>
          <w:iCs w:val="1"/>
          <w:sz w:val="22"/>
          <w:szCs w:val="22"/>
        </w:rPr>
        <w:t>Evaluating the Initiatives</w:t>
      </w:r>
      <w:bookmarkEnd w:id="17"/>
    </w:p>
    <w:p w:rsidRPr="003C104B" w:rsidR="001A7B66" w:rsidP="5223FEBC" w:rsidRDefault="2D9DA515" w14:paraId="56DDEA29" w14:textId="50A95E1D">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As previousl</w:t>
      </w:r>
      <w:r w:rsidRPr="5223FEBC" w:rsidR="5223FEBC">
        <w:rPr>
          <w:rFonts w:ascii="Arial Nova" w:hAnsi="Arial Nova" w:eastAsia="Arial Nova" w:cs="Arial Nova"/>
          <w:sz w:val="22"/>
          <w:szCs w:val="22"/>
        </w:rPr>
        <w:t xml:space="preserve">y </w:t>
      </w:r>
      <w:r w:rsidRPr="5223FEBC" w:rsidR="5223FEBC">
        <w:rPr>
          <w:rFonts w:ascii="Arial Nova" w:hAnsi="Arial Nova" w:eastAsia="Arial Nova" w:cs="Arial Nova"/>
          <w:sz w:val="22"/>
          <w:szCs w:val="22"/>
        </w:rPr>
        <w:t>s</w:t>
      </w:r>
      <w:r w:rsidRPr="5223FEBC" w:rsidR="5223FEBC">
        <w:rPr>
          <w:rFonts w:ascii="Arial Nova" w:hAnsi="Arial Nova" w:eastAsia="Arial Nova" w:cs="Arial Nova"/>
          <w:sz w:val="22"/>
          <w:szCs w:val="22"/>
        </w:rPr>
        <w:t>tat</w:t>
      </w:r>
      <w:r w:rsidRPr="5223FEBC" w:rsidR="5223FEBC">
        <w:rPr>
          <w:rFonts w:ascii="Arial Nova" w:hAnsi="Arial Nova" w:eastAsia="Arial Nova" w:cs="Arial Nova"/>
          <w:sz w:val="22"/>
          <w:szCs w:val="22"/>
        </w:rPr>
        <w:t>ed</w:t>
      </w:r>
      <w:r w:rsidRPr="5223FEBC" w:rsidR="5223FEBC">
        <w:rPr>
          <w:rFonts w:ascii="Arial Nova" w:hAnsi="Arial Nova" w:eastAsia="Arial Nova" w:cs="Arial Nova"/>
          <w:sz w:val="22"/>
          <w:szCs w:val="22"/>
        </w:rPr>
        <w:t>,</w:t>
      </w:r>
      <w:r w:rsidRPr="5223FEBC" w:rsidR="5223FEBC">
        <w:rPr>
          <w:rFonts w:ascii="Arial Nova" w:hAnsi="Arial Nova" w:eastAsia="Arial Nova" w:cs="Arial Nova"/>
          <w:sz w:val="22"/>
          <w:szCs w:val="22"/>
        </w:rPr>
        <w:t xml:space="preserve"> the gender pay gap reporting initiative encourages employers with a workforce of over 250 individuals t</w:t>
      </w:r>
      <w:r w:rsidRPr="5223FEBC" w:rsidR="5223FEBC">
        <w:rPr>
          <w:rFonts w:ascii="Arial Nova" w:hAnsi="Arial Nova" w:eastAsia="Arial Nova" w:cs="Arial Nova"/>
          <w:sz w:val="22"/>
          <w:szCs w:val="22"/>
        </w:rPr>
        <w:t xml:space="preserve">o </w:t>
      </w:r>
      <w:r w:rsidRPr="5223FEBC" w:rsidR="5223FEBC">
        <w:rPr>
          <w:rFonts w:ascii="Arial Nova" w:hAnsi="Arial Nova" w:eastAsia="Arial Nova" w:cs="Arial Nova"/>
          <w:sz w:val="22"/>
          <w:szCs w:val="22"/>
        </w:rPr>
        <w:t>d</w:t>
      </w:r>
      <w:r w:rsidRPr="5223FEBC" w:rsidR="5223FEBC">
        <w:rPr>
          <w:rFonts w:ascii="Arial Nova" w:hAnsi="Arial Nova" w:eastAsia="Arial Nova" w:cs="Arial Nova"/>
          <w:sz w:val="22"/>
          <w:szCs w:val="22"/>
        </w:rPr>
        <w:t>isclo</w:t>
      </w:r>
      <w:r w:rsidRPr="5223FEBC" w:rsidR="5223FEBC">
        <w:rPr>
          <w:rFonts w:ascii="Arial Nova" w:hAnsi="Arial Nova" w:eastAsia="Arial Nova" w:cs="Arial Nova"/>
          <w:sz w:val="22"/>
          <w:szCs w:val="22"/>
        </w:rPr>
        <w:t>se</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sz w:val="22"/>
          <w:szCs w:val="22"/>
        </w:rPr>
        <w:t>their gender wage gap data. Blundell (2021) suggests that such transparency policies, like enforced gender pay gap reporting, are cost-effective strategies for governments to address or appear to address inequality. Blundell (2021) proposes that a thorough evaluation of the gender pay gap's impact can be achieved b</w:t>
      </w:r>
      <w:r w:rsidRPr="5223FEBC" w:rsidR="5223FEBC">
        <w:rPr>
          <w:rFonts w:ascii="Arial Nova" w:hAnsi="Arial Nova" w:eastAsia="Arial Nova" w:cs="Arial Nova"/>
          <w:sz w:val="22"/>
          <w:szCs w:val="22"/>
        </w:rPr>
        <w:t xml:space="preserve">y </w:t>
      </w:r>
      <w:r w:rsidRPr="5223FEBC" w:rsidR="5223FEBC">
        <w:rPr>
          <w:rFonts w:ascii="Arial Nova" w:hAnsi="Arial Nova" w:eastAsia="Arial Nova" w:cs="Arial Nova"/>
          <w:sz w:val="22"/>
          <w:szCs w:val="22"/>
        </w:rPr>
        <w:t>o</w:t>
      </w:r>
      <w:r w:rsidRPr="5223FEBC" w:rsidR="5223FEBC">
        <w:rPr>
          <w:rFonts w:ascii="Arial Nova" w:hAnsi="Arial Nova" w:eastAsia="Arial Nova" w:cs="Arial Nova"/>
          <w:sz w:val="22"/>
          <w:szCs w:val="22"/>
        </w:rPr>
        <w:t>bservi</w:t>
      </w:r>
      <w:r w:rsidRPr="5223FEBC" w:rsidR="5223FEBC">
        <w:rPr>
          <w:rFonts w:ascii="Arial Nova" w:hAnsi="Arial Nova" w:eastAsia="Arial Nova" w:cs="Arial Nova"/>
          <w:sz w:val="22"/>
          <w:szCs w:val="22"/>
        </w:rPr>
        <w:t>ng</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sz w:val="22"/>
          <w:szCs w:val="22"/>
        </w:rPr>
        <w:t>the changes in the UK's gender pay gap following the launch of the reporting initiative. The evaluation revealed that the reporting of the pay gap led to a 1.6 percentage point rise in hourly wages for women compared to men. This significant result accounts for a fifth (19%) of the total gender pay gap in the sample used for the research. Blundell (2021) points out that the gender pay gap narrowed because women's salaries increased at a higher rate than men's during the assessment period (2012-2019). As a result, Blundell (2021) argues that the introduction of gender pay gap reporting has positively influenced the advancement of gender equality in the UK.</w:t>
      </w:r>
    </w:p>
    <w:p w:rsidRPr="003C104B" w:rsidR="003F16B1" w:rsidP="5223FEBC" w:rsidRDefault="00997462" w14:paraId="14772FCF" w14:textId="4C5D451F">
      <w:pPr>
        <w:spacing w:after="0" w:line="360" w:lineRule="auto"/>
        <w:jc w:val="both"/>
        <w:rPr>
          <w:rFonts w:ascii="Arial Nova" w:hAnsi="Arial Nova" w:eastAsia="Arial Nova" w:cs="Arial Nova"/>
          <w:b w:val="1"/>
          <w:bCs w:val="1"/>
          <w:sz w:val="22"/>
          <w:szCs w:val="22"/>
        </w:rPr>
      </w:pPr>
      <w:r w:rsidRPr="5223FEBC" w:rsidR="5223FEBC">
        <w:rPr>
          <w:rFonts w:ascii="Arial Nova" w:hAnsi="Arial Nova" w:eastAsia="Arial Nova" w:cs="Arial Nova"/>
          <w:sz w:val="22"/>
          <w:szCs w:val="22"/>
        </w:rPr>
        <w:t xml:space="preserve">      Significant efforts are also being made on the VAWG initiative. UK Government (2022) explains that since the National Statement of Expectations (NSE) was published in 2016, the government has continued to work with police and crime commissioners, the NHS, local authorities, and the VAWG sector to create a more secure future for a range of VAWG services. Some of the realizations following these endeavours include the establishment of rape support centres, national helplines, and refuges. UK Government (2022) explains that the 2016-2020 VAWG service transformation fund </w:t>
      </w:r>
      <w:r w:rsidRPr="5223FEBC" w:rsidR="5223FEBC">
        <w:rPr>
          <w:rFonts w:ascii="Arial Nova" w:hAnsi="Arial Nova" w:eastAsia="Arial Nova" w:cs="Arial Nova"/>
          <w:sz w:val="22"/>
          <w:szCs w:val="22"/>
        </w:rPr>
        <w:t>allocated</w:t>
      </w:r>
      <w:r w:rsidRPr="5223FEBC" w:rsidR="5223FEBC">
        <w:rPr>
          <w:rFonts w:ascii="Arial Nova" w:hAnsi="Arial Nova" w:eastAsia="Arial Nova" w:cs="Arial Nova"/>
          <w:sz w:val="22"/>
          <w:szCs w:val="22"/>
        </w:rPr>
        <w:t xml:space="preserve"> 17 million pounds to 41 projects that support and integrate programs in making systemic changes to local service provisions across Wales and England. Moreover, in the 2021-2022 fiscal year, the government contributed close to 151 million pounds to services for victims and witnesses. This was supplemented by over 20 million pounds </w:t>
      </w:r>
      <w:r w:rsidRPr="5223FEBC" w:rsidR="5223FEBC">
        <w:rPr>
          <w:rFonts w:ascii="Arial Nova" w:hAnsi="Arial Nova" w:eastAsia="Arial Nova" w:cs="Arial Nova"/>
          <w:sz w:val="22"/>
          <w:szCs w:val="22"/>
        </w:rPr>
        <w:t>allocated</w:t>
      </w:r>
      <w:r w:rsidRPr="5223FEBC" w:rsidR="5223FEBC">
        <w:rPr>
          <w:rFonts w:ascii="Arial Nova" w:hAnsi="Arial Nova" w:eastAsia="Arial Nova" w:cs="Arial Nova"/>
          <w:sz w:val="22"/>
          <w:szCs w:val="22"/>
        </w:rPr>
        <w:t xml:space="preserve"> to local, community-centred services for domestic abuse and sexual violence.</w:t>
      </w:r>
    </w:p>
    <w:p w:rsidRPr="003C104B" w:rsidR="003F16B1" w:rsidP="5223FEBC" w:rsidRDefault="2D9DA515" w14:paraId="7D3B61E3" w14:textId="523DAAAD" w14:noSpellErr="1">
      <w:pPr>
        <w:spacing w:after="0" w:line="360" w:lineRule="auto"/>
        <w:jc w:val="both"/>
        <w:rPr>
          <w:rFonts w:ascii="Arial Nova" w:hAnsi="Arial Nova" w:eastAsia="Arial Nova" w:cs="Arial Nova"/>
          <w:b w:val="1"/>
          <w:bCs w:val="1"/>
          <w:i w:val="1"/>
          <w:iCs w:val="1"/>
          <w:sz w:val="22"/>
          <w:szCs w:val="22"/>
        </w:rPr>
      </w:pPr>
      <w:bookmarkStart w:name="_Toc150758986" w:id="18"/>
      <w:r w:rsidRPr="5223FEBC" w:rsidR="5223FEBC">
        <w:rPr>
          <w:rFonts w:ascii="Arial Nova" w:hAnsi="Arial Nova" w:eastAsia="Arial Nova" w:cs="Arial Nova"/>
          <w:b w:val="1"/>
          <w:bCs w:val="1"/>
          <w:i w:val="1"/>
          <w:iCs w:val="1"/>
          <w:sz w:val="22"/>
          <w:szCs w:val="22"/>
        </w:rPr>
        <w:t>Impact of Implementing Gender Equality</w:t>
      </w:r>
      <w:bookmarkEnd w:id="18"/>
    </w:p>
    <w:p w:rsidRPr="003C104B" w:rsidR="00B36A00" w:rsidP="5223FEBC" w:rsidRDefault="001128D7" w14:paraId="31171F10" w14:textId="4341BB2E">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The impacts of protecting women and promoting gender equality cannot be understated. According to Alvarado et al. (2018), violence against women has several adverse health effects, such as physical injuries, disability, and mental health issues such as suicidal ideation and anxiety. Alvarado et al. (2018) further assert that VAWG survivors also experience social isolation and stigma, and they and their families often must bear social and financial costs. In a study conducted by Veas, Crispi, and Cuadrado (2021), they explored the relationship between gender inequality and overall health outcomes at the population level. Their research revealed that elevated levels of gender inequality are linked to decreased life expectancy, lower years of healthy living, an increase in premature mortality, prolonged years lived with disability, and increased disability-adjusted life years, a measure of overall disease burden. These findings underscore the premise that tackling gender inequality will lead to enhancements in people's health and overall well-being. Gender equality also promotes sustainable development. Wu et al. (2022) conducted a study that found that increased gender inequality reduces economic growth in the short and long term, while increased equality boosts economic growth in the short and long term. Moreover, Wu et al. (2022) found that the female </w:t>
      </w:r>
      <w:r w:rsidRPr="5223FEBC" w:rsidR="5223FEBC">
        <w:rPr>
          <w:rFonts w:ascii="Arial Nova" w:hAnsi="Arial Nova" w:eastAsia="Arial Nova" w:cs="Arial Nova"/>
          <w:sz w:val="22"/>
          <w:szCs w:val="22"/>
        </w:rPr>
        <w:t>labour</w:t>
      </w:r>
      <w:r w:rsidRPr="5223FEBC" w:rsidR="5223FEBC">
        <w:rPr>
          <w:rFonts w:ascii="Arial Nova" w:hAnsi="Arial Nova" w:eastAsia="Arial Nova" w:cs="Arial Nova"/>
          <w:sz w:val="22"/>
          <w:szCs w:val="22"/>
        </w:rPr>
        <w:t xml:space="preserve"> force significantly contributes to economic growth and sustainable development. Promoting gender equality increases the efforts that can be made toward </w:t>
      </w:r>
      <w:r w:rsidRPr="5223FEBC" w:rsidR="5223FEBC">
        <w:rPr>
          <w:rFonts w:ascii="Arial Nova" w:hAnsi="Arial Nova" w:eastAsia="Arial Nova" w:cs="Arial Nova"/>
          <w:sz w:val="22"/>
          <w:szCs w:val="22"/>
        </w:rPr>
        <w:t>attaining</w:t>
      </w:r>
      <w:r w:rsidRPr="5223FEBC" w:rsidR="5223FEBC">
        <w:rPr>
          <w:rFonts w:ascii="Arial Nova" w:hAnsi="Arial Nova" w:eastAsia="Arial Nova" w:cs="Arial Nova"/>
          <w:sz w:val="22"/>
          <w:szCs w:val="22"/>
        </w:rPr>
        <w:t xml:space="preserve"> sustainable development.</w:t>
      </w:r>
    </w:p>
    <w:p w:rsidRPr="003C104B" w:rsidR="00A658DF" w:rsidP="5223FEBC" w:rsidRDefault="2D9DA515" w14:paraId="6091A088" w14:textId="7CA8FD00" w14:noSpellErr="1">
      <w:pPr>
        <w:pStyle w:val="Heading2"/>
        <w:spacing w:line="360" w:lineRule="auto"/>
        <w:jc w:val="both"/>
        <w:rPr>
          <w:rFonts w:ascii="Arial Nova" w:hAnsi="Arial Nova" w:eastAsia="Arial Nova" w:cs="Arial Nova"/>
          <w:b w:val="1"/>
          <w:bCs w:val="1"/>
          <w:sz w:val="22"/>
          <w:szCs w:val="22"/>
        </w:rPr>
      </w:pPr>
      <w:bookmarkStart w:name="_Toc150758987" w:id="19"/>
      <w:r w:rsidRPr="5223FEBC" w:rsidR="5223FEBC">
        <w:rPr>
          <w:rFonts w:ascii="Arial Nova" w:hAnsi="Arial Nova" w:eastAsia="Arial Nova" w:cs="Arial Nova"/>
          <w:b w:val="1"/>
          <w:bCs w:val="1"/>
          <w:sz w:val="22"/>
          <w:szCs w:val="22"/>
        </w:rPr>
        <w:t>Challenges of Implementing Gender Equality</w:t>
      </w:r>
      <w:bookmarkEnd w:id="19"/>
    </w:p>
    <w:p w:rsidRPr="003C104B" w:rsidR="00DC0252" w:rsidP="5223FEBC" w:rsidRDefault="00BD1DE6" w14:paraId="41961509" w14:textId="5B2DB0E2">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Some challenges have been reported concerning promoting gender equality. According to Shawar and Shiffman (2020) and </w:t>
      </w:r>
      <w:r w:rsidRPr="5223FEBC" w:rsidR="5223FEBC">
        <w:rPr>
          <w:rFonts w:ascii="Arial Nova" w:hAnsi="Arial Nova" w:eastAsia="Arial Nova" w:cs="Arial Nova"/>
          <w:sz w:val="22"/>
          <w:szCs w:val="22"/>
        </w:rPr>
        <w:t>Cislaghi</w:t>
      </w:r>
      <w:r w:rsidRPr="5223FEBC" w:rsidR="5223FEBC">
        <w:rPr>
          <w:rFonts w:ascii="Arial Nova" w:hAnsi="Arial Nova" w:eastAsia="Arial Nova" w:cs="Arial Nova"/>
          <w:sz w:val="22"/>
          <w:szCs w:val="22"/>
        </w:rPr>
        <w:t xml:space="preserve"> et al. (2022), some challenges to implementing gender equality include entrenched patriarchal practices, lack of training of professionals to value gender analysis within organizations, conservative governments, and fear by global health officials and government that addressing gender can upset power relations. Additionally, Blundell (2021) reports that the statistics reported in the gender pay gap reports are remarkably crude. They do not adjust for whether their workers are part- or full-time employees. Their type of job and their experience levels. Furthermore, Blundell (2021) asserts that while employers are mandated to respond, there is little evidence concerning any severe enforcement of practice.</w:t>
      </w:r>
    </w:p>
    <w:p w:rsidRPr="003C104B" w:rsidR="00E93DD3" w:rsidP="5223FEBC" w:rsidRDefault="2D9DA515" w14:paraId="4134126A" w14:textId="5602EEBB" w14:noSpellErr="1">
      <w:pPr>
        <w:pStyle w:val="Heading2"/>
        <w:spacing w:line="360" w:lineRule="auto"/>
        <w:jc w:val="both"/>
        <w:rPr>
          <w:rFonts w:ascii="Arial Nova" w:hAnsi="Arial Nova" w:eastAsia="Arial Nova" w:cs="Arial Nova"/>
          <w:b w:val="1"/>
          <w:bCs w:val="1"/>
          <w:sz w:val="22"/>
          <w:szCs w:val="22"/>
        </w:rPr>
      </w:pPr>
      <w:bookmarkStart w:name="_Toc150758988" w:id="20"/>
      <w:r w:rsidRPr="5223FEBC" w:rsidR="5223FEBC">
        <w:rPr>
          <w:rFonts w:ascii="Arial Nova" w:hAnsi="Arial Nova" w:eastAsia="Arial Nova" w:cs="Arial Nova"/>
          <w:b w:val="1"/>
          <w:bCs w:val="1"/>
          <w:sz w:val="22"/>
          <w:szCs w:val="22"/>
        </w:rPr>
        <w:t>Recommendations for Achieving Gender Equality</w:t>
      </w:r>
      <w:bookmarkEnd w:id="20"/>
    </w:p>
    <w:p w:rsidRPr="003C104B" w:rsidR="00CA748F" w:rsidP="5223FEBC" w:rsidRDefault="00FA12CE" w14:paraId="327EFF44" w14:textId="59B01803">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As explained above, the statistics reported on the gender pay gaps are remarkably crude (Blundell 2021). This </w:t>
      </w:r>
      <w:r w:rsidRPr="5223FEBC" w:rsidR="5223FEBC">
        <w:rPr>
          <w:rFonts w:ascii="Arial Nova" w:hAnsi="Arial Nova" w:eastAsia="Arial Nova" w:cs="Arial Nova"/>
          <w:sz w:val="22"/>
          <w:szCs w:val="22"/>
        </w:rPr>
        <w:t>indicates</w:t>
      </w:r>
      <w:r w:rsidRPr="5223FEBC" w:rsidR="5223FEBC">
        <w:rPr>
          <w:rFonts w:ascii="Arial Nova" w:hAnsi="Arial Nova" w:eastAsia="Arial Nova" w:cs="Arial Nova"/>
          <w:sz w:val="22"/>
          <w:szCs w:val="22"/>
        </w:rPr>
        <w:t xml:space="preserve"> a need for more specific data. The data </w:t>
      </w:r>
      <w:r w:rsidRPr="5223FEBC" w:rsidR="5223FEBC">
        <w:rPr>
          <w:rFonts w:ascii="Arial Nova" w:hAnsi="Arial Nova" w:eastAsia="Arial Nova" w:cs="Arial Nova"/>
          <w:sz w:val="22"/>
          <w:szCs w:val="22"/>
        </w:rPr>
        <w:t>provided</w:t>
      </w:r>
      <w:r w:rsidRPr="5223FEBC" w:rsidR="5223FEBC">
        <w:rPr>
          <w:rFonts w:ascii="Arial Nova" w:hAnsi="Arial Nova" w:eastAsia="Arial Nova" w:cs="Arial Nova"/>
          <w:sz w:val="22"/>
          <w:szCs w:val="22"/>
        </w:rPr>
        <w:t xml:space="preserve"> should be more specific to help enhance gender equality. Another recommendation for gender equality is for the government to take the situation more seriously. Blundell (2021) explains that the government does not focus on enforcing gender pay policies. Therefore, the government should be more vigilant in ensuring that companies report </w:t>
      </w:r>
      <w:r w:rsidRPr="5223FEBC" w:rsidR="5223FEBC">
        <w:rPr>
          <w:rFonts w:ascii="Arial Nova" w:hAnsi="Arial Nova" w:eastAsia="Arial Nova" w:cs="Arial Nova"/>
          <w:sz w:val="22"/>
          <w:szCs w:val="22"/>
        </w:rPr>
        <w:t>accurate</w:t>
      </w:r>
      <w:r w:rsidRPr="5223FEBC" w:rsidR="5223FEBC">
        <w:rPr>
          <w:rFonts w:ascii="Arial Nova" w:hAnsi="Arial Nova" w:eastAsia="Arial Nova" w:cs="Arial Nova"/>
          <w:sz w:val="22"/>
          <w:szCs w:val="22"/>
        </w:rPr>
        <w:t xml:space="preserve"> gender pay data and enforcing any necessary changes to </w:t>
      </w:r>
      <w:r w:rsidRPr="5223FEBC" w:rsidR="5223FEBC">
        <w:rPr>
          <w:rFonts w:ascii="Arial Nova" w:hAnsi="Arial Nova" w:eastAsia="Arial Nova" w:cs="Arial Nova"/>
          <w:sz w:val="22"/>
          <w:szCs w:val="22"/>
        </w:rPr>
        <w:t>eliminate</w:t>
      </w:r>
      <w:r w:rsidRPr="5223FEBC" w:rsidR="5223FEBC">
        <w:rPr>
          <w:rFonts w:ascii="Arial Nova" w:hAnsi="Arial Nova" w:eastAsia="Arial Nova" w:cs="Arial Nova"/>
          <w:sz w:val="22"/>
          <w:szCs w:val="22"/>
        </w:rPr>
        <w:t xml:space="preserve"> gender inequality. Steinert et al. (2021) also assert that economic empowerment interventions show great promise in promoting girls and women's economic and educational opportunities and gender equality.</w:t>
      </w:r>
    </w:p>
    <w:p w:rsidRPr="003C104B" w:rsidR="00094C0B" w:rsidP="5223FEBC" w:rsidRDefault="2D9DA515" w14:paraId="502E66EF" w14:textId="79884582" w14:noSpellErr="1">
      <w:pPr>
        <w:pStyle w:val="Heading1"/>
        <w:spacing w:line="360" w:lineRule="auto"/>
        <w:jc w:val="both"/>
        <w:rPr>
          <w:rFonts w:ascii="Arial Nova" w:hAnsi="Arial Nova" w:eastAsia="Arial Nova" w:cs="Arial Nova"/>
          <w:b w:val="1"/>
          <w:bCs w:val="1"/>
          <w:i w:val="1"/>
          <w:iCs w:val="1"/>
          <w:sz w:val="22"/>
          <w:szCs w:val="22"/>
        </w:rPr>
      </w:pPr>
      <w:bookmarkStart w:name="_Toc150758989" w:id="21"/>
      <w:r w:rsidRPr="5223FEBC" w:rsidR="5223FEBC">
        <w:rPr>
          <w:rFonts w:ascii="Arial Nova" w:hAnsi="Arial Nova" w:eastAsia="Arial Nova" w:cs="Arial Nova"/>
          <w:b w:val="1"/>
          <w:bCs w:val="1"/>
          <w:i w:val="1"/>
          <w:iCs w:val="1"/>
          <w:sz w:val="22"/>
          <w:szCs w:val="22"/>
        </w:rPr>
        <w:t>Conclusion</w:t>
      </w:r>
      <w:bookmarkEnd w:id="21"/>
    </w:p>
    <w:p w:rsidRPr="003C104B" w:rsidR="00997263" w:rsidP="5223FEBC" w:rsidRDefault="000C677F" w14:paraId="59368395" w14:textId="792A625F">
      <w:pPr>
        <w:spacing w:after="0" w:line="360" w:lineRule="auto"/>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        In conclusion, the United Kingdom has made reasonable progress in implementing initiatives that align with the SDGs. For instance, under the No Poverty SDG, the UK has implemented universal credit, national minimum wage (NMW), and national living wage (NLW) rates. Under the gender equality SDG, the UK has implemented initiatives such as gender pay gap reporting and VAWG. While these initiatives are excellent in pursuing the SDGs, more efforts are needed to meet the goals. For instance, in the no-poverty goal, a rigorous and comprehensive evaluation is needed when initiatives are implemented that aim to </w:t>
      </w:r>
      <w:r w:rsidRPr="5223FEBC" w:rsidR="5223FEBC">
        <w:rPr>
          <w:rFonts w:ascii="Arial Nova" w:hAnsi="Arial Nova" w:eastAsia="Arial Nova" w:cs="Arial Nova"/>
          <w:sz w:val="22"/>
          <w:szCs w:val="22"/>
        </w:rPr>
        <w:t>assist</w:t>
      </w:r>
      <w:r w:rsidRPr="5223FEBC" w:rsidR="5223FEBC">
        <w:rPr>
          <w:rFonts w:ascii="Arial Nova" w:hAnsi="Arial Nova" w:eastAsia="Arial Nova" w:cs="Arial Nova"/>
          <w:sz w:val="22"/>
          <w:szCs w:val="22"/>
        </w:rPr>
        <w:t xml:space="preserve"> people since universal credit was found to have adverse mental effects on the public. For issues that may arise following minimum wage stipulations, it is essential to assess the </w:t>
      </w:r>
      <w:r w:rsidRPr="5223FEBC" w:rsidR="5223FEBC">
        <w:rPr>
          <w:rFonts w:ascii="Arial Nova" w:hAnsi="Arial Nova" w:eastAsia="Arial Nova" w:cs="Arial Nova"/>
          <w:sz w:val="22"/>
          <w:szCs w:val="22"/>
        </w:rPr>
        <w:t>sectoral</w:t>
      </w:r>
      <w:r w:rsidRPr="5223FEBC" w:rsidR="5223FEBC">
        <w:rPr>
          <w:rFonts w:ascii="Arial Nova" w:hAnsi="Arial Nova" w:eastAsia="Arial Nova" w:cs="Arial Nova"/>
          <w:sz w:val="22"/>
          <w:szCs w:val="22"/>
        </w:rPr>
        <w:t xml:space="preserve"> composition of workers affected by various levels of minimum wages. This is because employers can fail to hire more employees if the minimum wage and </w:t>
      </w:r>
      <w:r w:rsidRPr="5223FEBC" w:rsidR="5223FEBC">
        <w:rPr>
          <w:rFonts w:ascii="Arial Nova" w:hAnsi="Arial Nova" w:eastAsia="Arial Nova" w:cs="Arial Nova"/>
          <w:sz w:val="22"/>
          <w:szCs w:val="22"/>
        </w:rPr>
        <w:t>labour</w:t>
      </w:r>
      <w:r w:rsidRPr="5223FEBC" w:rsidR="5223FEBC">
        <w:rPr>
          <w:rFonts w:ascii="Arial Nova" w:hAnsi="Arial Nova" w:eastAsia="Arial Nova" w:cs="Arial Nova"/>
          <w:sz w:val="22"/>
          <w:szCs w:val="22"/>
        </w:rPr>
        <w:t xml:space="preserve"> supply are high. On the other hand, gender equality can be enhanced by ensuring that the government enforces gender equality based on the gender pay gap reports that companies are currently providing. Furthermore, the government should ensure that the companies </w:t>
      </w:r>
      <w:r w:rsidRPr="5223FEBC" w:rsidR="5223FEBC">
        <w:rPr>
          <w:rFonts w:ascii="Arial Nova" w:hAnsi="Arial Nova" w:eastAsia="Arial Nova" w:cs="Arial Nova"/>
          <w:sz w:val="22"/>
          <w:szCs w:val="22"/>
        </w:rPr>
        <w:t>provide</w:t>
      </w:r>
      <w:r w:rsidRPr="5223FEBC" w:rsidR="5223FEBC">
        <w:rPr>
          <w:rFonts w:ascii="Arial Nova" w:hAnsi="Arial Nova" w:eastAsia="Arial Nova" w:cs="Arial Nova"/>
          <w:sz w:val="22"/>
          <w:szCs w:val="22"/>
        </w:rPr>
        <w:t xml:space="preserve"> more specific and </w:t>
      </w:r>
      <w:r w:rsidRPr="5223FEBC" w:rsidR="5223FEBC">
        <w:rPr>
          <w:rFonts w:ascii="Arial Nova" w:hAnsi="Arial Nova" w:eastAsia="Arial Nova" w:cs="Arial Nova"/>
          <w:sz w:val="22"/>
          <w:szCs w:val="22"/>
        </w:rPr>
        <w:t>accurate</w:t>
      </w:r>
      <w:r w:rsidRPr="5223FEBC" w:rsidR="5223FEBC">
        <w:rPr>
          <w:rFonts w:ascii="Arial Nova" w:hAnsi="Arial Nova" w:eastAsia="Arial Nova" w:cs="Arial Nova"/>
          <w:sz w:val="22"/>
          <w:szCs w:val="22"/>
        </w:rPr>
        <w:t xml:space="preserve"> data.</w:t>
      </w:r>
    </w:p>
    <w:p w:rsidR="5223FEBC" w:rsidP="5223FEBC" w:rsidRDefault="5223FEBC" w14:paraId="198A4B25" w14:textId="02DF996E">
      <w:pPr>
        <w:pStyle w:val="Normal"/>
        <w:spacing w:after="0" w:line="360" w:lineRule="auto"/>
        <w:jc w:val="both"/>
        <w:rPr>
          <w:rFonts w:ascii="Arial Nova" w:hAnsi="Arial Nova" w:eastAsia="Arial Nova" w:cs="Arial Nova"/>
          <w:sz w:val="22"/>
          <w:szCs w:val="22"/>
        </w:rPr>
      </w:pPr>
    </w:p>
    <w:p w:rsidRPr="003C104B" w:rsidR="00CF7E1F" w:rsidP="5223FEBC" w:rsidRDefault="2D9DA515" w14:paraId="303C48A1" w14:textId="0462F553">
      <w:pPr>
        <w:pStyle w:val="Heading1"/>
        <w:spacing w:after="0" w:line="360" w:lineRule="auto"/>
        <w:jc w:val="center"/>
        <w:rPr>
          <w:rFonts w:ascii="Arial Nova" w:hAnsi="Arial Nova" w:eastAsia="Arial Nova" w:cs="Arial Nova"/>
          <w:b w:val="1"/>
          <w:bCs w:val="1"/>
          <w:i w:val="1"/>
          <w:iCs w:val="1"/>
          <w:sz w:val="22"/>
          <w:szCs w:val="22"/>
        </w:rPr>
      </w:pPr>
      <w:bookmarkStart w:name="_Toc150758990" w:id="22"/>
      <w:r w:rsidRPr="5223FEBC" w:rsidR="5223FEBC">
        <w:rPr>
          <w:rFonts w:ascii="Arial Nova" w:hAnsi="Arial Nova" w:eastAsia="Arial Nova" w:cs="Arial Nova"/>
          <w:b w:val="1"/>
          <w:bCs w:val="1"/>
          <w:i w:val="1"/>
          <w:iCs w:val="1"/>
          <w:sz w:val="22"/>
          <w:szCs w:val="22"/>
        </w:rPr>
        <w:t>References</w:t>
      </w:r>
      <w:bookmarkEnd w:id="22"/>
    </w:p>
    <w:p w:rsidRPr="003C104B" w:rsidR="00B91E6A" w:rsidP="5223FEBC" w:rsidRDefault="2D9DA515" w14:paraId="0C855394" w14:textId="3EA5FA9C">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 xml:space="preserve">Alvarado, G., Fenny, A.P., </w:t>
      </w:r>
      <w:r w:rsidRPr="5223FEBC" w:rsidR="5223FEBC">
        <w:rPr>
          <w:rFonts w:ascii="Arial Nova" w:hAnsi="Arial Nova" w:eastAsia="Arial Nova" w:cs="Arial Nova"/>
          <w:sz w:val="22"/>
          <w:szCs w:val="22"/>
        </w:rPr>
        <w:t>Dakey</w:t>
      </w:r>
      <w:r w:rsidRPr="5223FEBC" w:rsidR="5223FEBC">
        <w:rPr>
          <w:rFonts w:ascii="Arial Nova" w:hAnsi="Arial Nova" w:eastAsia="Arial Nova" w:cs="Arial Nova"/>
          <w:sz w:val="22"/>
          <w:szCs w:val="22"/>
        </w:rPr>
        <w:t xml:space="preserve">, S., Mueller, J.L., O’Brien-Milne, L., </w:t>
      </w:r>
      <w:r w:rsidRPr="5223FEBC" w:rsidR="5223FEBC">
        <w:rPr>
          <w:rFonts w:ascii="Arial Nova" w:hAnsi="Arial Nova" w:eastAsia="Arial Nova" w:cs="Arial Nova"/>
          <w:sz w:val="22"/>
          <w:szCs w:val="22"/>
        </w:rPr>
        <w:t>Crentsil</w:t>
      </w:r>
      <w:r w:rsidRPr="5223FEBC" w:rsidR="5223FEBC">
        <w:rPr>
          <w:rFonts w:ascii="Arial Nova" w:hAnsi="Arial Nova" w:eastAsia="Arial Nova" w:cs="Arial Nova"/>
          <w:sz w:val="22"/>
          <w:szCs w:val="22"/>
        </w:rPr>
        <w:t xml:space="preserve">, A.O., </w:t>
      </w:r>
      <w:r w:rsidRPr="5223FEBC" w:rsidR="5223FEBC">
        <w:rPr>
          <w:rFonts w:ascii="Arial Nova" w:hAnsi="Arial Nova" w:eastAsia="Arial Nova" w:cs="Arial Nova"/>
          <w:sz w:val="22"/>
          <w:szCs w:val="22"/>
        </w:rPr>
        <w:t>Duvvury</w:t>
      </w:r>
      <w:r w:rsidRPr="5223FEBC" w:rsidR="5223FEBC">
        <w:rPr>
          <w:rFonts w:ascii="Arial Nova" w:hAnsi="Arial Nova" w:eastAsia="Arial Nova" w:cs="Arial Nova"/>
          <w:sz w:val="22"/>
          <w:szCs w:val="22"/>
        </w:rPr>
        <w:t xml:space="preserve">, N., Scriver, S. and </w:t>
      </w:r>
      <w:r w:rsidRPr="5223FEBC" w:rsidR="5223FEBC">
        <w:rPr>
          <w:rFonts w:ascii="Arial Nova" w:hAnsi="Arial Nova" w:eastAsia="Arial Nova" w:cs="Arial Nova"/>
          <w:sz w:val="22"/>
          <w:szCs w:val="22"/>
        </w:rPr>
        <w:t>Schwenke</w:t>
      </w:r>
      <w:r w:rsidRPr="5223FEBC" w:rsidR="5223FEBC">
        <w:rPr>
          <w:rFonts w:ascii="Arial Nova" w:hAnsi="Arial Nova" w:eastAsia="Arial Nova" w:cs="Arial Nova"/>
          <w:sz w:val="22"/>
          <w:szCs w:val="22"/>
        </w:rPr>
        <w:t xml:space="preserve">, C., (2018). The health-related impacts and costs of violence against women and girls on survivors, households, and communities in Ghana. </w:t>
      </w:r>
      <w:r w:rsidRPr="5223FEBC" w:rsidR="5223FEBC">
        <w:rPr>
          <w:rFonts w:ascii="Arial Nova" w:hAnsi="Arial Nova" w:eastAsia="Arial Nova" w:cs="Arial Nova"/>
          <w:i w:val="1"/>
          <w:iCs w:val="1"/>
          <w:sz w:val="22"/>
          <w:szCs w:val="22"/>
        </w:rPr>
        <w:t>Journal of Public Health in Africa</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9</w:t>
      </w:r>
      <w:r w:rsidRPr="5223FEBC" w:rsidR="5223FEBC">
        <w:rPr>
          <w:rFonts w:ascii="Arial Nova" w:hAnsi="Arial Nova" w:eastAsia="Arial Nova" w:cs="Arial Nova"/>
          <w:sz w:val="22"/>
          <w:szCs w:val="22"/>
        </w:rPr>
        <w:t>(2).</w:t>
      </w:r>
    </w:p>
    <w:p w:rsidRPr="003C104B" w:rsidR="00B91E6A" w:rsidP="5223FEBC" w:rsidRDefault="2D9DA515" w14:paraId="71E40B9C" w14:textId="08371F9B" w14:noSpellErr="1">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 xml:space="preserve">Blundell, J., (2021). UK gender pay gap reporting: a crude but effective policy? </w:t>
      </w:r>
      <w:r w:rsidRPr="5223FEBC" w:rsidR="5223FEBC">
        <w:rPr>
          <w:rFonts w:ascii="Arial Nova" w:hAnsi="Arial Nova" w:eastAsia="Arial Nova" w:cs="Arial Nova"/>
          <w:i w:val="1"/>
          <w:iCs w:val="1"/>
          <w:sz w:val="22"/>
          <w:szCs w:val="22"/>
        </w:rPr>
        <w:t>LSE Business Review</w:t>
      </w:r>
      <w:r w:rsidRPr="5223FEBC" w:rsidR="5223FEBC">
        <w:rPr>
          <w:rFonts w:ascii="Arial Nova" w:hAnsi="Arial Nova" w:eastAsia="Arial Nova" w:cs="Arial Nova"/>
          <w:sz w:val="22"/>
          <w:szCs w:val="22"/>
        </w:rPr>
        <w:t>.</w:t>
      </w:r>
    </w:p>
    <w:p w:rsidRPr="003C104B" w:rsidR="00B91E6A" w:rsidP="5223FEBC" w:rsidRDefault="2D9DA515" w14:paraId="549E5E60" w14:textId="1BFA1449">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Cabaj</w:t>
      </w:r>
      <w:r w:rsidRPr="5223FEBC" w:rsidR="5223FEBC">
        <w:rPr>
          <w:rFonts w:ascii="Arial Nova" w:hAnsi="Arial Nova" w:eastAsia="Arial Nova" w:cs="Arial Nova"/>
          <w:sz w:val="22"/>
          <w:szCs w:val="22"/>
        </w:rPr>
        <w:t xml:space="preserve">, J.L., </w:t>
      </w:r>
      <w:r w:rsidRPr="5223FEBC" w:rsidR="5223FEBC">
        <w:rPr>
          <w:rFonts w:ascii="Arial Nova" w:hAnsi="Arial Nova" w:eastAsia="Arial Nova" w:cs="Arial Nova"/>
          <w:sz w:val="22"/>
          <w:szCs w:val="22"/>
        </w:rPr>
        <w:t>Musto</w:t>
      </w:r>
      <w:r w:rsidRPr="5223FEBC" w:rsidR="5223FEBC">
        <w:rPr>
          <w:rFonts w:ascii="Arial Nova" w:hAnsi="Arial Nova" w:eastAsia="Arial Nova" w:cs="Arial Nova"/>
          <w:sz w:val="22"/>
          <w:szCs w:val="22"/>
        </w:rPr>
        <w:t xml:space="preserve">, R. and </w:t>
      </w:r>
      <w:r w:rsidRPr="5223FEBC" w:rsidR="5223FEBC">
        <w:rPr>
          <w:rFonts w:ascii="Arial Nova" w:hAnsi="Arial Nova" w:eastAsia="Arial Nova" w:cs="Arial Nova"/>
          <w:sz w:val="22"/>
          <w:szCs w:val="22"/>
        </w:rPr>
        <w:t>Ghali</w:t>
      </w:r>
      <w:r w:rsidRPr="5223FEBC" w:rsidR="5223FEBC">
        <w:rPr>
          <w:rFonts w:ascii="Arial Nova" w:hAnsi="Arial Nova" w:eastAsia="Arial Nova" w:cs="Arial Nova"/>
          <w:sz w:val="22"/>
          <w:szCs w:val="22"/>
        </w:rPr>
        <w:t>, W.A., (2019). Public health: who, what, and why? </w:t>
      </w:r>
      <w:r w:rsidRPr="5223FEBC" w:rsidR="5223FEBC">
        <w:rPr>
          <w:rFonts w:ascii="Arial Nova" w:hAnsi="Arial Nova" w:eastAsia="Arial Nova" w:cs="Arial Nova"/>
          <w:i w:val="1"/>
          <w:iCs w:val="1"/>
          <w:sz w:val="22"/>
          <w:szCs w:val="22"/>
        </w:rPr>
        <w:t>Canadian Journal of Public Health</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110</w:t>
      </w:r>
      <w:r w:rsidRPr="5223FEBC" w:rsidR="5223FEBC">
        <w:rPr>
          <w:rFonts w:ascii="Arial Nova" w:hAnsi="Arial Nova" w:eastAsia="Arial Nova" w:cs="Arial Nova"/>
          <w:sz w:val="22"/>
          <w:szCs w:val="22"/>
        </w:rPr>
        <w:t>, pp.340-343.</w:t>
      </w:r>
    </w:p>
    <w:p w:rsidRPr="003C104B" w:rsidR="008549C6" w:rsidP="5223FEBC" w:rsidRDefault="2D9DA515" w14:paraId="6853E774" w14:textId="076325FF">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Cheetham</w:t>
      </w:r>
      <w:r w:rsidRPr="5223FEBC" w:rsidR="5223FEBC">
        <w:rPr>
          <w:rFonts w:ascii="Arial Nova" w:hAnsi="Arial Nova" w:eastAsia="Arial Nova" w:cs="Arial Nova"/>
          <w:sz w:val="22"/>
          <w:szCs w:val="22"/>
        </w:rPr>
        <w:t>, M., Moffatt, S., Addison, M. and Wiseman, A., (2019). Impact of Universal Credit in Northeast England: a qualitative study of claimants and support staff. </w:t>
      </w:r>
      <w:r w:rsidRPr="5223FEBC" w:rsidR="5223FEBC">
        <w:rPr>
          <w:rFonts w:ascii="Arial Nova" w:hAnsi="Arial Nova" w:eastAsia="Arial Nova" w:cs="Arial Nova"/>
          <w:i w:val="1"/>
          <w:iCs w:val="1"/>
          <w:sz w:val="22"/>
          <w:szCs w:val="22"/>
        </w:rPr>
        <w:t>BMJ open</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9</w:t>
      </w:r>
      <w:r w:rsidRPr="5223FEBC" w:rsidR="5223FEBC">
        <w:rPr>
          <w:rFonts w:ascii="Arial Nova" w:hAnsi="Arial Nova" w:eastAsia="Arial Nova" w:cs="Arial Nova"/>
          <w:sz w:val="22"/>
          <w:szCs w:val="22"/>
        </w:rPr>
        <w:t>(7), p.e029611.</w:t>
      </w:r>
    </w:p>
    <w:p w:rsidRPr="003C104B" w:rsidR="00B91E6A" w:rsidP="5223FEBC" w:rsidRDefault="2D9DA515" w14:paraId="5A9768B5" w14:textId="631DA7A0">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Cislaghi</w:t>
      </w:r>
      <w:r w:rsidRPr="5223FEBC" w:rsidR="5223FEBC">
        <w:rPr>
          <w:rFonts w:ascii="Arial Nova" w:hAnsi="Arial Nova" w:eastAsia="Arial Nova" w:cs="Arial Nova"/>
          <w:sz w:val="22"/>
          <w:szCs w:val="22"/>
        </w:rPr>
        <w:t xml:space="preserve">, B., Bhatia, A., </w:t>
      </w:r>
      <w:r w:rsidRPr="5223FEBC" w:rsidR="5223FEBC">
        <w:rPr>
          <w:rFonts w:ascii="Arial Nova" w:hAnsi="Arial Nova" w:eastAsia="Arial Nova" w:cs="Arial Nova"/>
          <w:sz w:val="22"/>
          <w:szCs w:val="22"/>
        </w:rPr>
        <w:t>Hallgren</w:t>
      </w:r>
      <w:r w:rsidRPr="5223FEBC" w:rsidR="5223FEBC">
        <w:rPr>
          <w:rFonts w:ascii="Arial Nova" w:hAnsi="Arial Nova" w:eastAsia="Arial Nova" w:cs="Arial Nova"/>
          <w:sz w:val="22"/>
          <w:szCs w:val="22"/>
        </w:rPr>
        <w:t xml:space="preserve">, E.S.T., </w:t>
      </w:r>
      <w:r w:rsidRPr="5223FEBC" w:rsidR="5223FEBC">
        <w:rPr>
          <w:rFonts w:ascii="Arial Nova" w:hAnsi="Arial Nova" w:eastAsia="Arial Nova" w:cs="Arial Nova"/>
          <w:sz w:val="22"/>
          <w:szCs w:val="22"/>
        </w:rPr>
        <w:t>Horanieh</w:t>
      </w:r>
      <w:r w:rsidRPr="5223FEBC" w:rsidR="5223FEBC">
        <w:rPr>
          <w:rFonts w:ascii="Arial Nova" w:hAnsi="Arial Nova" w:eastAsia="Arial Nova" w:cs="Arial Nova"/>
          <w:sz w:val="22"/>
          <w:szCs w:val="22"/>
        </w:rPr>
        <w:t>, N., Weber, A.M., and Darmstadt, G.L., (2022). Gender norms and gender equality in full-time employment and health: A 97-country analysis of the world values survey. </w:t>
      </w:r>
      <w:r w:rsidRPr="5223FEBC" w:rsidR="5223FEBC">
        <w:rPr>
          <w:rFonts w:ascii="Arial Nova" w:hAnsi="Arial Nova" w:eastAsia="Arial Nova" w:cs="Arial Nova"/>
          <w:i w:val="1"/>
          <w:iCs w:val="1"/>
          <w:sz w:val="22"/>
          <w:szCs w:val="22"/>
        </w:rPr>
        <w:t>Frontiers in Psychology</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13</w:t>
      </w:r>
      <w:r w:rsidRPr="5223FEBC" w:rsidR="5223FEBC">
        <w:rPr>
          <w:rFonts w:ascii="Arial Nova" w:hAnsi="Arial Nova" w:eastAsia="Arial Nova" w:cs="Arial Nova"/>
          <w:sz w:val="22"/>
          <w:szCs w:val="22"/>
        </w:rPr>
        <w:t>, p.689815.</w:t>
      </w:r>
    </w:p>
    <w:p w:rsidRPr="003C104B" w:rsidR="00B91E6A" w:rsidP="5223FEBC" w:rsidRDefault="2D9DA515" w14:paraId="7D98CDCE" w14:textId="0478346D">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 xml:space="preserve">Craig, P. and </w:t>
      </w:r>
      <w:r w:rsidRPr="5223FEBC" w:rsidR="5223FEBC">
        <w:rPr>
          <w:rFonts w:ascii="Arial Nova" w:hAnsi="Arial Nova" w:eastAsia="Arial Nova" w:cs="Arial Nova"/>
          <w:sz w:val="22"/>
          <w:szCs w:val="22"/>
        </w:rPr>
        <w:t>Katikireddi</w:t>
      </w:r>
      <w:r w:rsidRPr="5223FEBC" w:rsidR="5223FEBC">
        <w:rPr>
          <w:rFonts w:ascii="Arial Nova" w:hAnsi="Arial Nova" w:eastAsia="Arial Nova" w:cs="Arial Nova"/>
          <w:sz w:val="22"/>
          <w:szCs w:val="22"/>
        </w:rPr>
        <w:t xml:space="preserve">, S.V., (2020). Early impacts of Universal Credit: the </w:t>
      </w:r>
      <w:r w:rsidRPr="5223FEBC" w:rsidR="5223FEBC">
        <w:rPr>
          <w:rFonts w:ascii="Arial Nova" w:hAnsi="Arial Nova" w:eastAsia="Arial Nova" w:cs="Arial Nova"/>
          <w:sz w:val="22"/>
          <w:szCs w:val="22"/>
        </w:rPr>
        <w:t>tip of the iceberg</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i w:val="1"/>
          <w:iCs w:val="1"/>
          <w:sz w:val="22"/>
          <w:szCs w:val="22"/>
        </w:rPr>
        <w:t>The Lancet Public Health</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5</w:t>
      </w:r>
      <w:r w:rsidRPr="5223FEBC" w:rsidR="5223FEBC">
        <w:rPr>
          <w:rFonts w:ascii="Arial Nova" w:hAnsi="Arial Nova" w:eastAsia="Arial Nova" w:cs="Arial Nova"/>
          <w:sz w:val="22"/>
          <w:szCs w:val="22"/>
        </w:rPr>
        <w:t>(3), pp. e131-e132.</w:t>
      </w:r>
    </w:p>
    <w:p w:rsidRPr="003C104B" w:rsidR="00B91E6A" w:rsidP="5223FEBC" w:rsidRDefault="2D9DA515" w14:paraId="6A1C40CF" w14:textId="6C97D841">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Dube</w:t>
      </w:r>
      <w:r w:rsidRPr="5223FEBC" w:rsidR="5223FEBC">
        <w:rPr>
          <w:rFonts w:ascii="Arial Nova" w:hAnsi="Arial Nova" w:eastAsia="Arial Nova" w:cs="Arial Nova"/>
          <w:sz w:val="22"/>
          <w:szCs w:val="22"/>
        </w:rPr>
        <w:t xml:space="preserve">, A., (2019). </w:t>
      </w:r>
      <w:r w:rsidRPr="5223FEBC" w:rsidR="5223FEBC">
        <w:rPr>
          <w:rFonts w:ascii="Arial Nova" w:hAnsi="Arial Nova" w:eastAsia="Arial Nova" w:cs="Arial Nova"/>
          <w:sz w:val="22"/>
          <w:szCs w:val="22"/>
        </w:rPr>
        <w:t>Impacts</w:t>
      </w:r>
      <w:r w:rsidRPr="5223FEBC" w:rsidR="5223FEBC">
        <w:rPr>
          <w:rFonts w:ascii="Arial Nova" w:hAnsi="Arial Nova" w:eastAsia="Arial Nova" w:cs="Arial Nova"/>
          <w:sz w:val="22"/>
          <w:szCs w:val="22"/>
        </w:rPr>
        <w:t xml:space="preserve"> of minimum wages: a review of the international evidence. </w:t>
      </w:r>
      <w:r w:rsidRPr="5223FEBC" w:rsidR="5223FEBC">
        <w:rPr>
          <w:rFonts w:ascii="Arial Nova" w:hAnsi="Arial Nova" w:eastAsia="Arial Nova" w:cs="Arial Nova"/>
          <w:i w:val="1"/>
          <w:iCs w:val="1"/>
          <w:sz w:val="22"/>
          <w:szCs w:val="22"/>
        </w:rPr>
        <w:t>Independent Report. UK Government Publication</w:t>
      </w:r>
      <w:r w:rsidRPr="5223FEBC" w:rsidR="5223FEBC">
        <w:rPr>
          <w:rFonts w:ascii="Arial Nova" w:hAnsi="Arial Nova" w:eastAsia="Arial Nova" w:cs="Arial Nova"/>
          <w:sz w:val="22"/>
          <w:szCs w:val="22"/>
        </w:rPr>
        <w:t>, pp.268-304.</w:t>
      </w:r>
    </w:p>
    <w:p w:rsidRPr="003C104B" w:rsidR="00B91E6A" w:rsidP="5223FEBC" w:rsidRDefault="2D9DA515" w14:paraId="58EF3178" w14:textId="3A4EC7AD">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 xml:space="preserve">Jarden, A. and </w:t>
      </w:r>
      <w:r w:rsidRPr="5223FEBC" w:rsidR="5223FEBC">
        <w:rPr>
          <w:rFonts w:ascii="Arial Nova" w:hAnsi="Arial Nova" w:eastAsia="Arial Nova" w:cs="Arial Nova"/>
          <w:sz w:val="22"/>
          <w:szCs w:val="22"/>
        </w:rPr>
        <w:t>Roache</w:t>
      </w:r>
      <w:r w:rsidRPr="5223FEBC" w:rsidR="5223FEBC">
        <w:rPr>
          <w:rFonts w:ascii="Arial Nova" w:hAnsi="Arial Nova" w:eastAsia="Arial Nova" w:cs="Arial Nova"/>
          <w:sz w:val="22"/>
          <w:szCs w:val="22"/>
        </w:rPr>
        <w:t xml:space="preserve">, A., (2023). What Is Well-being? </w:t>
      </w:r>
      <w:r w:rsidRPr="5223FEBC" w:rsidR="5223FEBC">
        <w:rPr>
          <w:rFonts w:ascii="Arial Nova" w:hAnsi="Arial Nova" w:eastAsia="Arial Nova" w:cs="Arial Nova"/>
          <w:i w:val="1"/>
          <w:iCs w:val="1"/>
          <w:sz w:val="22"/>
          <w:szCs w:val="22"/>
        </w:rPr>
        <w:t>International Journal of Environmental Research and Public Health</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20</w:t>
      </w:r>
      <w:r w:rsidRPr="5223FEBC" w:rsidR="5223FEBC">
        <w:rPr>
          <w:rFonts w:ascii="Arial Nova" w:hAnsi="Arial Nova" w:eastAsia="Arial Nova" w:cs="Arial Nova"/>
          <w:sz w:val="22"/>
          <w:szCs w:val="22"/>
        </w:rPr>
        <w:t>(6), p.5006.</w:t>
      </w:r>
    </w:p>
    <w:p w:rsidRPr="003C104B" w:rsidR="009D58D2" w:rsidP="5223FEBC" w:rsidRDefault="2D9DA515" w14:paraId="1B5AA6EC" w14:textId="1A47450A">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Kaltenborn</w:t>
      </w:r>
      <w:r w:rsidRPr="5223FEBC" w:rsidR="5223FEBC">
        <w:rPr>
          <w:rFonts w:ascii="Arial Nova" w:hAnsi="Arial Nova" w:eastAsia="Arial Nova" w:cs="Arial Nova"/>
          <w:sz w:val="22"/>
          <w:szCs w:val="22"/>
        </w:rPr>
        <w:t xml:space="preserve">, M., </w:t>
      </w:r>
      <w:r w:rsidRPr="5223FEBC" w:rsidR="5223FEBC">
        <w:rPr>
          <w:rFonts w:ascii="Arial Nova" w:hAnsi="Arial Nova" w:eastAsia="Arial Nova" w:cs="Arial Nova"/>
          <w:sz w:val="22"/>
          <w:szCs w:val="22"/>
        </w:rPr>
        <w:t>Krajewski</w:t>
      </w:r>
      <w:r w:rsidRPr="5223FEBC" w:rsidR="5223FEBC">
        <w:rPr>
          <w:rFonts w:ascii="Arial Nova" w:hAnsi="Arial Nova" w:eastAsia="Arial Nova" w:cs="Arial Nova"/>
          <w:sz w:val="22"/>
          <w:szCs w:val="22"/>
        </w:rPr>
        <w:t>, M. and Kuhn, H., (2020). </w:t>
      </w:r>
      <w:r w:rsidRPr="5223FEBC" w:rsidR="5223FEBC">
        <w:rPr>
          <w:rFonts w:ascii="Arial Nova" w:hAnsi="Arial Nova" w:eastAsia="Arial Nova" w:cs="Arial Nova"/>
          <w:i w:val="1"/>
          <w:iCs w:val="1"/>
          <w:sz w:val="22"/>
          <w:szCs w:val="22"/>
        </w:rPr>
        <w:t>Sustainable development goals and human rights</w:t>
      </w:r>
      <w:r w:rsidRPr="5223FEBC" w:rsidR="5223FEBC">
        <w:rPr>
          <w:rFonts w:ascii="Arial Nova" w:hAnsi="Arial Nova" w:eastAsia="Arial Nova" w:cs="Arial Nova"/>
          <w:sz w:val="22"/>
          <w:szCs w:val="22"/>
        </w:rPr>
        <w:t> (p. 239). Springer Nature.</w:t>
      </w:r>
    </w:p>
    <w:p w:rsidRPr="003C104B" w:rsidR="00B91E6A" w:rsidP="5223FEBC" w:rsidRDefault="2D9DA515" w14:paraId="6B49B47D" w14:textId="0C859300">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Karvonen</w:t>
      </w:r>
      <w:r w:rsidRPr="5223FEBC" w:rsidR="5223FEBC">
        <w:rPr>
          <w:rFonts w:ascii="Arial Nova" w:hAnsi="Arial Nova" w:eastAsia="Arial Nova" w:cs="Arial Nova"/>
          <w:sz w:val="22"/>
          <w:szCs w:val="22"/>
        </w:rPr>
        <w:t xml:space="preserve">, S., </w:t>
      </w:r>
      <w:r w:rsidRPr="5223FEBC" w:rsidR="5223FEBC">
        <w:rPr>
          <w:rFonts w:ascii="Arial Nova" w:hAnsi="Arial Nova" w:eastAsia="Arial Nova" w:cs="Arial Nova"/>
          <w:sz w:val="22"/>
          <w:szCs w:val="22"/>
        </w:rPr>
        <w:t>Tokola</w:t>
      </w:r>
      <w:r w:rsidRPr="5223FEBC" w:rsidR="5223FEBC">
        <w:rPr>
          <w:rFonts w:ascii="Arial Nova" w:hAnsi="Arial Nova" w:eastAsia="Arial Nova" w:cs="Arial Nova"/>
          <w:sz w:val="22"/>
          <w:szCs w:val="22"/>
        </w:rPr>
        <w:t xml:space="preserve">, K. and </w:t>
      </w:r>
      <w:r w:rsidRPr="5223FEBC" w:rsidR="5223FEBC">
        <w:rPr>
          <w:rFonts w:ascii="Arial Nova" w:hAnsi="Arial Nova" w:eastAsia="Arial Nova" w:cs="Arial Nova"/>
          <w:sz w:val="22"/>
          <w:szCs w:val="22"/>
        </w:rPr>
        <w:t>Rimpelä</w:t>
      </w:r>
      <w:r w:rsidRPr="5223FEBC" w:rsidR="5223FEBC">
        <w:rPr>
          <w:rFonts w:ascii="Arial Nova" w:hAnsi="Arial Nova" w:eastAsia="Arial Nova" w:cs="Arial Nova"/>
          <w:sz w:val="22"/>
          <w:szCs w:val="22"/>
        </w:rPr>
        <w:t xml:space="preserve">, A., (2018). Well-Being and Academic Achievement: Differences Between Schools From 2002 to 2010 in the Helsinki Metropolitan Area. </w:t>
      </w:r>
      <w:r w:rsidRPr="5223FEBC" w:rsidR="5223FEBC">
        <w:rPr>
          <w:rFonts w:ascii="Arial Nova" w:hAnsi="Arial Nova" w:eastAsia="Arial Nova" w:cs="Arial Nova"/>
          <w:i w:val="1"/>
          <w:iCs w:val="1"/>
          <w:sz w:val="22"/>
          <w:szCs w:val="22"/>
        </w:rPr>
        <w:t>Journal of School Health</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88</w:t>
      </w:r>
      <w:r w:rsidRPr="5223FEBC" w:rsidR="5223FEBC">
        <w:rPr>
          <w:rFonts w:ascii="Arial Nova" w:hAnsi="Arial Nova" w:eastAsia="Arial Nova" w:cs="Arial Nova"/>
          <w:sz w:val="22"/>
          <w:szCs w:val="22"/>
        </w:rPr>
        <w:t>(11), pp.821-829.</w:t>
      </w:r>
    </w:p>
    <w:p w:rsidRPr="003C104B" w:rsidR="00B91E6A" w:rsidP="5223FEBC" w:rsidRDefault="2D9DA515" w14:paraId="059E0ED5" w14:textId="067593D1">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Lubowiecki-</w:t>
      </w:r>
      <w:r w:rsidRPr="5223FEBC" w:rsidR="5223FEBC">
        <w:rPr>
          <w:rFonts w:ascii="Arial Nova" w:hAnsi="Arial Nova" w:eastAsia="Arial Nova" w:cs="Arial Nova"/>
          <w:sz w:val="22"/>
          <w:szCs w:val="22"/>
        </w:rPr>
        <w:t>Vikuk</w:t>
      </w:r>
      <w:r w:rsidRPr="5223FEBC" w:rsidR="5223FEBC">
        <w:rPr>
          <w:rFonts w:ascii="Arial Nova" w:hAnsi="Arial Nova" w:eastAsia="Arial Nova" w:cs="Arial Nova"/>
          <w:sz w:val="22"/>
          <w:szCs w:val="22"/>
        </w:rPr>
        <w:t xml:space="preserve">, A., </w:t>
      </w:r>
      <w:r w:rsidRPr="5223FEBC" w:rsidR="5223FEBC">
        <w:rPr>
          <w:rFonts w:ascii="Arial Nova" w:hAnsi="Arial Nova" w:eastAsia="Arial Nova" w:cs="Arial Nova"/>
          <w:sz w:val="22"/>
          <w:szCs w:val="22"/>
        </w:rPr>
        <w:t>Dąbrowska</w:t>
      </w:r>
      <w:r w:rsidRPr="5223FEBC" w:rsidR="5223FEBC">
        <w:rPr>
          <w:rFonts w:ascii="Arial Nova" w:hAnsi="Arial Nova" w:eastAsia="Arial Nova" w:cs="Arial Nova"/>
          <w:sz w:val="22"/>
          <w:szCs w:val="22"/>
        </w:rPr>
        <w:t xml:space="preserve">, A. and </w:t>
      </w:r>
      <w:r w:rsidRPr="5223FEBC" w:rsidR="5223FEBC">
        <w:rPr>
          <w:rFonts w:ascii="Arial Nova" w:hAnsi="Arial Nova" w:eastAsia="Arial Nova" w:cs="Arial Nova"/>
          <w:sz w:val="22"/>
          <w:szCs w:val="22"/>
        </w:rPr>
        <w:t>Machnik</w:t>
      </w:r>
      <w:r w:rsidRPr="5223FEBC" w:rsidR="5223FEBC">
        <w:rPr>
          <w:rFonts w:ascii="Arial Nova" w:hAnsi="Arial Nova" w:eastAsia="Arial Nova" w:cs="Arial Nova"/>
          <w:sz w:val="22"/>
          <w:szCs w:val="22"/>
        </w:rPr>
        <w:t>, A., (2021). Responsible consumer and lifestyle: Sustainability insights. </w:t>
      </w:r>
      <w:r w:rsidRPr="5223FEBC" w:rsidR="5223FEBC">
        <w:rPr>
          <w:rFonts w:ascii="Arial Nova" w:hAnsi="Arial Nova" w:eastAsia="Arial Nova" w:cs="Arial Nova"/>
          <w:i w:val="1"/>
          <w:iCs w:val="1"/>
          <w:sz w:val="22"/>
          <w:szCs w:val="22"/>
        </w:rPr>
        <w:t>Sustainable production and consumption</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25</w:t>
      </w:r>
      <w:r w:rsidRPr="5223FEBC" w:rsidR="5223FEBC">
        <w:rPr>
          <w:rFonts w:ascii="Arial Nova" w:hAnsi="Arial Nova" w:eastAsia="Arial Nova" w:cs="Arial Nova"/>
          <w:sz w:val="22"/>
          <w:szCs w:val="22"/>
        </w:rPr>
        <w:t>, pp.91-101.</w:t>
      </w:r>
    </w:p>
    <w:p w:rsidRPr="003C104B" w:rsidR="00B91E6A" w:rsidP="5223FEBC" w:rsidRDefault="2D9DA515" w14:paraId="1BABB8C1" w14:textId="5891B36B">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 xml:space="preserve">McCartney, G., </w:t>
      </w:r>
      <w:r w:rsidRPr="5223FEBC" w:rsidR="5223FEBC">
        <w:rPr>
          <w:rFonts w:ascii="Arial Nova" w:hAnsi="Arial Nova" w:eastAsia="Arial Nova" w:cs="Arial Nova"/>
          <w:sz w:val="22"/>
          <w:szCs w:val="22"/>
        </w:rPr>
        <w:t>Popham</w:t>
      </w:r>
      <w:r w:rsidRPr="5223FEBC" w:rsidR="5223FEBC">
        <w:rPr>
          <w:rFonts w:ascii="Arial Nova" w:hAnsi="Arial Nova" w:eastAsia="Arial Nova" w:cs="Arial Nova"/>
          <w:sz w:val="22"/>
          <w:szCs w:val="22"/>
        </w:rPr>
        <w:t>, F., McMaster, R. and Cumbers, A., (2019). Defining health and health inequalities. </w:t>
      </w:r>
      <w:r w:rsidRPr="5223FEBC" w:rsidR="5223FEBC">
        <w:rPr>
          <w:rFonts w:ascii="Arial Nova" w:hAnsi="Arial Nova" w:eastAsia="Arial Nova" w:cs="Arial Nova"/>
          <w:i w:val="1"/>
          <w:iCs w:val="1"/>
          <w:sz w:val="22"/>
          <w:szCs w:val="22"/>
        </w:rPr>
        <w:t>Public health</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172</w:t>
      </w:r>
      <w:r w:rsidRPr="5223FEBC" w:rsidR="5223FEBC">
        <w:rPr>
          <w:rFonts w:ascii="Arial Nova" w:hAnsi="Arial Nova" w:eastAsia="Arial Nova" w:cs="Arial Nova"/>
          <w:sz w:val="22"/>
          <w:szCs w:val="22"/>
        </w:rPr>
        <w:t>, pp.22-30.</w:t>
      </w:r>
    </w:p>
    <w:p w:rsidRPr="003C104B" w:rsidR="00B91E6A" w:rsidP="5223FEBC" w:rsidRDefault="2D9DA515" w14:paraId="25DB8082" w14:textId="5B859D51">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 xml:space="preserve">Moldovan, F., </w:t>
      </w:r>
      <w:r w:rsidRPr="5223FEBC" w:rsidR="5223FEBC">
        <w:rPr>
          <w:rFonts w:ascii="Arial Nova" w:hAnsi="Arial Nova" w:eastAsia="Arial Nova" w:cs="Arial Nova"/>
          <w:sz w:val="22"/>
          <w:szCs w:val="22"/>
        </w:rPr>
        <w:t>Blaga</w:t>
      </w:r>
      <w:r w:rsidRPr="5223FEBC" w:rsidR="5223FEBC">
        <w:rPr>
          <w:rFonts w:ascii="Arial Nova" w:hAnsi="Arial Nova" w:eastAsia="Arial Nova" w:cs="Arial Nova"/>
          <w:sz w:val="22"/>
          <w:szCs w:val="22"/>
        </w:rPr>
        <w:t xml:space="preserve">, P., Moldovan, L. and </w:t>
      </w:r>
      <w:r w:rsidRPr="5223FEBC" w:rsidR="5223FEBC">
        <w:rPr>
          <w:rFonts w:ascii="Arial Nova" w:hAnsi="Arial Nova" w:eastAsia="Arial Nova" w:cs="Arial Nova"/>
          <w:sz w:val="22"/>
          <w:szCs w:val="22"/>
        </w:rPr>
        <w:t>Bataga</w:t>
      </w:r>
      <w:r w:rsidRPr="5223FEBC" w:rsidR="5223FEBC">
        <w:rPr>
          <w:rFonts w:ascii="Arial Nova" w:hAnsi="Arial Nova" w:eastAsia="Arial Nova" w:cs="Arial Nova"/>
          <w:sz w:val="22"/>
          <w:szCs w:val="22"/>
        </w:rPr>
        <w:t>, T., (2022). An innovative framework for sustainable development in healthcare: the human rights assessment. </w:t>
      </w:r>
      <w:r w:rsidRPr="5223FEBC" w:rsidR="5223FEBC">
        <w:rPr>
          <w:rFonts w:ascii="Arial Nova" w:hAnsi="Arial Nova" w:eastAsia="Arial Nova" w:cs="Arial Nova"/>
          <w:i w:val="1"/>
          <w:iCs w:val="1"/>
          <w:sz w:val="22"/>
          <w:szCs w:val="22"/>
        </w:rPr>
        <w:t>International Journal of Environmental Research and Public Health</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19</w:t>
      </w:r>
      <w:r w:rsidRPr="5223FEBC" w:rsidR="5223FEBC">
        <w:rPr>
          <w:rFonts w:ascii="Arial Nova" w:hAnsi="Arial Nova" w:eastAsia="Arial Nova" w:cs="Arial Nova"/>
          <w:sz w:val="22"/>
          <w:szCs w:val="22"/>
        </w:rPr>
        <w:t>(4), p.2222.</w:t>
      </w:r>
    </w:p>
    <w:p w:rsidRPr="003C104B" w:rsidR="00B73392" w:rsidP="5223FEBC" w:rsidRDefault="2D9DA515" w14:paraId="2ED3148B" w14:textId="05487C70" w14:noSpellErr="1">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Morrissey, T.W., (2023). The minimum wage and parent time use. </w:t>
      </w:r>
      <w:r w:rsidRPr="5223FEBC" w:rsidR="5223FEBC">
        <w:rPr>
          <w:rFonts w:ascii="Arial Nova" w:hAnsi="Arial Nova" w:eastAsia="Arial Nova" w:cs="Arial Nova"/>
          <w:i w:val="1"/>
          <w:iCs w:val="1"/>
          <w:sz w:val="22"/>
          <w:szCs w:val="22"/>
        </w:rPr>
        <w:t>Review of Economics of the Household</w:t>
      </w:r>
      <w:r w:rsidRPr="5223FEBC" w:rsidR="5223FEBC">
        <w:rPr>
          <w:rFonts w:ascii="Arial Nova" w:hAnsi="Arial Nova" w:eastAsia="Arial Nova" w:cs="Arial Nova"/>
          <w:sz w:val="22"/>
          <w:szCs w:val="22"/>
        </w:rPr>
        <w:t>, pp.1-20.</w:t>
      </w:r>
    </w:p>
    <w:p w:rsidRPr="003C104B" w:rsidR="00B91E6A" w:rsidP="5223FEBC" w:rsidRDefault="2D9DA515" w14:paraId="70DDBE23" w14:textId="3A746798">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Renganathan</w:t>
      </w:r>
      <w:r w:rsidRPr="5223FEBC" w:rsidR="5223FEBC">
        <w:rPr>
          <w:rFonts w:ascii="Arial Nova" w:hAnsi="Arial Nova" w:eastAsia="Arial Nova" w:cs="Arial Nova"/>
          <w:sz w:val="22"/>
          <w:szCs w:val="22"/>
        </w:rPr>
        <w:t>, E. and Davies, P., (2023). Sustainable Development Goals and the role of and implications for primary care physicians. </w:t>
      </w:r>
      <w:r w:rsidRPr="5223FEBC" w:rsidR="5223FEBC">
        <w:rPr>
          <w:rFonts w:ascii="Arial Nova" w:hAnsi="Arial Nova" w:eastAsia="Arial Nova" w:cs="Arial Nova"/>
          <w:i w:val="1"/>
          <w:iCs w:val="1"/>
          <w:sz w:val="22"/>
          <w:szCs w:val="22"/>
        </w:rPr>
        <w:t>Malaysian Family Physician: the Official Journal of the Academy of Family Physicians of Malaysia</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18</w:t>
      </w:r>
      <w:r w:rsidRPr="5223FEBC" w:rsidR="5223FEBC">
        <w:rPr>
          <w:rFonts w:ascii="Arial Nova" w:hAnsi="Arial Nova" w:eastAsia="Arial Nova" w:cs="Arial Nova"/>
          <w:sz w:val="22"/>
          <w:szCs w:val="22"/>
        </w:rPr>
        <w:t>, p.54.</w:t>
      </w:r>
    </w:p>
    <w:p w:rsidRPr="003C104B" w:rsidR="00B91E6A" w:rsidP="5223FEBC" w:rsidRDefault="2D9DA515" w14:paraId="05D4266D" w14:textId="369D29BD">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Salihu</w:t>
      </w:r>
      <w:r w:rsidRPr="5223FEBC" w:rsidR="5223FEBC">
        <w:rPr>
          <w:rFonts w:ascii="Arial Nova" w:hAnsi="Arial Nova" w:eastAsia="Arial Nova" w:cs="Arial Nova"/>
          <w:sz w:val="22"/>
          <w:szCs w:val="22"/>
        </w:rPr>
        <w:t xml:space="preserve">, H.M. and </w:t>
      </w:r>
      <w:r w:rsidRPr="5223FEBC" w:rsidR="5223FEBC">
        <w:rPr>
          <w:rFonts w:ascii="Arial Nova" w:hAnsi="Arial Nova" w:eastAsia="Arial Nova" w:cs="Arial Nova"/>
          <w:sz w:val="22"/>
          <w:szCs w:val="22"/>
        </w:rPr>
        <w:t>Azuine</w:t>
      </w:r>
      <w:r w:rsidRPr="5223FEBC" w:rsidR="5223FEBC">
        <w:rPr>
          <w:rFonts w:ascii="Arial Nova" w:hAnsi="Arial Nova" w:eastAsia="Arial Nova" w:cs="Arial Nova"/>
          <w:sz w:val="22"/>
          <w:szCs w:val="22"/>
        </w:rPr>
        <w:t>, R.E., (2020). Current and Emerging Issues in Global Health: An Introduction to Special Journal Collection. </w:t>
      </w:r>
      <w:r w:rsidRPr="5223FEBC" w:rsidR="5223FEBC">
        <w:rPr>
          <w:rFonts w:ascii="Arial Nova" w:hAnsi="Arial Nova" w:eastAsia="Arial Nova" w:cs="Arial Nova"/>
          <w:i w:val="1"/>
          <w:iCs w:val="1"/>
          <w:sz w:val="22"/>
          <w:szCs w:val="22"/>
        </w:rPr>
        <w:t>International Journal of Maternal and Child Health and AIDS</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9</w:t>
      </w:r>
      <w:r w:rsidRPr="5223FEBC" w:rsidR="5223FEBC">
        <w:rPr>
          <w:rFonts w:ascii="Arial Nova" w:hAnsi="Arial Nova" w:eastAsia="Arial Nova" w:cs="Arial Nova"/>
          <w:sz w:val="22"/>
          <w:szCs w:val="22"/>
        </w:rPr>
        <w:t>(1), p.1.</w:t>
      </w:r>
    </w:p>
    <w:p w:rsidRPr="003C104B" w:rsidR="00B91E6A" w:rsidP="5223FEBC" w:rsidRDefault="2D9DA515" w14:paraId="36D2D1AE" w14:textId="4AA4D0CA">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Shawar</w:t>
      </w:r>
      <w:r w:rsidRPr="5223FEBC" w:rsidR="5223FEBC">
        <w:rPr>
          <w:rFonts w:ascii="Arial Nova" w:hAnsi="Arial Nova" w:eastAsia="Arial Nova" w:cs="Arial Nova"/>
          <w:sz w:val="22"/>
          <w:szCs w:val="22"/>
        </w:rPr>
        <w:t xml:space="preserve">, Y.R. and </w:t>
      </w:r>
      <w:r w:rsidRPr="5223FEBC" w:rsidR="5223FEBC">
        <w:rPr>
          <w:rFonts w:ascii="Arial Nova" w:hAnsi="Arial Nova" w:eastAsia="Arial Nova" w:cs="Arial Nova"/>
          <w:sz w:val="22"/>
          <w:szCs w:val="22"/>
        </w:rPr>
        <w:t>Shiffman</w:t>
      </w:r>
      <w:r w:rsidRPr="5223FEBC" w:rsidR="5223FEBC">
        <w:rPr>
          <w:rFonts w:ascii="Arial Nova" w:hAnsi="Arial Nova" w:eastAsia="Arial Nova" w:cs="Arial Nova"/>
          <w:sz w:val="22"/>
          <w:szCs w:val="22"/>
        </w:rPr>
        <w:t xml:space="preserve">, J., (2020). Political challenges to prioritizing gender in global health organizations. </w:t>
      </w:r>
      <w:r w:rsidRPr="5223FEBC" w:rsidR="5223FEBC">
        <w:rPr>
          <w:rFonts w:ascii="Arial Nova" w:hAnsi="Arial Nova" w:eastAsia="Arial Nova" w:cs="Arial Nova"/>
          <w:i w:val="1"/>
          <w:iCs w:val="1"/>
          <w:sz w:val="22"/>
          <w:szCs w:val="22"/>
        </w:rPr>
        <w:t>Journal of Global Health</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10</w:t>
      </w:r>
      <w:r w:rsidRPr="5223FEBC" w:rsidR="5223FEBC">
        <w:rPr>
          <w:rFonts w:ascii="Arial Nova" w:hAnsi="Arial Nova" w:eastAsia="Arial Nova" w:cs="Arial Nova"/>
          <w:sz w:val="22"/>
          <w:szCs w:val="22"/>
        </w:rPr>
        <w:t>(1).</w:t>
      </w:r>
    </w:p>
    <w:p w:rsidRPr="003C104B" w:rsidR="00B91E6A" w:rsidP="5223FEBC" w:rsidRDefault="2D9DA515" w14:paraId="50C2CEE3" w14:textId="68FE6CEC" w14:noSpellErr="1">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 xml:space="preserve">Simons, G. and Baldwin, D.S., (2021). A critical review of the definition of ‘well-being' for doctors and their patients in a post-COVID-19 era. </w:t>
      </w:r>
      <w:r w:rsidRPr="5223FEBC" w:rsidR="5223FEBC">
        <w:rPr>
          <w:rFonts w:ascii="Arial Nova" w:hAnsi="Arial Nova" w:eastAsia="Arial Nova" w:cs="Arial Nova"/>
          <w:i w:val="1"/>
          <w:iCs w:val="1"/>
          <w:sz w:val="22"/>
          <w:szCs w:val="22"/>
        </w:rPr>
        <w:t>International Journal of Social Psychiatry</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67</w:t>
      </w:r>
      <w:r w:rsidRPr="5223FEBC" w:rsidR="5223FEBC">
        <w:rPr>
          <w:rFonts w:ascii="Arial Nova" w:hAnsi="Arial Nova" w:eastAsia="Arial Nova" w:cs="Arial Nova"/>
          <w:sz w:val="22"/>
          <w:szCs w:val="22"/>
        </w:rPr>
        <w:t>(8), pp.984-991.</w:t>
      </w:r>
    </w:p>
    <w:p w:rsidRPr="003C104B" w:rsidR="00B91E6A" w:rsidP="5223FEBC" w:rsidRDefault="2D9DA515" w14:paraId="5C87A9AA" w14:textId="1A257F97">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Steinert</w:t>
      </w:r>
      <w:r w:rsidRPr="5223FEBC" w:rsidR="5223FEBC">
        <w:rPr>
          <w:rFonts w:ascii="Arial Nova" w:hAnsi="Arial Nova" w:eastAsia="Arial Nova" w:cs="Arial Nova"/>
          <w:sz w:val="22"/>
          <w:szCs w:val="22"/>
        </w:rPr>
        <w:t xml:space="preserve">, J.I., </w:t>
      </w:r>
      <w:r w:rsidRPr="5223FEBC" w:rsidR="5223FEBC">
        <w:rPr>
          <w:rFonts w:ascii="Arial Nova" w:hAnsi="Arial Nova" w:eastAsia="Arial Nova" w:cs="Arial Nova"/>
          <w:sz w:val="22"/>
          <w:szCs w:val="22"/>
        </w:rPr>
        <w:t>Alacevich</w:t>
      </w:r>
      <w:r w:rsidRPr="5223FEBC" w:rsidR="5223FEBC">
        <w:rPr>
          <w:rFonts w:ascii="Arial Nova" w:hAnsi="Arial Nova" w:eastAsia="Arial Nova" w:cs="Arial Nova"/>
          <w:sz w:val="22"/>
          <w:szCs w:val="22"/>
        </w:rPr>
        <w:t xml:space="preserve">, C., Steele, B., </w:t>
      </w:r>
      <w:r w:rsidRPr="5223FEBC" w:rsidR="5223FEBC">
        <w:rPr>
          <w:rFonts w:ascii="Arial Nova" w:hAnsi="Arial Nova" w:eastAsia="Arial Nova" w:cs="Arial Nova"/>
          <w:sz w:val="22"/>
          <w:szCs w:val="22"/>
        </w:rPr>
        <w:t>Hennegan</w:t>
      </w:r>
      <w:r w:rsidRPr="5223FEBC" w:rsidR="5223FEBC">
        <w:rPr>
          <w:rFonts w:ascii="Arial Nova" w:hAnsi="Arial Nova" w:eastAsia="Arial Nova" w:cs="Arial Nova"/>
          <w:sz w:val="22"/>
          <w:szCs w:val="22"/>
        </w:rPr>
        <w:t xml:space="preserve">, J. and </w:t>
      </w:r>
      <w:r w:rsidRPr="5223FEBC" w:rsidR="5223FEBC">
        <w:rPr>
          <w:rFonts w:ascii="Arial Nova" w:hAnsi="Arial Nova" w:eastAsia="Arial Nova" w:cs="Arial Nova"/>
          <w:sz w:val="22"/>
          <w:szCs w:val="22"/>
        </w:rPr>
        <w:t>Yakubovich</w:t>
      </w:r>
      <w:r w:rsidRPr="5223FEBC" w:rsidR="5223FEBC">
        <w:rPr>
          <w:rFonts w:ascii="Arial Nova" w:hAnsi="Arial Nova" w:eastAsia="Arial Nova" w:cs="Arial Nova"/>
          <w:sz w:val="22"/>
          <w:szCs w:val="22"/>
        </w:rPr>
        <w:t>, A.R., (2021). Response strategies for promoting gender equality in public health emergencies: a rapid scoping review. </w:t>
      </w:r>
      <w:r w:rsidRPr="5223FEBC" w:rsidR="5223FEBC">
        <w:rPr>
          <w:rFonts w:ascii="Arial Nova" w:hAnsi="Arial Nova" w:eastAsia="Arial Nova" w:cs="Arial Nova"/>
          <w:i w:val="1"/>
          <w:iCs w:val="1"/>
          <w:sz w:val="22"/>
          <w:szCs w:val="22"/>
        </w:rPr>
        <w:t>BMJ open</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11</w:t>
      </w:r>
      <w:r w:rsidRPr="5223FEBC" w:rsidR="5223FEBC">
        <w:rPr>
          <w:rFonts w:ascii="Arial Nova" w:hAnsi="Arial Nova" w:eastAsia="Arial Nova" w:cs="Arial Nova"/>
          <w:sz w:val="22"/>
          <w:szCs w:val="22"/>
        </w:rPr>
        <w:t>(8), p.e048292.</w:t>
      </w:r>
    </w:p>
    <w:p w:rsidRPr="003C104B" w:rsidR="009210FB" w:rsidP="5223FEBC" w:rsidRDefault="2D9DA515" w14:paraId="584D1E96" w14:textId="29075764" w14:noSpellErr="1">
      <w:pPr>
        <w:spacing w:after="0" w:line="360" w:lineRule="auto"/>
        <w:ind w:left="720" w:hanging="720"/>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Taylor, S., (2018). ‘Global health’: meaning what? </w:t>
      </w:r>
      <w:r w:rsidRPr="5223FEBC" w:rsidR="5223FEBC">
        <w:rPr>
          <w:rFonts w:ascii="Arial Nova" w:hAnsi="Arial Nova" w:eastAsia="Arial Nova" w:cs="Arial Nova"/>
          <w:i w:val="1"/>
          <w:iCs w:val="1"/>
          <w:sz w:val="22"/>
          <w:szCs w:val="22"/>
        </w:rPr>
        <w:t>BMJ Global Health</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3</w:t>
      </w:r>
      <w:r w:rsidRPr="5223FEBC" w:rsidR="5223FEBC">
        <w:rPr>
          <w:rFonts w:ascii="Arial Nova" w:hAnsi="Arial Nova" w:eastAsia="Arial Nova" w:cs="Arial Nova"/>
          <w:sz w:val="22"/>
          <w:szCs w:val="22"/>
        </w:rPr>
        <w:t>(2), p.e000843.</w:t>
      </w:r>
    </w:p>
    <w:p w:rsidRPr="003C104B" w:rsidR="00B91E6A" w:rsidP="5223FEBC" w:rsidRDefault="2D9DA515" w14:paraId="5B84B85F" w14:textId="0B018CFE" w14:noSpellErr="1">
      <w:pPr>
        <w:spacing w:after="0" w:line="360" w:lineRule="auto"/>
        <w:ind w:left="720" w:hanging="720"/>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UK Government (2022), </w:t>
      </w:r>
      <w:r w:rsidRPr="5223FEBC" w:rsidR="5223FEBC">
        <w:rPr>
          <w:rFonts w:ascii="Arial Nova" w:hAnsi="Arial Nova" w:eastAsia="Arial Nova" w:cs="Arial Nova"/>
          <w:i w:val="1"/>
          <w:iCs w:val="1"/>
          <w:sz w:val="22"/>
          <w:szCs w:val="22"/>
        </w:rPr>
        <w:t>Violence against women and girls' national statement of expectations (accessible)</w:t>
      </w:r>
      <w:r w:rsidRPr="5223FEBC" w:rsidR="5223FEBC">
        <w:rPr>
          <w:rFonts w:ascii="Arial Nova" w:hAnsi="Arial Nova" w:eastAsia="Arial Nova" w:cs="Arial Nova"/>
          <w:sz w:val="22"/>
          <w:szCs w:val="22"/>
        </w:rPr>
        <w:t xml:space="preserve">, Gov.UK, available at: </w:t>
      </w:r>
      <w:hyperlink r:id="R2e660a40375e46c1">
        <w:r w:rsidRPr="5223FEBC" w:rsidR="5223FEBC">
          <w:rPr>
            <w:rStyle w:val="Hyperlink"/>
            <w:rFonts w:ascii="Arial Nova" w:hAnsi="Arial Nova" w:eastAsia="Arial Nova" w:cs="Arial Nova"/>
            <w:sz w:val="22"/>
            <w:szCs w:val="22"/>
          </w:rPr>
          <w:t>https://www.gov.uk/government/publications/violence-against-women-and-girls-national-statement-of-expectations-and-commissioning-toolkit/violence-against-women-and-girls-national-statement-of-expectations-accessible</w:t>
        </w:r>
      </w:hyperlink>
      <w:r w:rsidRPr="5223FEBC" w:rsidR="5223FEBC">
        <w:rPr>
          <w:rFonts w:ascii="Arial Nova" w:hAnsi="Arial Nova" w:eastAsia="Arial Nova" w:cs="Arial Nova"/>
          <w:sz w:val="22"/>
          <w:szCs w:val="22"/>
        </w:rPr>
        <w:t>. (Assessed:12 November 2023).</w:t>
      </w:r>
    </w:p>
    <w:p w:rsidRPr="003C104B" w:rsidR="006B70F3" w:rsidP="5223FEBC" w:rsidRDefault="2D9DA515" w14:paraId="70BB8A4E" w14:textId="6483D773" w14:noSpellErr="1">
      <w:pPr>
        <w:spacing w:after="0" w:line="360" w:lineRule="auto"/>
        <w:ind w:left="720" w:hanging="720"/>
        <w:jc w:val="both"/>
        <w:rPr>
          <w:rFonts w:ascii="Arial Nova" w:hAnsi="Arial Nova" w:eastAsia="Arial Nova" w:cs="Arial Nova"/>
          <w:color w:val="0563C1" w:themeColor="hyperlink"/>
          <w:sz w:val="22"/>
          <w:szCs w:val="22"/>
          <w:u w:val="single"/>
          <w:lang w:val="en-US"/>
        </w:rPr>
      </w:pPr>
      <w:r w:rsidRPr="5223FEBC" w:rsidR="5223FEBC">
        <w:rPr>
          <w:rFonts w:ascii="Arial Nova" w:hAnsi="Arial Nova" w:eastAsia="Arial Nova" w:cs="Arial Nova"/>
          <w:sz w:val="22"/>
          <w:szCs w:val="22"/>
        </w:rPr>
        <w:t xml:space="preserve">UK Government (2023), </w:t>
      </w:r>
      <w:r w:rsidRPr="5223FEBC" w:rsidR="5223FEBC">
        <w:rPr>
          <w:rFonts w:ascii="Arial Nova" w:hAnsi="Arial Nova" w:eastAsia="Arial Nova" w:cs="Arial Nova"/>
          <w:i w:val="1"/>
          <w:iCs w:val="1"/>
          <w:sz w:val="22"/>
          <w:szCs w:val="22"/>
        </w:rPr>
        <w:t>National minimum wage and national living wage rates</w:t>
      </w:r>
      <w:r w:rsidRPr="5223FEBC" w:rsidR="5223FEBC">
        <w:rPr>
          <w:rFonts w:ascii="Arial Nova" w:hAnsi="Arial Nova" w:eastAsia="Arial Nova" w:cs="Arial Nova"/>
          <w:sz w:val="22"/>
          <w:szCs w:val="22"/>
        </w:rPr>
        <w:t xml:space="preserve">, Gov.UK, available at: </w:t>
      </w:r>
      <w:hyperlink r:id="Rb40ba57313d949f4">
        <w:r w:rsidRPr="5223FEBC" w:rsidR="5223FEBC">
          <w:rPr>
            <w:rStyle w:val="Hyperlink"/>
            <w:rFonts w:ascii="Arial Nova" w:hAnsi="Arial Nova" w:eastAsia="Arial Nova" w:cs="Arial Nova"/>
            <w:sz w:val="22"/>
            <w:szCs w:val="22"/>
          </w:rPr>
          <w:t>https://www.gov.uk/national-minimum-wage-rates</w:t>
        </w:r>
      </w:hyperlink>
      <w:r w:rsidRPr="5223FEBC" w:rsidR="5223FEBC">
        <w:rPr>
          <w:rStyle w:val="Hyperlink"/>
          <w:rFonts w:ascii="Arial Nova" w:hAnsi="Arial Nova" w:eastAsia="Arial Nova" w:cs="Arial Nova"/>
          <w:sz w:val="22"/>
          <w:szCs w:val="22"/>
        </w:rPr>
        <w:t xml:space="preserve"> </w:t>
      </w:r>
      <w:r w:rsidRPr="5223FEBC" w:rsidR="5223FEBC">
        <w:rPr>
          <w:rFonts w:ascii="Arial Nova" w:hAnsi="Arial Nova" w:eastAsia="Arial Nova" w:cs="Arial Nova"/>
          <w:sz w:val="22"/>
          <w:szCs w:val="22"/>
        </w:rPr>
        <w:t>(Assessed: 12 November 2023).</w:t>
      </w:r>
    </w:p>
    <w:p w:rsidRPr="003C104B" w:rsidR="00B91E6A" w:rsidP="5223FEBC" w:rsidRDefault="2D9DA515" w14:paraId="19A63455" w14:textId="1BA28E32" w14:noSpellErr="1">
      <w:pPr>
        <w:spacing w:after="0" w:line="360" w:lineRule="auto"/>
        <w:ind w:left="720" w:hanging="720"/>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UK Government (2023) b, </w:t>
      </w:r>
      <w:r w:rsidRPr="5223FEBC" w:rsidR="5223FEBC">
        <w:rPr>
          <w:rFonts w:ascii="Arial Nova" w:hAnsi="Arial Nova" w:eastAsia="Arial Nova" w:cs="Arial Nova"/>
          <w:i w:val="1"/>
          <w:iCs w:val="1"/>
          <w:sz w:val="22"/>
          <w:szCs w:val="22"/>
        </w:rPr>
        <w:t>Gender pays gap reporting: guidance for employers</w:t>
      </w:r>
      <w:r w:rsidRPr="5223FEBC" w:rsidR="5223FEBC">
        <w:rPr>
          <w:rFonts w:ascii="Arial Nova" w:hAnsi="Arial Nova" w:eastAsia="Arial Nova" w:cs="Arial Nova"/>
          <w:sz w:val="22"/>
          <w:szCs w:val="22"/>
        </w:rPr>
        <w:t xml:space="preserve">, Gov.UK, available at: </w:t>
      </w:r>
      <w:hyperlink w:anchor=":~:text=Any%20employer%20with%20250%20or,employees%20on%20your%20snapshot%20date" r:id="R7a17a63f7fbc459f">
        <w:r w:rsidRPr="5223FEBC" w:rsidR="5223FEBC">
          <w:rPr>
            <w:rStyle w:val="Hyperlink"/>
            <w:rFonts w:ascii="Arial Nova" w:hAnsi="Arial Nova" w:eastAsia="Arial Nova" w:cs="Arial Nova"/>
            <w:sz w:val="22"/>
            <w:szCs w:val="22"/>
          </w:rPr>
          <w:t>https://www.gov.uk/government/publications/gender-pay-gap-reporting-guidance-for-employers#:~:text=Any%20employer%20with%20250%20or,employees%20on%20your%20snapshot%20date</w:t>
        </w:r>
      </w:hyperlink>
      <w:r w:rsidRPr="5223FEBC" w:rsidR="5223FEBC">
        <w:rPr>
          <w:rFonts w:ascii="Arial Nova" w:hAnsi="Arial Nova" w:eastAsia="Arial Nova" w:cs="Arial Nova"/>
          <w:sz w:val="22"/>
          <w:szCs w:val="22"/>
        </w:rPr>
        <w:t>. (Assessed: 12 November 2023).</w:t>
      </w:r>
    </w:p>
    <w:p w:rsidRPr="003C104B" w:rsidR="00B91E6A" w:rsidP="5223FEBC" w:rsidRDefault="2D9DA515" w14:paraId="18326DFC" w14:textId="181BA17F">
      <w:pPr>
        <w:spacing w:after="0" w:line="360" w:lineRule="auto"/>
        <w:ind w:left="720" w:hanging="720"/>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UK Government (</w:t>
      </w:r>
      <w:r w:rsidRPr="5223FEBC" w:rsidR="5223FEBC">
        <w:rPr>
          <w:rFonts w:ascii="Arial Nova" w:hAnsi="Arial Nova" w:eastAsia="Arial Nova" w:cs="Arial Nova"/>
          <w:sz w:val="22"/>
          <w:szCs w:val="22"/>
        </w:rPr>
        <w:t>n.d.</w:t>
      </w:r>
      <w:r w:rsidRPr="5223FEBC" w:rsidR="5223FEBC">
        <w:rPr>
          <w:rFonts w:ascii="Arial Nova" w:hAnsi="Arial Nova" w:eastAsia="Arial Nova" w:cs="Arial Nova"/>
          <w:sz w:val="22"/>
          <w:szCs w:val="22"/>
        </w:rPr>
        <w:t xml:space="preserve">) a, </w:t>
      </w:r>
      <w:r w:rsidRPr="5223FEBC" w:rsidR="5223FEBC">
        <w:rPr>
          <w:rFonts w:ascii="Arial Nova" w:hAnsi="Arial Nova" w:eastAsia="Arial Nova" w:cs="Arial Nova"/>
          <w:i w:val="1"/>
          <w:iCs w:val="1"/>
          <w:sz w:val="22"/>
          <w:szCs w:val="22"/>
        </w:rPr>
        <w:t>Universal Credit</w:t>
      </w:r>
      <w:r w:rsidRPr="5223FEBC" w:rsidR="5223FEBC">
        <w:rPr>
          <w:rFonts w:ascii="Arial Nova" w:hAnsi="Arial Nova" w:eastAsia="Arial Nova" w:cs="Arial Nova"/>
          <w:sz w:val="22"/>
          <w:szCs w:val="22"/>
        </w:rPr>
        <w:t xml:space="preserve">, Gov.UK, available at: </w:t>
      </w:r>
      <w:hyperlink r:id="R99e87b916a0b41ab">
        <w:r w:rsidRPr="5223FEBC" w:rsidR="5223FEBC">
          <w:rPr>
            <w:rStyle w:val="Hyperlink"/>
            <w:rFonts w:ascii="Arial Nova" w:hAnsi="Arial Nova" w:eastAsia="Arial Nova" w:cs="Arial Nova"/>
            <w:sz w:val="22"/>
            <w:szCs w:val="22"/>
          </w:rPr>
          <w:t>https://www.gov.uk/universal-credit.</w:t>
        </w:r>
      </w:hyperlink>
      <w:r w:rsidRPr="5223FEBC" w:rsidR="5223FEBC">
        <w:rPr>
          <w:rStyle w:val="Hyperlink"/>
          <w:rFonts w:ascii="Arial Nova" w:hAnsi="Arial Nova" w:eastAsia="Arial Nova" w:cs="Arial Nova"/>
          <w:sz w:val="22"/>
          <w:szCs w:val="22"/>
        </w:rPr>
        <w:t xml:space="preserve"> </w:t>
      </w:r>
      <w:r w:rsidRPr="5223FEBC" w:rsidR="5223FEBC">
        <w:rPr>
          <w:rFonts w:ascii="Arial Nova" w:hAnsi="Arial Nova" w:eastAsia="Arial Nova" w:cs="Arial Nova"/>
          <w:sz w:val="22"/>
          <w:szCs w:val="22"/>
        </w:rPr>
        <w:t>(Assessed: 12 November 2023).</w:t>
      </w:r>
    </w:p>
    <w:p w:rsidRPr="003C104B" w:rsidR="00B91E6A" w:rsidP="5223FEBC" w:rsidRDefault="2D9DA515" w14:paraId="61B20C80" w14:textId="73161953" w14:noSpellErr="1">
      <w:pPr>
        <w:spacing w:after="0" w:line="360" w:lineRule="auto"/>
        <w:ind w:left="720" w:hanging="720"/>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United Nations (2023), </w:t>
      </w:r>
      <w:r w:rsidRPr="5223FEBC" w:rsidR="5223FEBC">
        <w:rPr>
          <w:rFonts w:ascii="Arial Nova" w:hAnsi="Arial Nova" w:eastAsia="Arial Nova" w:cs="Arial Nova"/>
          <w:i w:val="1"/>
          <w:iCs w:val="1"/>
          <w:sz w:val="22"/>
          <w:szCs w:val="22"/>
        </w:rPr>
        <w:t>The 17 goals</w:t>
      </w:r>
      <w:r w:rsidRPr="5223FEBC" w:rsidR="5223FEBC">
        <w:rPr>
          <w:rFonts w:ascii="Arial Nova" w:hAnsi="Arial Nova" w:eastAsia="Arial Nova" w:cs="Arial Nova"/>
          <w:sz w:val="22"/>
          <w:szCs w:val="22"/>
        </w:rPr>
        <w:t xml:space="preserve">, United Nations, available at: </w:t>
      </w:r>
      <w:hyperlink r:id="R93d893f4886e4f6c">
        <w:r w:rsidRPr="5223FEBC" w:rsidR="5223FEBC">
          <w:rPr>
            <w:rStyle w:val="Hyperlink"/>
            <w:rFonts w:ascii="Arial Nova" w:hAnsi="Arial Nova" w:eastAsia="Arial Nova" w:cs="Arial Nova"/>
            <w:sz w:val="22"/>
            <w:szCs w:val="22"/>
          </w:rPr>
          <w:t>https://sdgs.un.org/goals</w:t>
        </w:r>
      </w:hyperlink>
      <w:r w:rsidRPr="5223FEBC" w:rsidR="5223FEBC">
        <w:rPr>
          <w:rStyle w:val="Hyperlink"/>
          <w:rFonts w:ascii="Arial Nova" w:hAnsi="Arial Nova" w:eastAsia="Arial Nova" w:cs="Arial Nova"/>
          <w:sz w:val="22"/>
          <w:szCs w:val="22"/>
        </w:rPr>
        <w:t xml:space="preserve">  </w:t>
      </w:r>
      <w:r w:rsidRPr="5223FEBC" w:rsidR="5223FEBC">
        <w:rPr>
          <w:rFonts w:ascii="Arial Nova" w:hAnsi="Arial Nova" w:eastAsia="Arial Nova" w:cs="Arial Nova"/>
          <w:sz w:val="22"/>
          <w:szCs w:val="22"/>
        </w:rPr>
        <w:t>( Assessed: 12 November 2023).</w:t>
      </w:r>
    </w:p>
    <w:p w:rsidRPr="003C104B" w:rsidR="00B91E6A" w:rsidP="5223FEBC" w:rsidRDefault="2D9DA515" w14:paraId="06966DEF" w14:textId="3C0EC6C8">
      <w:pPr>
        <w:spacing w:after="0" w:line="360" w:lineRule="auto"/>
        <w:ind w:left="720" w:hanging="720"/>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United Nations (</w:t>
      </w:r>
      <w:r w:rsidRPr="5223FEBC" w:rsidR="5223FEBC">
        <w:rPr>
          <w:rFonts w:ascii="Arial Nova" w:hAnsi="Arial Nova" w:eastAsia="Arial Nova" w:cs="Arial Nova"/>
          <w:sz w:val="22"/>
          <w:szCs w:val="22"/>
        </w:rPr>
        <w:t>n.d.</w:t>
      </w:r>
      <w:r w:rsidRPr="5223FEBC" w:rsidR="5223FEBC">
        <w:rPr>
          <w:rFonts w:ascii="Arial Nova" w:hAnsi="Arial Nova" w:eastAsia="Arial Nova" w:cs="Arial Nova"/>
          <w:sz w:val="22"/>
          <w:szCs w:val="22"/>
        </w:rPr>
        <w:t xml:space="preserve">), </w:t>
      </w:r>
      <w:r w:rsidRPr="5223FEBC" w:rsidR="5223FEBC">
        <w:rPr>
          <w:rFonts w:ascii="Arial Nova" w:hAnsi="Arial Nova" w:eastAsia="Arial Nova" w:cs="Arial Nova"/>
          <w:i w:val="1"/>
          <w:iCs w:val="1"/>
          <w:sz w:val="22"/>
          <w:szCs w:val="22"/>
        </w:rPr>
        <w:t>The SDGs in action| What are the sustainable development goals?</w:t>
      </w:r>
      <w:r w:rsidRPr="5223FEBC" w:rsidR="5223FEBC">
        <w:rPr>
          <w:rFonts w:ascii="Arial Nova" w:hAnsi="Arial Nova" w:eastAsia="Arial Nova" w:cs="Arial Nova"/>
          <w:sz w:val="22"/>
          <w:szCs w:val="22"/>
        </w:rPr>
        <w:t xml:space="preserve"> United Nations Development Programme, available at: </w:t>
      </w:r>
      <w:hyperlink r:id="R85e00aa3edb54637">
        <w:r w:rsidRPr="5223FEBC" w:rsidR="5223FEBC">
          <w:rPr>
            <w:rStyle w:val="Hyperlink"/>
            <w:rFonts w:ascii="Arial Nova" w:hAnsi="Arial Nova" w:eastAsia="Arial Nova" w:cs="Arial Nova"/>
            <w:sz w:val="22"/>
            <w:szCs w:val="22"/>
          </w:rPr>
          <w:t>https://www.undp.org/sustainable-development-goals</w:t>
        </w:r>
      </w:hyperlink>
      <w:r w:rsidRPr="5223FEBC" w:rsidR="5223FEBC">
        <w:rPr>
          <w:rStyle w:val="Hyperlink"/>
          <w:rFonts w:ascii="Arial Nova" w:hAnsi="Arial Nova" w:eastAsia="Arial Nova" w:cs="Arial Nova"/>
          <w:sz w:val="22"/>
          <w:szCs w:val="22"/>
        </w:rPr>
        <w:t xml:space="preserve">  </w:t>
      </w:r>
      <w:r w:rsidRPr="5223FEBC" w:rsidR="5223FEBC">
        <w:rPr>
          <w:rFonts w:ascii="Arial Nova" w:hAnsi="Arial Nova" w:eastAsia="Arial Nova" w:cs="Arial Nova"/>
          <w:sz w:val="22"/>
          <w:szCs w:val="22"/>
        </w:rPr>
        <w:t>(Assessed: 12 November 2023).</w:t>
      </w:r>
    </w:p>
    <w:p w:rsidRPr="003C104B" w:rsidR="00B91E6A" w:rsidP="5223FEBC" w:rsidRDefault="2D9DA515" w14:paraId="54041EB9" w14:textId="6C45FE0D">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Veas</w:t>
      </w:r>
      <w:r w:rsidRPr="5223FEBC" w:rsidR="5223FEBC">
        <w:rPr>
          <w:rFonts w:ascii="Arial Nova" w:hAnsi="Arial Nova" w:eastAsia="Arial Nova" w:cs="Arial Nova"/>
          <w:sz w:val="22"/>
          <w:szCs w:val="22"/>
        </w:rPr>
        <w:t xml:space="preserve">, C., Crispi, F. and </w:t>
      </w:r>
      <w:r w:rsidRPr="5223FEBC" w:rsidR="5223FEBC">
        <w:rPr>
          <w:rFonts w:ascii="Arial Nova" w:hAnsi="Arial Nova" w:eastAsia="Arial Nova" w:cs="Arial Nova"/>
          <w:sz w:val="22"/>
          <w:szCs w:val="22"/>
        </w:rPr>
        <w:t>Cuadrado</w:t>
      </w:r>
      <w:r w:rsidRPr="5223FEBC" w:rsidR="5223FEBC">
        <w:rPr>
          <w:rFonts w:ascii="Arial Nova" w:hAnsi="Arial Nova" w:eastAsia="Arial Nova" w:cs="Arial Nova"/>
          <w:sz w:val="22"/>
          <w:szCs w:val="22"/>
        </w:rPr>
        <w:t>, C., (2021). Association between gender inequality and population-level health outcomes: Panel data analysis of organization for Economic Co-operation and Development (OECD) countries. </w:t>
      </w:r>
      <w:r w:rsidRPr="5223FEBC" w:rsidR="5223FEBC">
        <w:rPr>
          <w:rFonts w:ascii="Arial Nova" w:hAnsi="Arial Nova" w:eastAsia="Arial Nova" w:cs="Arial Nova"/>
          <w:i w:val="1"/>
          <w:iCs w:val="1"/>
          <w:sz w:val="22"/>
          <w:szCs w:val="22"/>
        </w:rPr>
        <w:t>EClinicalMedicine</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39</w:t>
      </w:r>
      <w:r w:rsidRPr="5223FEBC" w:rsidR="5223FEBC">
        <w:rPr>
          <w:rFonts w:ascii="Arial Nova" w:hAnsi="Arial Nova" w:eastAsia="Arial Nova" w:cs="Arial Nova"/>
          <w:sz w:val="22"/>
          <w:szCs w:val="22"/>
        </w:rPr>
        <w:t>.</w:t>
      </w:r>
    </w:p>
    <w:p w:rsidRPr="003C104B" w:rsidR="00B91E6A" w:rsidP="5223FEBC" w:rsidRDefault="2D9DA515" w14:paraId="3D1B8230" w14:textId="733A2F93" w14:noSpellErr="1">
      <w:pPr>
        <w:spacing w:after="0" w:line="360" w:lineRule="auto"/>
        <w:ind w:left="720" w:hanging="720"/>
        <w:jc w:val="both"/>
        <w:rPr>
          <w:rFonts w:ascii="Arial Nova" w:hAnsi="Arial Nova" w:eastAsia="Arial Nova" w:cs="Arial Nova"/>
          <w:sz w:val="22"/>
          <w:szCs w:val="22"/>
          <w:lang w:val="en-US"/>
        </w:rPr>
      </w:pPr>
      <w:r w:rsidRPr="5223FEBC" w:rsidR="5223FEBC">
        <w:rPr>
          <w:rFonts w:ascii="Arial Nova" w:hAnsi="Arial Nova" w:eastAsia="Arial Nova" w:cs="Arial Nova"/>
          <w:sz w:val="22"/>
          <w:szCs w:val="22"/>
        </w:rPr>
        <w:t xml:space="preserve">World Health Organization (2023), </w:t>
      </w:r>
      <w:r w:rsidRPr="5223FEBC" w:rsidR="5223FEBC">
        <w:rPr>
          <w:rFonts w:ascii="Arial Nova" w:hAnsi="Arial Nova" w:eastAsia="Arial Nova" w:cs="Arial Nova"/>
          <w:i w:val="1"/>
          <w:iCs w:val="1"/>
          <w:sz w:val="22"/>
          <w:szCs w:val="22"/>
        </w:rPr>
        <w:t>Sustainable development goals</w:t>
      </w:r>
      <w:r w:rsidRPr="5223FEBC" w:rsidR="5223FEBC">
        <w:rPr>
          <w:rFonts w:ascii="Arial Nova" w:hAnsi="Arial Nova" w:eastAsia="Arial Nova" w:cs="Arial Nova"/>
          <w:sz w:val="22"/>
          <w:szCs w:val="22"/>
        </w:rPr>
        <w:t xml:space="preserve">, World Health Organization, available at: </w:t>
      </w:r>
      <w:hyperlink w:anchor=":~:text=The%20Sustainable%20Development%20Goals%20(SDGs,enjoy%20health%2C%20justice%20and%20prosperity" r:id="R23d903c2852e49c1">
        <w:r w:rsidRPr="5223FEBC" w:rsidR="5223FEBC">
          <w:rPr>
            <w:rStyle w:val="Hyperlink"/>
            <w:rFonts w:ascii="Arial Nova" w:hAnsi="Arial Nova" w:eastAsia="Arial Nova" w:cs="Arial Nova"/>
            <w:sz w:val="22"/>
            <w:szCs w:val="22"/>
          </w:rPr>
          <w:t>https://www.who.int/europe/about-us/our-work/sustainable-development-goals#:~:text=The%20Sustainable%20Development%20Goals%20(SDGs,enjoy%20health%2C%20justice%20and%20prosperity</w:t>
        </w:r>
      </w:hyperlink>
      <w:r w:rsidRPr="5223FEBC" w:rsidR="5223FEBC">
        <w:rPr>
          <w:rFonts w:ascii="Arial Nova" w:hAnsi="Arial Nova" w:eastAsia="Arial Nova" w:cs="Arial Nova"/>
          <w:sz w:val="22"/>
          <w:szCs w:val="22"/>
        </w:rPr>
        <w:t xml:space="preserve"> (Assessed: 12 November 2023).</w:t>
      </w:r>
    </w:p>
    <w:p w:rsidRPr="003C104B" w:rsidR="00B91E6A" w:rsidP="5223FEBC" w:rsidRDefault="2D9DA515" w14:paraId="635E4340" w14:textId="6EC61880">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 xml:space="preserve">Wren-Lewis, S. and </w:t>
      </w:r>
      <w:r w:rsidRPr="5223FEBC" w:rsidR="5223FEBC">
        <w:rPr>
          <w:rFonts w:ascii="Arial Nova" w:hAnsi="Arial Nova" w:eastAsia="Arial Nova" w:cs="Arial Nova"/>
          <w:sz w:val="22"/>
          <w:szCs w:val="22"/>
        </w:rPr>
        <w:t>Alexandrova</w:t>
      </w:r>
      <w:r w:rsidRPr="5223FEBC" w:rsidR="5223FEBC">
        <w:rPr>
          <w:rFonts w:ascii="Arial Nova" w:hAnsi="Arial Nova" w:eastAsia="Arial Nova" w:cs="Arial Nova"/>
          <w:sz w:val="22"/>
          <w:szCs w:val="22"/>
        </w:rPr>
        <w:t>, A., (2021, December). Mental health without well-being. In </w:t>
      </w:r>
      <w:r w:rsidRPr="5223FEBC" w:rsidR="5223FEBC">
        <w:rPr>
          <w:rFonts w:ascii="Arial Nova" w:hAnsi="Arial Nova" w:eastAsia="Arial Nova" w:cs="Arial Nova"/>
          <w:i w:val="1"/>
          <w:iCs w:val="1"/>
          <w:sz w:val="22"/>
          <w:szCs w:val="22"/>
        </w:rPr>
        <w:t>The Journal of Medicine and Philosophy: A Forum for Bioethics and Philosophy of Medicine</w:t>
      </w:r>
      <w:r w:rsidRPr="5223FEBC" w:rsidR="5223FEBC">
        <w:rPr>
          <w:rFonts w:ascii="Arial Nova" w:hAnsi="Arial Nova" w:eastAsia="Arial Nova" w:cs="Arial Nova"/>
          <w:sz w:val="22"/>
          <w:szCs w:val="22"/>
        </w:rPr>
        <w:t> (Vol. 46, No. 6, pp. 684-703). US: Oxford University Press.</w:t>
      </w:r>
    </w:p>
    <w:p w:rsidRPr="003C104B" w:rsidR="00B91E6A" w:rsidP="5223FEBC" w:rsidRDefault="2D9DA515" w14:paraId="3246E9F5" w14:textId="2B3343BC" w14:noSpellErr="1">
      <w:pPr>
        <w:spacing w:after="0" w:line="360" w:lineRule="auto"/>
        <w:ind w:left="720" w:hanging="720"/>
        <w:jc w:val="both"/>
        <w:rPr>
          <w:rFonts w:ascii="Arial Nova" w:hAnsi="Arial Nova" w:eastAsia="Arial Nova" w:cs="Arial Nova"/>
          <w:sz w:val="22"/>
          <w:szCs w:val="22"/>
        </w:rPr>
      </w:pPr>
      <w:r w:rsidRPr="5223FEBC" w:rsidR="5223FEBC">
        <w:rPr>
          <w:rFonts w:ascii="Arial Nova" w:hAnsi="Arial Nova" w:eastAsia="Arial Nova" w:cs="Arial Nova"/>
          <w:sz w:val="22"/>
          <w:szCs w:val="22"/>
        </w:rPr>
        <w:t>Wu, X., Ali, A., Zhang, T., Chen, J. and Hu, W., (2022). An empirical analysis of the impact of gender inequality and sex ratios at birth on China’s economic growth. </w:t>
      </w:r>
      <w:r w:rsidRPr="5223FEBC" w:rsidR="5223FEBC">
        <w:rPr>
          <w:rFonts w:ascii="Arial Nova" w:hAnsi="Arial Nova" w:eastAsia="Arial Nova" w:cs="Arial Nova"/>
          <w:i w:val="1"/>
          <w:iCs w:val="1"/>
          <w:sz w:val="22"/>
          <w:szCs w:val="22"/>
        </w:rPr>
        <w:t>Frontiers in Psychology</w:t>
      </w:r>
      <w:r w:rsidRPr="5223FEBC" w:rsidR="5223FEBC">
        <w:rPr>
          <w:rFonts w:ascii="Arial Nova" w:hAnsi="Arial Nova" w:eastAsia="Arial Nova" w:cs="Arial Nova"/>
          <w:sz w:val="22"/>
          <w:szCs w:val="22"/>
        </w:rPr>
        <w:t>, </w:t>
      </w:r>
      <w:r w:rsidRPr="5223FEBC" w:rsidR="5223FEBC">
        <w:rPr>
          <w:rFonts w:ascii="Arial Nova" w:hAnsi="Arial Nova" w:eastAsia="Arial Nova" w:cs="Arial Nova"/>
          <w:i w:val="1"/>
          <w:iCs w:val="1"/>
          <w:sz w:val="22"/>
          <w:szCs w:val="22"/>
        </w:rPr>
        <w:t>13</w:t>
      </w:r>
      <w:r w:rsidRPr="5223FEBC" w:rsidR="5223FEBC">
        <w:rPr>
          <w:rFonts w:ascii="Arial Nova" w:hAnsi="Arial Nova" w:eastAsia="Arial Nova" w:cs="Arial Nova"/>
          <w:sz w:val="22"/>
          <w:szCs w:val="22"/>
        </w:rPr>
        <w:t>, p.1003467.</w:t>
      </w:r>
    </w:p>
    <w:sectPr w:rsidRPr="003C104B" w:rsidR="00B91E6A">
      <w:headerReference w:type="default" r:id="rId14"/>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53B51" w:rsidRDefault="00D53B51" w14:paraId="7D5B7243" w14:textId="77777777">
      <w:pPr>
        <w:spacing w:after="0" w:line="240" w:lineRule="auto"/>
      </w:pPr>
      <w:r>
        <w:separator/>
      </w:r>
    </w:p>
  </w:endnote>
  <w:endnote w:type="continuationSeparator" w:id="0">
    <w:p w:rsidR="00D53B51" w:rsidRDefault="00D53B51" w14:paraId="5CFB3E58" w14:textId="77777777">
      <w:pPr>
        <w:spacing w:after="0" w:line="240" w:lineRule="auto"/>
      </w:pPr>
      <w:r>
        <w:continuationSeparator/>
      </w:r>
    </w:p>
  </w:endnote>
  <w:endnote w:type="continuationNotice" w:id="1">
    <w:p w:rsidR="00D53B51" w:rsidRDefault="00D53B51" w14:paraId="12A756D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53B51" w:rsidRDefault="00D53B51" w14:paraId="54D4C9EB" w14:textId="77777777">
      <w:pPr>
        <w:spacing w:after="0" w:line="240" w:lineRule="auto"/>
      </w:pPr>
      <w:r>
        <w:separator/>
      </w:r>
    </w:p>
  </w:footnote>
  <w:footnote w:type="continuationSeparator" w:id="0">
    <w:p w:rsidR="00D53B51" w:rsidRDefault="00D53B51" w14:paraId="48120C97" w14:textId="77777777">
      <w:pPr>
        <w:spacing w:after="0" w:line="240" w:lineRule="auto"/>
      </w:pPr>
      <w:r>
        <w:continuationSeparator/>
      </w:r>
    </w:p>
  </w:footnote>
  <w:footnote w:type="continuationNotice" w:id="1">
    <w:p w:rsidR="00D53B51" w:rsidRDefault="00D53B51" w14:paraId="1A701959"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21250640"/>
      <w:docPartObj>
        <w:docPartGallery w:val="Page Numbers (Top of Page)"/>
        <w:docPartUnique/>
      </w:docPartObj>
    </w:sdtPr>
    <w:sdtEndPr>
      <w:rPr>
        <w:noProof/>
      </w:rPr>
    </w:sdtEndPr>
    <w:sdtContent>
      <w:p w:rsidRPr="001A5328" w:rsidR="001A5328" w:rsidP="001A5328" w:rsidRDefault="2D9DA515" w14:paraId="44B8F8EE" w14:textId="10EF9247" w14:noSpellErr="1">
        <w:pPr>
          <w:pStyle w:val="Header"/>
          <w:jc w:val="right"/>
          <w:rPr>
            <w:rFonts w:ascii="Times New Roman" w:hAnsi="Times New Roman" w:cs="Times New Roman"/>
            <w:sz w:val="24"/>
            <w:szCs w:val="24"/>
          </w:rPr>
        </w:pPr>
        <w:r w:rsidRPr="5223FEBC" w:rsidR="5223FEBC">
          <w:rPr>
            <w:rFonts w:ascii="Times New Roman" w:hAnsi="Times New Roman" w:cs="Times New Roman"/>
            <w:sz w:val="24"/>
            <w:szCs w:val="24"/>
          </w:rPr>
          <w:t xml:space="preserve">Health and Social Care Report     </w:t>
        </w:r>
        <w:r w:rsidRPr="5223FEBC">
          <w:rPr>
            <w:rFonts w:ascii="Times New Roman" w:hAnsi="Times New Roman" w:cs="Times New Roman"/>
            <w:sz w:val="24"/>
            <w:szCs w:val="24"/>
          </w:rPr>
          <w:fldChar w:fldCharType="begin"/>
        </w:r>
        <w:r w:rsidRPr="5223FEBC">
          <w:rPr>
            <w:rFonts w:ascii="Times New Roman" w:hAnsi="Times New Roman" w:cs="Times New Roman"/>
            <w:sz w:val="24"/>
            <w:szCs w:val="24"/>
          </w:rPr>
          <w:instrText xml:space="preserve"> PAGE   \* MERGEFORMAT </w:instrText>
        </w:r>
        <w:r w:rsidRPr="5223FEBC">
          <w:rPr>
            <w:rFonts w:ascii="Times New Roman" w:hAnsi="Times New Roman" w:cs="Times New Roman"/>
            <w:sz w:val="24"/>
            <w:szCs w:val="24"/>
          </w:rPr>
          <w:fldChar w:fldCharType="separate"/>
        </w:r>
        <w:r w:rsidRPr="5223FEBC" w:rsidR="5223FEBC">
          <w:rPr>
            <w:rFonts w:ascii="Times New Roman" w:hAnsi="Times New Roman" w:cs="Times New Roman"/>
            <w:sz w:val="24"/>
            <w:szCs w:val="24"/>
          </w:rPr>
          <w:t>2</w:t>
        </w:r>
        <w:r w:rsidRPr="5223FEBC">
          <w:rPr>
            <w:rFonts w:ascii="Times New Roman" w:hAnsi="Times New Roman" w:cs="Times New Roman"/>
            <w:sz w:val="24"/>
            <w:szCs w:val="24"/>
          </w:rPr>
          <w:fldChar w:fldCharType="end"/>
        </w:r>
      </w:p>
    </w:sdtContent>
  </w:sdt>
</w:hdr>
</file>

<file path=word/intelligence2.xml><?xml version="1.0" encoding="utf-8"?>
<int2:intelligence xmlns:int2="http://schemas.microsoft.com/office/intelligence/2020/intelligence" xmlns:oel="http://schemas.microsoft.com/office/2019/extlst">
  <int2:observations>
    <int2:entireDocument int2:id="kzVGuxGx">
      <int2:extLst>
        <oel:ext uri="E302BA01-7950-474C-9AD3-286E660C40A8">
          <int2:similaritySummary int2:version="1" int2:runId="1701419437272" int2:tilesCheckedInThisRun="114" int2:totalNumOfTiles="114" int2:similarityAnnotationCount="0" int2:numWords="0" int2:numFlaggedWords="0"/>
        </oel:ext>
      </int2:extLst>
    </int2:entireDocument>
  </int2:observations>
  <int2:intelligenceSettings/>
  <int2:onDemandWorkflows>
    <int2:onDemandWorkflow int2:type="SimilarityCheck" int2:paragraphVersions="754597C2-77777777 55CC9770-77777777 6C539E1E-77777777 19D77BE8-4C807AB2 479C5B2C-77777777 63146364-77777777 4C76EBFF-77777777 3D844EFD-56EAD991 7C9291AD-77777777 029FBE53-77777777 6CA0CA41-6BB6E789 3FCA889A-2A3BC400 57E7473F-7444C079 5EA52AC7-6BB9F4DD 01670DE8-79699188 698D2930-0F3B5278 67720136-764A6F3C 1BA553B4-384CA8AE 3088E720-2C63A6BB 0F177C16-13359E91 13001A15-37621DA1 05F5530D-3AB40069 2F7FCEC6-30FD1394 552C4C7B-1D01CDD3 1F7F009F-6D28246D 6647A9DA-0705A6DC 664C0515-0AA3DEE4 0D6BDE42-6244AF23 7E3A4577-1D1F8767 1C87EEFA-5EBEC3C8 25E7B354-337BA117 44D7746F-62C18095 189A94C7-68453ED3 7D4A5095-6EBCF9DB 14F88CA3-27027079 68557C66-32923364 2F808E15-33973F05 66A5A233-556AB593 1529454D-08C7582C 3BE99698-3339A4DF 690E1CED-67F21676 4A304697-26F3CECA 6E28974F-07E8BEF6 2654CE54-4BCC933D 165A0519-309C82AA 6ACCEA4B-53726142 57364938-47EE1617 3EB833DA-3E13E3E0 601A9CA0-09FA0BB2 5EA3F49B-291279BB 72FD1C29-678CACCC 30CBC5F1-0EFD8945 69645151-11C0813C 7BBD2146-5EA75ABF 4A0C1F37-1956CFAD 27E27D26-51D47A98 5102ED7B-6D0969BA 0408BCDB-0C47BACD 1FD9E596-544E0AD6 491D9EA8-09E6F13A 59164D55-3CB4239A 3DAAC1B1-1060FAA1 15284091-63B3494C 14828C01-0C005ACD 324A88A7-0DF069F7 2AA0F48E-3F70ECCE 7286F63E-6D5BB50E 475E9AF0-1BA54F78 171B9398-72A4F300 28287473-429E740F 4FACCF60-1D4C94B5 7132EF71-2EEDA421 33A2201E-07EF1C16 77C999E6-7F607860 163E0204-7791B99F 53F1009B-4D480AF0 2B6AF0E1-0FA1A77B 016B4BA6-77777777 70BCBAEF-00032874 60010B9B-3BB1E546 6D15057A-09C2E506 2AA9218E-04D22EAE 199B4C43-488FB88E 6C80D01C-7691F1FF 3977E403-629EEF58 3725FB50-790DB087 7E73E88D-6FB63650 32647B43-6D645ADE 0EA202C3-6C8A28CF 129A3D03-761FCF58 1DCDFCB4-6DB378B3 7D3B61E3-764621F8 31171F10-318ED3A6 6091A088-7CA8FD00 41961509-03D4D937 4134126A-5602EEBB 327EFF44-0EFC0666 502E66EF-79884582 59368395-19593631 028EAA1F-362122AE 303C48A1-0F524940 0C855394-3EA5FA9C 71E40B9C-08371F9B 549E5E60-1BFA1449 6853E774-076325FF 5A9768B5-631DA7A0 7D98CDCE-0478346D 6A1C40CF-6C97D841 58EF3178-3A4EC7AD 1B5AA6EC-1A47450A 6B49B47D-0C859300 059E0ED5-067593D1 1BABB8C1-5891B36B 25DB8082-5B859D51 2ED3148B-05487C70 70DDBE23-3A746798 05D4266D-369D29BD 36D2D1AE-4AA4D0CA 50C2CEE3-68FE6CEC 5C87A9AA-1A257F97 584D1E96-29075764 5B84B85F-0B018CFE 70BB8A4E-6483D773 19A63455-1BA28E32 18326DFC-181BA17F 61B20C80-73161953 06966DEF-3C0EC6C8 54041EB9-6C45FE0D 3D1B8230-733A2F93 635E4340-6EC61880 3246E9F5-4B1DABDF 44B8F8EE-10EF924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328"/>
    <w:rsid w:val="000001C4"/>
    <w:rsid w:val="000026FB"/>
    <w:rsid w:val="00004780"/>
    <w:rsid w:val="00005271"/>
    <w:rsid w:val="00005A76"/>
    <w:rsid w:val="00005C27"/>
    <w:rsid w:val="00005F1E"/>
    <w:rsid w:val="000061EC"/>
    <w:rsid w:val="0000673D"/>
    <w:rsid w:val="0000682C"/>
    <w:rsid w:val="00007D49"/>
    <w:rsid w:val="000100A6"/>
    <w:rsid w:val="0001051B"/>
    <w:rsid w:val="000123F9"/>
    <w:rsid w:val="00012B57"/>
    <w:rsid w:val="00014441"/>
    <w:rsid w:val="00016C54"/>
    <w:rsid w:val="000224D3"/>
    <w:rsid w:val="00024BDF"/>
    <w:rsid w:val="00027F44"/>
    <w:rsid w:val="000315D6"/>
    <w:rsid w:val="000328B4"/>
    <w:rsid w:val="00032949"/>
    <w:rsid w:val="0003296B"/>
    <w:rsid w:val="0003599A"/>
    <w:rsid w:val="0003735B"/>
    <w:rsid w:val="00037E77"/>
    <w:rsid w:val="00040AC8"/>
    <w:rsid w:val="000410B9"/>
    <w:rsid w:val="0004186F"/>
    <w:rsid w:val="00041E04"/>
    <w:rsid w:val="00043C4B"/>
    <w:rsid w:val="00045CB8"/>
    <w:rsid w:val="00046429"/>
    <w:rsid w:val="00050000"/>
    <w:rsid w:val="00052DA8"/>
    <w:rsid w:val="00053540"/>
    <w:rsid w:val="00054DE8"/>
    <w:rsid w:val="0005551E"/>
    <w:rsid w:val="00061D09"/>
    <w:rsid w:val="00061EA6"/>
    <w:rsid w:val="00062C2E"/>
    <w:rsid w:val="000637E1"/>
    <w:rsid w:val="000640CF"/>
    <w:rsid w:val="00064C60"/>
    <w:rsid w:val="00065229"/>
    <w:rsid w:val="00065453"/>
    <w:rsid w:val="00070367"/>
    <w:rsid w:val="00081A00"/>
    <w:rsid w:val="00082CEC"/>
    <w:rsid w:val="00084875"/>
    <w:rsid w:val="00084B75"/>
    <w:rsid w:val="00086A89"/>
    <w:rsid w:val="00087DA2"/>
    <w:rsid w:val="0009030A"/>
    <w:rsid w:val="000910DD"/>
    <w:rsid w:val="0009351C"/>
    <w:rsid w:val="00094C0B"/>
    <w:rsid w:val="00097201"/>
    <w:rsid w:val="000A094C"/>
    <w:rsid w:val="000A0CF5"/>
    <w:rsid w:val="000A295C"/>
    <w:rsid w:val="000A575E"/>
    <w:rsid w:val="000A6990"/>
    <w:rsid w:val="000A7FB7"/>
    <w:rsid w:val="000B177B"/>
    <w:rsid w:val="000B1AA4"/>
    <w:rsid w:val="000B208B"/>
    <w:rsid w:val="000B69C1"/>
    <w:rsid w:val="000B714A"/>
    <w:rsid w:val="000C1521"/>
    <w:rsid w:val="000C16B7"/>
    <w:rsid w:val="000C269D"/>
    <w:rsid w:val="000C28D5"/>
    <w:rsid w:val="000C36A6"/>
    <w:rsid w:val="000C394B"/>
    <w:rsid w:val="000C677F"/>
    <w:rsid w:val="000D1656"/>
    <w:rsid w:val="000D38C1"/>
    <w:rsid w:val="000D503F"/>
    <w:rsid w:val="000D5791"/>
    <w:rsid w:val="000DEF61"/>
    <w:rsid w:val="000E080C"/>
    <w:rsid w:val="000E0FE9"/>
    <w:rsid w:val="000E2D50"/>
    <w:rsid w:val="000E4638"/>
    <w:rsid w:val="000E4E7B"/>
    <w:rsid w:val="000E6EA2"/>
    <w:rsid w:val="000E75DD"/>
    <w:rsid w:val="000F0644"/>
    <w:rsid w:val="000F12CF"/>
    <w:rsid w:val="000F1E7A"/>
    <w:rsid w:val="000F3192"/>
    <w:rsid w:val="000F3432"/>
    <w:rsid w:val="000F40FB"/>
    <w:rsid w:val="00100508"/>
    <w:rsid w:val="00101D71"/>
    <w:rsid w:val="00104022"/>
    <w:rsid w:val="00104F15"/>
    <w:rsid w:val="001128D7"/>
    <w:rsid w:val="00114044"/>
    <w:rsid w:val="00115F99"/>
    <w:rsid w:val="00127136"/>
    <w:rsid w:val="001320B1"/>
    <w:rsid w:val="00135E14"/>
    <w:rsid w:val="00136216"/>
    <w:rsid w:val="001375F1"/>
    <w:rsid w:val="001427F6"/>
    <w:rsid w:val="001433E4"/>
    <w:rsid w:val="001466C2"/>
    <w:rsid w:val="0014778E"/>
    <w:rsid w:val="00147AC8"/>
    <w:rsid w:val="00147AE8"/>
    <w:rsid w:val="00150ADB"/>
    <w:rsid w:val="001569F6"/>
    <w:rsid w:val="001573BE"/>
    <w:rsid w:val="00157DC7"/>
    <w:rsid w:val="00160420"/>
    <w:rsid w:val="0016139C"/>
    <w:rsid w:val="001629E7"/>
    <w:rsid w:val="0016338C"/>
    <w:rsid w:val="00164228"/>
    <w:rsid w:val="001656F7"/>
    <w:rsid w:val="00165BF7"/>
    <w:rsid w:val="00167408"/>
    <w:rsid w:val="00170944"/>
    <w:rsid w:val="00171346"/>
    <w:rsid w:val="001732BB"/>
    <w:rsid w:val="001738AA"/>
    <w:rsid w:val="0017398F"/>
    <w:rsid w:val="0017417D"/>
    <w:rsid w:val="00174618"/>
    <w:rsid w:val="00174ECE"/>
    <w:rsid w:val="0017586E"/>
    <w:rsid w:val="00176B94"/>
    <w:rsid w:val="0018155B"/>
    <w:rsid w:val="00181567"/>
    <w:rsid w:val="0018352F"/>
    <w:rsid w:val="001839E1"/>
    <w:rsid w:val="00184E20"/>
    <w:rsid w:val="00184FC8"/>
    <w:rsid w:val="001854F5"/>
    <w:rsid w:val="00185B50"/>
    <w:rsid w:val="00187926"/>
    <w:rsid w:val="00187F5D"/>
    <w:rsid w:val="0019023D"/>
    <w:rsid w:val="00192CEF"/>
    <w:rsid w:val="00193BB1"/>
    <w:rsid w:val="00196378"/>
    <w:rsid w:val="001969F6"/>
    <w:rsid w:val="00197335"/>
    <w:rsid w:val="001979B1"/>
    <w:rsid w:val="001A101E"/>
    <w:rsid w:val="001A1545"/>
    <w:rsid w:val="001A23E2"/>
    <w:rsid w:val="001A2629"/>
    <w:rsid w:val="001A3968"/>
    <w:rsid w:val="001A3E1E"/>
    <w:rsid w:val="001A5328"/>
    <w:rsid w:val="001A7209"/>
    <w:rsid w:val="001A7B66"/>
    <w:rsid w:val="001B0347"/>
    <w:rsid w:val="001B2519"/>
    <w:rsid w:val="001B481E"/>
    <w:rsid w:val="001B6731"/>
    <w:rsid w:val="001B675F"/>
    <w:rsid w:val="001B696C"/>
    <w:rsid w:val="001B7917"/>
    <w:rsid w:val="001C28BC"/>
    <w:rsid w:val="001C2E66"/>
    <w:rsid w:val="001C2F78"/>
    <w:rsid w:val="001C58C6"/>
    <w:rsid w:val="001C7C05"/>
    <w:rsid w:val="001D01D4"/>
    <w:rsid w:val="001D11D8"/>
    <w:rsid w:val="001D3DFC"/>
    <w:rsid w:val="001D5657"/>
    <w:rsid w:val="001D6E33"/>
    <w:rsid w:val="001D6EFC"/>
    <w:rsid w:val="001E1E35"/>
    <w:rsid w:val="001E2956"/>
    <w:rsid w:val="001E2DB4"/>
    <w:rsid w:val="001E3BFD"/>
    <w:rsid w:val="001E3C3F"/>
    <w:rsid w:val="001E462A"/>
    <w:rsid w:val="001E7F03"/>
    <w:rsid w:val="001F00BC"/>
    <w:rsid w:val="001F254E"/>
    <w:rsid w:val="001F42B3"/>
    <w:rsid w:val="001F599D"/>
    <w:rsid w:val="001F6D8F"/>
    <w:rsid w:val="002032F3"/>
    <w:rsid w:val="00203301"/>
    <w:rsid w:val="00204B05"/>
    <w:rsid w:val="00211FC3"/>
    <w:rsid w:val="002125BB"/>
    <w:rsid w:val="00212AF8"/>
    <w:rsid w:val="00216182"/>
    <w:rsid w:val="00221F7E"/>
    <w:rsid w:val="00222B78"/>
    <w:rsid w:val="00225718"/>
    <w:rsid w:val="00226339"/>
    <w:rsid w:val="0022728A"/>
    <w:rsid w:val="00227EA6"/>
    <w:rsid w:val="002302C8"/>
    <w:rsid w:val="00233BB8"/>
    <w:rsid w:val="00233E6C"/>
    <w:rsid w:val="00234500"/>
    <w:rsid w:val="00234827"/>
    <w:rsid w:val="00236567"/>
    <w:rsid w:val="002368B1"/>
    <w:rsid w:val="00237C70"/>
    <w:rsid w:val="002406A8"/>
    <w:rsid w:val="00240A6E"/>
    <w:rsid w:val="00243994"/>
    <w:rsid w:val="00245FDB"/>
    <w:rsid w:val="00245FE0"/>
    <w:rsid w:val="0025234A"/>
    <w:rsid w:val="002575C7"/>
    <w:rsid w:val="00262D38"/>
    <w:rsid w:val="00264190"/>
    <w:rsid w:val="002643B2"/>
    <w:rsid w:val="00265028"/>
    <w:rsid w:val="00266242"/>
    <w:rsid w:val="00267136"/>
    <w:rsid w:val="00267504"/>
    <w:rsid w:val="002728C9"/>
    <w:rsid w:val="002756EE"/>
    <w:rsid w:val="0028188D"/>
    <w:rsid w:val="00281973"/>
    <w:rsid w:val="00281AD6"/>
    <w:rsid w:val="00281D78"/>
    <w:rsid w:val="00284792"/>
    <w:rsid w:val="00286190"/>
    <w:rsid w:val="00286F9B"/>
    <w:rsid w:val="00287AB2"/>
    <w:rsid w:val="00293F3C"/>
    <w:rsid w:val="002A023E"/>
    <w:rsid w:val="002A07C0"/>
    <w:rsid w:val="002A5E67"/>
    <w:rsid w:val="002A6023"/>
    <w:rsid w:val="002A6E75"/>
    <w:rsid w:val="002A71B5"/>
    <w:rsid w:val="002B0870"/>
    <w:rsid w:val="002B125E"/>
    <w:rsid w:val="002B2707"/>
    <w:rsid w:val="002B3F2B"/>
    <w:rsid w:val="002B7DFA"/>
    <w:rsid w:val="002C0401"/>
    <w:rsid w:val="002C1FD9"/>
    <w:rsid w:val="002C5DAE"/>
    <w:rsid w:val="002D0483"/>
    <w:rsid w:val="002D4E43"/>
    <w:rsid w:val="002D5226"/>
    <w:rsid w:val="002D72B4"/>
    <w:rsid w:val="002D7436"/>
    <w:rsid w:val="002E0032"/>
    <w:rsid w:val="002E16B9"/>
    <w:rsid w:val="002E1811"/>
    <w:rsid w:val="002E3A31"/>
    <w:rsid w:val="002E449E"/>
    <w:rsid w:val="002E4E17"/>
    <w:rsid w:val="002F0070"/>
    <w:rsid w:val="002F3434"/>
    <w:rsid w:val="002F5002"/>
    <w:rsid w:val="002F65E3"/>
    <w:rsid w:val="002F670F"/>
    <w:rsid w:val="003000D0"/>
    <w:rsid w:val="00302217"/>
    <w:rsid w:val="00302EA3"/>
    <w:rsid w:val="00304336"/>
    <w:rsid w:val="00306379"/>
    <w:rsid w:val="00306D7C"/>
    <w:rsid w:val="00310204"/>
    <w:rsid w:val="00311B64"/>
    <w:rsid w:val="00311FF6"/>
    <w:rsid w:val="00315224"/>
    <w:rsid w:val="00316FEC"/>
    <w:rsid w:val="00324CAF"/>
    <w:rsid w:val="003266D2"/>
    <w:rsid w:val="00327987"/>
    <w:rsid w:val="00330708"/>
    <w:rsid w:val="00330E90"/>
    <w:rsid w:val="003321A9"/>
    <w:rsid w:val="00334DA7"/>
    <w:rsid w:val="00335292"/>
    <w:rsid w:val="00335B03"/>
    <w:rsid w:val="00336AE0"/>
    <w:rsid w:val="003373D2"/>
    <w:rsid w:val="0034007B"/>
    <w:rsid w:val="00340B2E"/>
    <w:rsid w:val="003469BC"/>
    <w:rsid w:val="0034780C"/>
    <w:rsid w:val="00352C50"/>
    <w:rsid w:val="003535F2"/>
    <w:rsid w:val="003556BA"/>
    <w:rsid w:val="003568F3"/>
    <w:rsid w:val="00356D41"/>
    <w:rsid w:val="003577A1"/>
    <w:rsid w:val="0036178D"/>
    <w:rsid w:val="00363D9D"/>
    <w:rsid w:val="003654B2"/>
    <w:rsid w:val="0036701D"/>
    <w:rsid w:val="0036723D"/>
    <w:rsid w:val="00372CA5"/>
    <w:rsid w:val="00372F29"/>
    <w:rsid w:val="003746CD"/>
    <w:rsid w:val="0037479C"/>
    <w:rsid w:val="00375C2B"/>
    <w:rsid w:val="00376DCE"/>
    <w:rsid w:val="003777A4"/>
    <w:rsid w:val="0038066D"/>
    <w:rsid w:val="0038254F"/>
    <w:rsid w:val="00382B5E"/>
    <w:rsid w:val="003839B5"/>
    <w:rsid w:val="00384BCB"/>
    <w:rsid w:val="0038586F"/>
    <w:rsid w:val="00386FE7"/>
    <w:rsid w:val="003878E1"/>
    <w:rsid w:val="00391430"/>
    <w:rsid w:val="003925C2"/>
    <w:rsid w:val="003933EF"/>
    <w:rsid w:val="00395A3D"/>
    <w:rsid w:val="00395BFC"/>
    <w:rsid w:val="00396777"/>
    <w:rsid w:val="003A0ACB"/>
    <w:rsid w:val="003A23FD"/>
    <w:rsid w:val="003A26F1"/>
    <w:rsid w:val="003A3062"/>
    <w:rsid w:val="003A5975"/>
    <w:rsid w:val="003A6C98"/>
    <w:rsid w:val="003A6E7D"/>
    <w:rsid w:val="003B0AF2"/>
    <w:rsid w:val="003B3276"/>
    <w:rsid w:val="003B3A88"/>
    <w:rsid w:val="003B75EF"/>
    <w:rsid w:val="003B7C4B"/>
    <w:rsid w:val="003C104B"/>
    <w:rsid w:val="003C1472"/>
    <w:rsid w:val="003C30A7"/>
    <w:rsid w:val="003C53E7"/>
    <w:rsid w:val="003C54D6"/>
    <w:rsid w:val="003C6AAB"/>
    <w:rsid w:val="003D03EC"/>
    <w:rsid w:val="003D1983"/>
    <w:rsid w:val="003D3E49"/>
    <w:rsid w:val="003D46A0"/>
    <w:rsid w:val="003D7D3D"/>
    <w:rsid w:val="003E0C6C"/>
    <w:rsid w:val="003E1E88"/>
    <w:rsid w:val="003E1E8E"/>
    <w:rsid w:val="003E46AE"/>
    <w:rsid w:val="003E4E20"/>
    <w:rsid w:val="003E5749"/>
    <w:rsid w:val="003E7A82"/>
    <w:rsid w:val="003F16B1"/>
    <w:rsid w:val="003F3BB1"/>
    <w:rsid w:val="003F574B"/>
    <w:rsid w:val="003F582B"/>
    <w:rsid w:val="003F61EF"/>
    <w:rsid w:val="003F6922"/>
    <w:rsid w:val="00400322"/>
    <w:rsid w:val="004011FB"/>
    <w:rsid w:val="00401514"/>
    <w:rsid w:val="00403E13"/>
    <w:rsid w:val="00405547"/>
    <w:rsid w:val="004075DC"/>
    <w:rsid w:val="004077AC"/>
    <w:rsid w:val="00407D82"/>
    <w:rsid w:val="00412817"/>
    <w:rsid w:val="0041359D"/>
    <w:rsid w:val="00414B84"/>
    <w:rsid w:val="00414B9B"/>
    <w:rsid w:val="004169A0"/>
    <w:rsid w:val="00416BD0"/>
    <w:rsid w:val="00420518"/>
    <w:rsid w:val="00421654"/>
    <w:rsid w:val="00423105"/>
    <w:rsid w:val="0042331A"/>
    <w:rsid w:val="00427887"/>
    <w:rsid w:val="00430425"/>
    <w:rsid w:val="00430BB0"/>
    <w:rsid w:val="0043371F"/>
    <w:rsid w:val="0043437C"/>
    <w:rsid w:val="004356C0"/>
    <w:rsid w:val="00435F6B"/>
    <w:rsid w:val="00436459"/>
    <w:rsid w:val="00437211"/>
    <w:rsid w:val="004407FF"/>
    <w:rsid w:val="00440EC1"/>
    <w:rsid w:val="00443A48"/>
    <w:rsid w:val="00445529"/>
    <w:rsid w:val="00446F6E"/>
    <w:rsid w:val="004521B6"/>
    <w:rsid w:val="0045682A"/>
    <w:rsid w:val="0045746C"/>
    <w:rsid w:val="004666B4"/>
    <w:rsid w:val="00470804"/>
    <w:rsid w:val="00471009"/>
    <w:rsid w:val="004710BD"/>
    <w:rsid w:val="00471AA7"/>
    <w:rsid w:val="00471C4C"/>
    <w:rsid w:val="00472F13"/>
    <w:rsid w:val="00473C59"/>
    <w:rsid w:val="0047409D"/>
    <w:rsid w:val="00474BB2"/>
    <w:rsid w:val="00475257"/>
    <w:rsid w:val="0048093B"/>
    <w:rsid w:val="004815D1"/>
    <w:rsid w:val="00483262"/>
    <w:rsid w:val="00484DC1"/>
    <w:rsid w:val="004869C3"/>
    <w:rsid w:val="004905A8"/>
    <w:rsid w:val="00493BF5"/>
    <w:rsid w:val="00493E3B"/>
    <w:rsid w:val="00494277"/>
    <w:rsid w:val="00495928"/>
    <w:rsid w:val="0049599C"/>
    <w:rsid w:val="0049630C"/>
    <w:rsid w:val="004A1326"/>
    <w:rsid w:val="004A2B38"/>
    <w:rsid w:val="004A2BDA"/>
    <w:rsid w:val="004A5923"/>
    <w:rsid w:val="004A5EC8"/>
    <w:rsid w:val="004A6321"/>
    <w:rsid w:val="004A72D8"/>
    <w:rsid w:val="004A7AC4"/>
    <w:rsid w:val="004A7FDD"/>
    <w:rsid w:val="004B022A"/>
    <w:rsid w:val="004B20D4"/>
    <w:rsid w:val="004B2AE6"/>
    <w:rsid w:val="004C047A"/>
    <w:rsid w:val="004C1F62"/>
    <w:rsid w:val="004C3742"/>
    <w:rsid w:val="004D05AC"/>
    <w:rsid w:val="004D2F15"/>
    <w:rsid w:val="004D42D1"/>
    <w:rsid w:val="004D49DC"/>
    <w:rsid w:val="004E025F"/>
    <w:rsid w:val="004E2DF1"/>
    <w:rsid w:val="004E3A0E"/>
    <w:rsid w:val="004E4991"/>
    <w:rsid w:val="004E4EF3"/>
    <w:rsid w:val="004E57AA"/>
    <w:rsid w:val="004E682F"/>
    <w:rsid w:val="004E71A2"/>
    <w:rsid w:val="004F10A0"/>
    <w:rsid w:val="004F1190"/>
    <w:rsid w:val="004F4AE9"/>
    <w:rsid w:val="004F5525"/>
    <w:rsid w:val="004F63E0"/>
    <w:rsid w:val="004F6A8D"/>
    <w:rsid w:val="005007B3"/>
    <w:rsid w:val="00501957"/>
    <w:rsid w:val="00501C82"/>
    <w:rsid w:val="005030EF"/>
    <w:rsid w:val="005036F5"/>
    <w:rsid w:val="00504492"/>
    <w:rsid w:val="00505330"/>
    <w:rsid w:val="005054CF"/>
    <w:rsid w:val="00506FF4"/>
    <w:rsid w:val="00507098"/>
    <w:rsid w:val="00507BF0"/>
    <w:rsid w:val="00511891"/>
    <w:rsid w:val="00511B79"/>
    <w:rsid w:val="00511D24"/>
    <w:rsid w:val="0052059A"/>
    <w:rsid w:val="00522E74"/>
    <w:rsid w:val="005234CD"/>
    <w:rsid w:val="005235CE"/>
    <w:rsid w:val="005253B5"/>
    <w:rsid w:val="005259B8"/>
    <w:rsid w:val="00526BC4"/>
    <w:rsid w:val="00526CA0"/>
    <w:rsid w:val="00531C08"/>
    <w:rsid w:val="005346F6"/>
    <w:rsid w:val="00535361"/>
    <w:rsid w:val="00535E19"/>
    <w:rsid w:val="0053686B"/>
    <w:rsid w:val="0053766F"/>
    <w:rsid w:val="005400AC"/>
    <w:rsid w:val="00540D85"/>
    <w:rsid w:val="005508EE"/>
    <w:rsid w:val="00550AA3"/>
    <w:rsid w:val="00551263"/>
    <w:rsid w:val="005554F9"/>
    <w:rsid w:val="00555F56"/>
    <w:rsid w:val="005562B7"/>
    <w:rsid w:val="00556B81"/>
    <w:rsid w:val="00557E9B"/>
    <w:rsid w:val="00560B43"/>
    <w:rsid w:val="00564005"/>
    <w:rsid w:val="005650C4"/>
    <w:rsid w:val="0056736C"/>
    <w:rsid w:val="0057123C"/>
    <w:rsid w:val="0057518D"/>
    <w:rsid w:val="00577560"/>
    <w:rsid w:val="00577D19"/>
    <w:rsid w:val="00582FBF"/>
    <w:rsid w:val="005839F3"/>
    <w:rsid w:val="00584590"/>
    <w:rsid w:val="00584A00"/>
    <w:rsid w:val="00586449"/>
    <w:rsid w:val="00587069"/>
    <w:rsid w:val="00593107"/>
    <w:rsid w:val="00594065"/>
    <w:rsid w:val="00594A4B"/>
    <w:rsid w:val="00595442"/>
    <w:rsid w:val="00596188"/>
    <w:rsid w:val="00597130"/>
    <w:rsid w:val="005A1549"/>
    <w:rsid w:val="005A33CC"/>
    <w:rsid w:val="005A6FA4"/>
    <w:rsid w:val="005B1FD7"/>
    <w:rsid w:val="005B44DD"/>
    <w:rsid w:val="005B51E1"/>
    <w:rsid w:val="005C17F7"/>
    <w:rsid w:val="005C5AE7"/>
    <w:rsid w:val="005D05BF"/>
    <w:rsid w:val="005D09A3"/>
    <w:rsid w:val="005D201B"/>
    <w:rsid w:val="005D2145"/>
    <w:rsid w:val="005D657C"/>
    <w:rsid w:val="005D71F5"/>
    <w:rsid w:val="005D72CA"/>
    <w:rsid w:val="005D765F"/>
    <w:rsid w:val="005E1CD8"/>
    <w:rsid w:val="005E1E37"/>
    <w:rsid w:val="005F7160"/>
    <w:rsid w:val="0060206F"/>
    <w:rsid w:val="00602D1C"/>
    <w:rsid w:val="006038C3"/>
    <w:rsid w:val="006104ED"/>
    <w:rsid w:val="006122F4"/>
    <w:rsid w:val="006153C8"/>
    <w:rsid w:val="0061557A"/>
    <w:rsid w:val="00616C43"/>
    <w:rsid w:val="00617C5B"/>
    <w:rsid w:val="00617D25"/>
    <w:rsid w:val="00620124"/>
    <w:rsid w:val="006238B1"/>
    <w:rsid w:val="006249A6"/>
    <w:rsid w:val="00624B56"/>
    <w:rsid w:val="00624B98"/>
    <w:rsid w:val="006266E7"/>
    <w:rsid w:val="00630192"/>
    <w:rsid w:val="00630B64"/>
    <w:rsid w:val="00630C4D"/>
    <w:rsid w:val="0063222E"/>
    <w:rsid w:val="006343ED"/>
    <w:rsid w:val="00640F60"/>
    <w:rsid w:val="00641483"/>
    <w:rsid w:val="006414D1"/>
    <w:rsid w:val="00641A70"/>
    <w:rsid w:val="006427FD"/>
    <w:rsid w:val="00643201"/>
    <w:rsid w:val="0064335F"/>
    <w:rsid w:val="00644B65"/>
    <w:rsid w:val="00652973"/>
    <w:rsid w:val="00653848"/>
    <w:rsid w:val="00653E5B"/>
    <w:rsid w:val="0065446D"/>
    <w:rsid w:val="006544F1"/>
    <w:rsid w:val="006575F7"/>
    <w:rsid w:val="00660055"/>
    <w:rsid w:val="00661581"/>
    <w:rsid w:val="0066179A"/>
    <w:rsid w:val="00662BFF"/>
    <w:rsid w:val="00662F31"/>
    <w:rsid w:val="006662E1"/>
    <w:rsid w:val="00671EBA"/>
    <w:rsid w:val="006727EA"/>
    <w:rsid w:val="006754F1"/>
    <w:rsid w:val="0067615A"/>
    <w:rsid w:val="0067661D"/>
    <w:rsid w:val="0067696F"/>
    <w:rsid w:val="006769E4"/>
    <w:rsid w:val="0068052B"/>
    <w:rsid w:val="006825B5"/>
    <w:rsid w:val="00684B3C"/>
    <w:rsid w:val="0068640A"/>
    <w:rsid w:val="006868C1"/>
    <w:rsid w:val="00686F43"/>
    <w:rsid w:val="00686F57"/>
    <w:rsid w:val="00687CFF"/>
    <w:rsid w:val="00692B3A"/>
    <w:rsid w:val="00693FBB"/>
    <w:rsid w:val="006963EB"/>
    <w:rsid w:val="006A190B"/>
    <w:rsid w:val="006A3097"/>
    <w:rsid w:val="006A3A10"/>
    <w:rsid w:val="006B0CB3"/>
    <w:rsid w:val="006B0ED7"/>
    <w:rsid w:val="006B2175"/>
    <w:rsid w:val="006B6568"/>
    <w:rsid w:val="006B70F3"/>
    <w:rsid w:val="006B7826"/>
    <w:rsid w:val="006B7BEC"/>
    <w:rsid w:val="006C5F8F"/>
    <w:rsid w:val="006C687D"/>
    <w:rsid w:val="006C6AFD"/>
    <w:rsid w:val="006C6F4E"/>
    <w:rsid w:val="006D35E9"/>
    <w:rsid w:val="006D4D70"/>
    <w:rsid w:val="006D712D"/>
    <w:rsid w:val="006E1E24"/>
    <w:rsid w:val="006E7774"/>
    <w:rsid w:val="006E78D9"/>
    <w:rsid w:val="006F265C"/>
    <w:rsid w:val="006F2CD3"/>
    <w:rsid w:val="006F54FE"/>
    <w:rsid w:val="006F78C2"/>
    <w:rsid w:val="00701DE9"/>
    <w:rsid w:val="00702CCE"/>
    <w:rsid w:val="00706372"/>
    <w:rsid w:val="00706668"/>
    <w:rsid w:val="00706DF6"/>
    <w:rsid w:val="00711082"/>
    <w:rsid w:val="00715D7F"/>
    <w:rsid w:val="00716A4F"/>
    <w:rsid w:val="007212E4"/>
    <w:rsid w:val="0072390A"/>
    <w:rsid w:val="00724369"/>
    <w:rsid w:val="00724BEA"/>
    <w:rsid w:val="007314C0"/>
    <w:rsid w:val="00734D00"/>
    <w:rsid w:val="00734DD8"/>
    <w:rsid w:val="007358B9"/>
    <w:rsid w:val="007359BF"/>
    <w:rsid w:val="0074018A"/>
    <w:rsid w:val="00741955"/>
    <w:rsid w:val="007426DD"/>
    <w:rsid w:val="0074466D"/>
    <w:rsid w:val="007473BC"/>
    <w:rsid w:val="007505E4"/>
    <w:rsid w:val="00750629"/>
    <w:rsid w:val="007525CF"/>
    <w:rsid w:val="0075329A"/>
    <w:rsid w:val="00753F8C"/>
    <w:rsid w:val="00756BFC"/>
    <w:rsid w:val="00760A6E"/>
    <w:rsid w:val="00761C1C"/>
    <w:rsid w:val="007626C0"/>
    <w:rsid w:val="0076714E"/>
    <w:rsid w:val="0077025B"/>
    <w:rsid w:val="0077274A"/>
    <w:rsid w:val="0077498C"/>
    <w:rsid w:val="00777C6F"/>
    <w:rsid w:val="00780FEF"/>
    <w:rsid w:val="00781351"/>
    <w:rsid w:val="007821D4"/>
    <w:rsid w:val="00783289"/>
    <w:rsid w:val="0078505A"/>
    <w:rsid w:val="0078510E"/>
    <w:rsid w:val="00790E93"/>
    <w:rsid w:val="007910AA"/>
    <w:rsid w:val="00793C3B"/>
    <w:rsid w:val="00795600"/>
    <w:rsid w:val="00796BD8"/>
    <w:rsid w:val="00797A5B"/>
    <w:rsid w:val="00797CAA"/>
    <w:rsid w:val="007A0BF4"/>
    <w:rsid w:val="007A1808"/>
    <w:rsid w:val="007A5D0F"/>
    <w:rsid w:val="007A6A07"/>
    <w:rsid w:val="007A6CAE"/>
    <w:rsid w:val="007A6D89"/>
    <w:rsid w:val="007B1342"/>
    <w:rsid w:val="007B1E7F"/>
    <w:rsid w:val="007B33EB"/>
    <w:rsid w:val="007B3DAD"/>
    <w:rsid w:val="007B773D"/>
    <w:rsid w:val="007B7A86"/>
    <w:rsid w:val="007C157C"/>
    <w:rsid w:val="007C2F43"/>
    <w:rsid w:val="007C369B"/>
    <w:rsid w:val="007C491C"/>
    <w:rsid w:val="007C534E"/>
    <w:rsid w:val="007C573D"/>
    <w:rsid w:val="007C5F23"/>
    <w:rsid w:val="007C6B9D"/>
    <w:rsid w:val="007C7FD1"/>
    <w:rsid w:val="007D07B0"/>
    <w:rsid w:val="007D08B6"/>
    <w:rsid w:val="007D1802"/>
    <w:rsid w:val="007D20C8"/>
    <w:rsid w:val="007D385C"/>
    <w:rsid w:val="007D44D7"/>
    <w:rsid w:val="007D46FC"/>
    <w:rsid w:val="007D68A6"/>
    <w:rsid w:val="007D6983"/>
    <w:rsid w:val="007D6EAA"/>
    <w:rsid w:val="007E3E9E"/>
    <w:rsid w:val="007E4781"/>
    <w:rsid w:val="007E5D2C"/>
    <w:rsid w:val="007E7932"/>
    <w:rsid w:val="007E7C5E"/>
    <w:rsid w:val="007F1CAF"/>
    <w:rsid w:val="0080192A"/>
    <w:rsid w:val="00803540"/>
    <w:rsid w:val="00803ABB"/>
    <w:rsid w:val="00804445"/>
    <w:rsid w:val="00804E16"/>
    <w:rsid w:val="00804EEE"/>
    <w:rsid w:val="00805C08"/>
    <w:rsid w:val="00807DE1"/>
    <w:rsid w:val="0081008A"/>
    <w:rsid w:val="00810710"/>
    <w:rsid w:val="0081336C"/>
    <w:rsid w:val="00813EB0"/>
    <w:rsid w:val="00820576"/>
    <w:rsid w:val="0082060C"/>
    <w:rsid w:val="0082062F"/>
    <w:rsid w:val="0082095D"/>
    <w:rsid w:val="008212E1"/>
    <w:rsid w:val="00822E9F"/>
    <w:rsid w:val="00825CDD"/>
    <w:rsid w:val="00825F1F"/>
    <w:rsid w:val="00827658"/>
    <w:rsid w:val="00831EDF"/>
    <w:rsid w:val="00832734"/>
    <w:rsid w:val="0083589A"/>
    <w:rsid w:val="00841B59"/>
    <w:rsid w:val="00841E5D"/>
    <w:rsid w:val="008422BF"/>
    <w:rsid w:val="0084380A"/>
    <w:rsid w:val="00845A2F"/>
    <w:rsid w:val="008466A0"/>
    <w:rsid w:val="00846D6F"/>
    <w:rsid w:val="00850C01"/>
    <w:rsid w:val="0085155E"/>
    <w:rsid w:val="00851A8E"/>
    <w:rsid w:val="0085252F"/>
    <w:rsid w:val="00852622"/>
    <w:rsid w:val="008530AC"/>
    <w:rsid w:val="008549C6"/>
    <w:rsid w:val="00857F46"/>
    <w:rsid w:val="008605BA"/>
    <w:rsid w:val="008607C1"/>
    <w:rsid w:val="00862DF1"/>
    <w:rsid w:val="00863665"/>
    <w:rsid w:val="00863D5C"/>
    <w:rsid w:val="0086460A"/>
    <w:rsid w:val="00864A6D"/>
    <w:rsid w:val="00866972"/>
    <w:rsid w:val="0087113E"/>
    <w:rsid w:val="00871C5B"/>
    <w:rsid w:val="00871E4F"/>
    <w:rsid w:val="008733C9"/>
    <w:rsid w:val="00873993"/>
    <w:rsid w:val="00874A8E"/>
    <w:rsid w:val="0087708F"/>
    <w:rsid w:val="0087746E"/>
    <w:rsid w:val="008801C0"/>
    <w:rsid w:val="00880E14"/>
    <w:rsid w:val="00881542"/>
    <w:rsid w:val="008816EC"/>
    <w:rsid w:val="00881817"/>
    <w:rsid w:val="008821A3"/>
    <w:rsid w:val="00883F80"/>
    <w:rsid w:val="00885D1B"/>
    <w:rsid w:val="0088606A"/>
    <w:rsid w:val="00886CE7"/>
    <w:rsid w:val="00891C7F"/>
    <w:rsid w:val="00891FF3"/>
    <w:rsid w:val="008932B6"/>
    <w:rsid w:val="00893954"/>
    <w:rsid w:val="008A0D0A"/>
    <w:rsid w:val="008A28E5"/>
    <w:rsid w:val="008A2F81"/>
    <w:rsid w:val="008A3845"/>
    <w:rsid w:val="008A3D90"/>
    <w:rsid w:val="008A5262"/>
    <w:rsid w:val="008A5C01"/>
    <w:rsid w:val="008B6293"/>
    <w:rsid w:val="008B6593"/>
    <w:rsid w:val="008C08D2"/>
    <w:rsid w:val="008C1359"/>
    <w:rsid w:val="008C4851"/>
    <w:rsid w:val="008C6E83"/>
    <w:rsid w:val="008C784F"/>
    <w:rsid w:val="008D19AE"/>
    <w:rsid w:val="008D3B66"/>
    <w:rsid w:val="008D5981"/>
    <w:rsid w:val="008D73BA"/>
    <w:rsid w:val="008D78DC"/>
    <w:rsid w:val="008E0A6C"/>
    <w:rsid w:val="008E183E"/>
    <w:rsid w:val="008E1C72"/>
    <w:rsid w:val="008E4778"/>
    <w:rsid w:val="008E52B4"/>
    <w:rsid w:val="008E5721"/>
    <w:rsid w:val="008E65BA"/>
    <w:rsid w:val="008E6D65"/>
    <w:rsid w:val="008F01E4"/>
    <w:rsid w:val="008F379A"/>
    <w:rsid w:val="008F765E"/>
    <w:rsid w:val="009020A0"/>
    <w:rsid w:val="00904C47"/>
    <w:rsid w:val="0090565E"/>
    <w:rsid w:val="00905734"/>
    <w:rsid w:val="00905895"/>
    <w:rsid w:val="00905BC3"/>
    <w:rsid w:val="00907572"/>
    <w:rsid w:val="00911BEB"/>
    <w:rsid w:val="009126A9"/>
    <w:rsid w:val="00914320"/>
    <w:rsid w:val="00916309"/>
    <w:rsid w:val="00916876"/>
    <w:rsid w:val="009210FB"/>
    <w:rsid w:val="009220F3"/>
    <w:rsid w:val="0092291D"/>
    <w:rsid w:val="00924482"/>
    <w:rsid w:val="00924F13"/>
    <w:rsid w:val="00926773"/>
    <w:rsid w:val="00927D76"/>
    <w:rsid w:val="00930400"/>
    <w:rsid w:val="009306FF"/>
    <w:rsid w:val="00930722"/>
    <w:rsid w:val="00931A8F"/>
    <w:rsid w:val="00931B8C"/>
    <w:rsid w:val="00931BFE"/>
    <w:rsid w:val="00933D1B"/>
    <w:rsid w:val="00933EB4"/>
    <w:rsid w:val="00933FC0"/>
    <w:rsid w:val="009356E0"/>
    <w:rsid w:val="00936F76"/>
    <w:rsid w:val="00940192"/>
    <w:rsid w:val="0094145E"/>
    <w:rsid w:val="009419CD"/>
    <w:rsid w:val="00941AB8"/>
    <w:rsid w:val="009452AA"/>
    <w:rsid w:val="00947968"/>
    <w:rsid w:val="00947D94"/>
    <w:rsid w:val="00950D72"/>
    <w:rsid w:val="00951CEE"/>
    <w:rsid w:val="0095269E"/>
    <w:rsid w:val="009528C9"/>
    <w:rsid w:val="00953A8D"/>
    <w:rsid w:val="0096138F"/>
    <w:rsid w:val="00961FCD"/>
    <w:rsid w:val="00962D73"/>
    <w:rsid w:val="00964425"/>
    <w:rsid w:val="00967212"/>
    <w:rsid w:val="00967373"/>
    <w:rsid w:val="00970B5D"/>
    <w:rsid w:val="0097100C"/>
    <w:rsid w:val="0097119E"/>
    <w:rsid w:val="00972572"/>
    <w:rsid w:val="00973091"/>
    <w:rsid w:val="00973631"/>
    <w:rsid w:val="0097366C"/>
    <w:rsid w:val="00973BFE"/>
    <w:rsid w:val="00973D20"/>
    <w:rsid w:val="009751AD"/>
    <w:rsid w:val="009763BD"/>
    <w:rsid w:val="009820E2"/>
    <w:rsid w:val="00982355"/>
    <w:rsid w:val="0098441E"/>
    <w:rsid w:val="009853AA"/>
    <w:rsid w:val="009859F1"/>
    <w:rsid w:val="00987D4E"/>
    <w:rsid w:val="009918F9"/>
    <w:rsid w:val="0099303F"/>
    <w:rsid w:val="009954E9"/>
    <w:rsid w:val="00995ADB"/>
    <w:rsid w:val="00997263"/>
    <w:rsid w:val="00997462"/>
    <w:rsid w:val="009A0ACB"/>
    <w:rsid w:val="009A1A1B"/>
    <w:rsid w:val="009A2D5E"/>
    <w:rsid w:val="009A3FF2"/>
    <w:rsid w:val="009A4769"/>
    <w:rsid w:val="009A54EB"/>
    <w:rsid w:val="009A7FAD"/>
    <w:rsid w:val="009B3AFB"/>
    <w:rsid w:val="009B4166"/>
    <w:rsid w:val="009B45B2"/>
    <w:rsid w:val="009B677F"/>
    <w:rsid w:val="009B6C8F"/>
    <w:rsid w:val="009B6C9C"/>
    <w:rsid w:val="009B735B"/>
    <w:rsid w:val="009C0986"/>
    <w:rsid w:val="009C4AD7"/>
    <w:rsid w:val="009C60B9"/>
    <w:rsid w:val="009C7E20"/>
    <w:rsid w:val="009D19FB"/>
    <w:rsid w:val="009D58D2"/>
    <w:rsid w:val="009D6393"/>
    <w:rsid w:val="009D65F7"/>
    <w:rsid w:val="009D7950"/>
    <w:rsid w:val="009E2E54"/>
    <w:rsid w:val="009E3F30"/>
    <w:rsid w:val="009E540A"/>
    <w:rsid w:val="009E5DBB"/>
    <w:rsid w:val="009E6567"/>
    <w:rsid w:val="009E7210"/>
    <w:rsid w:val="009E75A3"/>
    <w:rsid w:val="009F3101"/>
    <w:rsid w:val="009F3994"/>
    <w:rsid w:val="009F3BFE"/>
    <w:rsid w:val="009F56F3"/>
    <w:rsid w:val="009F7017"/>
    <w:rsid w:val="00A00A8B"/>
    <w:rsid w:val="00A00B51"/>
    <w:rsid w:val="00A016EE"/>
    <w:rsid w:val="00A01C4A"/>
    <w:rsid w:val="00A01EF9"/>
    <w:rsid w:val="00A03521"/>
    <w:rsid w:val="00A0412C"/>
    <w:rsid w:val="00A05EAC"/>
    <w:rsid w:val="00A063CB"/>
    <w:rsid w:val="00A14CE7"/>
    <w:rsid w:val="00A150B6"/>
    <w:rsid w:val="00A1549E"/>
    <w:rsid w:val="00A1720C"/>
    <w:rsid w:val="00A21C60"/>
    <w:rsid w:val="00A22164"/>
    <w:rsid w:val="00A23736"/>
    <w:rsid w:val="00A23BB2"/>
    <w:rsid w:val="00A24AB1"/>
    <w:rsid w:val="00A25AAC"/>
    <w:rsid w:val="00A27C14"/>
    <w:rsid w:val="00A31736"/>
    <w:rsid w:val="00A33ABE"/>
    <w:rsid w:val="00A357FA"/>
    <w:rsid w:val="00A36725"/>
    <w:rsid w:val="00A373CF"/>
    <w:rsid w:val="00A37459"/>
    <w:rsid w:val="00A414C4"/>
    <w:rsid w:val="00A415D1"/>
    <w:rsid w:val="00A424DD"/>
    <w:rsid w:val="00A43C83"/>
    <w:rsid w:val="00A46283"/>
    <w:rsid w:val="00A4675D"/>
    <w:rsid w:val="00A512AE"/>
    <w:rsid w:val="00A53232"/>
    <w:rsid w:val="00A54148"/>
    <w:rsid w:val="00A54622"/>
    <w:rsid w:val="00A54EEE"/>
    <w:rsid w:val="00A55688"/>
    <w:rsid w:val="00A5642E"/>
    <w:rsid w:val="00A56CCB"/>
    <w:rsid w:val="00A61AAB"/>
    <w:rsid w:val="00A62CDD"/>
    <w:rsid w:val="00A63B9C"/>
    <w:rsid w:val="00A652F3"/>
    <w:rsid w:val="00A658DF"/>
    <w:rsid w:val="00A679DB"/>
    <w:rsid w:val="00A67BB1"/>
    <w:rsid w:val="00A67FA7"/>
    <w:rsid w:val="00A71570"/>
    <w:rsid w:val="00A721A3"/>
    <w:rsid w:val="00A74D79"/>
    <w:rsid w:val="00A7783A"/>
    <w:rsid w:val="00A778FC"/>
    <w:rsid w:val="00A77B85"/>
    <w:rsid w:val="00A77C59"/>
    <w:rsid w:val="00A815B5"/>
    <w:rsid w:val="00A837C9"/>
    <w:rsid w:val="00A840ED"/>
    <w:rsid w:val="00A85920"/>
    <w:rsid w:val="00A85B42"/>
    <w:rsid w:val="00A86899"/>
    <w:rsid w:val="00A91B4C"/>
    <w:rsid w:val="00A91EA5"/>
    <w:rsid w:val="00A92A8E"/>
    <w:rsid w:val="00A9445A"/>
    <w:rsid w:val="00A944B6"/>
    <w:rsid w:val="00A947B9"/>
    <w:rsid w:val="00A9583B"/>
    <w:rsid w:val="00A95A3A"/>
    <w:rsid w:val="00A96B70"/>
    <w:rsid w:val="00AA03F4"/>
    <w:rsid w:val="00AA213C"/>
    <w:rsid w:val="00AA294A"/>
    <w:rsid w:val="00AA33B4"/>
    <w:rsid w:val="00AA354D"/>
    <w:rsid w:val="00AA49AA"/>
    <w:rsid w:val="00AA4ABA"/>
    <w:rsid w:val="00AA76C8"/>
    <w:rsid w:val="00AB0F61"/>
    <w:rsid w:val="00AB1615"/>
    <w:rsid w:val="00AB391E"/>
    <w:rsid w:val="00AC102D"/>
    <w:rsid w:val="00AC2C23"/>
    <w:rsid w:val="00AC306D"/>
    <w:rsid w:val="00AC7B02"/>
    <w:rsid w:val="00AC7B21"/>
    <w:rsid w:val="00AD2814"/>
    <w:rsid w:val="00AD2E24"/>
    <w:rsid w:val="00AD5135"/>
    <w:rsid w:val="00AD5B5E"/>
    <w:rsid w:val="00AD686B"/>
    <w:rsid w:val="00AE4996"/>
    <w:rsid w:val="00AE4FDC"/>
    <w:rsid w:val="00AE52D6"/>
    <w:rsid w:val="00AF0E6D"/>
    <w:rsid w:val="00AF469E"/>
    <w:rsid w:val="00AF5168"/>
    <w:rsid w:val="00B0117E"/>
    <w:rsid w:val="00B01692"/>
    <w:rsid w:val="00B05EDC"/>
    <w:rsid w:val="00B10C43"/>
    <w:rsid w:val="00B1301F"/>
    <w:rsid w:val="00B14D8D"/>
    <w:rsid w:val="00B15DCB"/>
    <w:rsid w:val="00B15F6F"/>
    <w:rsid w:val="00B17CCD"/>
    <w:rsid w:val="00B201BF"/>
    <w:rsid w:val="00B20EAA"/>
    <w:rsid w:val="00B213F3"/>
    <w:rsid w:val="00B21678"/>
    <w:rsid w:val="00B23492"/>
    <w:rsid w:val="00B24569"/>
    <w:rsid w:val="00B25512"/>
    <w:rsid w:val="00B262EB"/>
    <w:rsid w:val="00B317AF"/>
    <w:rsid w:val="00B35B59"/>
    <w:rsid w:val="00B36A00"/>
    <w:rsid w:val="00B42E49"/>
    <w:rsid w:val="00B431AF"/>
    <w:rsid w:val="00B43218"/>
    <w:rsid w:val="00B43E1E"/>
    <w:rsid w:val="00B44333"/>
    <w:rsid w:val="00B44DF4"/>
    <w:rsid w:val="00B45C5E"/>
    <w:rsid w:val="00B50652"/>
    <w:rsid w:val="00B51A91"/>
    <w:rsid w:val="00B51CB7"/>
    <w:rsid w:val="00B51E4E"/>
    <w:rsid w:val="00B52DB9"/>
    <w:rsid w:val="00B52DD3"/>
    <w:rsid w:val="00B5332E"/>
    <w:rsid w:val="00B5518A"/>
    <w:rsid w:val="00B64A05"/>
    <w:rsid w:val="00B6562D"/>
    <w:rsid w:val="00B70AD3"/>
    <w:rsid w:val="00B711C8"/>
    <w:rsid w:val="00B725C0"/>
    <w:rsid w:val="00B73392"/>
    <w:rsid w:val="00B74751"/>
    <w:rsid w:val="00B761A2"/>
    <w:rsid w:val="00B8105F"/>
    <w:rsid w:val="00B83A2E"/>
    <w:rsid w:val="00B83DEE"/>
    <w:rsid w:val="00B83F4D"/>
    <w:rsid w:val="00B85B15"/>
    <w:rsid w:val="00B91C75"/>
    <w:rsid w:val="00B91E6A"/>
    <w:rsid w:val="00B942EA"/>
    <w:rsid w:val="00B96551"/>
    <w:rsid w:val="00B96BF1"/>
    <w:rsid w:val="00B970D1"/>
    <w:rsid w:val="00B97296"/>
    <w:rsid w:val="00BA06D8"/>
    <w:rsid w:val="00BA211C"/>
    <w:rsid w:val="00BA2589"/>
    <w:rsid w:val="00BB0724"/>
    <w:rsid w:val="00BB4780"/>
    <w:rsid w:val="00BB57DA"/>
    <w:rsid w:val="00BB61C3"/>
    <w:rsid w:val="00BB6C29"/>
    <w:rsid w:val="00BC0D45"/>
    <w:rsid w:val="00BC2E99"/>
    <w:rsid w:val="00BC76C5"/>
    <w:rsid w:val="00BD006D"/>
    <w:rsid w:val="00BD0996"/>
    <w:rsid w:val="00BD0CF9"/>
    <w:rsid w:val="00BD12B6"/>
    <w:rsid w:val="00BD1D88"/>
    <w:rsid w:val="00BD1DE6"/>
    <w:rsid w:val="00BD3607"/>
    <w:rsid w:val="00BD50C6"/>
    <w:rsid w:val="00BD6C4B"/>
    <w:rsid w:val="00BE14A6"/>
    <w:rsid w:val="00BE36D6"/>
    <w:rsid w:val="00BE4FDB"/>
    <w:rsid w:val="00BE6626"/>
    <w:rsid w:val="00BF0E77"/>
    <w:rsid w:val="00BF115C"/>
    <w:rsid w:val="00BF212C"/>
    <w:rsid w:val="00BF56B3"/>
    <w:rsid w:val="00BF7DB9"/>
    <w:rsid w:val="00C00E9B"/>
    <w:rsid w:val="00C013BD"/>
    <w:rsid w:val="00C032CA"/>
    <w:rsid w:val="00C0535E"/>
    <w:rsid w:val="00C063E6"/>
    <w:rsid w:val="00C1125E"/>
    <w:rsid w:val="00C11390"/>
    <w:rsid w:val="00C13610"/>
    <w:rsid w:val="00C148E9"/>
    <w:rsid w:val="00C158BF"/>
    <w:rsid w:val="00C23032"/>
    <w:rsid w:val="00C23208"/>
    <w:rsid w:val="00C23989"/>
    <w:rsid w:val="00C23D5C"/>
    <w:rsid w:val="00C261F0"/>
    <w:rsid w:val="00C26A5C"/>
    <w:rsid w:val="00C27BE6"/>
    <w:rsid w:val="00C31AEA"/>
    <w:rsid w:val="00C32042"/>
    <w:rsid w:val="00C32540"/>
    <w:rsid w:val="00C35BF8"/>
    <w:rsid w:val="00C35F77"/>
    <w:rsid w:val="00C36D68"/>
    <w:rsid w:val="00C37086"/>
    <w:rsid w:val="00C371A1"/>
    <w:rsid w:val="00C44072"/>
    <w:rsid w:val="00C46EB4"/>
    <w:rsid w:val="00C470AC"/>
    <w:rsid w:val="00C50691"/>
    <w:rsid w:val="00C5208D"/>
    <w:rsid w:val="00C524A9"/>
    <w:rsid w:val="00C566F7"/>
    <w:rsid w:val="00C5794D"/>
    <w:rsid w:val="00C60CAD"/>
    <w:rsid w:val="00C6106A"/>
    <w:rsid w:val="00C62A68"/>
    <w:rsid w:val="00C66652"/>
    <w:rsid w:val="00C66A48"/>
    <w:rsid w:val="00C66D86"/>
    <w:rsid w:val="00C67881"/>
    <w:rsid w:val="00C7111E"/>
    <w:rsid w:val="00C71B0E"/>
    <w:rsid w:val="00C74288"/>
    <w:rsid w:val="00C765AC"/>
    <w:rsid w:val="00C77D47"/>
    <w:rsid w:val="00C80CFD"/>
    <w:rsid w:val="00C816C9"/>
    <w:rsid w:val="00C83BD9"/>
    <w:rsid w:val="00C84670"/>
    <w:rsid w:val="00C8618C"/>
    <w:rsid w:val="00C8692D"/>
    <w:rsid w:val="00C87B43"/>
    <w:rsid w:val="00C90C55"/>
    <w:rsid w:val="00C90FC3"/>
    <w:rsid w:val="00C93E19"/>
    <w:rsid w:val="00C940A6"/>
    <w:rsid w:val="00C95AF6"/>
    <w:rsid w:val="00CA0733"/>
    <w:rsid w:val="00CA098C"/>
    <w:rsid w:val="00CA2C62"/>
    <w:rsid w:val="00CA63C5"/>
    <w:rsid w:val="00CA67F9"/>
    <w:rsid w:val="00CA6B51"/>
    <w:rsid w:val="00CA748F"/>
    <w:rsid w:val="00CA7E4C"/>
    <w:rsid w:val="00CB2E90"/>
    <w:rsid w:val="00CB32A4"/>
    <w:rsid w:val="00CB45CF"/>
    <w:rsid w:val="00CB6201"/>
    <w:rsid w:val="00CB68F2"/>
    <w:rsid w:val="00CC19F3"/>
    <w:rsid w:val="00CC50DE"/>
    <w:rsid w:val="00CC6434"/>
    <w:rsid w:val="00CC6E06"/>
    <w:rsid w:val="00CC77A6"/>
    <w:rsid w:val="00CD00F3"/>
    <w:rsid w:val="00CD0BAD"/>
    <w:rsid w:val="00CD186B"/>
    <w:rsid w:val="00CD61E9"/>
    <w:rsid w:val="00CE0D45"/>
    <w:rsid w:val="00CE139A"/>
    <w:rsid w:val="00CE22F7"/>
    <w:rsid w:val="00CE5698"/>
    <w:rsid w:val="00CE612D"/>
    <w:rsid w:val="00CE66AE"/>
    <w:rsid w:val="00CF3336"/>
    <w:rsid w:val="00CF449F"/>
    <w:rsid w:val="00CF44CF"/>
    <w:rsid w:val="00CF4866"/>
    <w:rsid w:val="00CF5A4E"/>
    <w:rsid w:val="00CF602E"/>
    <w:rsid w:val="00CF73D7"/>
    <w:rsid w:val="00CF7E1F"/>
    <w:rsid w:val="00D0026F"/>
    <w:rsid w:val="00D02343"/>
    <w:rsid w:val="00D04620"/>
    <w:rsid w:val="00D04938"/>
    <w:rsid w:val="00D04C07"/>
    <w:rsid w:val="00D06646"/>
    <w:rsid w:val="00D079AC"/>
    <w:rsid w:val="00D11526"/>
    <w:rsid w:val="00D14D80"/>
    <w:rsid w:val="00D17066"/>
    <w:rsid w:val="00D17531"/>
    <w:rsid w:val="00D21E6D"/>
    <w:rsid w:val="00D309D0"/>
    <w:rsid w:val="00D31215"/>
    <w:rsid w:val="00D32956"/>
    <w:rsid w:val="00D33EFA"/>
    <w:rsid w:val="00D33F67"/>
    <w:rsid w:val="00D34629"/>
    <w:rsid w:val="00D35C98"/>
    <w:rsid w:val="00D367EE"/>
    <w:rsid w:val="00D4091F"/>
    <w:rsid w:val="00D40B6A"/>
    <w:rsid w:val="00D42AF8"/>
    <w:rsid w:val="00D42FB2"/>
    <w:rsid w:val="00D43010"/>
    <w:rsid w:val="00D43352"/>
    <w:rsid w:val="00D44835"/>
    <w:rsid w:val="00D460C2"/>
    <w:rsid w:val="00D469C0"/>
    <w:rsid w:val="00D47EED"/>
    <w:rsid w:val="00D507B7"/>
    <w:rsid w:val="00D50CFA"/>
    <w:rsid w:val="00D50E50"/>
    <w:rsid w:val="00D5272A"/>
    <w:rsid w:val="00D529D3"/>
    <w:rsid w:val="00D531DC"/>
    <w:rsid w:val="00D53552"/>
    <w:rsid w:val="00D53B51"/>
    <w:rsid w:val="00D544C9"/>
    <w:rsid w:val="00D604E3"/>
    <w:rsid w:val="00D6227C"/>
    <w:rsid w:val="00D62D17"/>
    <w:rsid w:val="00D643C5"/>
    <w:rsid w:val="00D64602"/>
    <w:rsid w:val="00D65EC1"/>
    <w:rsid w:val="00D7291B"/>
    <w:rsid w:val="00D745FB"/>
    <w:rsid w:val="00D767B3"/>
    <w:rsid w:val="00D77094"/>
    <w:rsid w:val="00D800BB"/>
    <w:rsid w:val="00D80A08"/>
    <w:rsid w:val="00D80F99"/>
    <w:rsid w:val="00D845C4"/>
    <w:rsid w:val="00D855A8"/>
    <w:rsid w:val="00D86559"/>
    <w:rsid w:val="00D86E18"/>
    <w:rsid w:val="00D90B5F"/>
    <w:rsid w:val="00D95979"/>
    <w:rsid w:val="00D95EC0"/>
    <w:rsid w:val="00D96086"/>
    <w:rsid w:val="00DA0EF8"/>
    <w:rsid w:val="00DA2BDF"/>
    <w:rsid w:val="00DA35A1"/>
    <w:rsid w:val="00DA3E53"/>
    <w:rsid w:val="00DA576D"/>
    <w:rsid w:val="00DB34B9"/>
    <w:rsid w:val="00DB442E"/>
    <w:rsid w:val="00DB52AF"/>
    <w:rsid w:val="00DB5839"/>
    <w:rsid w:val="00DB6E50"/>
    <w:rsid w:val="00DB790A"/>
    <w:rsid w:val="00DC0252"/>
    <w:rsid w:val="00DC033B"/>
    <w:rsid w:val="00DC0EFD"/>
    <w:rsid w:val="00DC2E58"/>
    <w:rsid w:val="00DC4EC8"/>
    <w:rsid w:val="00DC7A8F"/>
    <w:rsid w:val="00DD01C5"/>
    <w:rsid w:val="00DD1572"/>
    <w:rsid w:val="00DD20BA"/>
    <w:rsid w:val="00DD4B3F"/>
    <w:rsid w:val="00DE0BA9"/>
    <w:rsid w:val="00DE1ACB"/>
    <w:rsid w:val="00DE4E68"/>
    <w:rsid w:val="00DE4EFB"/>
    <w:rsid w:val="00DF197A"/>
    <w:rsid w:val="00DF2410"/>
    <w:rsid w:val="00DF4BA0"/>
    <w:rsid w:val="00DF5D5B"/>
    <w:rsid w:val="00DF5DFF"/>
    <w:rsid w:val="00DF72E1"/>
    <w:rsid w:val="00DF748D"/>
    <w:rsid w:val="00E003F2"/>
    <w:rsid w:val="00E05274"/>
    <w:rsid w:val="00E056E8"/>
    <w:rsid w:val="00E06052"/>
    <w:rsid w:val="00E060C8"/>
    <w:rsid w:val="00E06ECA"/>
    <w:rsid w:val="00E14517"/>
    <w:rsid w:val="00E17611"/>
    <w:rsid w:val="00E22E0A"/>
    <w:rsid w:val="00E249CF"/>
    <w:rsid w:val="00E271A8"/>
    <w:rsid w:val="00E301D6"/>
    <w:rsid w:val="00E34574"/>
    <w:rsid w:val="00E408FE"/>
    <w:rsid w:val="00E419D7"/>
    <w:rsid w:val="00E41AF6"/>
    <w:rsid w:val="00E44CDA"/>
    <w:rsid w:val="00E44EFA"/>
    <w:rsid w:val="00E44F39"/>
    <w:rsid w:val="00E512FB"/>
    <w:rsid w:val="00E53457"/>
    <w:rsid w:val="00E54603"/>
    <w:rsid w:val="00E60E45"/>
    <w:rsid w:val="00E611A4"/>
    <w:rsid w:val="00E6127E"/>
    <w:rsid w:val="00E628CC"/>
    <w:rsid w:val="00E635E9"/>
    <w:rsid w:val="00E63D8B"/>
    <w:rsid w:val="00E6559D"/>
    <w:rsid w:val="00E66AD9"/>
    <w:rsid w:val="00E6746C"/>
    <w:rsid w:val="00E67CE3"/>
    <w:rsid w:val="00E729F1"/>
    <w:rsid w:val="00E72C03"/>
    <w:rsid w:val="00E74181"/>
    <w:rsid w:val="00E7659B"/>
    <w:rsid w:val="00E80C5E"/>
    <w:rsid w:val="00E812D5"/>
    <w:rsid w:val="00E82179"/>
    <w:rsid w:val="00E82C3B"/>
    <w:rsid w:val="00E82DE1"/>
    <w:rsid w:val="00E86095"/>
    <w:rsid w:val="00E86509"/>
    <w:rsid w:val="00E878BE"/>
    <w:rsid w:val="00E87A26"/>
    <w:rsid w:val="00E91564"/>
    <w:rsid w:val="00E91EBD"/>
    <w:rsid w:val="00E9205C"/>
    <w:rsid w:val="00E922F9"/>
    <w:rsid w:val="00E930FD"/>
    <w:rsid w:val="00E93210"/>
    <w:rsid w:val="00E93278"/>
    <w:rsid w:val="00E938FD"/>
    <w:rsid w:val="00E93DD3"/>
    <w:rsid w:val="00E93F67"/>
    <w:rsid w:val="00E9493C"/>
    <w:rsid w:val="00E94ACF"/>
    <w:rsid w:val="00E95687"/>
    <w:rsid w:val="00E963CF"/>
    <w:rsid w:val="00E97356"/>
    <w:rsid w:val="00EA064C"/>
    <w:rsid w:val="00EA09C2"/>
    <w:rsid w:val="00EA25E1"/>
    <w:rsid w:val="00EA2AB7"/>
    <w:rsid w:val="00EA45A9"/>
    <w:rsid w:val="00EA4B5E"/>
    <w:rsid w:val="00EA63A6"/>
    <w:rsid w:val="00EB062F"/>
    <w:rsid w:val="00EB313C"/>
    <w:rsid w:val="00EB375B"/>
    <w:rsid w:val="00EB43E1"/>
    <w:rsid w:val="00EB57E6"/>
    <w:rsid w:val="00EC0633"/>
    <w:rsid w:val="00EC1B5B"/>
    <w:rsid w:val="00EC1D1D"/>
    <w:rsid w:val="00EC2678"/>
    <w:rsid w:val="00EC5774"/>
    <w:rsid w:val="00EC6ACE"/>
    <w:rsid w:val="00EC71F4"/>
    <w:rsid w:val="00ED0325"/>
    <w:rsid w:val="00ED230B"/>
    <w:rsid w:val="00ED3348"/>
    <w:rsid w:val="00ED3EAA"/>
    <w:rsid w:val="00ED47F3"/>
    <w:rsid w:val="00ED4B6B"/>
    <w:rsid w:val="00ED60E1"/>
    <w:rsid w:val="00ED7E58"/>
    <w:rsid w:val="00EE0586"/>
    <w:rsid w:val="00EE2507"/>
    <w:rsid w:val="00EE44FC"/>
    <w:rsid w:val="00EE45AA"/>
    <w:rsid w:val="00EE495B"/>
    <w:rsid w:val="00EE4E2B"/>
    <w:rsid w:val="00EE5642"/>
    <w:rsid w:val="00EE6448"/>
    <w:rsid w:val="00EE681C"/>
    <w:rsid w:val="00EF0E79"/>
    <w:rsid w:val="00EF1B74"/>
    <w:rsid w:val="00EF1CEE"/>
    <w:rsid w:val="00EF59FA"/>
    <w:rsid w:val="00EF7121"/>
    <w:rsid w:val="00F00251"/>
    <w:rsid w:val="00F01033"/>
    <w:rsid w:val="00F01842"/>
    <w:rsid w:val="00F02C27"/>
    <w:rsid w:val="00F06114"/>
    <w:rsid w:val="00F06437"/>
    <w:rsid w:val="00F0665C"/>
    <w:rsid w:val="00F0680E"/>
    <w:rsid w:val="00F106EC"/>
    <w:rsid w:val="00F1150C"/>
    <w:rsid w:val="00F116BA"/>
    <w:rsid w:val="00F13495"/>
    <w:rsid w:val="00F13A1A"/>
    <w:rsid w:val="00F20DAE"/>
    <w:rsid w:val="00F2280C"/>
    <w:rsid w:val="00F231A5"/>
    <w:rsid w:val="00F23D60"/>
    <w:rsid w:val="00F25D4D"/>
    <w:rsid w:val="00F263D5"/>
    <w:rsid w:val="00F26C47"/>
    <w:rsid w:val="00F27EDD"/>
    <w:rsid w:val="00F313DF"/>
    <w:rsid w:val="00F31769"/>
    <w:rsid w:val="00F32036"/>
    <w:rsid w:val="00F3241F"/>
    <w:rsid w:val="00F33A5D"/>
    <w:rsid w:val="00F33A89"/>
    <w:rsid w:val="00F35859"/>
    <w:rsid w:val="00F35A42"/>
    <w:rsid w:val="00F37778"/>
    <w:rsid w:val="00F40FB8"/>
    <w:rsid w:val="00F45AFD"/>
    <w:rsid w:val="00F45BAD"/>
    <w:rsid w:val="00F46451"/>
    <w:rsid w:val="00F46775"/>
    <w:rsid w:val="00F4712B"/>
    <w:rsid w:val="00F477E1"/>
    <w:rsid w:val="00F50D04"/>
    <w:rsid w:val="00F536F4"/>
    <w:rsid w:val="00F62326"/>
    <w:rsid w:val="00F639BA"/>
    <w:rsid w:val="00F652E5"/>
    <w:rsid w:val="00F66CDD"/>
    <w:rsid w:val="00F71032"/>
    <w:rsid w:val="00F71AC7"/>
    <w:rsid w:val="00F743B2"/>
    <w:rsid w:val="00F75B7E"/>
    <w:rsid w:val="00F76DC8"/>
    <w:rsid w:val="00F77B76"/>
    <w:rsid w:val="00F77CAA"/>
    <w:rsid w:val="00F808D0"/>
    <w:rsid w:val="00F82BCE"/>
    <w:rsid w:val="00F8513D"/>
    <w:rsid w:val="00F855E6"/>
    <w:rsid w:val="00F87E28"/>
    <w:rsid w:val="00F9046A"/>
    <w:rsid w:val="00F9252B"/>
    <w:rsid w:val="00F94133"/>
    <w:rsid w:val="00F94643"/>
    <w:rsid w:val="00F9581D"/>
    <w:rsid w:val="00F962DF"/>
    <w:rsid w:val="00F96DD3"/>
    <w:rsid w:val="00F976CF"/>
    <w:rsid w:val="00FA0CEB"/>
    <w:rsid w:val="00FA0FDA"/>
    <w:rsid w:val="00FA12CE"/>
    <w:rsid w:val="00FA2F7A"/>
    <w:rsid w:val="00FA4DC4"/>
    <w:rsid w:val="00FA5646"/>
    <w:rsid w:val="00FB0FDF"/>
    <w:rsid w:val="00FB27BE"/>
    <w:rsid w:val="00FB2CD3"/>
    <w:rsid w:val="00FB3ADC"/>
    <w:rsid w:val="00FB765B"/>
    <w:rsid w:val="00FC2131"/>
    <w:rsid w:val="00FC3ED9"/>
    <w:rsid w:val="00FC5218"/>
    <w:rsid w:val="00FC5E7F"/>
    <w:rsid w:val="00FC60EA"/>
    <w:rsid w:val="00FC6E8F"/>
    <w:rsid w:val="00FC772D"/>
    <w:rsid w:val="00FD080C"/>
    <w:rsid w:val="00FD4783"/>
    <w:rsid w:val="00FD5385"/>
    <w:rsid w:val="00FD5F3D"/>
    <w:rsid w:val="00FE12F6"/>
    <w:rsid w:val="00FE142E"/>
    <w:rsid w:val="00FE3EF7"/>
    <w:rsid w:val="00FE72FB"/>
    <w:rsid w:val="00FE732A"/>
    <w:rsid w:val="00FE79EA"/>
    <w:rsid w:val="00FF07D6"/>
    <w:rsid w:val="00FF2B68"/>
    <w:rsid w:val="00FF5975"/>
    <w:rsid w:val="00FF73BC"/>
    <w:rsid w:val="00FF75C3"/>
    <w:rsid w:val="00FF784F"/>
    <w:rsid w:val="21C17280"/>
    <w:rsid w:val="2D9DA515"/>
    <w:rsid w:val="3EB6CDB3"/>
    <w:rsid w:val="5223FEBC"/>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CB56D"/>
  <w15:chartTrackingRefBased/>
  <w15:docId w15:val="{917138B5-BF4A-4BC7-81F1-C9C2BD372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5223FEBC"/>
    <w:rPr>
      <w:noProof w:val="0"/>
      <w:lang w:val="en-GB"/>
    </w:rPr>
  </w:style>
  <w:style w:type="paragraph" w:styleId="Heading1">
    <w:uiPriority w:val="9"/>
    <w:name w:val="heading 1"/>
    <w:basedOn w:val="Normal"/>
    <w:next w:val="Normal"/>
    <w:link w:val="Heading1Char"/>
    <w:qFormat/>
    <w:rsid w:val="5223FEBC"/>
    <w:rPr>
      <w:rFonts w:ascii="Times New Roman" w:hAnsi="Times New Roman" w:eastAsia="" w:cs="Times New Roman" w:eastAsiaTheme="minorEastAsia"/>
      <w:sz w:val="24"/>
      <w:szCs w:val="24"/>
      <w:lang w:val="en-US"/>
    </w:rPr>
    <w:pPr>
      <w:spacing w:after="0"/>
      <w:jc w:val="center"/>
      <w:outlineLvl w:val="0"/>
    </w:pPr>
  </w:style>
  <w:style w:type="paragraph" w:styleId="Heading2">
    <w:uiPriority w:val="9"/>
    <w:name w:val="heading 2"/>
    <w:basedOn w:val="Normal"/>
    <w:next w:val="Normal"/>
    <w:unhideWhenUsed/>
    <w:link w:val="Heading2Char"/>
    <w:qFormat/>
    <w:rsid w:val="5223FEBC"/>
    <w:rPr>
      <w:rFonts w:ascii="Times New Roman" w:hAnsi="Times New Roman" w:eastAsia="" w:cs="Times New Roman" w:eastAsiaTheme="minorEastAsia"/>
      <w:i w:val="1"/>
      <w:iCs w:val="1"/>
      <w:sz w:val="24"/>
      <w:szCs w:val="24"/>
      <w:lang w:val="en-US"/>
    </w:rPr>
    <w:pPr>
      <w:spacing w:after="0"/>
      <w:outlineLvl w:val="1"/>
    </w:pPr>
  </w:style>
  <w:style w:type="paragraph" w:styleId="Heading3">
    <w:uiPriority w:val="9"/>
    <w:name w:val="heading 3"/>
    <w:basedOn w:val="Normal"/>
    <w:next w:val="Normal"/>
    <w:unhideWhenUsed/>
    <w:link w:val="Heading3Char"/>
    <w:qFormat/>
    <w:rsid w:val="5223FEBC"/>
    <w:rPr>
      <w:rFonts w:ascii="Calibri Light" w:hAnsi="Calibri Light" w:eastAsia="" w:cs="Mangal"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223FEBC"/>
    <w:rPr>
      <w:rFonts w:ascii="Calibri Light" w:hAnsi="Calibri Light" w:eastAsia="" w:cs="Mangal"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223FEBC"/>
    <w:rPr>
      <w:rFonts w:ascii="Calibri Light" w:hAnsi="Calibri Light" w:eastAsia="" w:cs="Mangal"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223FEBC"/>
    <w:rPr>
      <w:rFonts w:ascii="Calibri Light" w:hAnsi="Calibri Light" w:eastAsia="" w:cs="Mangal"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223FEBC"/>
    <w:rPr>
      <w:rFonts w:ascii="Calibri Light" w:hAnsi="Calibri Light" w:eastAsia="" w:cs="Mangal"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223FEBC"/>
    <w:rPr>
      <w:rFonts w:ascii="Calibri Light" w:hAnsi="Calibri Light" w:eastAsia="" w:cs="Mangal"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223FEBC"/>
    <w:rPr>
      <w:rFonts w:ascii="Calibri Light" w:hAnsi="Calibri Light" w:eastAsia="" w:cs="Mangal" w:asciiTheme="majorAscii" w:hAnsiTheme="majorAscii" w:eastAsiaTheme="majorEastAsia" w:cstheme="majorBidi"/>
      <w:i w:val="1"/>
      <w:iCs w:val="1"/>
      <w:color w:val="272727"/>
      <w:sz w:val="21"/>
      <w:szCs w:val="21"/>
    </w:rPr>
    <w:pPr>
      <w:keepNext w:val="1"/>
      <w:keepLines w:val="1"/>
      <w:spacing w:before="40"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link w:val="HeaderChar"/>
    <w:rsid w:val="5223FEBC"/>
    <w:pPr>
      <w:tabs>
        <w:tab w:val="center" w:leader="none" w:pos="4680"/>
        <w:tab w:val="right" w:leader="none" w:pos="9360"/>
      </w:tabs>
      <w:spacing w:after="0"/>
    </w:pPr>
  </w:style>
  <w:style w:type="character" w:styleId="HeaderChar" w:customStyle="1">
    <w:name w:val="Header Char"/>
    <w:basedOn w:val="DefaultParagraphFont"/>
    <w:link w:val="Header"/>
    <w:uiPriority w:val="99"/>
    <w:rsid w:val="3EB6CDB3"/>
    <w:rPr>
      <w:noProof w:val="0"/>
      <w:lang w:val="en-GB"/>
    </w:rPr>
  </w:style>
  <w:style w:type="paragraph" w:styleId="Footer">
    <w:uiPriority w:val="99"/>
    <w:name w:val="footer"/>
    <w:basedOn w:val="Normal"/>
    <w:unhideWhenUsed/>
    <w:link w:val="FooterChar"/>
    <w:rsid w:val="5223FEBC"/>
    <w:pPr>
      <w:tabs>
        <w:tab w:val="center" w:leader="none" w:pos="4680"/>
        <w:tab w:val="right" w:leader="none" w:pos="9360"/>
      </w:tabs>
      <w:spacing w:after="0"/>
    </w:pPr>
  </w:style>
  <w:style w:type="character" w:styleId="FooterChar" w:customStyle="1">
    <w:name w:val="Footer Char"/>
    <w:basedOn w:val="DefaultParagraphFont"/>
    <w:link w:val="Footer"/>
    <w:uiPriority w:val="99"/>
    <w:rsid w:val="3EB6CDB3"/>
    <w:rPr>
      <w:noProof w:val="0"/>
      <w:lang w:val="en-GB"/>
    </w:rPr>
  </w:style>
  <w:style w:type="character" w:styleId="Hyperlink">
    <w:name w:val="Hyperlink"/>
    <w:basedOn w:val="DefaultParagraphFont"/>
    <w:uiPriority w:val="99"/>
    <w:unhideWhenUsed/>
    <w:rsid w:val="0097119E"/>
    <w:rPr>
      <w:color w:val="0563C1" w:themeColor="hyperlink"/>
      <w:u w:val="single"/>
    </w:rPr>
  </w:style>
  <w:style w:type="character" w:styleId="UnresolvedMention">
    <w:name w:val="Unresolved Mention"/>
    <w:basedOn w:val="DefaultParagraphFont"/>
    <w:uiPriority w:val="99"/>
    <w:semiHidden/>
    <w:unhideWhenUsed/>
    <w:rsid w:val="0097119E"/>
    <w:rPr>
      <w:color w:val="605E5C"/>
      <w:shd w:val="clear" w:color="auto" w:fill="E1DFDD"/>
    </w:rPr>
  </w:style>
  <w:style w:type="character" w:styleId="Heading1Char" w:customStyle="1">
    <w:name w:val="Heading 1 Char"/>
    <w:basedOn w:val="DefaultParagraphFont"/>
    <w:link w:val="Heading1"/>
    <w:uiPriority w:val="9"/>
    <w:rsid w:val="3EB6CDB3"/>
    <w:rPr>
      <w:rFonts w:ascii="Times New Roman" w:hAnsi="Times New Roman" w:cs="Times New Roman" w:eastAsiaTheme="minorEastAsia"/>
      <w:noProof w:val="0"/>
      <w:sz w:val="24"/>
      <w:szCs w:val="24"/>
      <w:lang w:val="en-US"/>
    </w:rPr>
  </w:style>
  <w:style w:type="character" w:styleId="Heading2Char" w:customStyle="1">
    <w:name w:val="Heading 2 Char"/>
    <w:basedOn w:val="DefaultParagraphFont"/>
    <w:link w:val="Heading2"/>
    <w:uiPriority w:val="9"/>
    <w:rsid w:val="3EB6CDB3"/>
    <w:rPr>
      <w:rFonts w:ascii="Times New Roman" w:hAnsi="Times New Roman" w:cs="Times New Roman" w:eastAsiaTheme="minorEastAsia"/>
      <w:i/>
      <w:iCs/>
      <w:noProof w:val="0"/>
      <w:sz w:val="24"/>
      <w:szCs w:val="24"/>
      <w:lang w:val="en-US"/>
    </w:rPr>
  </w:style>
  <w:style w:type="paragraph" w:styleId="ListParagraph">
    <w:uiPriority w:val="34"/>
    <w:name w:val="List Paragraph"/>
    <w:basedOn w:val="Normal"/>
    <w:qFormat/>
    <w:rsid w:val="5223FEBC"/>
    <w:pPr>
      <w:spacing/>
      <w:ind w:left="720"/>
      <w:contextualSpacing/>
    </w:pPr>
  </w:style>
  <w:style w:type="paragraph" w:styleId="TOCHeading">
    <w:uiPriority w:val="39"/>
    <w:name w:val="TOC Heading"/>
    <w:basedOn w:val="Heading1"/>
    <w:next w:val="Normal"/>
    <w:unhideWhenUsed/>
    <w:qFormat/>
    <w:rsid w:val="5223FEBC"/>
    <w:rPr>
      <w:rFonts w:ascii="Calibri Light" w:hAnsi="Calibri Light" w:cs="Mangal" w:asciiTheme="majorAscii" w:hAnsiTheme="majorAscii" w:eastAsiaTheme="majorEastAsia" w:cstheme="majorBidi"/>
      <w:color w:val="2F5496" w:themeColor="accent1" w:themeTint="FF" w:themeShade="BF"/>
      <w:sz w:val="32"/>
      <w:szCs w:val="32"/>
    </w:rPr>
    <w:pPr>
      <w:keepNext w:val="1"/>
      <w:keepLines w:val="1"/>
      <w:spacing w:before="240"/>
      <w:jc w:val="left"/>
    </w:pPr>
  </w:style>
  <w:style w:type="paragraph" w:styleId="TOC1">
    <w:uiPriority w:val="39"/>
    <w:name w:val="toc 1"/>
    <w:basedOn w:val="Normal"/>
    <w:next w:val="Normal"/>
    <w:unhideWhenUsed/>
    <w:rsid w:val="5223FEBC"/>
    <w:pPr>
      <w:spacing w:after="100"/>
    </w:pPr>
  </w:style>
  <w:style w:type="paragraph" w:styleId="TOC2">
    <w:uiPriority w:val="39"/>
    <w:name w:val="toc 2"/>
    <w:basedOn w:val="Normal"/>
    <w:next w:val="Normal"/>
    <w:unhideWhenUsed/>
    <w:rsid w:val="5223FEBC"/>
    <w:pPr>
      <w:spacing w:after="100"/>
      <w:ind w:left="220"/>
    </w:pPr>
  </w:style>
  <w:style w:type="paragraph" w:styleId="Title">
    <w:uiPriority w:val="10"/>
    <w:name w:val="Title"/>
    <w:basedOn w:val="Normal"/>
    <w:next w:val="Normal"/>
    <w:link w:val="TitleChar"/>
    <w:qFormat/>
    <w:rsid w:val="5223FEBC"/>
    <w:rPr>
      <w:rFonts w:ascii="Calibri Light" w:hAnsi="Calibri Light" w:eastAsia="" w:cs="Mangal"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223FEBC"/>
    <w:rPr>
      <w:rFonts w:ascii="Calibri" w:hAnsi="Calibri" w:eastAsia="" w:cs="Mangal" w:asciiTheme="minorAscii" w:hAnsiTheme="minorAscii" w:eastAsiaTheme="minorEastAsia" w:cstheme="minorBidi"/>
      <w:color w:val="5A5A5A"/>
    </w:rPr>
  </w:style>
  <w:style w:type="paragraph" w:styleId="Quote">
    <w:uiPriority w:val="29"/>
    <w:name w:val="Quote"/>
    <w:basedOn w:val="Normal"/>
    <w:next w:val="Normal"/>
    <w:link w:val="QuoteChar"/>
    <w:qFormat/>
    <w:rsid w:val="5223FEB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223FEBC"/>
    <w:rPr>
      <w:i w:val="1"/>
      <w:iCs w:val="1"/>
      <w:color w:val="4472C4" w:themeColor="accent1" w:themeTint="FF" w:themeShade="FF"/>
    </w:rPr>
    <w:pPr>
      <w:spacing w:before="360" w:after="360"/>
      <w:ind w:left="864" w:right="864"/>
      <w:jc w:val="center"/>
    </w:pPr>
  </w:style>
  <w:style w:type="character" w:styleId="Heading3Char" w:customStyle="1">
    <w:name w:val="Heading 3 Char"/>
    <w:basedOn w:val="DefaultParagraphFont"/>
    <w:link w:val="Heading3"/>
    <w:uiPriority w:val="9"/>
    <w:rsid w:val="3EB6CDB3"/>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3EB6CDB3"/>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3EB6CDB3"/>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3EB6CDB3"/>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3EB6CDB3"/>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3EB6CDB3"/>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3EB6CDB3"/>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3EB6CDB3"/>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2D9DA515"/>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3EB6CDB3"/>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3EB6CDB3"/>
    <w:rPr>
      <w:i/>
      <w:iCs/>
      <w:noProof w:val="0"/>
      <w:color w:val="4472C4" w:themeColor="accent1"/>
      <w:lang w:val="en-GB"/>
    </w:rPr>
  </w:style>
  <w:style w:type="paragraph" w:styleId="TOC3">
    <w:uiPriority w:val="39"/>
    <w:name w:val="toc 3"/>
    <w:basedOn w:val="Normal"/>
    <w:next w:val="Normal"/>
    <w:unhideWhenUsed/>
    <w:rsid w:val="5223FEBC"/>
    <w:pPr>
      <w:spacing w:after="100"/>
      <w:ind w:left="440"/>
    </w:pPr>
  </w:style>
  <w:style w:type="paragraph" w:styleId="TOC4">
    <w:uiPriority w:val="39"/>
    <w:name w:val="toc 4"/>
    <w:basedOn w:val="Normal"/>
    <w:next w:val="Normal"/>
    <w:unhideWhenUsed/>
    <w:rsid w:val="5223FEBC"/>
    <w:pPr>
      <w:spacing w:after="100"/>
      <w:ind w:left="660"/>
    </w:pPr>
  </w:style>
  <w:style w:type="paragraph" w:styleId="TOC5">
    <w:uiPriority w:val="39"/>
    <w:name w:val="toc 5"/>
    <w:basedOn w:val="Normal"/>
    <w:next w:val="Normal"/>
    <w:unhideWhenUsed/>
    <w:rsid w:val="5223FEBC"/>
    <w:pPr>
      <w:spacing w:after="100"/>
      <w:ind w:left="880"/>
    </w:pPr>
  </w:style>
  <w:style w:type="paragraph" w:styleId="TOC6">
    <w:uiPriority w:val="39"/>
    <w:name w:val="toc 6"/>
    <w:basedOn w:val="Normal"/>
    <w:next w:val="Normal"/>
    <w:unhideWhenUsed/>
    <w:rsid w:val="5223FEBC"/>
    <w:pPr>
      <w:spacing w:after="100"/>
      <w:ind w:left="1100"/>
    </w:pPr>
  </w:style>
  <w:style w:type="paragraph" w:styleId="TOC7">
    <w:uiPriority w:val="39"/>
    <w:name w:val="toc 7"/>
    <w:basedOn w:val="Normal"/>
    <w:next w:val="Normal"/>
    <w:unhideWhenUsed/>
    <w:rsid w:val="5223FEBC"/>
    <w:pPr>
      <w:spacing w:after="100"/>
      <w:ind w:left="1320"/>
    </w:pPr>
  </w:style>
  <w:style w:type="paragraph" w:styleId="TOC8">
    <w:uiPriority w:val="39"/>
    <w:name w:val="toc 8"/>
    <w:basedOn w:val="Normal"/>
    <w:next w:val="Normal"/>
    <w:unhideWhenUsed/>
    <w:rsid w:val="5223FEBC"/>
    <w:pPr>
      <w:spacing w:after="100"/>
      <w:ind w:left="1540"/>
    </w:pPr>
  </w:style>
  <w:style w:type="paragraph" w:styleId="TOC9">
    <w:uiPriority w:val="39"/>
    <w:name w:val="toc 9"/>
    <w:basedOn w:val="Normal"/>
    <w:next w:val="Normal"/>
    <w:unhideWhenUsed/>
    <w:rsid w:val="5223FEBC"/>
    <w:pPr>
      <w:spacing w:after="100"/>
      <w:ind w:left="1760"/>
    </w:pPr>
  </w:style>
  <w:style w:type="paragraph" w:styleId="EndnoteText">
    <w:uiPriority w:val="99"/>
    <w:name w:val="endnote text"/>
    <w:basedOn w:val="Normal"/>
    <w:semiHidden/>
    <w:unhideWhenUsed/>
    <w:link w:val="EndnoteTextChar"/>
    <w:rsid w:val="5223FEBC"/>
    <w:rPr>
      <w:sz w:val="20"/>
      <w:szCs w:val="20"/>
    </w:rPr>
    <w:pPr>
      <w:spacing w:after="0"/>
    </w:pPr>
  </w:style>
  <w:style w:type="character" w:styleId="EndnoteTextChar" w:customStyle="1">
    <w:name w:val="Endnote Text Char"/>
    <w:basedOn w:val="DefaultParagraphFont"/>
    <w:link w:val="EndnoteText"/>
    <w:uiPriority w:val="99"/>
    <w:semiHidden/>
    <w:rsid w:val="3EB6CDB3"/>
    <w:rPr>
      <w:noProof w:val="0"/>
      <w:sz w:val="20"/>
      <w:szCs w:val="20"/>
      <w:lang w:val="en-GB"/>
    </w:rPr>
  </w:style>
  <w:style w:type="paragraph" w:styleId="FootnoteText">
    <w:uiPriority w:val="99"/>
    <w:name w:val="footnote text"/>
    <w:basedOn w:val="Normal"/>
    <w:semiHidden/>
    <w:unhideWhenUsed/>
    <w:link w:val="FootnoteTextChar"/>
    <w:rsid w:val="5223FEBC"/>
    <w:rPr>
      <w:sz w:val="20"/>
      <w:szCs w:val="20"/>
    </w:rPr>
    <w:pPr>
      <w:spacing w:after="0"/>
    </w:pPr>
  </w:style>
  <w:style w:type="character" w:styleId="FootnoteTextChar" w:customStyle="1">
    <w:name w:val="Footnote Text Char"/>
    <w:basedOn w:val="DefaultParagraphFont"/>
    <w:link w:val="FootnoteText"/>
    <w:uiPriority w:val="99"/>
    <w:semiHidden/>
    <w:rsid w:val="3EB6CDB3"/>
    <w:rPr>
      <w:noProof w:val="0"/>
      <w:sz w:val="20"/>
      <w:szCs w:val="20"/>
      <w:lang w:val="en-GB"/>
    </w:rPr>
  </w:style>
  <w:style w:type="character" w:styleId="sw" w:customStyle="1">
    <w:name w:val="sw"/>
    <w:basedOn w:val="DefaultParagraphFont"/>
    <w:rsid w:val="009020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1547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header" Target="header1.xml" Id="rId14" /><Relationship Type="http://schemas.openxmlformats.org/officeDocument/2006/relationships/hyperlink" Target="https://www.gov.uk/government/publications/violence-against-women-and-girls-national-statement-of-expectations-and-commissioning-toolkit/violence-against-women-and-girls-national-statement-of-expectations-accessible" TargetMode="External" Id="R2e660a40375e46c1" /><Relationship Type="http://schemas.openxmlformats.org/officeDocument/2006/relationships/hyperlink" Target="https://www.gov.uk/national-minimum-wage-rates" TargetMode="External" Id="Rb40ba57313d949f4" /><Relationship Type="http://schemas.openxmlformats.org/officeDocument/2006/relationships/hyperlink" Target="https://www.gov.uk/government/publications/gender-pay-gap-reporting-guidance-for-employers" TargetMode="External" Id="R7a17a63f7fbc459f" /><Relationship Type="http://schemas.openxmlformats.org/officeDocument/2006/relationships/hyperlink" Target="https://www.gov.uk/universal-credit" TargetMode="External" Id="R99e87b916a0b41ab" /><Relationship Type="http://schemas.openxmlformats.org/officeDocument/2006/relationships/hyperlink" Target="https://sdgs.un.org/goals" TargetMode="External" Id="R93d893f4886e4f6c" /><Relationship Type="http://schemas.openxmlformats.org/officeDocument/2006/relationships/hyperlink" Target="https://www.undp.org/sustainable-development-goals" TargetMode="External" Id="R85e00aa3edb54637" /><Relationship Type="http://schemas.openxmlformats.org/officeDocument/2006/relationships/hyperlink" Target="https://www.who.int/europe/about-us/our-work/sustainable-development-goals" TargetMode="External" Id="R23d903c2852e49c1" /><Relationship Type="http://schemas.openxmlformats.org/officeDocument/2006/relationships/glossaryDocument" Target="glossary/document.xml" Id="Re2d208514fba475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cd3e2e3-7f48-49f3-952b-d557b6c003a1}"/>
      </w:docPartPr>
      <w:docPartBody>
        <w:p w14:paraId="5BA19BF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5BEE5-EAA0-4468-B2A6-8403E190A39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Ricky Paul</lastModifiedBy>
  <revision>3</revision>
  <dcterms:created xsi:type="dcterms:W3CDTF">2023-12-01T13:09:00.0000000Z</dcterms:created>
  <dcterms:modified xsi:type="dcterms:W3CDTF">2023-12-01T13:36:45.0976143Z</dcterms:modified>
  <category/>
  <contentStatus/>
  <dc:language/>
  <ver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documentId_9291</vt:lpwstr>
  </property>
  <property fmtid="{D5CDD505-2E9C-101B-9397-08002B2CF9AE}" pid="3" name="grammarly_documentContext">
    <vt:lpwstr>{"goals":[],"domain":"general","emotions":[],"dialect":"british"}</vt:lpwstr>
  </property>
</Properties>
</file>