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072D" w:rsidRDefault="00C60017">
      <w:r>
        <w:t xml:space="preserve">Sara Thomas </w:t>
      </w:r>
      <w:r w:rsidR="00ED6FAD">
        <w:t>1252</w:t>
      </w:r>
      <w:r>
        <w:t xml:space="preserve">365 </w:t>
      </w:r>
    </w:p>
    <w:p w:rsidR="00C60017" w:rsidRDefault="00C60017"/>
    <w:p w:rsidR="00C60017" w:rsidRDefault="00C60017">
      <w:r>
        <w:t>EdD Year 2 – Education for Creativity and Innovation</w:t>
      </w:r>
    </w:p>
    <w:p w:rsidR="00C60017" w:rsidRDefault="00C60017"/>
    <w:p w:rsidR="00C60017" w:rsidRPr="00C60017" w:rsidRDefault="00C60017">
      <w:pPr>
        <w:rPr>
          <w:u w:val="single"/>
        </w:rPr>
      </w:pPr>
      <w:r w:rsidRPr="00C60017">
        <w:rPr>
          <w:u w:val="single"/>
        </w:rPr>
        <w:t xml:space="preserve">Assessment Component 1 </w:t>
      </w:r>
    </w:p>
    <w:p w:rsidR="00C60017" w:rsidRDefault="00C60017"/>
    <w:p w:rsidR="00C60017" w:rsidRDefault="00C60017">
      <w:pPr>
        <w:rPr>
          <w:i/>
        </w:rPr>
      </w:pPr>
      <w:r>
        <w:rPr>
          <w:i/>
        </w:rPr>
        <w:t xml:space="preserve">Recent research in cognitive neurology suggests that the learning brain state is dependent on the situational/emotional context of the learner. Critically consider how these understandings could impact on your approach to preparing or managing a learning situation and justify the practical measures you would wish to implement/see implemented. </w:t>
      </w:r>
    </w:p>
    <w:p w:rsidR="00C60017" w:rsidRDefault="00C60017"/>
    <w:p w:rsidR="00C60017" w:rsidRDefault="00C60017"/>
    <w:p w:rsidR="00C60017" w:rsidRDefault="00C60017"/>
    <w:p w:rsidR="00C60017" w:rsidRDefault="00C60017"/>
    <w:p w:rsidR="00C60017" w:rsidRDefault="00C60017"/>
    <w:p w:rsidR="00C60017" w:rsidRDefault="00C60017"/>
    <w:p w:rsidR="00C60017" w:rsidRDefault="00C60017"/>
    <w:p w:rsidR="000321E0" w:rsidRPr="000321E0" w:rsidRDefault="000321E0" w:rsidP="000321E0">
      <w:pPr>
        <w:rPr>
          <w:rFonts w:ascii="Times New Roman" w:eastAsia="Times New Roman" w:hAnsi="Times New Roman" w:cs="Times New Roman"/>
        </w:rPr>
      </w:pPr>
      <w:r w:rsidRPr="000321E0">
        <w:rPr>
          <w:rFonts w:ascii="Times New Roman" w:eastAsia="Times New Roman" w:hAnsi="Times New Roman" w:cs="Times New Roman"/>
        </w:rPr>
        <w:fldChar w:fldCharType="begin"/>
      </w:r>
      <w:r w:rsidRPr="000321E0">
        <w:rPr>
          <w:rFonts w:ascii="Times New Roman" w:eastAsia="Times New Roman" w:hAnsi="Times New Roman" w:cs="Times New Roman"/>
        </w:rPr>
        <w:instrText xml:space="preserve"> INCLUDEPICTURE "/var/folders/mv/tx_d283d2bsdfsrb_j1vts680000gn/T/com.microsoft.Word/WebArchiveCopyPasteTempFiles/bloom-meets-brain-300x187.png" \* MERGEFORMATINET </w:instrText>
      </w:r>
      <w:r w:rsidRPr="000321E0">
        <w:rPr>
          <w:rFonts w:ascii="Times New Roman" w:eastAsia="Times New Roman" w:hAnsi="Times New Roman" w:cs="Times New Roman"/>
        </w:rPr>
        <w:fldChar w:fldCharType="separate"/>
      </w:r>
      <w:r w:rsidRPr="000321E0">
        <w:rPr>
          <w:rFonts w:ascii="Times New Roman" w:eastAsia="Times New Roman" w:hAnsi="Times New Roman" w:cs="Times New Roman"/>
          <w:noProof/>
        </w:rPr>
        <w:drawing>
          <wp:inline distT="0" distB="0" distL="0" distR="0" wp14:anchorId="28E5CBD4" wp14:editId="12C944D5">
            <wp:extent cx="5562193" cy="3467100"/>
            <wp:effectExtent l="0" t="0" r="635" b="0"/>
            <wp:docPr id="1" name="Picture 1" descr="Diagram roughly mapping the verbs of Bloom's Taxonomy in the Cognitive Domain onto regions of the human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roughly mapping the verbs of Bloom's Taxonomy in the Cognitive Domain onto regions of the human bra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78764" cy="3477429"/>
                    </a:xfrm>
                    <a:prstGeom prst="rect">
                      <a:avLst/>
                    </a:prstGeom>
                    <a:noFill/>
                    <a:ln>
                      <a:noFill/>
                    </a:ln>
                  </pic:spPr>
                </pic:pic>
              </a:graphicData>
            </a:graphic>
          </wp:inline>
        </w:drawing>
      </w:r>
      <w:r w:rsidRPr="000321E0">
        <w:rPr>
          <w:rFonts w:ascii="Times New Roman" w:eastAsia="Times New Roman" w:hAnsi="Times New Roman" w:cs="Times New Roman"/>
        </w:rPr>
        <w:fldChar w:fldCharType="end"/>
      </w:r>
    </w:p>
    <w:p w:rsidR="00C60017" w:rsidRDefault="00C60017"/>
    <w:p w:rsidR="00C21040" w:rsidRDefault="00C21040"/>
    <w:p w:rsidR="00C21040" w:rsidRDefault="00C21040"/>
    <w:p w:rsidR="00C21040" w:rsidRDefault="00C21040"/>
    <w:p w:rsidR="00C21040" w:rsidRDefault="00C21040"/>
    <w:p w:rsidR="00C21040" w:rsidRDefault="00C21040"/>
    <w:p w:rsidR="00C21040" w:rsidRDefault="00C21040"/>
    <w:p w:rsidR="00C21040" w:rsidRDefault="00C21040"/>
    <w:p w:rsidR="00C21040" w:rsidRDefault="00C21040"/>
    <w:p w:rsidR="00C21040" w:rsidRDefault="00C21040"/>
    <w:p w:rsidR="00C21040" w:rsidRDefault="00C21040"/>
    <w:p w:rsidR="00C21040" w:rsidRDefault="00C21040"/>
    <w:p w:rsidR="00C21040" w:rsidRDefault="00C21040">
      <w:r>
        <w:lastRenderedPageBreak/>
        <w:t xml:space="preserve">In order to directly respond to all of the points set out in this assignment title, the decision has been made to answer in three sections, beginning with the first: </w:t>
      </w:r>
    </w:p>
    <w:p w:rsidR="00C21040" w:rsidRDefault="00C21040"/>
    <w:p w:rsidR="00C21040" w:rsidRDefault="00C21040" w:rsidP="00C21040">
      <w:pPr>
        <w:pStyle w:val="ListParagraph"/>
        <w:numPr>
          <w:ilvl w:val="0"/>
          <w:numId w:val="1"/>
        </w:numPr>
        <w:rPr>
          <w:b/>
        </w:rPr>
      </w:pPr>
      <w:r w:rsidRPr="00C21040">
        <w:rPr>
          <w:b/>
        </w:rPr>
        <w:t xml:space="preserve">What does recent research in cognitive neurology tell us about the learning brain state and how it is dependent on the situational/emotional context of the learner? </w:t>
      </w:r>
    </w:p>
    <w:p w:rsidR="00C21040" w:rsidRPr="00C21040" w:rsidRDefault="00C21040" w:rsidP="00C21040"/>
    <w:p w:rsidR="00C21040" w:rsidRDefault="00C21040" w:rsidP="00C21040">
      <w:r>
        <w:t>There is a wide range of conflicting research regarding the knowledge available about the human brain and whether the research findings surrounding cognitive neurology are advanced enough</w:t>
      </w:r>
      <w:r w:rsidR="00BB1381">
        <w:t xml:space="preserve"> for us to take anything </w:t>
      </w:r>
      <w:r>
        <w:t>worthwhile from it in order to positively influence ed</w:t>
      </w:r>
      <w:r w:rsidR="00BB1381">
        <w:t xml:space="preserve">ucation and individual learning. However, science and in particular neuroscience, is advancing at a fast pace and it is definitely worth considering what we now know and how these findings could affect the decisions made by educators. </w:t>
      </w:r>
    </w:p>
    <w:p w:rsidR="00BB1381" w:rsidRDefault="00BB1381" w:rsidP="00C21040"/>
    <w:p w:rsidR="001558A6" w:rsidRDefault="00BB1381" w:rsidP="00C21040">
      <w:r>
        <w:t xml:space="preserve">On a most basic level we know that the brain has two sides, the right and the left. The right side is home to emotions, intuition, creativity, art and music. Whereas the left side is connected with logic, language, reasoning, analysis and maths. </w:t>
      </w:r>
      <w:r w:rsidR="005453C6">
        <w:t xml:space="preserve">According to </w:t>
      </w:r>
      <w:r w:rsidR="00C76B2C">
        <w:t>Kouni</w:t>
      </w:r>
      <w:r w:rsidR="006A1B65">
        <w:t xml:space="preserve">os (2016), teachers need to encourage students to use both sides of the brain, by preparing tasks of a varied nature and to suit different cognitive styles, in order to promote skills in flexibility and adaptability which will be most beneficial to learners in the ever-changing future. </w:t>
      </w:r>
    </w:p>
    <w:p w:rsidR="006A1B65" w:rsidRDefault="006A1B65" w:rsidP="00C21040"/>
    <w:p w:rsidR="006A1B65" w:rsidRDefault="006A1B65" w:rsidP="00C21040">
      <w:r>
        <w:t xml:space="preserve">Pink (2008) however suggests that, “right-brainers will rule the future”. </w:t>
      </w:r>
      <w:r w:rsidR="00BD1513">
        <w:t xml:space="preserve">He argues that </w:t>
      </w:r>
      <w:r w:rsidR="001558A6">
        <w:t>whilst left-directed thinking was once which thrived in the Information Age, right-directed thinking is now taking the driving seat,</w:t>
      </w:r>
    </w:p>
    <w:p w:rsidR="001558A6" w:rsidRDefault="001558A6" w:rsidP="00C21040"/>
    <w:p w:rsidR="001558A6" w:rsidRDefault="001558A6" w:rsidP="00C21040">
      <w:r>
        <w:t>“</w:t>
      </w:r>
      <w:r>
        <w:rPr>
          <w:i/>
        </w:rPr>
        <w:t>Lawyers. Doctors. Accountants. Engineers. That’s what our parents encouraged us to become. They were wrong. Gone is the age of “left-brain” dominance. The future belongs to a different kind of mind: designers, inventors, teachers, storytellers – creative and emphatic “right-brain” thinkers whose abilities mark the fault-line between who gets ahead and who doesn’t.</w:t>
      </w:r>
      <w:r>
        <w:t>”</w:t>
      </w:r>
    </w:p>
    <w:p w:rsidR="001558A6" w:rsidRDefault="001558A6" w:rsidP="00C21040"/>
    <w:p w:rsidR="001558A6" w:rsidRDefault="00566EC2" w:rsidP="00C21040">
      <w:r>
        <w:t>Indeed,</w:t>
      </w:r>
      <w:r w:rsidR="001558A6">
        <w:t xml:space="preserve"> if we consider </w:t>
      </w:r>
      <w:r>
        <w:t>the 2022 Skills outlook (World Economic Forum, 2018) it seems to back up Pink’s research by placing several right-side brain traits in the top 10 skills that need “growing”</w:t>
      </w:r>
      <w:r w:rsidR="001E6FFE">
        <w:t xml:space="preserve"> for the future work place</w:t>
      </w:r>
      <w:r>
        <w:t xml:space="preserve">, such as: Innovation, Complex Problem Solving, Creativity, Critical Thinking and Emotional Intelligence. </w:t>
      </w:r>
    </w:p>
    <w:p w:rsidR="00566EC2" w:rsidRDefault="00566EC2" w:rsidP="00C21040"/>
    <w:p w:rsidR="00566EC2" w:rsidRDefault="00566EC2" w:rsidP="00C21040">
      <w:r>
        <w:t>On the topic of emotions, the above question directly addresses the emotional context of the learner and ho</w:t>
      </w:r>
      <w:r w:rsidR="00167BE8">
        <w:t>w it affects the learning brain state.</w:t>
      </w:r>
      <w:r>
        <w:t xml:space="preserve"> It will come as no surprise to any experienced teaching practitioner that the situational and emotional context of learners </w:t>
      </w:r>
      <w:r w:rsidR="00F3399E">
        <w:t xml:space="preserve">has a significant impact on the learner’s capacity to engage </w:t>
      </w:r>
      <w:r w:rsidR="001E6FFE">
        <w:t xml:space="preserve">with </w:t>
      </w:r>
      <w:r w:rsidR="00F3399E">
        <w:t>and maximise</w:t>
      </w:r>
      <w:r w:rsidR="001E6FFE">
        <w:t xml:space="preserve"> their</w:t>
      </w:r>
      <w:r w:rsidR="00F3399E">
        <w:t xml:space="preserve"> learning. Day’s Zone of Curiosity (Day, 1982, pp.20) clearly shows that when a learner is anxious or nervous then they are inefficient, disinterested, defensive learners who avoid the learning experience. As emotions are linked to the right side </w:t>
      </w:r>
      <w:r w:rsidR="00167BE8">
        <w:t xml:space="preserve">of the brain, </w:t>
      </w:r>
      <w:r w:rsidR="00F3399E">
        <w:t xml:space="preserve">we can deduce that it will be difficult to grow skills such as creativity in our learners if their emotional state and hence right side of their brain is not in peak condition. </w:t>
      </w:r>
    </w:p>
    <w:p w:rsidR="001E6FFE" w:rsidRDefault="001E6FFE" w:rsidP="00C21040"/>
    <w:p w:rsidR="001E6FFE" w:rsidRDefault="00603FB2" w:rsidP="00C21040">
      <w:r>
        <w:t>However,</w:t>
      </w:r>
      <w:r w:rsidR="001E6FFE">
        <w:t xml:space="preserve"> </w:t>
      </w:r>
      <w:r w:rsidR="002F6CC4">
        <w:t xml:space="preserve">Sweller </w:t>
      </w:r>
      <w:r w:rsidR="001E6FFE">
        <w:t xml:space="preserve">argues that, “educational programs must be carefully designed in such a way that learners develop professional competencies enabling them to perform </w:t>
      </w:r>
      <w:r w:rsidR="001E6FFE">
        <w:lastRenderedPageBreak/>
        <w:t xml:space="preserve">professional tasks up to the standards, including the ability to deal with emotions, stress, uncertainty and to maintain overall wellbeing”. Therefore, we can conclude that if emotions, stress and uncertainty are seen as undesirable states for learning, one might say that they cause extraneous load that should be decreased by preventing these states. But if emotion, stress and uncertainty are seen as an integral element of the task then that must be learned. </w:t>
      </w:r>
    </w:p>
    <w:p w:rsidR="00167BE8" w:rsidRDefault="00167BE8" w:rsidP="00C21040"/>
    <w:p w:rsidR="00167BE8" w:rsidRDefault="00C76B2C" w:rsidP="00C21040">
      <w:r>
        <w:t>Kouni</w:t>
      </w:r>
      <w:r w:rsidR="00167BE8">
        <w:t xml:space="preserve">os (2016) explains that if the right temporal lobe of the brain is damaged then learners will have trouble making connections. They will have difficulty understanding jokes, metaphors and the gist of a story or narrative plot. He goes on to state that learners with damage to the right posterior of the brain will have trouble with being insightful. </w:t>
      </w:r>
      <w:r w:rsidR="00536EEC">
        <w:t xml:space="preserve">When humans tackle a problem or a question, we reach an answer by either using our insight or our analytical skills. Insight means a mental vision or understanding whereas analysis is a process associated with using logical steps to reach an informed conclusion. Analysis is something you control, while insight is </w:t>
      </w:r>
      <w:r>
        <w:t>the unknown that you seek. Kouni</w:t>
      </w:r>
      <w:r w:rsidR="00536EEC">
        <w:t xml:space="preserve">os (2016) refers to his research </w:t>
      </w:r>
      <w:r w:rsidR="00876BAE">
        <w:t xml:space="preserve">proving that more correct answers were reached by learners </w:t>
      </w:r>
      <w:r w:rsidR="002D5D1E">
        <w:t xml:space="preserve">using insight than by those using </w:t>
      </w:r>
      <w:r w:rsidR="00876BAE">
        <w:t xml:space="preserve">analysis. </w:t>
      </w:r>
      <w:r w:rsidR="002D5D1E">
        <w:t xml:space="preserve">This is possibly because when we base an answer on insight it is something we fully understand, and it is a knowledge we </w:t>
      </w:r>
      <w:r w:rsidR="000F7741">
        <w:t xml:space="preserve">have </w:t>
      </w:r>
      <w:r w:rsidR="002D5D1E">
        <w:t xml:space="preserve">always </w:t>
      </w:r>
      <w:r w:rsidR="009915C7">
        <w:t xml:space="preserve">had, </w:t>
      </w:r>
      <w:r w:rsidR="002D5D1E">
        <w:t xml:space="preserve">stored somewhere in our long-term memory. Unlike an analytical response which is not felt in the same intuitive way but just reached by the thought process and this is likely to be </w:t>
      </w:r>
      <w:r w:rsidR="002F1379">
        <w:t xml:space="preserve">lost information remaining in our short-term memory only. </w:t>
      </w:r>
      <w:r w:rsidR="00B3189A">
        <w:t>However,</w:t>
      </w:r>
      <w:r w:rsidR="00876BAE">
        <w:t xml:space="preserve"> it is probable that schools and teachers educate students more on how to analyse and use logic, hence training the left side of the brain as opposed to more developing of the traits associated with the right side. </w:t>
      </w:r>
    </w:p>
    <w:p w:rsidR="00B3189A" w:rsidRDefault="00B3189A" w:rsidP="00C21040"/>
    <w:p w:rsidR="00B3189A" w:rsidRDefault="00B3189A" w:rsidP="00C21040">
      <w:r>
        <w:t xml:space="preserve">Can we use cognitive neurology understanding to inform our thinking as educators to prepare the mind more for being insightful, intuitive and emotive? If, as Pink states, the future belongs to designers then </w:t>
      </w:r>
      <w:r w:rsidR="00994157">
        <w:t>surely,</w:t>
      </w:r>
      <w:r>
        <w:t xml:space="preserve"> we need to be developing the skills in the brain associated with the design process. </w:t>
      </w:r>
      <w:r w:rsidR="00994157">
        <w:t xml:space="preserve">When we look at various models and images showing the design process it is common to see ‘empathy’ as </w:t>
      </w:r>
      <w:r w:rsidR="002F1379">
        <w:t xml:space="preserve">an early </w:t>
      </w:r>
      <w:r w:rsidR="00994157">
        <w:t xml:space="preserve">part of the process. Empathy is important for designers because it allows them to truly understand the needs and emotions of the people they are designing for. Our ability to empathize is based on an emotional contagion and this is therefore relevant in addressing this question. Recent research in cognitive neurology is telling us that brain processes can be influenced. That differences in people affect their cognitive style. That cognitive style is not fixed. Mood and environment can influence the brain state. Hence these understandings could impact on how we prepare and manage a learning situation.  </w:t>
      </w:r>
    </w:p>
    <w:p w:rsidR="002F1379" w:rsidRDefault="002F1379" w:rsidP="00C21040"/>
    <w:p w:rsidR="002F1379" w:rsidRPr="002F1379" w:rsidRDefault="002F1379" w:rsidP="002F1379">
      <w:pPr>
        <w:pStyle w:val="ListParagraph"/>
        <w:numPr>
          <w:ilvl w:val="0"/>
          <w:numId w:val="1"/>
        </w:numPr>
        <w:rPr>
          <w:b/>
        </w:rPr>
      </w:pPr>
      <w:r w:rsidRPr="002F1379">
        <w:rPr>
          <w:b/>
        </w:rPr>
        <w:t xml:space="preserve">How will these understandings impact on your approach to preparing/managing a learning situation? </w:t>
      </w:r>
    </w:p>
    <w:p w:rsidR="00B3189A" w:rsidRDefault="00B3189A" w:rsidP="00C21040"/>
    <w:p w:rsidR="002F1379" w:rsidRDefault="002F1379" w:rsidP="00C21040">
      <w:r>
        <w:t xml:space="preserve">According to Penaluna, </w:t>
      </w:r>
      <w:r w:rsidR="004A07A6">
        <w:t xml:space="preserve">A., Penaluna, K </w:t>
      </w:r>
      <w:r>
        <w:t>&amp; Diago</w:t>
      </w:r>
      <w:r w:rsidR="004A07A6">
        <w:t>, I</w:t>
      </w:r>
      <w:r>
        <w:t xml:space="preserve"> (2014), “understanding brain processes offers insights into how teaching and learning …can inform early stage learner development and impact upon life-long opportunity recognition skills and abilities”.  </w:t>
      </w:r>
      <w:r w:rsidR="009E0CB2">
        <w:t xml:space="preserve">This is certainly supported by </w:t>
      </w:r>
      <w:r w:rsidR="00297ED3">
        <w:t xml:space="preserve">Dylan William who has described cognitive load theory as ‘the single most important thing for teachers to know’. Cognitive load theory (CLT) is a theory of how human brains learn and store knowledge. </w:t>
      </w:r>
    </w:p>
    <w:p w:rsidR="002518CB" w:rsidRDefault="002518CB" w:rsidP="00C21040"/>
    <w:p w:rsidR="00E17AA6" w:rsidRDefault="00F4295D" w:rsidP="00C21040">
      <w:r>
        <w:lastRenderedPageBreak/>
        <w:t xml:space="preserve">To put it simply, </w:t>
      </w:r>
      <w:r w:rsidR="002518CB">
        <w:t xml:space="preserve">CLT shows that the human brain can only deal with a limited amount of new information at once, but it can hold a large amount of stored information. CLT is based on how memory works and proves that small amounts of short-term information are processed in the working memory, whilst large amounts of information are stored semi-permanently in the long-term memory. The danger when managing a learning situation is that if a student’s working memory is overloaded, then they may not understand the content being taught. </w:t>
      </w:r>
    </w:p>
    <w:p w:rsidR="00E17AA6" w:rsidRDefault="00E17AA6" w:rsidP="00C21040"/>
    <w:p w:rsidR="002518CB" w:rsidRDefault="00AD6BB6" w:rsidP="00C21040">
      <w:r>
        <w:t>So,</w:t>
      </w:r>
      <w:r w:rsidR="007F5DF9">
        <w:t xml:space="preserve"> the first thing we can take fro</w:t>
      </w:r>
      <w:r w:rsidR="002518CB">
        <w:t xml:space="preserve">m CLT is to look at ways of managing the amount of new information we teach students and to consider how much information students already have stored in ‘schemas’ in the long-term memory and how capable the students are in terms of the </w:t>
      </w:r>
      <w:r>
        <w:t xml:space="preserve">amount of new </w:t>
      </w:r>
      <w:r w:rsidR="002518CB">
        <w:t xml:space="preserve">information they can </w:t>
      </w:r>
      <w:r>
        <w:t>hold in their working memories, as well as the complexity of this new information</w:t>
      </w:r>
      <w:r w:rsidR="00E17AA6">
        <w:t xml:space="preserve"> we are teaching. </w:t>
      </w:r>
      <w:r w:rsidR="009915C7">
        <w:t xml:space="preserve">We need to prepare learning situations that prevent the working memory from becoming overloaded. </w:t>
      </w:r>
      <w:r w:rsidR="007F5DF9">
        <w:t xml:space="preserve">We need to practice with strategies that minimise cognitive load so that information can be automatically recalled from long-term memory, freeing up the working memory to learn new information. </w:t>
      </w:r>
    </w:p>
    <w:p w:rsidR="002518CB" w:rsidRDefault="002518CB" w:rsidP="00C21040"/>
    <w:p w:rsidR="00AD6BB6" w:rsidRDefault="002518CB" w:rsidP="00C21040">
      <w:r>
        <w:t xml:space="preserve">CLT provides support also for explicit models </w:t>
      </w:r>
      <w:r w:rsidR="00AD6BB6">
        <w:t xml:space="preserve">of teacher </w:t>
      </w:r>
      <w:r>
        <w:t>instruction</w:t>
      </w:r>
      <w:r w:rsidR="00AD6BB6">
        <w:t>.</w:t>
      </w:r>
      <w:r>
        <w:t xml:space="preserve"> </w:t>
      </w:r>
      <w:r w:rsidR="00F944DC">
        <w:t xml:space="preserve">Sweller (2019), </w:t>
      </w:r>
      <w:r w:rsidR="00AD6BB6">
        <w:t xml:space="preserve">confirms that “instruction should be explicit because we have evolved to learn directly from other people via the borrowing and reorganising principle. In line with the narrow limits of change principle, it needs to be organised in a manner that reduces working memory load because working memory load primarily occurs when processing novel, domain specific information”. </w:t>
      </w:r>
      <w:r w:rsidR="001E6FFE">
        <w:t xml:space="preserve">Research from CLT has produced a number of instructional techniques that are directly transferable to the classroom. According to </w:t>
      </w:r>
      <w:r w:rsidR="00F944DC">
        <w:t>Sweller</w:t>
      </w:r>
      <w:r w:rsidR="001E6FFE">
        <w:t xml:space="preserve">, </w:t>
      </w:r>
      <w:r w:rsidR="00AF7CDD">
        <w:t>“</w:t>
      </w:r>
      <w:r w:rsidR="001E6FFE">
        <w:t xml:space="preserve">by devising instruction to accord with this cognitive architecture, we can expect learning to be enhanced”. </w:t>
      </w:r>
      <w:r w:rsidR="00AD6BB6">
        <w:t xml:space="preserve">Furthermore “the major function of instruction is to allow learners to accumulate critical information in long term memory”. </w:t>
      </w:r>
      <w:r w:rsidR="00E17AA6">
        <w:t xml:space="preserve">Clearly, we want long term learning to take place in our classrooms, promoting lifelong learning. CLT is useful as a warning that success in rote learning or </w:t>
      </w:r>
      <w:r w:rsidR="001E6FFE">
        <w:t xml:space="preserve">in isolated short-term </w:t>
      </w:r>
      <w:r w:rsidR="00E17AA6">
        <w:t>tasks may not lead to</w:t>
      </w:r>
      <w:r w:rsidR="009915C7">
        <w:t xml:space="preserve"> this</w:t>
      </w:r>
      <w:r w:rsidR="00E17AA6">
        <w:t xml:space="preserve"> </w:t>
      </w:r>
      <w:r w:rsidR="007F5DF9">
        <w:t>long-term</w:t>
      </w:r>
      <w:r w:rsidR="00E17AA6">
        <w:t xml:space="preserve"> knowledge. </w:t>
      </w:r>
    </w:p>
    <w:p w:rsidR="00F944DC" w:rsidRDefault="00F944DC" w:rsidP="00C21040"/>
    <w:p w:rsidR="007F5DF9" w:rsidRDefault="00F944DC" w:rsidP="00C21040">
      <w:r>
        <w:t xml:space="preserve">Sweller </w:t>
      </w:r>
      <w:r w:rsidR="007F5DF9">
        <w:t xml:space="preserve">concludes his article by stating that, “we have seen important changes in cognitive load theory over the last 20 years and, given the current popularity of cognitive load theory in both educational research and the practical educational field, we expect equally important changes in the 20 years to come”. The most recent advances in cognitive load theory have been reflected in related theories and also set the trends for future development, such as, the cognitive theory of multimedia learning, opening up the effectiveness of instructional procedures that can be used in a wide range of educational contexts from conventional classrooms to e-learning and so forth. </w:t>
      </w:r>
    </w:p>
    <w:p w:rsidR="00C51789" w:rsidRDefault="00C51789" w:rsidP="00C21040"/>
    <w:p w:rsidR="00C51789" w:rsidRDefault="00F944DC" w:rsidP="00C21040">
      <w:r>
        <w:t>To return to Dylan Willi</w:t>
      </w:r>
      <w:r w:rsidR="00C51789">
        <w:t xml:space="preserve">am, he posted on twitter this week his “most pressing question”. He tweeted, “Bjork says we need desirable difficulties in learning. Sweller says that too much difficulty overloads the student. How do we balance these two?” This is the exact kind of question I find myself asking when preparing for and managing a learning situation. It reminded me also of the question posed by Spencer, Lucas &amp; Claxton (2013), “is new thinking on pedagogy already making progress? </w:t>
      </w:r>
      <w:r>
        <w:t>“Is</w:t>
      </w:r>
      <w:r w:rsidR="00C51789">
        <w:t xml:space="preserve"> the latest thinking around pedagogy based on what we now understand about cognitive neurology? </w:t>
      </w:r>
    </w:p>
    <w:p w:rsidR="00C51789" w:rsidRDefault="00C51789" w:rsidP="00C21040"/>
    <w:p w:rsidR="00C51789" w:rsidRDefault="00C51789" w:rsidP="00C21040">
      <w:r>
        <w:t xml:space="preserve">At this point I am going to refer to the New </w:t>
      </w:r>
      <w:r w:rsidR="00F944DC">
        <w:t>Curriculum</w:t>
      </w:r>
      <w:r>
        <w:t xml:space="preserve"> for Wales (2015</w:t>
      </w:r>
      <w:r w:rsidR="004A07A6">
        <w:t>), where</w:t>
      </w:r>
      <w:r>
        <w:t xml:space="preserve"> the 4 main purposes are for our learners to become:</w:t>
      </w:r>
    </w:p>
    <w:p w:rsidR="00C51789" w:rsidRDefault="00C51789" w:rsidP="00C21040"/>
    <w:p w:rsidR="00C51789" w:rsidRDefault="00C51789" w:rsidP="00C51789">
      <w:pPr>
        <w:pStyle w:val="ListParagraph"/>
        <w:numPr>
          <w:ilvl w:val="0"/>
          <w:numId w:val="2"/>
        </w:numPr>
      </w:pPr>
      <w:r>
        <w:t>Ambitious, capable learners</w:t>
      </w:r>
    </w:p>
    <w:p w:rsidR="00C51789" w:rsidRDefault="00C51789" w:rsidP="00C51789">
      <w:pPr>
        <w:pStyle w:val="ListParagraph"/>
        <w:numPr>
          <w:ilvl w:val="0"/>
          <w:numId w:val="2"/>
        </w:numPr>
      </w:pPr>
      <w:r>
        <w:t xml:space="preserve">Healthy confident individuals </w:t>
      </w:r>
    </w:p>
    <w:p w:rsidR="00C51789" w:rsidRDefault="00C51789" w:rsidP="00C51789">
      <w:pPr>
        <w:pStyle w:val="ListParagraph"/>
        <w:numPr>
          <w:ilvl w:val="0"/>
          <w:numId w:val="2"/>
        </w:numPr>
      </w:pPr>
      <w:r>
        <w:t>Enterprising, creative contributors</w:t>
      </w:r>
    </w:p>
    <w:p w:rsidR="00C51789" w:rsidRDefault="00C51789" w:rsidP="00C51789">
      <w:pPr>
        <w:pStyle w:val="ListParagraph"/>
        <w:numPr>
          <w:ilvl w:val="0"/>
          <w:numId w:val="2"/>
        </w:numPr>
      </w:pPr>
      <w:r>
        <w:t>Ethically informed citizens</w:t>
      </w:r>
    </w:p>
    <w:p w:rsidR="004A07A6" w:rsidRDefault="004A07A6" w:rsidP="004A07A6"/>
    <w:p w:rsidR="004A07A6" w:rsidRDefault="004A07A6" w:rsidP="004A07A6">
      <w:r>
        <w:t xml:space="preserve">These purposes are being achieved through the use of the 12 pedagogical principles: </w:t>
      </w:r>
    </w:p>
    <w:p w:rsidR="004A07A6" w:rsidRDefault="004A07A6" w:rsidP="004A07A6"/>
    <w:p w:rsidR="004A07A6" w:rsidRDefault="004A07A6" w:rsidP="004A07A6"/>
    <w:p w:rsidR="004A07A6" w:rsidRPr="004A07A6" w:rsidRDefault="004A07A6" w:rsidP="004A07A6">
      <w:pPr>
        <w:rPr>
          <w:rFonts w:ascii="Times New Roman" w:eastAsia="Times New Roman" w:hAnsi="Times New Roman" w:cs="Times New Roman"/>
        </w:rPr>
      </w:pPr>
      <w:r w:rsidRPr="004A07A6">
        <w:rPr>
          <w:rFonts w:ascii="Times New Roman" w:eastAsia="Times New Roman" w:hAnsi="Times New Roman" w:cs="Times New Roman"/>
        </w:rPr>
        <w:fldChar w:fldCharType="begin"/>
      </w:r>
      <w:r w:rsidRPr="004A07A6">
        <w:rPr>
          <w:rFonts w:ascii="Times New Roman" w:eastAsia="Times New Roman" w:hAnsi="Times New Roman" w:cs="Times New Roman"/>
        </w:rPr>
        <w:instrText xml:space="preserve"> INCLUDEPICTURE "/var/folders/mv/tx_d283d2bsdfsrb_j1vts680000gn/T/com.microsoft.Word/WebArchiveCopyPasteTempFiles/thumb-cc647ce3db57abe97b98128c6e04ca41.jpg" \* MERGEFORMATINET </w:instrText>
      </w:r>
      <w:r w:rsidRPr="004A07A6">
        <w:rPr>
          <w:rFonts w:ascii="Times New Roman" w:eastAsia="Times New Roman" w:hAnsi="Times New Roman" w:cs="Times New Roman"/>
        </w:rPr>
        <w:fldChar w:fldCharType="separate"/>
      </w:r>
      <w:r w:rsidRPr="004A07A6">
        <w:rPr>
          <w:rFonts w:ascii="Times New Roman" w:eastAsia="Times New Roman" w:hAnsi="Times New Roman" w:cs="Times New Roman"/>
          <w:noProof/>
        </w:rPr>
        <w:drawing>
          <wp:inline distT="0" distB="0" distL="0" distR="0">
            <wp:extent cx="6184900" cy="4638675"/>
            <wp:effectExtent l="0" t="0" r="0" b="0"/>
            <wp:docPr id="2" name="Picture 2" descr="Image result for 12 pedagogical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12 pedagogical princip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84900" cy="4638675"/>
                    </a:xfrm>
                    <a:prstGeom prst="rect">
                      <a:avLst/>
                    </a:prstGeom>
                    <a:noFill/>
                    <a:ln>
                      <a:noFill/>
                    </a:ln>
                  </pic:spPr>
                </pic:pic>
              </a:graphicData>
            </a:graphic>
          </wp:inline>
        </w:drawing>
      </w:r>
      <w:r w:rsidRPr="004A07A6">
        <w:rPr>
          <w:rFonts w:ascii="Times New Roman" w:eastAsia="Times New Roman" w:hAnsi="Times New Roman" w:cs="Times New Roman"/>
        </w:rPr>
        <w:fldChar w:fldCharType="end"/>
      </w:r>
    </w:p>
    <w:p w:rsidR="00C51789" w:rsidRDefault="00C51789" w:rsidP="00C51789"/>
    <w:p w:rsidR="00C51789" w:rsidRDefault="00C51789" w:rsidP="00C21040"/>
    <w:p w:rsidR="009915C7" w:rsidRDefault="009915C7" w:rsidP="00C21040"/>
    <w:p w:rsidR="009915C7" w:rsidRDefault="004A07A6" w:rsidP="00C21040">
      <w:r>
        <w:t xml:space="preserve">The pedagogical approaches illustrated here by Impact Wales are all in line with the theories I have read and quoted in this assignment so far as how to maximise long term learning for life whilst developing the skills that our learners will need for the future. I will look at how these principles work practically in the next section of the assignment. </w:t>
      </w:r>
    </w:p>
    <w:p w:rsidR="00F944DC" w:rsidRDefault="00F944DC" w:rsidP="00C21040"/>
    <w:p w:rsidR="00F944DC" w:rsidRDefault="00F944DC" w:rsidP="00C21040"/>
    <w:p w:rsidR="004A07A6" w:rsidRDefault="00277241" w:rsidP="00C21040">
      <w:r>
        <w:lastRenderedPageBreak/>
        <w:t>It is hope</w:t>
      </w:r>
      <w:r w:rsidR="007E41C3">
        <w:t xml:space="preserve">d that these pedagogical principles when put into practice will work </w:t>
      </w:r>
      <w:r>
        <w:t xml:space="preserve">to enhance the learning and will take into account the situational and emotional context of the learner. </w:t>
      </w:r>
      <w:r w:rsidR="007E41C3">
        <w:t>However,</w:t>
      </w:r>
      <w:r>
        <w:t xml:space="preserve"> we c</w:t>
      </w:r>
      <w:r w:rsidR="007E41C3">
        <w:t xml:space="preserve">an further improve this again if we consider academagogy. Academagogy combines pedagogy with andragogy and heutagogy. </w:t>
      </w:r>
    </w:p>
    <w:p w:rsidR="007E41C3" w:rsidRDefault="007E41C3" w:rsidP="00C21040"/>
    <w:p w:rsidR="007E41C3" w:rsidRDefault="007E41C3" w:rsidP="00C21040">
      <w:r>
        <w:t>The principles of Academagogy have been summarised by Penaluna, A (2014) as follows:</w:t>
      </w:r>
    </w:p>
    <w:p w:rsidR="007E41C3" w:rsidRDefault="007E41C3" w:rsidP="00C21040"/>
    <w:p w:rsidR="007E41C3" w:rsidRDefault="007E41C3" w:rsidP="007E41C3">
      <w:pPr>
        <w:pStyle w:val="ListParagraph"/>
        <w:numPr>
          <w:ilvl w:val="0"/>
          <w:numId w:val="3"/>
        </w:numPr>
      </w:pPr>
      <w:r>
        <w:t xml:space="preserve">Asking your students how they would like to learn? </w:t>
      </w:r>
    </w:p>
    <w:p w:rsidR="007E41C3" w:rsidRDefault="007E41C3" w:rsidP="007E41C3">
      <w:pPr>
        <w:pStyle w:val="ListParagraph"/>
        <w:numPr>
          <w:ilvl w:val="0"/>
          <w:numId w:val="3"/>
        </w:numPr>
      </w:pPr>
      <w:r>
        <w:t xml:space="preserve">Appreciate the diversity in your cohort, don’t expect everyone to become self-directed at the same pace. </w:t>
      </w:r>
    </w:p>
    <w:p w:rsidR="007E41C3" w:rsidRDefault="007E41C3" w:rsidP="007E41C3">
      <w:pPr>
        <w:pStyle w:val="ListParagraph"/>
        <w:numPr>
          <w:ilvl w:val="0"/>
          <w:numId w:val="3"/>
        </w:numPr>
      </w:pPr>
      <w:r>
        <w:t>Develop prompts to ensure you are aware of your movement between leading and supporting.</w:t>
      </w:r>
    </w:p>
    <w:p w:rsidR="007E41C3" w:rsidRDefault="007E41C3" w:rsidP="007E41C3">
      <w:pPr>
        <w:pStyle w:val="ListParagraph"/>
        <w:numPr>
          <w:ilvl w:val="0"/>
          <w:numId w:val="3"/>
        </w:numPr>
      </w:pPr>
      <w:r>
        <w:t xml:space="preserve">Work with your students to identify different resources requirements to support their learning. </w:t>
      </w:r>
    </w:p>
    <w:p w:rsidR="007E41C3" w:rsidRDefault="007E41C3" w:rsidP="007E41C3">
      <w:pPr>
        <w:pStyle w:val="ListParagraph"/>
        <w:numPr>
          <w:ilvl w:val="0"/>
          <w:numId w:val="3"/>
        </w:numPr>
      </w:pPr>
      <w:r>
        <w:t>Work with your students to identify areas of individual responsibility required to support their learning.</w:t>
      </w:r>
    </w:p>
    <w:p w:rsidR="007E41C3" w:rsidRDefault="007E41C3" w:rsidP="007E41C3">
      <w:pPr>
        <w:pStyle w:val="ListParagraph"/>
        <w:numPr>
          <w:ilvl w:val="0"/>
          <w:numId w:val="3"/>
        </w:numPr>
      </w:pPr>
      <w:r>
        <w:t xml:space="preserve">Ensure your students fully understand the nature of your role and what is expected from them to become self -directed learners. </w:t>
      </w:r>
    </w:p>
    <w:p w:rsidR="007E41C3" w:rsidRDefault="007E41C3" w:rsidP="007E41C3"/>
    <w:p w:rsidR="007E41C3" w:rsidRDefault="007E41C3" w:rsidP="007E41C3">
      <w:r>
        <w:t xml:space="preserve">I believe that the movement from pedagogy (where the educator initiates) to andragogy (where the responsibility for the learning is shared by both the educator and the student) and finally to heutagogy (what the student initiates) and any combination of this, depending on the learner situation, would answer the question posed </w:t>
      </w:r>
      <w:r w:rsidR="002F6CC4">
        <w:t xml:space="preserve">by Dylan William, regarding </w:t>
      </w:r>
      <w:r>
        <w:t xml:space="preserve">balancing overloading the student </w:t>
      </w:r>
      <w:r w:rsidR="002F6CC4">
        <w:t xml:space="preserve">with making the learning too simplistic. Both of which will disinterest the learner.  To return to Day’s Zones of Curiosity, we need to prepare learning situations whereby all our individual learners are in the excited zone. Where their brains are in the state for maximum learning, where they want to explore and discover because the lesson is relevant to them and interesting to them on a personal level. Now to consider whether this is achievable on a practical level? </w:t>
      </w:r>
    </w:p>
    <w:p w:rsidR="002F6CC4" w:rsidRDefault="002F6CC4" w:rsidP="007E41C3"/>
    <w:p w:rsidR="002F6CC4" w:rsidRDefault="002F6CC4" w:rsidP="002F6CC4">
      <w:pPr>
        <w:pStyle w:val="ListParagraph"/>
        <w:numPr>
          <w:ilvl w:val="0"/>
          <w:numId w:val="1"/>
        </w:numPr>
        <w:rPr>
          <w:b/>
        </w:rPr>
      </w:pPr>
      <w:r w:rsidRPr="002F6CC4">
        <w:rPr>
          <w:b/>
        </w:rPr>
        <w:t>Justify the practical measures you would wish to implement / see implemented</w:t>
      </w:r>
    </w:p>
    <w:p w:rsidR="00F545A1" w:rsidRDefault="00F545A1" w:rsidP="00F545A1"/>
    <w:p w:rsidR="001B4520" w:rsidRDefault="00F545A1" w:rsidP="00F545A1">
      <w:r>
        <w:t xml:space="preserve">Due to much research surrounding cognitive neurology, there are already many strategies available, which have been identified by researchers, that can help teachers to maximise student learning. Appendix 1 </w:t>
      </w:r>
      <w:r w:rsidR="001B4520">
        <w:t xml:space="preserve">shows a list of seven practical strategies that have been put together by the Australian government to aid teachers when planning tasks for their students, which will enhance the learning experience. This guide is a more simplified version of the </w:t>
      </w:r>
      <w:r w:rsidR="003F4C62">
        <w:t xml:space="preserve">many major cognitive load effects which are shown in appendices 2 and 3. </w:t>
      </w:r>
    </w:p>
    <w:p w:rsidR="003F4C62" w:rsidRDefault="003F4C62" w:rsidP="00F545A1"/>
    <w:p w:rsidR="003F4C62" w:rsidRDefault="003F4C62" w:rsidP="00F545A1">
      <w:r>
        <w:t>In my opinion I would like to see a combination of these effect strategies being used practically in the classroom, alongside the principle of Acade</w:t>
      </w:r>
      <w:r w:rsidR="00576A9B">
        <w:t>ma</w:t>
      </w:r>
      <w:r>
        <w:t>gogy which begins with the shift in pedagogy progress, as pointed out by Spencer, Lucas &amp; Claxton (2013) in appendix 4. All of these offer practical solutions to the educator who wishes to implement le</w:t>
      </w:r>
      <w:r w:rsidR="00FA5D27">
        <w:t xml:space="preserve">ssons which will have </w:t>
      </w:r>
      <w:r w:rsidR="00E54FAC">
        <w:t xml:space="preserve">lifelong </w:t>
      </w:r>
      <w:r>
        <w:t>impact on</w:t>
      </w:r>
      <w:r w:rsidR="00576A9B">
        <w:t xml:space="preserve"> their learners. When we consider </w:t>
      </w:r>
      <w:r>
        <w:t xml:space="preserve">the </w:t>
      </w:r>
      <w:r w:rsidR="000F63C5">
        <w:t xml:space="preserve">4 core purposes of the new curriculum for Wales and the 12 pedagogical </w:t>
      </w:r>
      <w:r w:rsidR="00576A9B">
        <w:t>principles,</w:t>
      </w:r>
      <w:r w:rsidR="000F63C5">
        <w:t xml:space="preserve"> we can see cle</w:t>
      </w:r>
      <w:r w:rsidR="00E54FAC">
        <w:t xml:space="preserve">ar links connecting </w:t>
      </w:r>
      <w:r w:rsidR="000F63C5">
        <w:t>all of these theories and for the remainder of</w:t>
      </w:r>
      <w:r w:rsidR="00576A9B">
        <w:t xml:space="preserve"> this assignment I am going to </w:t>
      </w:r>
      <w:r w:rsidR="00576A9B">
        <w:lastRenderedPageBreak/>
        <w:t xml:space="preserve">outline some of the key elements of these that I could use </w:t>
      </w:r>
      <w:r w:rsidR="00E54FAC">
        <w:t xml:space="preserve">regularly </w:t>
      </w:r>
      <w:r w:rsidR="00576A9B">
        <w:t xml:space="preserve">in my lessons and I will justify my reasons for doing so. </w:t>
      </w:r>
    </w:p>
    <w:p w:rsidR="00E54FAC" w:rsidRDefault="00E54FAC" w:rsidP="00F545A1"/>
    <w:p w:rsidR="00E54FAC" w:rsidRDefault="00E54FAC" w:rsidP="00F545A1">
      <w:r>
        <w:t xml:space="preserve">The biggest problem I face as a teacher of MFL is covering the vast amount of content that should be understood by my students in a short space of time. The reason for having to </w:t>
      </w:r>
      <w:r w:rsidR="004D384A">
        <w:t xml:space="preserve">do </w:t>
      </w:r>
      <w:r>
        <w:t xml:space="preserve">this is because there is always a scheduled assessment around the corner. An assessment which is needed to provide data on the pupils which is then used to report on student performance. </w:t>
      </w:r>
      <w:r w:rsidR="004D384A">
        <w:t xml:space="preserve">The students obviously need to be taught all the requirements of the test. </w:t>
      </w:r>
      <w:r>
        <w:t>There are strict deadlines on these</w:t>
      </w:r>
      <w:r w:rsidR="004D384A">
        <w:t xml:space="preserve"> assessment</w:t>
      </w:r>
      <w:r>
        <w:t xml:space="preserve"> d</w:t>
      </w:r>
      <w:r w:rsidR="004D384A">
        <w:t xml:space="preserve">ates in the school calendar </w:t>
      </w:r>
      <w:r>
        <w:t>and th</w:t>
      </w:r>
      <w:r w:rsidR="004D384A">
        <w:t xml:space="preserve">is </w:t>
      </w:r>
      <w:r>
        <w:t xml:space="preserve">problem can become a huge one in my opinion. It means that we end up teaching for short term purposes only and no deep understanding occurs, or very little of it and is this actually useful for later life? </w:t>
      </w:r>
    </w:p>
    <w:p w:rsidR="00E54FAC" w:rsidRDefault="00E54FAC" w:rsidP="00F545A1"/>
    <w:p w:rsidR="00E54FAC" w:rsidRDefault="00E54FAC" w:rsidP="00F545A1">
      <w:r>
        <w:t xml:space="preserve">Given that the GCSE examinations and A </w:t>
      </w:r>
      <w:proofErr w:type="gramStart"/>
      <w:r>
        <w:t>Level examinations</w:t>
      </w:r>
      <w:proofErr w:type="gramEnd"/>
      <w:r>
        <w:t xml:space="preserve"> are still fairly traditional and formally assessed, even if we have more flexibility with the younger years, we still need to prepare the pupils for what is coming later on. After all, these students want to go to university and they will need certain grades in certain subjects to get there, in order for them to go on and find a suitable job in later life. </w:t>
      </w:r>
      <w:r w:rsidR="009577FD">
        <w:t>However,</w:t>
      </w:r>
      <w:r>
        <w:t xml:space="preserve"> is being abl</w:t>
      </w:r>
      <w:r w:rsidR="009577FD">
        <w:t xml:space="preserve">e to do well in tests and exams, being an educational high-achiever, being skilled at rote learning and so forth actually the best approach to education? Not according to the government in Singapore. </w:t>
      </w:r>
    </w:p>
    <w:p w:rsidR="009577FD" w:rsidRDefault="009577FD" w:rsidP="00F545A1"/>
    <w:p w:rsidR="009577FD" w:rsidRDefault="009577FD" w:rsidP="00F545A1">
      <w:r>
        <w:t xml:space="preserve">Singapore has long been praised for its excellence as a nation so far as education is concerned and nowadays children in Singapore will no longer be ranked by exam results. The World Economic Forum explains that in Singapore the Ministry of Education is “shifting the focus away from exam perfection towards creating more rounded individuals [and] this represents a serious change of direction”. Personally, as a teacher of French, I would favour this system and I will outline the reasons why in the remainder of this assignment. </w:t>
      </w:r>
    </w:p>
    <w:p w:rsidR="009577FD" w:rsidRDefault="009577FD" w:rsidP="00F545A1"/>
    <w:p w:rsidR="009577FD" w:rsidRDefault="00E5671A" w:rsidP="00F545A1">
      <w:r>
        <w:t>Firstly,</w:t>
      </w:r>
      <w:r w:rsidR="009577FD">
        <w:t xml:space="preserve"> the removal of formal examinations and formal assessments would enable me to allow my students to spend more time on activities that they need </w:t>
      </w:r>
      <w:r w:rsidR="004D384A">
        <w:t xml:space="preserve">to practise and also on activities that are most enjoyable to them. </w:t>
      </w:r>
      <w:r>
        <w:t xml:space="preserve">This would allow me the flexibility to tailor my lessons according to the students existing knowledge and skill, meaning that I could repeat or find different ways to teach the same things that my students find difficult to ensure they understand things properly. Furthermore, the unrealistic nature of an exam carried out with time limits is not necessarily representative of the work place in later life. </w:t>
      </w:r>
    </w:p>
    <w:p w:rsidR="00E5671A" w:rsidRDefault="00E5671A" w:rsidP="00F545A1"/>
    <w:p w:rsidR="00E5671A" w:rsidRDefault="00E5671A" w:rsidP="00F545A1">
      <w:r>
        <w:t xml:space="preserve">The GCSE French examination for example assesses four skills in listening, speaking, reading and writing and </w:t>
      </w:r>
      <w:r w:rsidR="004D384A">
        <w:t xml:space="preserve">more </w:t>
      </w:r>
      <w:r>
        <w:t xml:space="preserve">often </w:t>
      </w:r>
      <w:r w:rsidR="004D384A">
        <w:t xml:space="preserve">than not </w:t>
      </w:r>
      <w:r>
        <w:t>the questions are made up of false scenarios that are highly unlikely to benefit the learner should they be in France in the future!  This is because the texts are often contrived as op</w:t>
      </w:r>
      <w:r w:rsidR="004D384A">
        <w:t xml:space="preserve">posed to being authentic. I have recently been using the eTwinning scheme with my students to collaborate on a project with </w:t>
      </w:r>
      <w:r w:rsidR="00EA3115">
        <w:t xml:space="preserve">real life </w:t>
      </w:r>
      <w:r w:rsidR="004D384A">
        <w:t xml:space="preserve">students in La Rochelle, and the motivation </w:t>
      </w:r>
      <w:r w:rsidR="00EA3115">
        <w:t xml:space="preserve">and natural </w:t>
      </w:r>
      <w:r w:rsidR="004D384A">
        <w:t>nature of the si</w:t>
      </w:r>
      <w:r w:rsidR="00EA3115">
        <w:t>tuation supports several of the 12 pedagogical principles as outlined i</w:t>
      </w:r>
      <w:r w:rsidR="00785CCD">
        <w:t xml:space="preserve">n the New Curriculum for Wales which is clearly intertwined with the </w:t>
      </w:r>
      <w:r w:rsidR="006762FD">
        <w:t xml:space="preserve">CLT effects and strategies for teaching. </w:t>
      </w:r>
    </w:p>
    <w:p w:rsidR="00EA3115" w:rsidRDefault="00EA3115" w:rsidP="00F545A1"/>
    <w:p w:rsidR="00EA3115" w:rsidRDefault="00EA3115" w:rsidP="00F545A1">
      <w:r>
        <w:t xml:space="preserve">The nature of exams and tests also means that when marking students work, we look for perfection. If we consider speaking French again in France for real </w:t>
      </w:r>
      <w:r w:rsidR="0073072D">
        <w:t>purposes,</w:t>
      </w:r>
      <w:r>
        <w:t xml:space="preserve"> </w:t>
      </w:r>
      <w:r w:rsidR="0073072D">
        <w:t xml:space="preserve">we could argue </w:t>
      </w:r>
      <w:r w:rsidR="0073072D">
        <w:lastRenderedPageBreak/>
        <w:t xml:space="preserve">that successful communication is more important than speaking perfectly. Therefore, without the rigours of an exam system we are giving our students the permission to be confused, to get things wrong and to make mistakes. If we allow mistakes to be made in a positive way – seeing them as excellent factors on the road to mastering something, then the fear of mistakes will disappear, a new-found confidence will develop and better, deeper learning will occur in the long run. This is very characteristic of the Growth Mindset theory which again allows students much time to practise new skills over and over again to achieve mastery. </w:t>
      </w:r>
      <w:r w:rsidR="006762FD">
        <w:t xml:space="preserve">This is another example of deepening learning for life and not for the </w:t>
      </w:r>
      <w:proofErr w:type="gramStart"/>
      <w:r w:rsidR="006762FD">
        <w:t>short term</w:t>
      </w:r>
      <w:proofErr w:type="gramEnd"/>
      <w:r w:rsidR="006762FD">
        <w:t xml:space="preserve"> gain. </w:t>
      </w:r>
    </w:p>
    <w:p w:rsidR="0073072D" w:rsidRDefault="0073072D" w:rsidP="00F545A1"/>
    <w:p w:rsidR="0073072D" w:rsidRDefault="0073072D" w:rsidP="00F545A1">
      <w:r>
        <w:t xml:space="preserve">In the French examinations as they currently stand, my students have to rely on memory to do well. They are not allowed access to resources such as dictionaries, apps, online tools and so on. I find this very frustrating in today’s world because should my students ever end up working with foreign languages in future then they will have a wide range of resources available to them to aid them. As pointed out by the World Economic Forum, </w:t>
      </w:r>
      <w:r w:rsidR="00822A46">
        <w:t xml:space="preserve">“we live in times of autonomous cars, reusable rockets and artificial intelligence, yet we are still teaching in an education system that was set up for factory workers some 200 years ago” and this is pointed out brilliantly in Sir Ken Robinson’s Ted talk called “changing paradigms” (2014) which confirms that </w:t>
      </w:r>
      <w:r>
        <w:t xml:space="preserve">“there is a deep mismatch between the skills our education systems nurture and the needs of society”. </w:t>
      </w:r>
      <w:r w:rsidR="00822A46">
        <w:t xml:space="preserve"> (World Economic Forum, 2018) </w:t>
      </w:r>
    </w:p>
    <w:p w:rsidR="0073072D" w:rsidRDefault="0073072D" w:rsidP="00F545A1"/>
    <w:p w:rsidR="0073072D" w:rsidRDefault="0073072D" w:rsidP="00F545A1">
      <w:r>
        <w:t>Besides the obvious technological help</w:t>
      </w:r>
      <w:r w:rsidR="00822A46">
        <w:t xml:space="preserve"> available in the real world</w:t>
      </w:r>
      <w:r>
        <w:t>,</w:t>
      </w:r>
      <w:r w:rsidR="00822A46">
        <w:t xml:space="preserve"> my students </w:t>
      </w:r>
      <w:r>
        <w:t xml:space="preserve">would also likely be in a work place with other professionals working collaboratively on </w:t>
      </w:r>
      <w:r w:rsidR="00EA323C">
        <w:t>projects. So why are exams always completed individually</w:t>
      </w:r>
      <w:r w:rsidR="00822A46">
        <w:t xml:space="preserve"> and in isolation? </w:t>
      </w:r>
      <w:r w:rsidR="001F1521">
        <w:t>We see learning through collaboration included as one of the 12 pedagogical principles set out in the New Curriculum for Wales and it is also encouraged as a strategy from the cognitive load theory which naturally means that when students are working together then there is less chance of an individual being overloaded cognitively if the workload is shared. I would definitely implement more pair work and group work within the French classroom as language learning is so much more fun and purposeful when successful communication is taking place between two or more people.</w:t>
      </w:r>
    </w:p>
    <w:p w:rsidR="001F1521" w:rsidRDefault="001F1521" w:rsidP="00F545A1"/>
    <w:p w:rsidR="001F1521" w:rsidRDefault="00476388" w:rsidP="00F545A1">
      <w:r>
        <w:t xml:space="preserve">Another practical strategy I would like to see implemented for a variety of reasons is cross curricular work, both with students of different year groups and ages and between subject areas. This is something that the New Curriculum for Wales is promoting through the new AoLes (Areas of Learning Experience). </w:t>
      </w:r>
      <w:r w:rsidR="00C26874">
        <w:t xml:space="preserve">Working across subjects allows pupils the chance to make connections, and we know that learning is more effective when we can relate and link it to something else. When teachers become more creative with their ideas then creativity can be developed in the students as well. “Creativity is about creating new connections; by teaching divergent thinking, we enable new connections in unexpected ways”. (World Economic Forum, 2018) </w:t>
      </w:r>
    </w:p>
    <w:p w:rsidR="00C26874" w:rsidRDefault="00C26874" w:rsidP="00F545A1"/>
    <w:p w:rsidR="00C26874" w:rsidRDefault="00C26874" w:rsidP="00F545A1">
      <w:r>
        <w:t xml:space="preserve">Finally, it would be great to see more entrepreneurial education present in language learning. Many of the skills pointed out in the Entrecomp wheel lend themselves to language lessons </w:t>
      </w:r>
      <w:r w:rsidR="003E6876">
        <w:t xml:space="preserve">and as pointed out by the World Economic Forum, “these kinds of skills are useful beyond the job market. They give people the tools to be active citizens in a complicated and fast-changing world and should be a priority in European policy”. Which </w:t>
      </w:r>
      <w:r w:rsidR="003E6876">
        <w:lastRenderedPageBreak/>
        <w:t xml:space="preserve">really brings me to the conclusion that Welsh policy at the moment is also supportive of this. If we go back to the four purposes of the Successful Futures program created by Donaldson (2015) we want our learners to be “enterprising, creative contributors” who will be “ethically informed citizens” of Wales and the rest of the world. </w:t>
      </w:r>
    </w:p>
    <w:p w:rsidR="000F63C5" w:rsidRPr="00F545A1" w:rsidRDefault="000F63C5" w:rsidP="00F545A1"/>
    <w:p w:rsidR="00AF7CDD" w:rsidRDefault="00AF7CDD" w:rsidP="00AF7CDD">
      <w:pPr>
        <w:rPr>
          <w:b/>
        </w:rPr>
      </w:pPr>
    </w:p>
    <w:p w:rsidR="00AF7CDD" w:rsidRPr="00AF7CDD" w:rsidRDefault="00AF7CDD" w:rsidP="00AF7CDD">
      <w:pPr>
        <w:rPr>
          <w:b/>
        </w:rPr>
      </w:pPr>
    </w:p>
    <w:p w:rsidR="007E41C3" w:rsidRDefault="007E41C3" w:rsidP="007E41C3"/>
    <w:p w:rsidR="007E41C3" w:rsidRDefault="007E41C3" w:rsidP="00C21040"/>
    <w:p w:rsidR="007E41C3" w:rsidRDefault="007E41C3" w:rsidP="00C21040"/>
    <w:p w:rsidR="004A07A6" w:rsidRDefault="004A07A6" w:rsidP="00C21040"/>
    <w:p w:rsidR="001E6FFE" w:rsidRDefault="001E6FFE" w:rsidP="00C21040"/>
    <w:p w:rsidR="001E6FFE" w:rsidRDefault="001E6FFE" w:rsidP="00C21040"/>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3E6876" w:rsidRDefault="003E6876" w:rsidP="0019035A">
      <w:pPr>
        <w:spacing w:before="100" w:beforeAutospacing="1" w:after="100" w:afterAutospacing="1"/>
        <w:rPr>
          <w:rFonts w:ascii="FrutigerLTPro" w:eastAsia="Times New Roman" w:hAnsi="FrutigerLTPro" w:cs="Times New Roman"/>
          <w:b/>
          <w:bCs/>
          <w:color w:val="2B546D"/>
          <w:sz w:val="28"/>
          <w:szCs w:val="28"/>
          <w:u w:val="single"/>
        </w:rPr>
      </w:pPr>
    </w:p>
    <w:p w:rsid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2B546D"/>
          <w:sz w:val="28"/>
          <w:szCs w:val="28"/>
          <w:u w:val="single"/>
        </w:rPr>
        <w:t>APPENDIX 1</w:t>
      </w:r>
      <w:r>
        <w:rPr>
          <w:rFonts w:ascii="FrutigerLTPro" w:eastAsia="Times New Roman" w:hAnsi="FrutigerLTPro" w:cs="Times New Roman"/>
          <w:b/>
          <w:bCs/>
          <w:color w:val="2B546D"/>
          <w:sz w:val="28"/>
          <w:szCs w:val="28"/>
        </w:rPr>
        <w:t xml:space="preserve"> </w:t>
      </w:r>
      <w:r>
        <w:rPr>
          <w:rFonts w:ascii="FrutigerLTPro" w:eastAsia="Times New Roman" w:hAnsi="FrutigerLTPro" w:cs="Times New Roman"/>
          <w:b/>
          <w:bCs/>
          <w:color w:val="2B546D"/>
          <w:sz w:val="28"/>
          <w:szCs w:val="28"/>
        </w:rPr>
        <w:tab/>
      </w:r>
      <w:r w:rsidRPr="0019035A">
        <w:rPr>
          <w:rFonts w:ascii="FrutigerLTPro" w:eastAsia="Times New Roman" w:hAnsi="FrutigerLTPro" w:cs="Times New Roman"/>
          <w:bCs/>
          <w:color w:val="2B546D"/>
          <w:sz w:val="28"/>
          <w:szCs w:val="28"/>
        </w:rPr>
        <w:t>Teaching strategies from cognitive load theory</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color w:val="2B546D"/>
          <w:sz w:val="20"/>
          <w:szCs w:val="20"/>
        </w:rPr>
        <w:t xml:space="preserve">Cognitive load theory is supported by a robust evidence base which shows that students learn best when they are given explicit instruction accompanied by lots of practice and feedback. Through a significant number of randomised controlled trials (RCTs), researchers have identified a number of strategies that can help teachers to maximise student learning. These strategies work by optimising the load on students’ working memories. </w:t>
      </w:r>
    </w:p>
    <w:tbl>
      <w:tblPr>
        <w:tblW w:w="0" w:type="auto"/>
        <w:tblCellMar>
          <w:top w:w="15" w:type="dxa"/>
          <w:left w:w="15" w:type="dxa"/>
          <w:bottom w:w="15" w:type="dxa"/>
          <w:right w:w="15" w:type="dxa"/>
        </w:tblCellMar>
        <w:tblLook w:val="04A0" w:firstRow="1" w:lastRow="0" w:firstColumn="1" w:lastColumn="0" w:noHBand="0" w:noVBand="1"/>
      </w:tblPr>
      <w:tblGrid>
        <w:gridCol w:w="1090"/>
        <w:gridCol w:w="7871"/>
      </w:tblGrid>
      <w:tr w:rsidR="0019035A" w:rsidRPr="0019035A" w:rsidTr="0019035A">
        <w:tc>
          <w:tcPr>
            <w:tcW w:w="0" w:type="auto"/>
            <w:tcBorders>
              <w:top w:val="single" w:sz="8" w:space="0" w:color="FFFFFC"/>
              <w:left w:val="single" w:sz="8" w:space="0" w:color="FFFFFC"/>
              <w:bottom w:val="single" w:sz="4" w:space="0" w:color="FFFFFC"/>
              <w:right w:val="single" w:sz="4" w:space="0" w:color="FFFFFC"/>
            </w:tcBorders>
            <w:shd w:val="clear" w:color="auto" w:fill="2B546D"/>
            <w:vAlign w:val="center"/>
            <w:hideMark/>
          </w:tcPr>
          <w:p w:rsidR="0019035A" w:rsidRPr="0019035A" w:rsidRDefault="0019035A" w:rsidP="0019035A">
            <w:pPr>
              <w:rPr>
                <w:rFonts w:ascii="Times New Roman" w:eastAsia="Times New Roman" w:hAnsi="Times New Roman" w:cs="Times New Roman"/>
              </w:rPr>
            </w:pPr>
            <w:r w:rsidRPr="0019035A">
              <w:rPr>
                <w:rFonts w:ascii="Times New Roman" w:eastAsia="Times New Roman" w:hAnsi="Times New Roman" w:cs="Times New Roman"/>
              </w:rPr>
              <w:fldChar w:fldCharType="begin"/>
            </w:r>
            <w:r w:rsidRPr="0019035A">
              <w:rPr>
                <w:rFonts w:ascii="Times New Roman" w:eastAsia="Times New Roman" w:hAnsi="Times New Roman" w:cs="Times New Roman"/>
              </w:rPr>
              <w:instrText xml:space="preserve"> INCLUDEPICTURE "/var/folders/mv/tx_d283d2bsdfsrb_j1vts680000gn/T/com.microsoft.Word/WebArchiveCopyPasteTempFiles/page6image4193896240" \* MERGEFORMATINET </w:instrText>
            </w:r>
            <w:r w:rsidRPr="0019035A">
              <w:rPr>
                <w:rFonts w:ascii="Times New Roman" w:eastAsia="Times New Roman" w:hAnsi="Times New Roman" w:cs="Times New Roman"/>
              </w:rPr>
              <w:fldChar w:fldCharType="separate"/>
            </w:r>
            <w:r w:rsidRPr="0019035A">
              <w:rPr>
                <w:rFonts w:ascii="Times New Roman" w:eastAsia="Times New Roman" w:hAnsi="Times New Roman" w:cs="Times New Roman"/>
                <w:noProof/>
              </w:rPr>
              <w:drawing>
                <wp:inline distT="0" distB="0" distL="0" distR="0">
                  <wp:extent cx="673100" cy="558800"/>
                  <wp:effectExtent l="0" t="0" r="0" b="0"/>
                  <wp:docPr id="10" name="Picture 10" descr="page6image4193896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6image419389624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73100" cy="558800"/>
                          </a:xfrm>
                          <a:prstGeom prst="rect">
                            <a:avLst/>
                          </a:prstGeom>
                          <a:noFill/>
                          <a:ln>
                            <a:noFill/>
                          </a:ln>
                        </pic:spPr>
                      </pic:pic>
                    </a:graphicData>
                  </a:graphic>
                </wp:inline>
              </w:drawing>
            </w:r>
            <w:r w:rsidRPr="0019035A">
              <w:rPr>
                <w:rFonts w:ascii="Times New Roman" w:eastAsia="Times New Roman" w:hAnsi="Times New Roman" w:cs="Times New Roman"/>
              </w:rPr>
              <w:fldChar w:fldCharType="end"/>
            </w:r>
          </w:p>
        </w:tc>
        <w:tc>
          <w:tcPr>
            <w:tcW w:w="0" w:type="auto"/>
            <w:tcBorders>
              <w:top w:val="single" w:sz="8" w:space="0" w:color="FFFFFC"/>
              <w:left w:val="single" w:sz="4" w:space="0" w:color="FFFFFC"/>
              <w:bottom w:val="single" w:sz="4" w:space="0" w:color="FFFFFC"/>
              <w:right w:val="single" w:sz="4" w:space="0" w:color="C6E2DB"/>
            </w:tcBorders>
            <w:shd w:val="clear" w:color="auto" w:fill="E5FFEF"/>
            <w:vAlign w:val="center"/>
            <w:hideMark/>
          </w:tcPr>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00FF75"/>
                <w:sz w:val="22"/>
                <w:szCs w:val="22"/>
              </w:rPr>
              <w:t xml:space="preserve">STRATEGY 1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2B546D"/>
                <w:sz w:val="20"/>
                <w:szCs w:val="20"/>
              </w:rPr>
              <w:t xml:space="preserve">Tailor lessons according to students’ existing knowledge and skill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color w:val="2B546D"/>
                <w:sz w:val="20"/>
                <w:szCs w:val="20"/>
              </w:rPr>
              <w:t xml:space="preserve">‘Element interactivity effect’ </w:t>
            </w:r>
          </w:p>
        </w:tc>
      </w:tr>
      <w:tr w:rsidR="0019035A" w:rsidRPr="0019035A" w:rsidTr="0019035A">
        <w:tc>
          <w:tcPr>
            <w:tcW w:w="0" w:type="auto"/>
            <w:tcBorders>
              <w:top w:val="single" w:sz="4" w:space="0" w:color="FFFFFC"/>
              <w:left w:val="single" w:sz="8" w:space="0" w:color="FFFFFC"/>
              <w:bottom w:val="single" w:sz="4" w:space="0" w:color="FFFFFC"/>
              <w:right w:val="single" w:sz="4" w:space="0" w:color="FFFFFC"/>
            </w:tcBorders>
            <w:shd w:val="clear" w:color="auto" w:fill="2B546D"/>
            <w:vAlign w:val="center"/>
            <w:hideMark/>
          </w:tcPr>
          <w:p w:rsidR="0019035A" w:rsidRPr="0019035A" w:rsidRDefault="0019035A" w:rsidP="0019035A">
            <w:pPr>
              <w:rPr>
                <w:rFonts w:ascii="Times New Roman" w:eastAsia="Times New Roman" w:hAnsi="Times New Roman" w:cs="Times New Roman"/>
              </w:rPr>
            </w:pPr>
            <w:r w:rsidRPr="0019035A">
              <w:rPr>
                <w:rFonts w:ascii="Times New Roman" w:eastAsia="Times New Roman" w:hAnsi="Times New Roman" w:cs="Times New Roman"/>
              </w:rPr>
              <w:fldChar w:fldCharType="begin"/>
            </w:r>
            <w:r w:rsidRPr="0019035A">
              <w:rPr>
                <w:rFonts w:ascii="Times New Roman" w:eastAsia="Times New Roman" w:hAnsi="Times New Roman" w:cs="Times New Roman"/>
              </w:rPr>
              <w:instrText xml:space="preserve"> INCLUDEPICTURE "/var/folders/mv/tx_d283d2bsdfsrb_j1vts680000gn/T/com.microsoft.Word/WebArchiveCopyPasteTempFiles/page6image4233166368" \* MERGEFORMATINET </w:instrText>
            </w:r>
            <w:r w:rsidRPr="0019035A">
              <w:rPr>
                <w:rFonts w:ascii="Times New Roman" w:eastAsia="Times New Roman" w:hAnsi="Times New Roman" w:cs="Times New Roman"/>
              </w:rPr>
              <w:fldChar w:fldCharType="separate"/>
            </w:r>
            <w:r w:rsidRPr="0019035A">
              <w:rPr>
                <w:rFonts w:ascii="Times New Roman" w:eastAsia="Times New Roman" w:hAnsi="Times New Roman" w:cs="Times New Roman"/>
                <w:noProof/>
              </w:rPr>
              <w:drawing>
                <wp:inline distT="0" distB="0" distL="0" distR="0">
                  <wp:extent cx="584200" cy="584200"/>
                  <wp:effectExtent l="0" t="0" r="0" b="0"/>
                  <wp:docPr id="9" name="Picture 9" descr="page6image4233166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6image423316636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4200" cy="584200"/>
                          </a:xfrm>
                          <a:prstGeom prst="rect">
                            <a:avLst/>
                          </a:prstGeom>
                          <a:noFill/>
                          <a:ln>
                            <a:noFill/>
                          </a:ln>
                        </pic:spPr>
                      </pic:pic>
                    </a:graphicData>
                  </a:graphic>
                </wp:inline>
              </w:drawing>
            </w:r>
            <w:r w:rsidRPr="0019035A">
              <w:rPr>
                <w:rFonts w:ascii="Times New Roman" w:eastAsia="Times New Roman" w:hAnsi="Times New Roman" w:cs="Times New Roman"/>
              </w:rPr>
              <w:fldChar w:fldCharType="end"/>
            </w:r>
          </w:p>
        </w:tc>
        <w:tc>
          <w:tcPr>
            <w:tcW w:w="0" w:type="auto"/>
            <w:tcBorders>
              <w:top w:val="single" w:sz="4" w:space="0" w:color="FFFFFC"/>
              <w:left w:val="single" w:sz="4" w:space="0" w:color="FFFFFC"/>
              <w:bottom w:val="single" w:sz="4" w:space="0" w:color="FFFFFC"/>
              <w:right w:val="single" w:sz="4" w:space="0" w:color="C6E2DB"/>
            </w:tcBorders>
            <w:vAlign w:val="center"/>
            <w:hideMark/>
          </w:tcPr>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00FF75"/>
                <w:sz w:val="22"/>
                <w:szCs w:val="22"/>
              </w:rPr>
              <w:t xml:space="preserve">STRATEGY 2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2B546D"/>
                <w:sz w:val="20"/>
                <w:szCs w:val="20"/>
              </w:rPr>
              <w:t xml:space="preserve">Use worked examples to teach students new content or skills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color w:val="2B546D"/>
                <w:sz w:val="20"/>
                <w:szCs w:val="20"/>
              </w:rPr>
              <w:t xml:space="preserve">‘Worked example effect’ </w:t>
            </w:r>
          </w:p>
        </w:tc>
      </w:tr>
      <w:tr w:rsidR="0019035A" w:rsidRPr="0019035A" w:rsidTr="0019035A">
        <w:tc>
          <w:tcPr>
            <w:tcW w:w="0" w:type="auto"/>
            <w:tcBorders>
              <w:top w:val="single" w:sz="4" w:space="0" w:color="FFFFFC"/>
              <w:left w:val="single" w:sz="8" w:space="0" w:color="FFFFFC"/>
              <w:bottom w:val="single" w:sz="4" w:space="0" w:color="FFFFFC"/>
              <w:right w:val="single" w:sz="4" w:space="0" w:color="FFFFFC"/>
            </w:tcBorders>
            <w:shd w:val="clear" w:color="auto" w:fill="2B546D"/>
            <w:vAlign w:val="center"/>
            <w:hideMark/>
          </w:tcPr>
          <w:p w:rsidR="0019035A" w:rsidRPr="0019035A" w:rsidRDefault="0019035A" w:rsidP="0019035A">
            <w:pPr>
              <w:rPr>
                <w:rFonts w:ascii="Times New Roman" w:eastAsia="Times New Roman" w:hAnsi="Times New Roman" w:cs="Times New Roman"/>
              </w:rPr>
            </w:pPr>
            <w:r w:rsidRPr="0019035A">
              <w:rPr>
                <w:rFonts w:ascii="Times New Roman" w:eastAsia="Times New Roman" w:hAnsi="Times New Roman" w:cs="Times New Roman"/>
              </w:rPr>
              <w:fldChar w:fldCharType="begin"/>
            </w:r>
            <w:r w:rsidRPr="0019035A">
              <w:rPr>
                <w:rFonts w:ascii="Times New Roman" w:eastAsia="Times New Roman" w:hAnsi="Times New Roman" w:cs="Times New Roman"/>
              </w:rPr>
              <w:instrText xml:space="preserve"> INCLUDEPICTURE "/var/folders/mv/tx_d283d2bsdfsrb_j1vts680000gn/T/com.microsoft.Word/WebArchiveCopyPasteTempFiles/page6image4232186736" \* MERGEFORMATINET </w:instrText>
            </w:r>
            <w:r w:rsidRPr="0019035A">
              <w:rPr>
                <w:rFonts w:ascii="Times New Roman" w:eastAsia="Times New Roman" w:hAnsi="Times New Roman" w:cs="Times New Roman"/>
              </w:rPr>
              <w:fldChar w:fldCharType="separate"/>
            </w:r>
            <w:r w:rsidRPr="0019035A">
              <w:rPr>
                <w:rFonts w:ascii="Times New Roman" w:eastAsia="Times New Roman" w:hAnsi="Times New Roman" w:cs="Times New Roman"/>
                <w:noProof/>
              </w:rPr>
              <w:drawing>
                <wp:inline distT="0" distB="0" distL="0" distR="0">
                  <wp:extent cx="584200" cy="584200"/>
                  <wp:effectExtent l="0" t="0" r="0" b="0"/>
                  <wp:docPr id="8" name="Picture 8" descr="page6image4232186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6image423218673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4200" cy="584200"/>
                          </a:xfrm>
                          <a:prstGeom prst="rect">
                            <a:avLst/>
                          </a:prstGeom>
                          <a:noFill/>
                          <a:ln>
                            <a:noFill/>
                          </a:ln>
                        </pic:spPr>
                      </pic:pic>
                    </a:graphicData>
                  </a:graphic>
                </wp:inline>
              </w:drawing>
            </w:r>
            <w:r w:rsidRPr="0019035A">
              <w:rPr>
                <w:rFonts w:ascii="Times New Roman" w:eastAsia="Times New Roman" w:hAnsi="Times New Roman" w:cs="Times New Roman"/>
              </w:rPr>
              <w:fldChar w:fldCharType="end"/>
            </w:r>
          </w:p>
        </w:tc>
        <w:tc>
          <w:tcPr>
            <w:tcW w:w="0" w:type="auto"/>
            <w:tcBorders>
              <w:top w:val="single" w:sz="4" w:space="0" w:color="FFFFFC"/>
              <w:left w:val="single" w:sz="4" w:space="0" w:color="FFFFFC"/>
              <w:bottom w:val="single" w:sz="4" w:space="0" w:color="FFFFFC"/>
              <w:right w:val="single" w:sz="4" w:space="0" w:color="C6E2DB"/>
            </w:tcBorders>
            <w:shd w:val="clear" w:color="auto" w:fill="E5FFEF"/>
            <w:vAlign w:val="center"/>
            <w:hideMark/>
          </w:tcPr>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00FF75"/>
                <w:sz w:val="22"/>
                <w:szCs w:val="22"/>
              </w:rPr>
              <w:t xml:space="preserve">STRATEGY 3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2B546D"/>
                <w:sz w:val="20"/>
                <w:szCs w:val="20"/>
              </w:rPr>
              <w:t xml:space="preserve">Gradually increase independent problem-solving as students become more proficient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color w:val="2B546D"/>
                <w:sz w:val="20"/>
                <w:szCs w:val="20"/>
              </w:rPr>
              <w:t xml:space="preserve">‘Expertise reversal effect’ </w:t>
            </w:r>
          </w:p>
        </w:tc>
      </w:tr>
      <w:tr w:rsidR="0019035A" w:rsidRPr="0019035A" w:rsidTr="0019035A">
        <w:tc>
          <w:tcPr>
            <w:tcW w:w="0" w:type="auto"/>
            <w:tcBorders>
              <w:top w:val="single" w:sz="4" w:space="0" w:color="FFFFFC"/>
              <w:left w:val="single" w:sz="8" w:space="0" w:color="FFFFFC"/>
              <w:bottom w:val="single" w:sz="4" w:space="0" w:color="FFFFFC"/>
              <w:right w:val="single" w:sz="4" w:space="0" w:color="FFFFFC"/>
            </w:tcBorders>
            <w:shd w:val="clear" w:color="auto" w:fill="2B546D"/>
            <w:vAlign w:val="center"/>
            <w:hideMark/>
          </w:tcPr>
          <w:p w:rsidR="0019035A" w:rsidRPr="0019035A" w:rsidRDefault="0019035A" w:rsidP="0019035A">
            <w:pPr>
              <w:rPr>
                <w:rFonts w:ascii="Times New Roman" w:eastAsia="Times New Roman" w:hAnsi="Times New Roman" w:cs="Times New Roman"/>
              </w:rPr>
            </w:pPr>
            <w:r w:rsidRPr="0019035A">
              <w:rPr>
                <w:rFonts w:ascii="Times New Roman" w:eastAsia="Times New Roman" w:hAnsi="Times New Roman" w:cs="Times New Roman"/>
              </w:rPr>
              <w:fldChar w:fldCharType="begin"/>
            </w:r>
            <w:r w:rsidRPr="0019035A">
              <w:rPr>
                <w:rFonts w:ascii="Times New Roman" w:eastAsia="Times New Roman" w:hAnsi="Times New Roman" w:cs="Times New Roman"/>
              </w:rPr>
              <w:instrText xml:space="preserve"> INCLUDEPICTURE "/var/folders/mv/tx_d283d2bsdfsrb_j1vts680000gn/T/com.microsoft.Word/WebArchiveCopyPasteTempFiles/page6image4232494304" \* MERGEFORMATINET </w:instrText>
            </w:r>
            <w:r w:rsidRPr="0019035A">
              <w:rPr>
                <w:rFonts w:ascii="Times New Roman" w:eastAsia="Times New Roman" w:hAnsi="Times New Roman" w:cs="Times New Roman"/>
              </w:rPr>
              <w:fldChar w:fldCharType="separate"/>
            </w:r>
            <w:r w:rsidRPr="0019035A">
              <w:rPr>
                <w:rFonts w:ascii="Times New Roman" w:eastAsia="Times New Roman" w:hAnsi="Times New Roman" w:cs="Times New Roman"/>
                <w:noProof/>
              </w:rPr>
              <w:drawing>
                <wp:inline distT="0" distB="0" distL="0" distR="0">
                  <wp:extent cx="482600" cy="482600"/>
                  <wp:effectExtent l="0" t="0" r="0" b="0"/>
                  <wp:docPr id="7" name="Picture 7" descr="page6image4232494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6image423249430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2600" cy="482600"/>
                          </a:xfrm>
                          <a:prstGeom prst="rect">
                            <a:avLst/>
                          </a:prstGeom>
                          <a:noFill/>
                          <a:ln>
                            <a:noFill/>
                          </a:ln>
                        </pic:spPr>
                      </pic:pic>
                    </a:graphicData>
                  </a:graphic>
                </wp:inline>
              </w:drawing>
            </w:r>
            <w:r w:rsidRPr="0019035A">
              <w:rPr>
                <w:rFonts w:ascii="Times New Roman" w:eastAsia="Times New Roman" w:hAnsi="Times New Roman" w:cs="Times New Roman"/>
              </w:rPr>
              <w:fldChar w:fldCharType="end"/>
            </w:r>
          </w:p>
        </w:tc>
        <w:tc>
          <w:tcPr>
            <w:tcW w:w="0" w:type="auto"/>
            <w:tcBorders>
              <w:top w:val="single" w:sz="4" w:space="0" w:color="FFFFFC"/>
              <w:left w:val="single" w:sz="4" w:space="0" w:color="FFFFFC"/>
              <w:bottom w:val="single" w:sz="4" w:space="0" w:color="FFFFFC"/>
              <w:right w:val="single" w:sz="4" w:space="0" w:color="C6E2DB"/>
            </w:tcBorders>
            <w:vAlign w:val="center"/>
            <w:hideMark/>
          </w:tcPr>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00FF75"/>
                <w:sz w:val="22"/>
                <w:szCs w:val="22"/>
              </w:rPr>
              <w:t xml:space="preserve">STRATEGY 4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2B546D"/>
                <w:sz w:val="20"/>
                <w:szCs w:val="20"/>
              </w:rPr>
              <w:t xml:space="preserve">Cut out inessential information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color w:val="2B546D"/>
                <w:sz w:val="20"/>
                <w:szCs w:val="20"/>
              </w:rPr>
              <w:t xml:space="preserve">‘Redundancy effect’ </w:t>
            </w:r>
          </w:p>
        </w:tc>
      </w:tr>
      <w:tr w:rsidR="0019035A" w:rsidRPr="0019035A" w:rsidTr="0019035A">
        <w:tc>
          <w:tcPr>
            <w:tcW w:w="0" w:type="auto"/>
            <w:tcBorders>
              <w:top w:val="single" w:sz="4" w:space="0" w:color="FFFFFC"/>
              <w:left w:val="single" w:sz="8" w:space="0" w:color="FFFFFC"/>
              <w:bottom w:val="single" w:sz="4" w:space="0" w:color="FFFFFC"/>
              <w:right w:val="single" w:sz="4" w:space="0" w:color="FFFFFC"/>
            </w:tcBorders>
            <w:shd w:val="clear" w:color="auto" w:fill="2B546D"/>
            <w:vAlign w:val="center"/>
            <w:hideMark/>
          </w:tcPr>
          <w:p w:rsidR="0019035A" w:rsidRPr="0019035A" w:rsidRDefault="0019035A" w:rsidP="0019035A">
            <w:pPr>
              <w:rPr>
                <w:rFonts w:ascii="Times New Roman" w:eastAsia="Times New Roman" w:hAnsi="Times New Roman" w:cs="Times New Roman"/>
              </w:rPr>
            </w:pPr>
            <w:r w:rsidRPr="0019035A">
              <w:rPr>
                <w:rFonts w:ascii="Times New Roman" w:eastAsia="Times New Roman" w:hAnsi="Times New Roman" w:cs="Times New Roman"/>
              </w:rPr>
              <w:fldChar w:fldCharType="begin"/>
            </w:r>
            <w:r w:rsidRPr="0019035A">
              <w:rPr>
                <w:rFonts w:ascii="Times New Roman" w:eastAsia="Times New Roman" w:hAnsi="Times New Roman" w:cs="Times New Roman"/>
              </w:rPr>
              <w:instrText xml:space="preserve"> INCLUDEPICTURE "/var/folders/mv/tx_d283d2bsdfsrb_j1vts680000gn/T/com.microsoft.Word/WebArchiveCopyPasteTempFiles/page6image4192401264" \* MERGEFORMATINET </w:instrText>
            </w:r>
            <w:r w:rsidRPr="0019035A">
              <w:rPr>
                <w:rFonts w:ascii="Times New Roman" w:eastAsia="Times New Roman" w:hAnsi="Times New Roman" w:cs="Times New Roman"/>
              </w:rPr>
              <w:fldChar w:fldCharType="separate"/>
            </w:r>
            <w:r w:rsidRPr="0019035A">
              <w:rPr>
                <w:rFonts w:ascii="Times New Roman" w:eastAsia="Times New Roman" w:hAnsi="Times New Roman" w:cs="Times New Roman"/>
                <w:noProof/>
              </w:rPr>
              <w:drawing>
                <wp:inline distT="0" distB="0" distL="0" distR="0">
                  <wp:extent cx="508000" cy="508000"/>
                  <wp:effectExtent l="0" t="0" r="0" b="0"/>
                  <wp:docPr id="6" name="Picture 6" descr="page6image4192401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6image419240126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8000" cy="508000"/>
                          </a:xfrm>
                          <a:prstGeom prst="rect">
                            <a:avLst/>
                          </a:prstGeom>
                          <a:noFill/>
                          <a:ln>
                            <a:noFill/>
                          </a:ln>
                        </pic:spPr>
                      </pic:pic>
                    </a:graphicData>
                  </a:graphic>
                </wp:inline>
              </w:drawing>
            </w:r>
            <w:r w:rsidRPr="0019035A">
              <w:rPr>
                <w:rFonts w:ascii="Times New Roman" w:eastAsia="Times New Roman" w:hAnsi="Times New Roman" w:cs="Times New Roman"/>
              </w:rPr>
              <w:fldChar w:fldCharType="end"/>
            </w:r>
          </w:p>
        </w:tc>
        <w:tc>
          <w:tcPr>
            <w:tcW w:w="0" w:type="auto"/>
            <w:tcBorders>
              <w:top w:val="single" w:sz="4" w:space="0" w:color="FFFFFC"/>
              <w:left w:val="single" w:sz="4" w:space="0" w:color="FFFFFC"/>
              <w:bottom w:val="single" w:sz="4" w:space="0" w:color="FFFFFC"/>
              <w:right w:val="single" w:sz="4" w:space="0" w:color="C6E2DB"/>
            </w:tcBorders>
            <w:shd w:val="clear" w:color="auto" w:fill="E5FFEF"/>
            <w:vAlign w:val="center"/>
            <w:hideMark/>
          </w:tcPr>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00FF75"/>
                <w:sz w:val="22"/>
                <w:szCs w:val="22"/>
              </w:rPr>
              <w:t xml:space="preserve">STRATEGY 5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2B546D"/>
                <w:sz w:val="20"/>
                <w:szCs w:val="20"/>
              </w:rPr>
              <w:t xml:space="preserve">Present all the essential information together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color w:val="2B546D"/>
                <w:sz w:val="20"/>
                <w:szCs w:val="20"/>
              </w:rPr>
              <w:t xml:space="preserve">‘Split-attention effect’ </w:t>
            </w:r>
          </w:p>
        </w:tc>
      </w:tr>
      <w:tr w:rsidR="0019035A" w:rsidRPr="0019035A" w:rsidTr="0019035A">
        <w:tc>
          <w:tcPr>
            <w:tcW w:w="0" w:type="auto"/>
            <w:tcBorders>
              <w:top w:val="single" w:sz="4" w:space="0" w:color="FFFFFC"/>
              <w:left w:val="single" w:sz="8" w:space="0" w:color="FFFFFC"/>
              <w:bottom w:val="single" w:sz="4" w:space="0" w:color="FFFFFC"/>
              <w:right w:val="single" w:sz="4" w:space="0" w:color="FFFFFC"/>
            </w:tcBorders>
            <w:shd w:val="clear" w:color="auto" w:fill="2B546D"/>
            <w:vAlign w:val="center"/>
            <w:hideMark/>
          </w:tcPr>
          <w:p w:rsidR="0019035A" w:rsidRPr="0019035A" w:rsidRDefault="0019035A" w:rsidP="0019035A">
            <w:pPr>
              <w:rPr>
                <w:rFonts w:ascii="Times New Roman" w:eastAsia="Times New Roman" w:hAnsi="Times New Roman" w:cs="Times New Roman"/>
              </w:rPr>
            </w:pPr>
            <w:r w:rsidRPr="0019035A">
              <w:rPr>
                <w:rFonts w:ascii="Times New Roman" w:eastAsia="Times New Roman" w:hAnsi="Times New Roman" w:cs="Times New Roman"/>
              </w:rPr>
              <w:fldChar w:fldCharType="begin"/>
            </w:r>
            <w:r w:rsidRPr="0019035A">
              <w:rPr>
                <w:rFonts w:ascii="Times New Roman" w:eastAsia="Times New Roman" w:hAnsi="Times New Roman" w:cs="Times New Roman"/>
              </w:rPr>
              <w:instrText xml:space="preserve"> INCLUDEPICTURE "/var/folders/mv/tx_d283d2bsdfsrb_j1vts680000gn/T/com.microsoft.Word/WebArchiveCopyPasteTempFiles/page6image4192531152" \* MERGEFORMATINET </w:instrText>
            </w:r>
            <w:r w:rsidRPr="0019035A">
              <w:rPr>
                <w:rFonts w:ascii="Times New Roman" w:eastAsia="Times New Roman" w:hAnsi="Times New Roman" w:cs="Times New Roman"/>
              </w:rPr>
              <w:fldChar w:fldCharType="separate"/>
            </w:r>
            <w:r w:rsidRPr="0019035A">
              <w:rPr>
                <w:rFonts w:ascii="Times New Roman" w:eastAsia="Times New Roman" w:hAnsi="Times New Roman" w:cs="Times New Roman"/>
                <w:noProof/>
              </w:rPr>
              <w:drawing>
                <wp:inline distT="0" distB="0" distL="0" distR="0">
                  <wp:extent cx="647700" cy="342900"/>
                  <wp:effectExtent l="0" t="0" r="0" b="0"/>
                  <wp:docPr id="5" name="Picture 5" descr="page6image4192531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6image419253115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47700" cy="342900"/>
                          </a:xfrm>
                          <a:prstGeom prst="rect">
                            <a:avLst/>
                          </a:prstGeom>
                          <a:noFill/>
                          <a:ln>
                            <a:noFill/>
                          </a:ln>
                        </pic:spPr>
                      </pic:pic>
                    </a:graphicData>
                  </a:graphic>
                </wp:inline>
              </w:drawing>
            </w:r>
            <w:r w:rsidRPr="0019035A">
              <w:rPr>
                <w:rFonts w:ascii="Times New Roman" w:eastAsia="Times New Roman" w:hAnsi="Times New Roman" w:cs="Times New Roman"/>
              </w:rPr>
              <w:fldChar w:fldCharType="end"/>
            </w:r>
          </w:p>
        </w:tc>
        <w:tc>
          <w:tcPr>
            <w:tcW w:w="0" w:type="auto"/>
            <w:tcBorders>
              <w:top w:val="single" w:sz="4" w:space="0" w:color="FFFFFC"/>
              <w:left w:val="single" w:sz="4" w:space="0" w:color="FFFFFC"/>
              <w:bottom w:val="single" w:sz="4" w:space="0" w:color="FFFFFC"/>
              <w:right w:val="single" w:sz="4" w:space="0" w:color="C6E2DB"/>
            </w:tcBorders>
            <w:vAlign w:val="center"/>
            <w:hideMark/>
          </w:tcPr>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00FF75"/>
                <w:sz w:val="22"/>
                <w:szCs w:val="22"/>
              </w:rPr>
              <w:t xml:space="preserve">STRATEGY 6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2B546D"/>
                <w:sz w:val="20"/>
                <w:szCs w:val="20"/>
              </w:rPr>
              <w:t xml:space="preserve">Simplify complex information by presenting it both orally and visually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color w:val="2B546D"/>
                <w:sz w:val="20"/>
                <w:szCs w:val="20"/>
              </w:rPr>
              <w:t xml:space="preserve">‘Modality effect’ </w:t>
            </w:r>
          </w:p>
        </w:tc>
      </w:tr>
      <w:tr w:rsidR="0019035A" w:rsidRPr="0019035A" w:rsidTr="0019035A">
        <w:tc>
          <w:tcPr>
            <w:tcW w:w="0" w:type="auto"/>
            <w:tcBorders>
              <w:top w:val="single" w:sz="4" w:space="0" w:color="FFFFFC"/>
              <w:left w:val="single" w:sz="8" w:space="0" w:color="FFFFFC"/>
              <w:bottom w:val="single" w:sz="8" w:space="0" w:color="FFFFFC"/>
              <w:right w:val="single" w:sz="4" w:space="0" w:color="FFFFFC"/>
            </w:tcBorders>
            <w:shd w:val="clear" w:color="auto" w:fill="2B546D"/>
            <w:vAlign w:val="center"/>
            <w:hideMark/>
          </w:tcPr>
          <w:p w:rsidR="0019035A" w:rsidRPr="0019035A" w:rsidRDefault="0019035A" w:rsidP="0019035A">
            <w:pPr>
              <w:rPr>
                <w:rFonts w:ascii="Times New Roman" w:eastAsia="Times New Roman" w:hAnsi="Times New Roman" w:cs="Times New Roman"/>
              </w:rPr>
            </w:pPr>
            <w:r w:rsidRPr="0019035A">
              <w:rPr>
                <w:rFonts w:ascii="Times New Roman" w:eastAsia="Times New Roman" w:hAnsi="Times New Roman" w:cs="Times New Roman"/>
              </w:rPr>
              <w:fldChar w:fldCharType="begin"/>
            </w:r>
            <w:r w:rsidRPr="0019035A">
              <w:rPr>
                <w:rFonts w:ascii="Times New Roman" w:eastAsia="Times New Roman" w:hAnsi="Times New Roman" w:cs="Times New Roman"/>
              </w:rPr>
              <w:instrText xml:space="preserve"> INCLUDEPICTURE "/var/folders/mv/tx_d283d2bsdfsrb_j1vts680000gn/T/com.microsoft.Word/WebArchiveCopyPasteTempFiles/page6image4192617984" \* MERGEFORMATINET </w:instrText>
            </w:r>
            <w:r w:rsidRPr="0019035A">
              <w:rPr>
                <w:rFonts w:ascii="Times New Roman" w:eastAsia="Times New Roman" w:hAnsi="Times New Roman" w:cs="Times New Roman"/>
              </w:rPr>
              <w:fldChar w:fldCharType="separate"/>
            </w:r>
            <w:r w:rsidRPr="0019035A">
              <w:rPr>
                <w:rFonts w:ascii="Times New Roman" w:eastAsia="Times New Roman" w:hAnsi="Times New Roman" w:cs="Times New Roman"/>
                <w:noProof/>
              </w:rPr>
              <w:drawing>
                <wp:inline distT="0" distB="0" distL="0" distR="0">
                  <wp:extent cx="419100" cy="419100"/>
                  <wp:effectExtent l="0" t="0" r="0" b="0"/>
                  <wp:docPr id="4" name="Picture 4" descr="page6image4192617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6image419261798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9100" cy="419100"/>
                          </a:xfrm>
                          <a:prstGeom prst="rect">
                            <a:avLst/>
                          </a:prstGeom>
                          <a:noFill/>
                          <a:ln>
                            <a:noFill/>
                          </a:ln>
                        </pic:spPr>
                      </pic:pic>
                    </a:graphicData>
                  </a:graphic>
                </wp:inline>
              </w:drawing>
            </w:r>
            <w:r w:rsidRPr="0019035A">
              <w:rPr>
                <w:rFonts w:ascii="Times New Roman" w:eastAsia="Times New Roman" w:hAnsi="Times New Roman" w:cs="Times New Roman"/>
              </w:rPr>
              <w:fldChar w:fldCharType="end"/>
            </w:r>
          </w:p>
        </w:tc>
        <w:tc>
          <w:tcPr>
            <w:tcW w:w="0" w:type="auto"/>
            <w:tcBorders>
              <w:top w:val="single" w:sz="4" w:space="0" w:color="FFFFFC"/>
              <w:left w:val="single" w:sz="4" w:space="0" w:color="FFFFFC"/>
              <w:bottom w:val="single" w:sz="8" w:space="0" w:color="FFFFFC"/>
              <w:right w:val="single" w:sz="4" w:space="0" w:color="C6E2DB"/>
            </w:tcBorders>
            <w:shd w:val="clear" w:color="auto" w:fill="E5FFEF"/>
            <w:vAlign w:val="center"/>
            <w:hideMark/>
          </w:tcPr>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00FF75"/>
                <w:sz w:val="22"/>
                <w:szCs w:val="22"/>
              </w:rPr>
              <w:t xml:space="preserve">STRATEGY 7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b/>
                <w:bCs/>
                <w:color w:val="2B546D"/>
                <w:sz w:val="20"/>
                <w:szCs w:val="20"/>
              </w:rPr>
              <w:t xml:space="preserve">Encourage students to visualise concepts and procedures that they have learnt </w:t>
            </w:r>
          </w:p>
          <w:p w:rsidR="0019035A" w:rsidRPr="0019035A" w:rsidRDefault="0019035A" w:rsidP="0019035A">
            <w:pPr>
              <w:spacing w:before="100" w:beforeAutospacing="1" w:after="100" w:afterAutospacing="1"/>
              <w:rPr>
                <w:rFonts w:ascii="Times New Roman" w:eastAsia="Times New Roman" w:hAnsi="Times New Roman" w:cs="Times New Roman"/>
              </w:rPr>
            </w:pPr>
            <w:r w:rsidRPr="0019035A">
              <w:rPr>
                <w:rFonts w:ascii="FrutigerLTPro" w:eastAsia="Times New Roman" w:hAnsi="FrutigerLTPro" w:cs="Times New Roman"/>
                <w:color w:val="2B546D"/>
                <w:sz w:val="20"/>
                <w:szCs w:val="20"/>
              </w:rPr>
              <w:t xml:space="preserve">‘Imagination effect’ </w:t>
            </w:r>
          </w:p>
        </w:tc>
      </w:tr>
    </w:tbl>
    <w:p w:rsidR="0019035A" w:rsidRPr="0019035A" w:rsidRDefault="0019035A" w:rsidP="0019035A">
      <w:pPr>
        <w:rPr>
          <w:rFonts w:ascii="Times New Roman" w:eastAsia="Times New Roman" w:hAnsi="Times New Roman" w:cs="Times New Roman"/>
        </w:rPr>
      </w:pPr>
      <w:r w:rsidRPr="0019035A">
        <w:rPr>
          <w:rFonts w:ascii="Times New Roman" w:eastAsia="Times New Roman" w:hAnsi="Times New Roman" w:cs="Times New Roman"/>
        </w:rPr>
        <w:fldChar w:fldCharType="begin"/>
      </w:r>
      <w:r w:rsidRPr="0019035A">
        <w:rPr>
          <w:rFonts w:ascii="Times New Roman" w:eastAsia="Times New Roman" w:hAnsi="Times New Roman" w:cs="Times New Roman"/>
        </w:rPr>
        <w:instrText xml:space="preserve"> INCLUDEPICTURE "/var/folders/mv/tx_d283d2bsdfsrb_j1vts680000gn/T/com.microsoft.Word/WebArchiveCopyPasteTempFiles/page6image4233274048" \* MERGEFORMATINET </w:instrText>
      </w:r>
      <w:r w:rsidRPr="0019035A">
        <w:rPr>
          <w:rFonts w:ascii="Times New Roman" w:eastAsia="Times New Roman" w:hAnsi="Times New Roman" w:cs="Times New Roman"/>
        </w:rPr>
        <w:fldChar w:fldCharType="separate"/>
      </w:r>
      <w:r w:rsidRPr="0019035A">
        <w:rPr>
          <w:rFonts w:ascii="Times New Roman" w:eastAsia="Times New Roman" w:hAnsi="Times New Roman" w:cs="Times New Roman"/>
          <w:noProof/>
        </w:rPr>
        <w:drawing>
          <wp:inline distT="0" distB="0" distL="0" distR="0">
            <wp:extent cx="5727700" cy="85090"/>
            <wp:effectExtent l="0" t="0" r="0" b="3810"/>
            <wp:docPr id="3" name="Picture 3" descr="page6image4233274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6image423327404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85090"/>
                    </a:xfrm>
                    <a:prstGeom prst="rect">
                      <a:avLst/>
                    </a:prstGeom>
                    <a:noFill/>
                    <a:ln>
                      <a:noFill/>
                    </a:ln>
                  </pic:spPr>
                </pic:pic>
              </a:graphicData>
            </a:graphic>
          </wp:inline>
        </w:drawing>
      </w:r>
      <w:r w:rsidRPr="0019035A">
        <w:rPr>
          <w:rFonts w:ascii="Times New Roman" w:eastAsia="Times New Roman" w:hAnsi="Times New Roman" w:cs="Times New Roman"/>
        </w:rPr>
        <w:fldChar w:fldCharType="end"/>
      </w:r>
    </w:p>
    <w:p w:rsidR="002F1379" w:rsidRDefault="002F1379" w:rsidP="00C21040"/>
    <w:p w:rsidR="002F1379" w:rsidRDefault="002F1379" w:rsidP="00C21040"/>
    <w:p w:rsidR="00B3189A" w:rsidRDefault="00B3189A" w:rsidP="00C21040"/>
    <w:p w:rsidR="00167BE8" w:rsidRDefault="00167BE8" w:rsidP="00C21040"/>
    <w:p w:rsidR="00167BE8" w:rsidRDefault="00167BE8" w:rsidP="00C21040"/>
    <w:p w:rsidR="00F3399E" w:rsidRDefault="00F3399E" w:rsidP="00C21040"/>
    <w:p w:rsidR="00F3399E" w:rsidRDefault="00F3399E" w:rsidP="00C21040"/>
    <w:p w:rsidR="001B4520" w:rsidRPr="001B4520" w:rsidRDefault="001B4520" w:rsidP="00C21040">
      <w:pPr>
        <w:rPr>
          <w:u w:val="single"/>
        </w:rPr>
      </w:pPr>
      <w:r w:rsidRPr="001B4520">
        <w:rPr>
          <w:u w:val="single"/>
        </w:rPr>
        <w:t xml:space="preserve">APPENDIX 2 </w:t>
      </w:r>
    </w:p>
    <w:p w:rsidR="001B4520" w:rsidRDefault="001B4520" w:rsidP="00C21040"/>
    <w:p w:rsidR="001B4520" w:rsidRDefault="001B4520" w:rsidP="00C21040"/>
    <w:p w:rsidR="00566EC2" w:rsidRDefault="001B4520" w:rsidP="00C21040">
      <w:r>
        <w:rPr>
          <w:noProof/>
        </w:rPr>
        <w:drawing>
          <wp:inline distT="0" distB="0" distL="0" distR="0">
            <wp:extent cx="5727700" cy="76384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990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7638415"/>
                    </a:xfrm>
                    <a:prstGeom prst="rect">
                      <a:avLst/>
                    </a:prstGeom>
                  </pic:spPr>
                </pic:pic>
              </a:graphicData>
            </a:graphic>
          </wp:inline>
        </w:drawing>
      </w:r>
    </w:p>
    <w:p w:rsidR="001B4520" w:rsidRPr="001B4520" w:rsidRDefault="001B4520" w:rsidP="001B4520">
      <w:pPr>
        <w:rPr>
          <w:rFonts w:ascii="Times New Roman" w:eastAsia="Times New Roman" w:hAnsi="Times New Roman" w:cs="Times New Roman"/>
        </w:rPr>
      </w:pPr>
      <w:r w:rsidRPr="001B4520">
        <w:rPr>
          <w:rFonts w:ascii="Times New Roman" w:eastAsia="Times New Roman" w:hAnsi="Times New Roman" w:cs="Times New Roman"/>
        </w:rPr>
        <w:lastRenderedPageBreak/>
        <w:fldChar w:fldCharType="begin"/>
      </w:r>
      <w:r w:rsidRPr="001B4520">
        <w:rPr>
          <w:rFonts w:ascii="Times New Roman" w:eastAsia="Times New Roman" w:hAnsi="Times New Roman" w:cs="Times New Roman"/>
        </w:rPr>
        <w:instrText xml:space="preserve"> INCLUDEPICTURE "cid:E0378B55-CFEC-42B0-AACF-94AC2C110EAD" \* MERGEFORMATINET </w:instrText>
      </w:r>
      <w:r w:rsidRPr="001B4520">
        <w:rPr>
          <w:rFonts w:ascii="Times New Roman" w:eastAsia="Times New Roman" w:hAnsi="Times New Roman" w:cs="Times New Roman"/>
        </w:rPr>
        <w:fldChar w:fldCharType="separate"/>
      </w:r>
      <w:r w:rsidRPr="001B4520">
        <w:rPr>
          <w:rFonts w:ascii="Times New Roman" w:eastAsia="Times New Roman" w:hAnsi="Times New Roman" w:cs="Times New Roman"/>
          <w:noProof/>
        </w:rPr>
        <mc:AlternateContent>
          <mc:Choice Requires="wps">
            <w:drawing>
              <wp:inline distT="0" distB="0" distL="0" distR="0">
                <wp:extent cx="304800" cy="304800"/>
                <wp:effectExtent l="0" t="0" r="0" b="0"/>
                <wp:docPr id="14" name="Rectangle 14" descr="IMG_9902.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8134AB" id="Rectangle 14" o:spid="_x0000_s1026" alt="IMG_9902.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" filled="f" stroked="f">
                <o:lock v:ext="edit" aspectratio="t"/>
                <w10:anchorlock/>
              </v:rect>
            </w:pict>
          </mc:Fallback>
        </mc:AlternateContent>
      </w:r>
      <w:r w:rsidRPr="001B4520">
        <w:rPr>
          <w:rFonts w:ascii="Times New Roman" w:eastAsia="Times New Roman" w:hAnsi="Times New Roman" w:cs="Times New Roman"/>
        </w:rPr>
        <w:fldChar w:fldCharType="end"/>
      </w:r>
    </w:p>
    <w:p w:rsidR="001B4520" w:rsidRPr="001B4520" w:rsidRDefault="001B4520" w:rsidP="001B4520">
      <w:pPr>
        <w:rPr>
          <w:rFonts w:ascii="Times New Roman" w:eastAsia="Times New Roman" w:hAnsi="Times New Roman" w:cs="Times New Roman"/>
        </w:rPr>
      </w:pPr>
    </w:p>
    <w:p w:rsidR="006A1B65" w:rsidRDefault="006A1B65" w:rsidP="00C21040"/>
    <w:p w:rsidR="001B4520" w:rsidRPr="001B4520" w:rsidRDefault="001B4520" w:rsidP="00C21040">
      <w:pPr>
        <w:rPr>
          <w:u w:val="single"/>
        </w:rPr>
      </w:pPr>
      <w:r w:rsidRPr="001B4520">
        <w:rPr>
          <w:u w:val="single"/>
        </w:rPr>
        <w:t xml:space="preserve">APPENDIX 3 </w:t>
      </w:r>
    </w:p>
    <w:p w:rsidR="001B4520" w:rsidRDefault="001B4520" w:rsidP="00C21040"/>
    <w:p w:rsidR="001B4520" w:rsidRDefault="001B4520" w:rsidP="00C21040"/>
    <w:p w:rsidR="006A1B65" w:rsidRDefault="001B4520" w:rsidP="00C21040">
      <w:r>
        <w:rPr>
          <w:noProof/>
        </w:rPr>
        <w:lastRenderedPageBreak/>
        <w:drawing>
          <wp:inline distT="0" distB="0" distL="0" distR="0">
            <wp:extent cx="5727700" cy="7729855"/>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990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7729855"/>
                    </a:xfrm>
                    <a:prstGeom prst="rect">
                      <a:avLst/>
                    </a:prstGeom>
                  </pic:spPr>
                </pic:pic>
              </a:graphicData>
            </a:graphic>
          </wp:inline>
        </w:drawing>
      </w:r>
    </w:p>
    <w:p w:rsidR="000F63C5" w:rsidRDefault="000F63C5" w:rsidP="00C21040"/>
    <w:p w:rsidR="000F63C5" w:rsidRDefault="000F63C5" w:rsidP="00C21040"/>
    <w:p w:rsidR="000F63C5" w:rsidRDefault="000F63C5" w:rsidP="00C21040"/>
    <w:p w:rsidR="000F63C5" w:rsidRDefault="000F63C5" w:rsidP="00C21040"/>
    <w:p w:rsidR="000F63C5" w:rsidRDefault="000F63C5" w:rsidP="00C21040"/>
    <w:p w:rsidR="000F63C5" w:rsidRDefault="000F63C5" w:rsidP="00C21040"/>
    <w:p w:rsidR="000F63C5" w:rsidRPr="000F63C5" w:rsidRDefault="000F63C5" w:rsidP="00C21040">
      <w:pPr>
        <w:rPr>
          <w:u w:val="single"/>
        </w:rPr>
      </w:pPr>
      <w:r>
        <w:rPr>
          <w:u w:val="single"/>
        </w:rPr>
        <w:lastRenderedPageBreak/>
        <w:t xml:space="preserve">APPENDIX 4 </w:t>
      </w:r>
    </w:p>
    <w:p w:rsidR="000F63C5" w:rsidRDefault="000F63C5" w:rsidP="00C21040"/>
    <w:p w:rsidR="000F63C5" w:rsidRDefault="000F63C5" w:rsidP="00C21040"/>
    <w:p w:rsidR="000F63C5" w:rsidRDefault="000F63C5" w:rsidP="00C21040"/>
    <w:p w:rsidR="000F63C5" w:rsidRDefault="000F63C5" w:rsidP="00C21040">
      <w:r>
        <w:rPr>
          <w:noProof/>
        </w:rPr>
        <w:drawing>
          <wp:inline distT="0" distB="0" distL="0" distR="0">
            <wp:extent cx="5727700" cy="4758055"/>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990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4758055"/>
                    </a:xfrm>
                    <a:prstGeom prst="rect">
                      <a:avLst/>
                    </a:prstGeom>
                  </pic:spPr>
                </pic:pic>
              </a:graphicData>
            </a:graphic>
          </wp:inline>
        </w:drawing>
      </w:r>
    </w:p>
    <w:p w:rsidR="000F63C5" w:rsidRDefault="000F63C5" w:rsidP="00C21040"/>
    <w:p w:rsidR="000F63C5" w:rsidRDefault="000F63C5" w:rsidP="00C21040"/>
    <w:p w:rsidR="000F63C5" w:rsidRDefault="000F63C5" w:rsidP="00C21040"/>
    <w:p w:rsidR="00BB1381" w:rsidRDefault="00BB1381" w:rsidP="00C21040"/>
    <w:p w:rsidR="00BB1381" w:rsidRDefault="00BB1381" w:rsidP="00C21040"/>
    <w:p w:rsidR="003E6876" w:rsidRDefault="003E6876" w:rsidP="00C21040"/>
    <w:p w:rsidR="003E6876" w:rsidRDefault="003E6876" w:rsidP="00C21040"/>
    <w:p w:rsidR="003E6876" w:rsidRDefault="003E6876" w:rsidP="00C21040"/>
    <w:p w:rsidR="003E6876" w:rsidRDefault="003E6876" w:rsidP="00C21040"/>
    <w:p w:rsidR="003E6876" w:rsidRDefault="003E6876" w:rsidP="00C21040"/>
    <w:p w:rsidR="003E6876" w:rsidRDefault="003E6876" w:rsidP="00C21040"/>
    <w:p w:rsidR="003E6876" w:rsidRDefault="003E6876" w:rsidP="00C21040"/>
    <w:p w:rsidR="003E6876" w:rsidRDefault="003E6876" w:rsidP="00C21040"/>
    <w:p w:rsidR="003E6876" w:rsidRDefault="003E6876" w:rsidP="00C21040"/>
    <w:p w:rsidR="003E6876" w:rsidRDefault="003E6876" w:rsidP="00C21040"/>
    <w:p w:rsidR="0011275E" w:rsidRDefault="0011275E" w:rsidP="00C21040">
      <w:pPr>
        <w:rPr>
          <w:u w:val="single"/>
        </w:rPr>
      </w:pPr>
    </w:p>
    <w:p w:rsidR="0011275E" w:rsidRDefault="0011275E" w:rsidP="00C21040">
      <w:pPr>
        <w:rPr>
          <w:u w:val="single"/>
        </w:rPr>
      </w:pPr>
    </w:p>
    <w:p w:rsidR="0011275E" w:rsidRDefault="0011275E" w:rsidP="00C21040">
      <w:pPr>
        <w:rPr>
          <w:u w:val="single"/>
        </w:rPr>
      </w:pPr>
    </w:p>
    <w:p w:rsidR="003E6876" w:rsidRDefault="003E6876" w:rsidP="00C21040">
      <w:pPr>
        <w:rPr>
          <w:u w:val="single"/>
        </w:rPr>
      </w:pPr>
      <w:r w:rsidRPr="003E6876">
        <w:rPr>
          <w:u w:val="single"/>
        </w:rPr>
        <w:lastRenderedPageBreak/>
        <w:t xml:space="preserve">References: </w:t>
      </w:r>
    </w:p>
    <w:p w:rsidR="00DD751D" w:rsidRDefault="00DD751D" w:rsidP="00C21040">
      <w:pPr>
        <w:rPr>
          <w:u w:val="single"/>
        </w:rPr>
      </w:pPr>
    </w:p>
    <w:p w:rsidR="00DD751D" w:rsidRPr="00DD751D" w:rsidRDefault="00DD751D" w:rsidP="00C21040">
      <w:r>
        <w:t xml:space="preserve">CESE (2018) </w:t>
      </w:r>
      <w:r w:rsidRPr="00DD751D">
        <w:rPr>
          <w:i/>
        </w:rPr>
        <w:t>Cognitive Load Theory in Practice</w:t>
      </w:r>
      <w:r>
        <w:t xml:space="preserve">. Australia: NSWCESE </w:t>
      </w:r>
    </w:p>
    <w:p w:rsidR="006762FD" w:rsidRDefault="006762FD" w:rsidP="00C21040">
      <w:pPr>
        <w:rPr>
          <w:u w:val="single"/>
        </w:rPr>
      </w:pPr>
    </w:p>
    <w:p w:rsidR="006762FD" w:rsidRDefault="0011275E" w:rsidP="00C21040">
      <w:r>
        <w:t xml:space="preserve">Day, H. (1982) </w:t>
      </w:r>
      <w:r w:rsidRPr="0011275E">
        <w:rPr>
          <w:i/>
        </w:rPr>
        <w:t>Curiosity and the interested explorer</w:t>
      </w:r>
      <w:r>
        <w:t>. NSPI Journal 4, 19-22.</w:t>
      </w:r>
    </w:p>
    <w:p w:rsidR="00DD751D" w:rsidRDefault="00DD751D" w:rsidP="00C21040"/>
    <w:p w:rsidR="00DD751D" w:rsidRPr="00ED44DE" w:rsidRDefault="00DD751D" w:rsidP="00DD751D">
      <w:pPr>
        <w:rPr>
          <w:rFonts w:eastAsia="Times New Roman" w:cs="Arial"/>
          <w:shd w:val="clear" w:color="auto" w:fill="FFFFFF"/>
        </w:rPr>
      </w:pPr>
      <w:r w:rsidRPr="00ED44DE">
        <w:rPr>
          <w:rFonts w:eastAsia="Times New Roman" w:cs="Arial"/>
          <w:shd w:val="clear" w:color="auto" w:fill="FFFFFF"/>
        </w:rPr>
        <w:t xml:space="preserve">Donaldson, G. (2015) </w:t>
      </w:r>
      <w:r w:rsidRPr="00ED44DE">
        <w:rPr>
          <w:rFonts w:eastAsia="Times New Roman" w:cs="Arial"/>
          <w:i/>
          <w:shd w:val="clear" w:color="auto" w:fill="FFFFFF"/>
        </w:rPr>
        <w:t>Successful Futures</w:t>
      </w:r>
      <w:r w:rsidRPr="00ED44DE">
        <w:rPr>
          <w:rFonts w:eastAsia="Times New Roman" w:cs="Arial"/>
          <w:shd w:val="clear" w:color="auto" w:fill="FFFFFF"/>
        </w:rPr>
        <w:t xml:space="preserve"> </w:t>
      </w:r>
      <w:hyperlink r:id="rId18" w:history="1">
        <w:r w:rsidRPr="00ED44DE">
          <w:rPr>
            <w:rStyle w:val="Hyperlink"/>
            <w:rFonts w:eastAsia="Times New Roman" w:cs="Arial"/>
            <w:color w:val="auto"/>
            <w:shd w:val="clear" w:color="auto" w:fill="FFFFFF"/>
          </w:rPr>
          <w:t>https://www.nasuwt.org.uk/asset/A788604C-3046-4005-A1EA0EAFF023E0DD/</w:t>
        </w:r>
      </w:hyperlink>
      <w:r w:rsidRPr="00ED44DE">
        <w:rPr>
          <w:rFonts w:eastAsia="Times New Roman" w:cs="Arial"/>
          <w:u w:val="single"/>
          <w:shd w:val="clear" w:color="auto" w:fill="FFFFFF"/>
        </w:rPr>
        <w:t xml:space="preserve"> </w:t>
      </w:r>
      <w:r w:rsidRPr="00ED44DE">
        <w:rPr>
          <w:rFonts w:eastAsia="Times New Roman" w:cs="Arial"/>
          <w:shd w:val="clear" w:color="auto" w:fill="FFFFFF"/>
        </w:rPr>
        <w:t xml:space="preserve">(Accessed: 15 September 2017) </w:t>
      </w:r>
    </w:p>
    <w:p w:rsidR="00DD751D" w:rsidRDefault="00DD751D" w:rsidP="00C21040"/>
    <w:p w:rsidR="0011275E" w:rsidRDefault="00DD751D" w:rsidP="00C21040">
      <w:r>
        <w:t>J</w:t>
      </w:r>
      <w:r w:rsidR="0011275E">
        <w:t xml:space="preserve">ones, C., </w:t>
      </w:r>
      <w:proofErr w:type="spellStart"/>
      <w:r w:rsidR="0011275E">
        <w:t>Matlay</w:t>
      </w:r>
      <w:proofErr w:type="spellEnd"/>
      <w:r w:rsidR="0011275E">
        <w:t xml:space="preserve">, H., Penaluna, K., Penaluna, A. (2014) </w:t>
      </w:r>
      <w:r w:rsidR="0011275E" w:rsidRPr="0011275E">
        <w:rPr>
          <w:i/>
        </w:rPr>
        <w:t>Claiming the future of enterprise education.</w:t>
      </w:r>
      <w:r w:rsidR="0011275E">
        <w:t xml:space="preserve"> Education &amp; Training, Vol.56, Issue: 819 </w:t>
      </w:r>
    </w:p>
    <w:p w:rsidR="0011275E" w:rsidRDefault="0011275E" w:rsidP="00C21040"/>
    <w:p w:rsidR="0011275E" w:rsidRDefault="0011275E" w:rsidP="00C21040">
      <w:r>
        <w:t xml:space="preserve">Kounios, J &amp; Beeman, M. (2016) </w:t>
      </w:r>
      <w:r w:rsidRPr="0011275E">
        <w:rPr>
          <w:i/>
        </w:rPr>
        <w:t>The Eureka Factor: Creative Insights and the Brain</w:t>
      </w:r>
      <w:r>
        <w:t>. London: Penguin Random House</w:t>
      </w:r>
    </w:p>
    <w:p w:rsidR="0011275E" w:rsidRDefault="0011275E" w:rsidP="00C21040"/>
    <w:p w:rsidR="0011275E" w:rsidRDefault="0011275E" w:rsidP="00C21040">
      <w:r>
        <w:t xml:space="preserve">Lucas, B., Claxton, G., Spencer, E. (2013) </w:t>
      </w:r>
      <w:r w:rsidRPr="0011275E">
        <w:rPr>
          <w:i/>
        </w:rPr>
        <w:t>Progression in Student Creativity in School</w:t>
      </w:r>
      <w:r>
        <w:t>: First Steps Towards New</w:t>
      </w:r>
    </w:p>
    <w:p w:rsidR="00A14B53" w:rsidRDefault="00A14B53" w:rsidP="00C21040"/>
    <w:p w:rsidR="00A14B53" w:rsidRPr="00A14B53" w:rsidRDefault="00A14B53" w:rsidP="00A14B53">
      <w:pPr>
        <w:autoSpaceDE w:val="0"/>
        <w:autoSpaceDN w:val="0"/>
        <w:adjustRightInd w:val="0"/>
        <w:rPr>
          <w:rFonts w:cstheme="minorHAnsi"/>
          <w:lang w:val="en-US"/>
        </w:rPr>
      </w:pPr>
      <w:r w:rsidRPr="00A14B53">
        <w:rPr>
          <w:rFonts w:cstheme="minorHAnsi"/>
          <w:lang w:val="en-US"/>
        </w:rPr>
        <w:t>McCallum E.</w:t>
      </w:r>
      <w:r w:rsidRPr="00A14B53">
        <w:rPr>
          <w:rFonts w:cstheme="minorHAnsi"/>
          <w:lang w:val="en-US"/>
        </w:rPr>
        <w:t xml:space="preserve">, </w:t>
      </w:r>
      <w:proofErr w:type="spellStart"/>
      <w:r w:rsidRPr="00A14B53">
        <w:rPr>
          <w:rFonts w:cstheme="minorHAnsi"/>
          <w:lang w:val="en-US"/>
        </w:rPr>
        <w:t>Weicht</w:t>
      </w:r>
      <w:proofErr w:type="spellEnd"/>
      <w:r w:rsidRPr="00A14B53">
        <w:rPr>
          <w:rFonts w:cstheme="minorHAnsi"/>
          <w:lang w:val="en-US"/>
        </w:rPr>
        <w:t xml:space="preserve"> R., McMullan L., Price </w:t>
      </w:r>
      <w:r w:rsidRPr="00A14B53">
        <w:rPr>
          <w:rFonts w:cstheme="minorHAnsi"/>
          <w:lang w:val="en-US"/>
        </w:rPr>
        <w:t xml:space="preserve">A., </w:t>
      </w:r>
      <w:r w:rsidRPr="00A14B53">
        <w:rPr>
          <w:rFonts w:cstheme="minorHAnsi"/>
          <w:lang w:val="en-US"/>
        </w:rPr>
        <w:t xml:space="preserve">(2018) </w:t>
      </w:r>
      <w:proofErr w:type="spellStart"/>
      <w:r w:rsidRPr="00A14B53">
        <w:rPr>
          <w:rFonts w:cstheme="minorHAnsi"/>
          <w:i/>
          <w:lang w:val="en-US"/>
        </w:rPr>
        <w:t>EntreComp</w:t>
      </w:r>
      <w:proofErr w:type="spellEnd"/>
      <w:r w:rsidRPr="00A14B53">
        <w:rPr>
          <w:rFonts w:cstheme="minorHAnsi"/>
          <w:i/>
          <w:lang w:val="en-US"/>
        </w:rPr>
        <w:t xml:space="preserve"> into Action: get inspired, make it</w:t>
      </w:r>
      <w:r w:rsidRPr="00A14B53">
        <w:rPr>
          <w:rFonts w:cstheme="minorHAnsi"/>
          <w:lang w:val="en-US"/>
        </w:rPr>
        <w:t xml:space="preserve"> </w:t>
      </w:r>
      <w:r w:rsidRPr="00A14B53">
        <w:rPr>
          <w:rFonts w:cstheme="minorHAnsi"/>
          <w:i/>
          <w:lang w:val="en-US"/>
        </w:rPr>
        <w:t>happen</w:t>
      </w:r>
      <w:r w:rsidRPr="00A14B53">
        <w:rPr>
          <w:rFonts w:cstheme="minorHAnsi"/>
          <w:i/>
          <w:lang w:val="en-US"/>
        </w:rPr>
        <w:t xml:space="preserve">. </w:t>
      </w:r>
      <w:r w:rsidRPr="00A14B53">
        <w:rPr>
          <w:rFonts w:cstheme="minorHAnsi"/>
          <w:lang w:val="en-US"/>
        </w:rPr>
        <w:t xml:space="preserve">Luxembourg: </w:t>
      </w:r>
      <w:r w:rsidRPr="00A14B53">
        <w:rPr>
          <w:rFonts w:cstheme="minorHAnsi"/>
          <w:lang w:val="en-US"/>
        </w:rPr>
        <w:t>Publications Office of</w:t>
      </w:r>
    </w:p>
    <w:p w:rsidR="00A14B53" w:rsidRPr="00A14B53" w:rsidRDefault="00A14B53" w:rsidP="00A14B53">
      <w:pPr>
        <w:rPr>
          <w:rFonts w:cstheme="minorHAnsi"/>
        </w:rPr>
      </w:pPr>
      <w:r w:rsidRPr="00A14B53">
        <w:rPr>
          <w:rFonts w:cstheme="minorHAnsi"/>
          <w:lang w:val="en-US"/>
        </w:rPr>
        <w:t>the European Union</w:t>
      </w:r>
    </w:p>
    <w:p w:rsidR="00A14B53" w:rsidRPr="0011275E" w:rsidRDefault="00A14B53" w:rsidP="00C21040"/>
    <w:p w:rsidR="0011275E" w:rsidRDefault="00A14B53" w:rsidP="00C21040">
      <w:r>
        <w:t xml:space="preserve">Penaluna, A., Penaluna, K &amp; Diago, I. </w:t>
      </w:r>
      <w:r w:rsidRPr="00A14B53">
        <w:rPr>
          <w:i/>
        </w:rPr>
        <w:t>The Role of Creativity in Entrepreneurship Education</w:t>
      </w:r>
      <w:r>
        <w:t>. Chapter 13, “Handbook of Research on Entrepreneurship and Creativity” Sternberg, R &amp; Krauss, G. (</w:t>
      </w:r>
      <w:proofErr w:type="spellStart"/>
      <w:r>
        <w:t>Eds</w:t>
      </w:r>
      <w:proofErr w:type="spellEnd"/>
      <w:r>
        <w:t xml:space="preserve">) Cheltenham / Northampton MA: Edward Elgar Publishing Limited </w:t>
      </w:r>
    </w:p>
    <w:p w:rsidR="00A14B53" w:rsidRDefault="00A14B53" w:rsidP="00C21040"/>
    <w:p w:rsidR="00A14B53" w:rsidRDefault="00A14B53" w:rsidP="00C21040">
      <w:r>
        <w:t xml:space="preserve">Pink, D. (2008) </w:t>
      </w:r>
      <w:r w:rsidRPr="00A14B53">
        <w:rPr>
          <w:i/>
        </w:rPr>
        <w:t>A whole new mind: Why Right-Brainers Will Rule the Future</w:t>
      </w:r>
      <w:r>
        <w:t xml:space="preserve">. London: Marshall Cavendish </w:t>
      </w:r>
    </w:p>
    <w:p w:rsidR="00A14B53" w:rsidRDefault="00A14B53" w:rsidP="00C21040"/>
    <w:p w:rsidR="003E6876" w:rsidRDefault="00A14B53" w:rsidP="00A14B53">
      <w:pPr>
        <w:autoSpaceDE w:val="0"/>
        <w:autoSpaceDN w:val="0"/>
        <w:adjustRightInd w:val="0"/>
        <w:rPr>
          <w:rFonts w:cstheme="minorHAnsi"/>
          <w:lang w:val="en-US"/>
        </w:rPr>
      </w:pPr>
      <w:r>
        <w:rPr>
          <w:rFonts w:cstheme="minorHAnsi"/>
          <w:lang w:val="en-US"/>
        </w:rPr>
        <w:t xml:space="preserve">Robinson, K. (2008) </w:t>
      </w:r>
      <w:r w:rsidRPr="00A14B53">
        <w:rPr>
          <w:rFonts w:cstheme="minorHAnsi"/>
          <w:i/>
          <w:lang w:val="en-US"/>
        </w:rPr>
        <w:t>Changing Education Paradigms</w:t>
      </w:r>
      <w:r>
        <w:rPr>
          <w:rFonts w:cstheme="minorHAnsi"/>
          <w:lang w:val="en-US"/>
        </w:rPr>
        <w:t xml:space="preserve">: [video] RSA </w:t>
      </w:r>
    </w:p>
    <w:p w:rsidR="00DD751D" w:rsidRDefault="00DD751D" w:rsidP="00A14B53">
      <w:pPr>
        <w:autoSpaceDE w:val="0"/>
        <w:autoSpaceDN w:val="0"/>
        <w:adjustRightInd w:val="0"/>
        <w:rPr>
          <w:rFonts w:cstheme="minorHAnsi"/>
          <w:lang w:val="en-US"/>
        </w:rPr>
      </w:pPr>
    </w:p>
    <w:p w:rsidR="00DD751D" w:rsidRDefault="00DD751D" w:rsidP="00A14B53">
      <w:pPr>
        <w:autoSpaceDE w:val="0"/>
        <w:autoSpaceDN w:val="0"/>
        <w:adjustRightInd w:val="0"/>
        <w:rPr>
          <w:rFonts w:cstheme="minorHAnsi"/>
          <w:lang w:val="en-US"/>
        </w:rPr>
      </w:pPr>
      <w:proofErr w:type="spellStart"/>
      <w:r>
        <w:rPr>
          <w:rFonts w:cstheme="minorHAnsi"/>
          <w:lang w:val="en-US"/>
        </w:rPr>
        <w:t>Sweller</w:t>
      </w:r>
      <w:proofErr w:type="spellEnd"/>
      <w:r>
        <w:rPr>
          <w:rFonts w:cstheme="minorHAnsi"/>
          <w:lang w:val="en-US"/>
        </w:rPr>
        <w:t xml:space="preserve">, J., J.G. Van </w:t>
      </w:r>
      <w:proofErr w:type="spellStart"/>
      <w:r>
        <w:rPr>
          <w:rFonts w:cstheme="minorHAnsi"/>
          <w:lang w:val="en-US"/>
        </w:rPr>
        <w:t>Merriënboer</w:t>
      </w:r>
      <w:proofErr w:type="spellEnd"/>
      <w:r>
        <w:rPr>
          <w:rFonts w:cstheme="minorHAnsi"/>
          <w:lang w:val="en-US"/>
        </w:rPr>
        <w:t xml:space="preserve">, </w:t>
      </w:r>
      <w:proofErr w:type="spellStart"/>
      <w:r>
        <w:rPr>
          <w:rFonts w:cstheme="minorHAnsi"/>
          <w:lang w:val="en-US"/>
        </w:rPr>
        <w:t>Paas</w:t>
      </w:r>
      <w:proofErr w:type="spellEnd"/>
      <w:r>
        <w:rPr>
          <w:rFonts w:cstheme="minorHAnsi"/>
          <w:lang w:val="en-US"/>
        </w:rPr>
        <w:t xml:space="preserve">, F. (2019) </w:t>
      </w:r>
      <w:r w:rsidRPr="00DD751D">
        <w:rPr>
          <w:rFonts w:cstheme="minorHAnsi"/>
          <w:i/>
          <w:lang w:val="en-US"/>
        </w:rPr>
        <w:t>Cognitive Architecture and Instructional</w:t>
      </w:r>
      <w:r>
        <w:rPr>
          <w:rFonts w:cstheme="minorHAnsi"/>
          <w:lang w:val="en-US"/>
        </w:rPr>
        <w:t xml:space="preserve"> </w:t>
      </w:r>
      <w:r w:rsidRPr="00DD751D">
        <w:rPr>
          <w:rFonts w:cstheme="minorHAnsi"/>
          <w:i/>
          <w:lang w:val="en-US"/>
        </w:rPr>
        <w:t>Design: 20 Years Later</w:t>
      </w:r>
      <w:r>
        <w:rPr>
          <w:rFonts w:cstheme="minorHAnsi"/>
          <w:lang w:val="en-US"/>
        </w:rPr>
        <w:t xml:space="preserve">: EPR. pp 1-32 </w:t>
      </w:r>
    </w:p>
    <w:p w:rsidR="00A14B53" w:rsidRDefault="00A14B53" w:rsidP="00A14B53">
      <w:pPr>
        <w:autoSpaceDE w:val="0"/>
        <w:autoSpaceDN w:val="0"/>
        <w:adjustRightInd w:val="0"/>
        <w:rPr>
          <w:rFonts w:cstheme="minorHAnsi"/>
          <w:lang w:val="en-US"/>
        </w:rPr>
      </w:pPr>
    </w:p>
    <w:p w:rsidR="00DD751D" w:rsidRDefault="00DD751D" w:rsidP="00A14B53">
      <w:pPr>
        <w:autoSpaceDE w:val="0"/>
        <w:autoSpaceDN w:val="0"/>
        <w:adjustRightInd w:val="0"/>
        <w:rPr>
          <w:rFonts w:cstheme="minorHAnsi"/>
          <w:lang w:val="en-US"/>
        </w:rPr>
      </w:pPr>
      <w:r>
        <w:rPr>
          <w:rFonts w:cstheme="minorHAnsi"/>
          <w:lang w:val="en-US"/>
        </w:rPr>
        <w:t xml:space="preserve">World Economic Forum (2018) </w:t>
      </w:r>
      <w:r w:rsidR="00D607EC" w:rsidRPr="00D607EC">
        <w:rPr>
          <w:rFonts w:cstheme="minorHAnsi"/>
          <w:i/>
          <w:lang w:val="en-US"/>
        </w:rPr>
        <w:t xml:space="preserve">Children in Singapore will no longer be ranked by exam results. Here’s </w:t>
      </w:r>
      <w:r w:rsidR="00D607EC" w:rsidRPr="00D607EC">
        <w:rPr>
          <w:rFonts w:cstheme="minorHAnsi"/>
          <w:lang w:val="en-US"/>
        </w:rPr>
        <w:t xml:space="preserve">why </w:t>
      </w:r>
      <w:hyperlink r:id="rId19" w:history="1">
        <w:r w:rsidR="00D607EC" w:rsidRPr="00941C12">
          <w:rPr>
            <w:rStyle w:val="Hyperlink"/>
            <w:rFonts w:cstheme="minorHAnsi"/>
            <w:lang w:val="en-US"/>
          </w:rPr>
          <w:t>https://www.weforum.org/agenda/2018/10/singapore-has-abolished-school-exam-rankings-here-s-why/</w:t>
        </w:r>
      </w:hyperlink>
      <w:r w:rsidR="00D607EC">
        <w:rPr>
          <w:rFonts w:cstheme="minorHAnsi"/>
          <w:lang w:val="en-US"/>
        </w:rPr>
        <w:t xml:space="preserve"> (Accessed: 15 January 2019)</w:t>
      </w:r>
    </w:p>
    <w:p w:rsidR="00D607EC" w:rsidRDefault="00D607EC" w:rsidP="00A14B53">
      <w:pPr>
        <w:autoSpaceDE w:val="0"/>
        <w:autoSpaceDN w:val="0"/>
        <w:adjustRightInd w:val="0"/>
        <w:rPr>
          <w:rFonts w:cstheme="minorHAnsi"/>
          <w:lang w:val="en-US"/>
        </w:rPr>
      </w:pPr>
    </w:p>
    <w:p w:rsidR="00D607EC" w:rsidRDefault="00D607EC" w:rsidP="00A14B53">
      <w:pPr>
        <w:autoSpaceDE w:val="0"/>
        <w:autoSpaceDN w:val="0"/>
        <w:adjustRightInd w:val="0"/>
        <w:rPr>
          <w:rFonts w:cstheme="minorHAnsi"/>
          <w:lang w:val="en-US"/>
        </w:rPr>
      </w:pPr>
      <w:r>
        <w:rPr>
          <w:rFonts w:cstheme="minorHAnsi"/>
          <w:lang w:val="en-US"/>
        </w:rPr>
        <w:t xml:space="preserve">World Economic Forum (2018) </w:t>
      </w:r>
      <w:r w:rsidRPr="00D607EC">
        <w:rPr>
          <w:rFonts w:cstheme="minorHAnsi"/>
          <w:i/>
          <w:lang w:val="en-US"/>
        </w:rPr>
        <w:t xml:space="preserve">Education Systems can stifle creative thought. Here’s how to do things differently </w:t>
      </w:r>
      <w:hyperlink r:id="rId20" w:history="1">
        <w:r w:rsidRPr="00D607EC">
          <w:rPr>
            <w:rStyle w:val="Hyperlink"/>
            <w:rFonts w:cstheme="minorHAnsi"/>
            <w:lang w:val="en-US"/>
          </w:rPr>
          <w:t>https://www.weforum.org/agenda/2018/04/education-systems-can-stifle-creative-thought-here-s-how-to-do-things-differently/</w:t>
        </w:r>
      </w:hyperlink>
      <w:r w:rsidRPr="00D607EC">
        <w:rPr>
          <w:rFonts w:cstheme="minorHAnsi"/>
          <w:lang w:val="en-US"/>
        </w:rPr>
        <w:t xml:space="preserve"> </w:t>
      </w:r>
      <w:r>
        <w:rPr>
          <w:rFonts w:cstheme="minorHAnsi"/>
          <w:lang w:val="en-US"/>
        </w:rPr>
        <w:t xml:space="preserve">(Accessed: 15 January 2019) </w:t>
      </w:r>
    </w:p>
    <w:p w:rsidR="00D607EC" w:rsidRDefault="00D607EC" w:rsidP="00A14B53">
      <w:pPr>
        <w:autoSpaceDE w:val="0"/>
        <w:autoSpaceDN w:val="0"/>
        <w:adjustRightInd w:val="0"/>
        <w:rPr>
          <w:rFonts w:cstheme="minorHAnsi"/>
          <w:lang w:val="en-US"/>
        </w:rPr>
      </w:pPr>
    </w:p>
    <w:p w:rsidR="00D607EC" w:rsidRPr="00D607EC" w:rsidRDefault="00D607EC" w:rsidP="00A14B53">
      <w:pPr>
        <w:autoSpaceDE w:val="0"/>
        <w:autoSpaceDN w:val="0"/>
        <w:adjustRightInd w:val="0"/>
        <w:rPr>
          <w:rFonts w:cstheme="minorHAnsi"/>
          <w:lang w:val="en-US"/>
        </w:rPr>
      </w:pPr>
      <w:r>
        <w:rPr>
          <w:rFonts w:cstheme="minorHAnsi"/>
          <w:lang w:val="en-US"/>
        </w:rPr>
        <w:t>William, Dylan (@</w:t>
      </w:r>
      <w:proofErr w:type="spellStart"/>
      <w:r>
        <w:rPr>
          <w:rFonts w:cstheme="minorHAnsi"/>
          <w:lang w:val="en-US"/>
        </w:rPr>
        <w:t>dylanwilliam</w:t>
      </w:r>
      <w:proofErr w:type="spellEnd"/>
      <w:r>
        <w:rPr>
          <w:rFonts w:cstheme="minorHAnsi"/>
          <w:lang w:val="en-US"/>
        </w:rPr>
        <w:t>). “I re-tweeted this (HT @</w:t>
      </w:r>
      <w:proofErr w:type="spellStart"/>
      <w:r>
        <w:rPr>
          <w:rFonts w:cstheme="minorHAnsi"/>
          <w:lang w:val="en-US"/>
        </w:rPr>
        <w:t>greg_ashman</w:t>
      </w:r>
      <w:proofErr w:type="spellEnd"/>
      <w:r>
        <w:rPr>
          <w:rFonts w:cstheme="minorHAnsi"/>
          <w:lang w:val="en-US"/>
        </w:rPr>
        <w:t xml:space="preserve">) last week, but it’s so important I am sending it round again. </w:t>
      </w:r>
      <w:proofErr w:type="spellStart"/>
      <w:r>
        <w:rPr>
          <w:rFonts w:cstheme="minorHAnsi"/>
          <w:lang w:val="en-US"/>
        </w:rPr>
        <w:t>Sweller</w:t>
      </w:r>
      <w:proofErr w:type="spellEnd"/>
      <w:r>
        <w:rPr>
          <w:rFonts w:cstheme="minorHAnsi"/>
          <w:lang w:val="en-US"/>
        </w:rPr>
        <w:t xml:space="preserve">, van </w:t>
      </w:r>
      <w:proofErr w:type="spellStart"/>
      <w:r>
        <w:rPr>
          <w:rFonts w:cstheme="minorHAnsi"/>
          <w:lang w:val="en-US"/>
        </w:rPr>
        <w:t>Merriënboear</w:t>
      </w:r>
      <w:proofErr w:type="spellEnd"/>
      <w:r>
        <w:rPr>
          <w:rFonts w:cstheme="minorHAnsi"/>
          <w:lang w:val="en-US"/>
        </w:rPr>
        <w:t xml:space="preserve"> and Pass provide an open-access guide to cognitive load theory: its history, the </w:t>
      </w:r>
      <w:proofErr w:type="spellStart"/>
      <w:r>
        <w:rPr>
          <w:rFonts w:cstheme="minorHAnsi"/>
          <w:lang w:val="en-US"/>
        </w:rPr>
        <w:t>stae</w:t>
      </w:r>
      <w:proofErr w:type="spellEnd"/>
      <w:r>
        <w:rPr>
          <w:rFonts w:cstheme="minorHAnsi"/>
          <w:lang w:val="en-US"/>
        </w:rPr>
        <w:t xml:space="preserve">-of-the-art, and future directions: bit.ly/2FTWmUQ” 25/01/2019, 18:29. Tweet. </w:t>
      </w:r>
    </w:p>
    <w:p w:rsidR="00A14B53" w:rsidRPr="00A14B53" w:rsidRDefault="00A14B53" w:rsidP="00A14B53">
      <w:pPr>
        <w:autoSpaceDE w:val="0"/>
        <w:autoSpaceDN w:val="0"/>
        <w:adjustRightInd w:val="0"/>
        <w:rPr>
          <w:rFonts w:cstheme="minorHAnsi"/>
          <w:lang w:val="en-US"/>
        </w:rPr>
      </w:pPr>
      <w:bookmarkStart w:id="0" w:name="_GoBack"/>
      <w:bookmarkEnd w:id="0"/>
    </w:p>
    <w:p w:rsidR="003E6876" w:rsidRPr="003E6876" w:rsidRDefault="003E6876" w:rsidP="00C21040"/>
    <w:p w:rsidR="003E6876" w:rsidRPr="00C21040" w:rsidRDefault="003E6876" w:rsidP="00C21040"/>
    <w:sectPr w:rsidR="003E6876" w:rsidRPr="00C21040" w:rsidSect="00F60E0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FrutigerLTPro">
    <w:altName w:val="Cambria"/>
    <w:panose1 w:val="020B0604020202020204"/>
    <w:charset w:val="00"/>
    <w:family w:val="roman"/>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528C5"/>
    <w:multiLevelType w:val="hybridMultilevel"/>
    <w:tmpl w:val="47EA4C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811E70"/>
    <w:multiLevelType w:val="hybridMultilevel"/>
    <w:tmpl w:val="FA46F1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DB7AE0"/>
    <w:multiLevelType w:val="hybridMultilevel"/>
    <w:tmpl w:val="32680D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FAD"/>
    <w:rsid w:val="000321E0"/>
    <w:rsid w:val="000F63C5"/>
    <w:rsid w:val="000F7741"/>
    <w:rsid w:val="0011275E"/>
    <w:rsid w:val="001558A6"/>
    <w:rsid w:val="00167BE8"/>
    <w:rsid w:val="0019035A"/>
    <w:rsid w:val="001B4520"/>
    <w:rsid w:val="001E6FFE"/>
    <w:rsid w:val="001F1521"/>
    <w:rsid w:val="002518CB"/>
    <w:rsid w:val="00277241"/>
    <w:rsid w:val="00297ED3"/>
    <w:rsid w:val="002D5D1E"/>
    <w:rsid w:val="002F1379"/>
    <w:rsid w:val="002F6CC4"/>
    <w:rsid w:val="003E6876"/>
    <w:rsid w:val="003F4C62"/>
    <w:rsid w:val="00476388"/>
    <w:rsid w:val="004A07A6"/>
    <w:rsid w:val="004D384A"/>
    <w:rsid w:val="00536EEC"/>
    <w:rsid w:val="005453C6"/>
    <w:rsid w:val="00566EC2"/>
    <w:rsid w:val="00576A9B"/>
    <w:rsid w:val="00603FB2"/>
    <w:rsid w:val="00622D4B"/>
    <w:rsid w:val="006762FD"/>
    <w:rsid w:val="006A1B65"/>
    <w:rsid w:val="0073072D"/>
    <w:rsid w:val="00785CCD"/>
    <w:rsid w:val="007E41C3"/>
    <w:rsid w:val="007F5DF9"/>
    <w:rsid w:val="00822A46"/>
    <w:rsid w:val="00876BAE"/>
    <w:rsid w:val="009577FD"/>
    <w:rsid w:val="009915C7"/>
    <w:rsid w:val="00994157"/>
    <w:rsid w:val="009E0CB2"/>
    <w:rsid w:val="00A14B53"/>
    <w:rsid w:val="00A815E9"/>
    <w:rsid w:val="00AD6BB6"/>
    <w:rsid w:val="00AF7CDD"/>
    <w:rsid w:val="00B3189A"/>
    <w:rsid w:val="00BB1381"/>
    <w:rsid w:val="00BD1513"/>
    <w:rsid w:val="00C21040"/>
    <w:rsid w:val="00C26874"/>
    <w:rsid w:val="00C47BE4"/>
    <w:rsid w:val="00C51789"/>
    <w:rsid w:val="00C60017"/>
    <w:rsid w:val="00C76B2C"/>
    <w:rsid w:val="00D607EC"/>
    <w:rsid w:val="00DD751D"/>
    <w:rsid w:val="00E17AA6"/>
    <w:rsid w:val="00E54FAC"/>
    <w:rsid w:val="00E5671A"/>
    <w:rsid w:val="00EA3115"/>
    <w:rsid w:val="00EA323C"/>
    <w:rsid w:val="00ED6FAD"/>
    <w:rsid w:val="00F3399E"/>
    <w:rsid w:val="00F4295D"/>
    <w:rsid w:val="00F545A1"/>
    <w:rsid w:val="00F60E09"/>
    <w:rsid w:val="00F944DC"/>
    <w:rsid w:val="00FA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A22DE3"/>
  <w15:chartTrackingRefBased/>
  <w15:docId w15:val="{2F171553-1C20-2947-B152-1A8FBEFC4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040"/>
    <w:pPr>
      <w:ind w:left="720"/>
      <w:contextualSpacing/>
    </w:pPr>
  </w:style>
  <w:style w:type="paragraph" w:styleId="NormalWeb">
    <w:name w:val="Normal (Web)"/>
    <w:basedOn w:val="Normal"/>
    <w:uiPriority w:val="99"/>
    <w:semiHidden/>
    <w:unhideWhenUsed/>
    <w:rsid w:val="0019035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DD751D"/>
    <w:rPr>
      <w:color w:val="0563C1" w:themeColor="hyperlink"/>
      <w:u w:val="single"/>
    </w:rPr>
  </w:style>
  <w:style w:type="character" w:styleId="UnresolvedMention">
    <w:name w:val="Unresolved Mention"/>
    <w:basedOn w:val="DefaultParagraphFont"/>
    <w:uiPriority w:val="99"/>
    <w:semiHidden/>
    <w:unhideWhenUsed/>
    <w:rsid w:val="00D607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531283">
      <w:bodyDiv w:val="1"/>
      <w:marLeft w:val="0"/>
      <w:marRight w:val="0"/>
      <w:marTop w:val="0"/>
      <w:marBottom w:val="0"/>
      <w:divBdr>
        <w:top w:val="none" w:sz="0" w:space="0" w:color="auto"/>
        <w:left w:val="none" w:sz="0" w:space="0" w:color="auto"/>
        <w:bottom w:val="none" w:sz="0" w:space="0" w:color="auto"/>
        <w:right w:val="none" w:sz="0" w:space="0" w:color="auto"/>
      </w:divBdr>
    </w:div>
    <w:div w:id="416099105">
      <w:bodyDiv w:val="1"/>
      <w:marLeft w:val="0"/>
      <w:marRight w:val="0"/>
      <w:marTop w:val="0"/>
      <w:marBottom w:val="0"/>
      <w:divBdr>
        <w:top w:val="none" w:sz="0" w:space="0" w:color="auto"/>
        <w:left w:val="none" w:sz="0" w:space="0" w:color="auto"/>
        <w:bottom w:val="none" w:sz="0" w:space="0" w:color="auto"/>
        <w:right w:val="none" w:sz="0" w:space="0" w:color="auto"/>
      </w:divBdr>
    </w:div>
    <w:div w:id="838499375">
      <w:bodyDiv w:val="1"/>
      <w:marLeft w:val="0"/>
      <w:marRight w:val="0"/>
      <w:marTop w:val="0"/>
      <w:marBottom w:val="0"/>
      <w:divBdr>
        <w:top w:val="none" w:sz="0" w:space="0" w:color="auto"/>
        <w:left w:val="none" w:sz="0" w:space="0" w:color="auto"/>
        <w:bottom w:val="none" w:sz="0" w:space="0" w:color="auto"/>
        <w:right w:val="none" w:sz="0" w:space="0" w:color="auto"/>
      </w:divBdr>
    </w:div>
    <w:div w:id="1012419412">
      <w:bodyDiv w:val="1"/>
      <w:marLeft w:val="0"/>
      <w:marRight w:val="0"/>
      <w:marTop w:val="0"/>
      <w:marBottom w:val="0"/>
      <w:divBdr>
        <w:top w:val="none" w:sz="0" w:space="0" w:color="auto"/>
        <w:left w:val="none" w:sz="0" w:space="0" w:color="auto"/>
        <w:bottom w:val="none" w:sz="0" w:space="0" w:color="auto"/>
        <w:right w:val="none" w:sz="0" w:space="0" w:color="auto"/>
      </w:divBdr>
    </w:div>
    <w:div w:id="1300960854">
      <w:bodyDiv w:val="1"/>
      <w:marLeft w:val="0"/>
      <w:marRight w:val="0"/>
      <w:marTop w:val="0"/>
      <w:marBottom w:val="0"/>
      <w:divBdr>
        <w:top w:val="none" w:sz="0" w:space="0" w:color="auto"/>
        <w:left w:val="none" w:sz="0" w:space="0" w:color="auto"/>
        <w:bottom w:val="none" w:sz="0" w:space="0" w:color="auto"/>
        <w:right w:val="none" w:sz="0" w:space="0" w:color="auto"/>
      </w:divBdr>
      <w:divsChild>
        <w:div w:id="1620840117">
          <w:marLeft w:val="0"/>
          <w:marRight w:val="0"/>
          <w:marTop w:val="0"/>
          <w:marBottom w:val="0"/>
          <w:divBdr>
            <w:top w:val="none" w:sz="0" w:space="0" w:color="auto"/>
            <w:left w:val="none" w:sz="0" w:space="0" w:color="auto"/>
            <w:bottom w:val="none" w:sz="0" w:space="0" w:color="auto"/>
            <w:right w:val="none" w:sz="0" w:space="0" w:color="auto"/>
          </w:divBdr>
          <w:divsChild>
            <w:div w:id="1795250575">
              <w:marLeft w:val="0"/>
              <w:marRight w:val="0"/>
              <w:marTop w:val="0"/>
              <w:marBottom w:val="0"/>
              <w:divBdr>
                <w:top w:val="none" w:sz="0" w:space="0" w:color="auto"/>
                <w:left w:val="none" w:sz="0" w:space="0" w:color="auto"/>
                <w:bottom w:val="none" w:sz="0" w:space="0" w:color="auto"/>
                <w:right w:val="none" w:sz="0" w:space="0" w:color="auto"/>
              </w:divBdr>
              <w:divsChild>
                <w:div w:id="1456488438">
                  <w:marLeft w:val="0"/>
                  <w:marRight w:val="0"/>
                  <w:marTop w:val="0"/>
                  <w:marBottom w:val="0"/>
                  <w:divBdr>
                    <w:top w:val="none" w:sz="0" w:space="0" w:color="auto"/>
                    <w:left w:val="none" w:sz="0" w:space="0" w:color="auto"/>
                    <w:bottom w:val="none" w:sz="0" w:space="0" w:color="auto"/>
                    <w:right w:val="none" w:sz="0" w:space="0" w:color="auto"/>
                  </w:divBdr>
                </w:div>
              </w:divsChild>
            </w:div>
            <w:div w:id="1517302244">
              <w:marLeft w:val="0"/>
              <w:marRight w:val="0"/>
              <w:marTop w:val="0"/>
              <w:marBottom w:val="0"/>
              <w:divBdr>
                <w:top w:val="none" w:sz="0" w:space="0" w:color="auto"/>
                <w:left w:val="none" w:sz="0" w:space="0" w:color="auto"/>
                <w:bottom w:val="none" w:sz="0" w:space="0" w:color="auto"/>
                <w:right w:val="none" w:sz="0" w:space="0" w:color="auto"/>
              </w:divBdr>
              <w:divsChild>
                <w:div w:id="1622418834">
                  <w:marLeft w:val="0"/>
                  <w:marRight w:val="0"/>
                  <w:marTop w:val="0"/>
                  <w:marBottom w:val="0"/>
                  <w:divBdr>
                    <w:top w:val="none" w:sz="0" w:space="0" w:color="auto"/>
                    <w:left w:val="none" w:sz="0" w:space="0" w:color="auto"/>
                    <w:bottom w:val="none" w:sz="0" w:space="0" w:color="auto"/>
                    <w:right w:val="none" w:sz="0" w:space="0" w:color="auto"/>
                  </w:divBdr>
                </w:div>
              </w:divsChild>
            </w:div>
            <w:div w:id="2106878108">
              <w:marLeft w:val="0"/>
              <w:marRight w:val="0"/>
              <w:marTop w:val="0"/>
              <w:marBottom w:val="0"/>
              <w:divBdr>
                <w:top w:val="none" w:sz="0" w:space="0" w:color="auto"/>
                <w:left w:val="none" w:sz="0" w:space="0" w:color="auto"/>
                <w:bottom w:val="none" w:sz="0" w:space="0" w:color="auto"/>
                <w:right w:val="none" w:sz="0" w:space="0" w:color="auto"/>
              </w:divBdr>
              <w:divsChild>
                <w:div w:id="460808195">
                  <w:marLeft w:val="0"/>
                  <w:marRight w:val="0"/>
                  <w:marTop w:val="0"/>
                  <w:marBottom w:val="0"/>
                  <w:divBdr>
                    <w:top w:val="none" w:sz="0" w:space="0" w:color="auto"/>
                    <w:left w:val="none" w:sz="0" w:space="0" w:color="auto"/>
                    <w:bottom w:val="none" w:sz="0" w:space="0" w:color="auto"/>
                    <w:right w:val="none" w:sz="0" w:space="0" w:color="auto"/>
                  </w:divBdr>
                </w:div>
              </w:divsChild>
            </w:div>
            <w:div w:id="471873943">
              <w:marLeft w:val="0"/>
              <w:marRight w:val="0"/>
              <w:marTop w:val="0"/>
              <w:marBottom w:val="0"/>
              <w:divBdr>
                <w:top w:val="none" w:sz="0" w:space="0" w:color="auto"/>
                <w:left w:val="none" w:sz="0" w:space="0" w:color="auto"/>
                <w:bottom w:val="none" w:sz="0" w:space="0" w:color="auto"/>
                <w:right w:val="none" w:sz="0" w:space="0" w:color="auto"/>
              </w:divBdr>
              <w:divsChild>
                <w:div w:id="1627928170">
                  <w:marLeft w:val="0"/>
                  <w:marRight w:val="0"/>
                  <w:marTop w:val="0"/>
                  <w:marBottom w:val="0"/>
                  <w:divBdr>
                    <w:top w:val="none" w:sz="0" w:space="0" w:color="auto"/>
                    <w:left w:val="none" w:sz="0" w:space="0" w:color="auto"/>
                    <w:bottom w:val="none" w:sz="0" w:space="0" w:color="auto"/>
                    <w:right w:val="none" w:sz="0" w:space="0" w:color="auto"/>
                  </w:divBdr>
                </w:div>
              </w:divsChild>
            </w:div>
            <w:div w:id="1188256276">
              <w:marLeft w:val="0"/>
              <w:marRight w:val="0"/>
              <w:marTop w:val="0"/>
              <w:marBottom w:val="0"/>
              <w:divBdr>
                <w:top w:val="none" w:sz="0" w:space="0" w:color="auto"/>
                <w:left w:val="none" w:sz="0" w:space="0" w:color="auto"/>
                <w:bottom w:val="none" w:sz="0" w:space="0" w:color="auto"/>
                <w:right w:val="none" w:sz="0" w:space="0" w:color="auto"/>
              </w:divBdr>
              <w:divsChild>
                <w:div w:id="1793015177">
                  <w:marLeft w:val="0"/>
                  <w:marRight w:val="0"/>
                  <w:marTop w:val="0"/>
                  <w:marBottom w:val="0"/>
                  <w:divBdr>
                    <w:top w:val="none" w:sz="0" w:space="0" w:color="auto"/>
                    <w:left w:val="none" w:sz="0" w:space="0" w:color="auto"/>
                    <w:bottom w:val="none" w:sz="0" w:space="0" w:color="auto"/>
                    <w:right w:val="none" w:sz="0" w:space="0" w:color="auto"/>
                  </w:divBdr>
                </w:div>
              </w:divsChild>
            </w:div>
            <w:div w:id="220487498">
              <w:marLeft w:val="0"/>
              <w:marRight w:val="0"/>
              <w:marTop w:val="0"/>
              <w:marBottom w:val="0"/>
              <w:divBdr>
                <w:top w:val="none" w:sz="0" w:space="0" w:color="auto"/>
                <w:left w:val="none" w:sz="0" w:space="0" w:color="auto"/>
                <w:bottom w:val="none" w:sz="0" w:space="0" w:color="auto"/>
                <w:right w:val="none" w:sz="0" w:space="0" w:color="auto"/>
              </w:divBdr>
              <w:divsChild>
                <w:div w:id="1534154575">
                  <w:marLeft w:val="0"/>
                  <w:marRight w:val="0"/>
                  <w:marTop w:val="0"/>
                  <w:marBottom w:val="0"/>
                  <w:divBdr>
                    <w:top w:val="none" w:sz="0" w:space="0" w:color="auto"/>
                    <w:left w:val="none" w:sz="0" w:space="0" w:color="auto"/>
                    <w:bottom w:val="none" w:sz="0" w:space="0" w:color="auto"/>
                    <w:right w:val="none" w:sz="0" w:space="0" w:color="auto"/>
                  </w:divBdr>
                </w:div>
              </w:divsChild>
            </w:div>
            <w:div w:id="1671130655">
              <w:marLeft w:val="0"/>
              <w:marRight w:val="0"/>
              <w:marTop w:val="0"/>
              <w:marBottom w:val="0"/>
              <w:divBdr>
                <w:top w:val="none" w:sz="0" w:space="0" w:color="auto"/>
                <w:left w:val="none" w:sz="0" w:space="0" w:color="auto"/>
                <w:bottom w:val="none" w:sz="0" w:space="0" w:color="auto"/>
                <w:right w:val="none" w:sz="0" w:space="0" w:color="auto"/>
              </w:divBdr>
              <w:divsChild>
                <w:div w:id="1078795705">
                  <w:marLeft w:val="0"/>
                  <w:marRight w:val="0"/>
                  <w:marTop w:val="0"/>
                  <w:marBottom w:val="0"/>
                  <w:divBdr>
                    <w:top w:val="none" w:sz="0" w:space="0" w:color="auto"/>
                    <w:left w:val="none" w:sz="0" w:space="0" w:color="auto"/>
                    <w:bottom w:val="none" w:sz="0" w:space="0" w:color="auto"/>
                    <w:right w:val="none" w:sz="0" w:space="0" w:color="auto"/>
                  </w:divBdr>
                </w:div>
              </w:divsChild>
            </w:div>
            <w:div w:id="1870100663">
              <w:marLeft w:val="0"/>
              <w:marRight w:val="0"/>
              <w:marTop w:val="0"/>
              <w:marBottom w:val="0"/>
              <w:divBdr>
                <w:top w:val="none" w:sz="0" w:space="0" w:color="auto"/>
                <w:left w:val="none" w:sz="0" w:space="0" w:color="auto"/>
                <w:bottom w:val="none" w:sz="0" w:space="0" w:color="auto"/>
                <w:right w:val="none" w:sz="0" w:space="0" w:color="auto"/>
              </w:divBdr>
              <w:divsChild>
                <w:div w:id="1459108951">
                  <w:marLeft w:val="0"/>
                  <w:marRight w:val="0"/>
                  <w:marTop w:val="0"/>
                  <w:marBottom w:val="0"/>
                  <w:divBdr>
                    <w:top w:val="none" w:sz="0" w:space="0" w:color="auto"/>
                    <w:left w:val="none" w:sz="0" w:space="0" w:color="auto"/>
                    <w:bottom w:val="none" w:sz="0" w:space="0" w:color="auto"/>
                    <w:right w:val="none" w:sz="0" w:space="0" w:color="auto"/>
                  </w:divBdr>
                </w:div>
              </w:divsChild>
            </w:div>
            <w:div w:id="1889149172">
              <w:marLeft w:val="0"/>
              <w:marRight w:val="0"/>
              <w:marTop w:val="0"/>
              <w:marBottom w:val="0"/>
              <w:divBdr>
                <w:top w:val="none" w:sz="0" w:space="0" w:color="auto"/>
                <w:left w:val="none" w:sz="0" w:space="0" w:color="auto"/>
                <w:bottom w:val="none" w:sz="0" w:space="0" w:color="auto"/>
                <w:right w:val="none" w:sz="0" w:space="0" w:color="auto"/>
              </w:divBdr>
              <w:divsChild>
                <w:div w:id="53694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01483">
      <w:bodyDiv w:val="1"/>
      <w:marLeft w:val="0"/>
      <w:marRight w:val="0"/>
      <w:marTop w:val="0"/>
      <w:marBottom w:val="0"/>
      <w:divBdr>
        <w:top w:val="none" w:sz="0" w:space="0" w:color="auto"/>
        <w:left w:val="none" w:sz="0" w:space="0" w:color="auto"/>
        <w:bottom w:val="none" w:sz="0" w:space="0" w:color="auto"/>
        <w:right w:val="none" w:sz="0" w:space="0" w:color="auto"/>
      </w:divBdr>
    </w:div>
    <w:div w:id="2006323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nasuwt.org.uk/asset/A788604C-3046-4005-A1EA0EAFF023E0DD/"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www.weforum.org/agenda/2018/04/education-systems-can-stifle-creative-thought-here-s-how-to-do-things-differentl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19" Type="http://schemas.openxmlformats.org/officeDocument/2006/relationships/hyperlink" Target="https://www.weforum.org/agenda/2018/10/singapore-has-abolished-school-exam-rankings-here-s-wh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4127</Words>
  <Characters>23530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noel thomas</dc:creator>
  <cp:keywords/>
  <dc:description/>
  <cp:lastModifiedBy>noel thomas</cp:lastModifiedBy>
  <cp:revision>2</cp:revision>
  <dcterms:created xsi:type="dcterms:W3CDTF">2019-01-30T22:13:00Z</dcterms:created>
  <dcterms:modified xsi:type="dcterms:W3CDTF">2019-01-30T22:13:00Z</dcterms:modified>
</cp:coreProperties>
</file>