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1B5A8" w14:textId="5E2665E1" w:rsidR="00C728B9" w:rsidRDefault="00CA2A7F" w:rsidP="00CA2A7F">
      <w:pPr>
        <w:pStyle w:val="NoSpacing"/>
        <w:jc w:val="both"/>
        <w:rPr>
          <w:rFonts w:ascii="Franklin Gothic Book" w:hAnsi="Franklin Gothic Book"/>
        </w:rPr>
      </w:pPr>
      <w:r>
        <w:rPr>
          <w:rFonts w:ascii="Franklin Gothic Book" w:hAnsi="Franklin Gothic Book"/>
        </w:rPr>
        <w:t>On 19</w:t>
      </w:r>
      <w:r w:rsidRPr="00CA2A7F">
        <w:rPr>
          <w:rFonts w:ascii="Franklin Gothic Book" w:hAnsi="Franklin Gothic Book"/>
          <w:vertAlign w:val="superscript"/>
        </w:rPr>
        <w:t>th</w:t>
      </w:r>
      <w:r>
        <w:rPr>
          <w:rFonts w:ascii="Franklin Gothic Book" w:hAnsi="Franklin Gothic Book"/>
        </w:rPr>
        <w:t xml:space="preserve"> August 2023, Elijah was at work and had an accident after missing a warning notice</w:t>
      </w:r>
      <w:r w:rsidR="00B3488E">
        <w:rPr>
          <w:rFonts w:ascii="Franklin Gothic Book" w:hAnsi="Franklin Gothic Book"/>
        </w:rPr>
        <w:t xml:space="preserve"> informing employees of a pile of boxes which had fallen and smashed a mirror,</w:t>
      </w:r>
      <w:r>
        <w:rPr>
          <w:rFonts w:ascii="Franklin Gothic Book" w:hAnsi="Franklin Gothic Book"/>
        </w:rPr>
        <w:t xml:space="preserve"> as he was reading a text message on his phone and suffered injuries to his knee, hand, elbow and ribs. He sought medical advice and treatment for his knee injury when he noticed it was not healing as well as his other injuries and was told by the doctor at the hospital that all was well and was discharged. A few days later he returned to hospital as his knee injury was still worsening and was diagnosed with gangrene and had to have emergency surgery to save his knee and potentially his leg. In this assignment, we will be looking at all of the circumstances of Elijah’s case and advising him on his legal position. </w:t>
      </w:r>
    </w:p>
    <w:p w14:paraId="6838A4F9" w14:textId="77777777" w:rsidR="00CA2A7F" w:rsidRDefault="00CA2A7F" w:rsidP="00CA2A7F">
      <w:pPr>
        <w:pStyle w:val="NoSpacing"/>
        <w:jc w:val="both"/>
        <w:rPr>
          <w:rFonts w:ascii="Franklin Gothic Book" w:hAnsi="Franklin Gothic Book"/>
        </w:rPr>
      </w:pPr>
    </w:p>
    <w:p w14:paraId="4D31A8D5" w14:textId="744A39DF" w:rsidR="00CA2A7F" w:rsidRDefault="00CA2A7F" w:rsidP="00CA2A7F">
      <w:pPr>
        <w:pStyle w:val="NoSpacing"/>
        <w:jc w:val="both"/>
        <w:rPr>
          <w:rFonts w:ascii="Franklin Gothic Book" w:hAnsi="Franklin Gothic Book"/>
        </w:rPr>
      </w:pPr>
      <w:r>
        <w:rPr>
          <w:rFonts w:ascii="Franklin Gothic Book" w:hAnsi="Franklin Gothic Book"/>
        </w:rPr>
        <w:t xml:space="preserve">In order for us to accurately assess Elijah’s legal position and advise whether or not he is able to bring a claim we need to consider several points and also establish causation and duty of care. The first thing we need to do is establish whether there was a duty of care owed to Elijah, and if so by whom. </w:t>
      </w:r>
      <w:r w:rsidR="009B14A8">
        <w:rPr>
          <w:rFonts w:ascii="Franklin Gothic Book" w:hAnsi="Franklin Gothic Book"/>
        </w:rPr>
        <w:t>Statutory</w:t>
      </w:r>
      <w:r>
        <w:rPr>
          <w:rFonts w:ascii="Franklin Gothic Book" w:hAnsi="Franklin Gothic Book"/>
        </w:rPr>
        <w:t xml:space="preserve"> duty of care sets out the statutory obligations of the defendant to ensure that all reasonable care and precautions are taken to prevent or minimalise the risk(s) of foreseeable harm, with the statutory definition of Duty of Care as legal obligation owed by one party to another to ensure they do not cause them any harm or loss by their actions or inaction (Lexis+ 2023). </w:t>
      </w:r>
    </w:p>
    <w:p w14:paraId="34466EC2" w14:textId="77777777" w:rsidR="00CA2A7F" w:rsidRDefault="00CA2A7F" w:rsidP="00CA2A7F">
      <w:pPr>
        <w:pStyle w:val="NoSpacing"/>
        <w:jc w:val="both"/>
        <w:rPr>
          <w:rFonts w:ascii="Franklin Gothic Book" w:hAnsi="Franklin Gothic Book"/>
        </w:rPr>
      </w:pPr>
    </w:p>
    <w:p w14:paraId="50A8A697" w14:textId="738331A5" w:rsidR="00CA2A7F" w:rsidRDefault="00CA2A7F" w:rsidP="00CA2A7F">
      <w:pPr>
        <w:pStyle w:val="NoSpacing"/>
        <w:jc w:val="both"/>
        <w:rPr>
          <w:rFonts w:ascii="Franklin Gothic Book" w:hAnsi="Franklin Gothic Book"/>
        </w:rPr>
      </w:pPr>
      <w:r>
        <w:rPr>
          <w:rFonts w:ascii="Franklin Gothic Book" w:hAnsi="Franklin Gothic Book"/>
        </w:rPr>
        <w:t>Duty of Care plays a central role in many cases which are heard or dealt with in the Civil Courts as it is often the foundation of any case – especially for negligence. To be found to be ‘negligent’ the defendant would have to have breached their statutory duty of care obligations and that breach resulted in the claimant’s injuries or losses. The court will apply several legal principles and tests establish if a duty of care is owed. The test to establish duty of care is called the Caparo test and uses the precedent set in Caparo Industries v Dickman [1990]. Using this the court will test that the defendants’ actions or omissions caused them harm or loss, secondly, the relationship between the parties is close enough that it gives rise to the expectation that a duty of care is owed, and third the court must decide whether it is reasonable, just and fair that the duty of care be imposed on the defendant</w:t>
      </w:r>
      <w:r>
        <w:rPr>
          <w:rFonts w:ascii="Franklin Gothic Book" w:hAnsi="Franklin Gothic Book"/>
        </w:rPr>
        <w:t xml:space="preserve"> (Study Smarter, 2023)</w:t>
      </w:r>
      <w:r>
        <w:rPr>
          <w:rFonts w:ascii="Franklin Gothic Book" w:hAnsi="Franklin Gothic Book"/>
        </w:rPr>
        <w:t xml:space="preserve">. </w:t>
      </w:r>
    </w:p>
    <w:p w14:paraId="6E6F4BB1" w14:textId="77777777" w:rsidR="00CA2A7F" w:rsidRDefault="00CA2A7F" w:rsidP="00CA2A7F">
      <w:pPr>
        <w:pStyle w:val="NoSpacing"/>
        <w:jc w:val="both"/>
        <w:rPr>
          <w:rFonts w:ascii="Franklin Gothic Book" w:hAnsi="Franklin Gothic Book"/>
        </w:rPr>
      </w:pPr>
    </w:p>
    <w:p w14:paraId="49347E13" w14:textId="034D9643" w:rsidR="00CA2A7F" w:rsidRDefault="00CA2A7F" w:rsidP="00CA2A7F">
      <w:pPr>
        <w:pStyle w:val="NoSpacing"/>
        <w:jc w:val="both"/>
        <w:rPr>
          <w:rFonts w:ascii="Franklin Gothic Book" w:hAnsi="Franklin Gothic Book"/>
        </w:rPr>
      </w:pPr>
      <w:r>
        <w:rPr>
          <w:rFonts w:ascii="Franklin Gothic Book" w:hAnsi="Franklin Gothic Book"/>
        </w:rPr>
        <w:t xml:space="preserve">There is also another test, which is the reasonable foreseeability test, which was used before the Caparo case, and this was used in the case of Hill v Chief Constable for West Yorkshire [1989], where the mother of the final victim of ‘The Yorkshire Ripper’ Peter Sutcliffe brought a case against the police for failing in their duty of care to protect her daughter from a known serial killer, it was held that it would not be reasonably foreseeable, or fair to impose a duty of care on the police in this instance as protecting people who were not previously known to the killer on an individual basis would impede their duty of care to society as a whole and prevent them from being able to function effectively. </w:t>
      </w:r>
    </w:p>
    <w:p w14:paraId="02D353B3" w14:textId="77777777" w:rsidR="00CA2A7F" w:rsidRDefault="00CA2A7F" w:rsidP="00CA2A7F">
      <w:pPr>
        <w:pStyle w:val="NoSpacing"/>
        <w:jc w:val="both"/>
        <w:rPr>
          <w:rFonts w:ascii="Franklin Gothic Book" w:hAnsi="Franklin Gothic Book"/>
        </w:rPr>
      </w:pPr>
    </w:p>
    <w:p w14:paraId="482D7834" w14:textId="2185D814" w:rsidR="00CA2A7F" w:rsidRDefault="00CA2A7F" w:rsidP="00CA2A7F">
      <w:pPr>
        <w:pStyle w:val="NoSpacing"/>
        <w:jc w:val="both"/>
        <w:rPr>
          <w:rFonts w:ascii="Franklin Gothic Book" w:hAnsi="Franklin Gothic Book"/>
        </w:rPr>
      </w:pPr>
      <w:r>
        <w:rPr>
          <w:rFonts w:ascii="Franklin Gothic Book" w:hAnsi="Franklin Gothic Book"/>
        </w:rPr>
        <w:t xml:space="preserve">Because Elijah’s accident happened at work the next issues to consider would be those of Occupier’s and </w:t>
      </w:r>
      <w:r w:rsidR="00B3488E">
        <w:rPr>
          <w:rFonts w:ascii="Franklin Gothic Book" w:hAnsi="Franklin Gothic Book"/>
        </w:rPr>
        <w:t>Employer’s Liability</w:t>
      </w:r>
      <w:r>
        <w:rPr>
          <w:rFonts w:ascii="Franklin Gothic Book" w:hAnsi="Franklin Gothic Book"/>
        </w:rPr>
        <w:t xml:space="preserve">. The Collin’s Dictionary defines Employer’s Liability as “an employer’s legal responsibility to pay damages to an employee who has been injured or contracted an illness because of the work he or she does”. </w:t>
      </w:r>
      <w:r w:rsidR="00B3488E">
        <w:rPr>
          <w:rFonts w:ascii="Franklin Gothic Book" w:hAnsi="Franklin Gothic Book"/>
        </w:rPr>
        <w:t xml:space="preserve">Section 230(1) of the Employment Rights Act (1996) also defines an employee as a person who has voluntarily entered into a contract with an organisation – known as ‘the employer’ – where they agree to provide their services for financial gain. The contract also has to include information such as the salary and the position held, as well as the overall description of the duties the employee will be expected to undertake, the hours they are expected to work, any holidays </w:t>
      </w:r>
      <w:r w:rsidR="00B3488E">
        <w:rPr>
          <w:rFonts w:ascii="Franklin Gothic Book" w:hAnsi="Franklin Gothic Book"/>
        </w:rPr>
        <w:lastRenderedPageBreak/>
        <w:t xml:space="preserve">they would be entitled to, and other necessary information such as the employer’s expectations of them, employee conduct and pensions if applicable. Section 230(4) gives the statutory provisions for organisations that employ workers and that once the contractual relationship has begun they are responsible for ensuring the employee’s health, safety and security whilst at work, as well as ensuring they comply fully with all statutory and legal regulations. </w:t>
      </w:r>
    </w:p>
    <w:p w14:paraId="1033E3FB" w14:textId="77777777" w:rsidR="00B3488E" w:rsidRDefault="00B3488E" w:rsidP="00CA2A7F">
      <w:pPr>
        <w:pStyle w:val="NoSpacing"/>
        <w:jc w:val="both"/>
        <w:rPr>
          <w:rFonts w:ascii="Franklin Gothic Book" w:hAnsi="Franklin Gothic Book"/>
        </w:rPr>
      </w:pPr>
    </w:p>
    <w:p w14:paraId="5F99D35F" w14:textId="77777777" w:rsidR="009B14A8" w:rsidRDefault="009B14A8" w:rsidP="00CA2A7F">
      <w:pPr>
        <w:pStyle w:val="NoSpacing"/>
        <w:jc w:val="both"/>
        <w:rPr>
          <w:rFonts w:ascii="Franklin Gothic Book" w:hAnsi="Franklin Gothic Book"/>
        </w:rPr>
      </w:pPr>
      <w:r>
        <w:rPr>
          <w:rFonts w:ascii="Franklin Gothic Book" w:hAnsi="Franklin Gothic Book"/>
        </w:rPr>
        <w:t xml:space="preserve">Section 7 of the Health and Safety at Work Act 1974 concerns the general duties of employees at their place of work, s7(a) directs that employees must take care of the health and safety of themselves and others in the workplace who may be affected by their acts or omissions, while s7(b) continues to stipulate that with regards to any duty imposed on their employer they are to cooperate with them as far as is practicable to ensure the statutory requirements are complied with. </w:t>
      </w:r>
    </w:p>
    <w:p w14:paraId="074CF12A" w14:textId="77777777" w:rsidR="009B14A8" w:rsidRDefault="009B14A8" w:rsidP="00CA2A7F">
      <w:pPr>
        <w:pStyle w:val="NoSpacing"/>
        <w:jc w:val="both"/>
        <w:rPr>
          <w:rFonts w:ascii="Franklin Gothic Book" w:hAnsi="Franklin Gothic Book"/>
        </w:rPr>
      </w:pPr>
    </w:p>
    <w:p w14:paraId="60E8ED09" w14:textId="4886AF4E" w:rsidR="009B14A8" w:rsidRDefault="009B14A8" w:rsidP="00CA2A7F">
      <w:pPr>
        <w:pStyle w:val="NoSpacing"/>
        <w:jc w:val="both"/>
        <w:rPr>
          <w:rFonts w:ascii="Franklin Gothic Book" w:hAnsi="Franklin Gothic Book"/>
        </w:rPr>
      </w:pPr>
      <w:r>
        <w:rPr>
          <w:rFonts w:ascii="Franklin Gothic Book" w:hAnsi="Franklin Gothic Book"/>
        </w:rPr>
        <w:t xml:space="preserve">Because Elijah was using his phone while he was carrying the boxes and this was the reason that he missed the sign warning him of the mirror, contributory negligence also needs to be explored. Contributory negligence is a defence used in personal injury claims and means that the defendant or their legal team argue that the claimant is partially liable for the injuries they sustained. The burden of proof for this is on the defendant and they need to show the harm the claimant suffered was reasonably foreseeable, there was a failure on their part to take responsibility for their own safety, and this failure is the cause or a contributing factor to their injuries (Thompsons Solicitors, 2022).  </w:t>
      </w:r>
    </w:p>
    <w:p w14:paraId="3E1AA622" w14:textId="77777777" w:rsidR="009B14A8" w:rsidRDefault="009B14A8" w:rsidP="00CA2A7F">
      <w:pPr>
        <w:pStyle w:val="NoSpacing"/>
        <w:jc w:val="both"/>
        <w:rPr>
          <w:rFonts w:ascii="Franklin Gothic Book" w:hAnsi="Franklin Gothic Book"/>
        </w:rPr>
      </w:pPr>
    </w:p>
    <w:p w14:paraId="38DD8E0B" w14:textId="7C2C981B" w:rsidR="009B14A8" w:rsidRDefault="009B14A8" w:rsidP="00CA2A7F">
      <w:pPr>
        <w:pStyle w:val="NoSpacing"/>
        <w:jc w:val="both"/>
        <w:rPr>
          <w:rFonts w:ascii="Franklin Gothic Book" w:hAnsi="Franklin Gothic Book"/>
        </w:rPr>
      </w:pPr>
      <w:r>
        <w:rPr>
          <w:rFonts w:ascii="Franklin Gothic Book" w:hAnsi="Franklin Gothic Book"/>
        </w:rPr>
        <w:t xml:space="preserve">There is a common duty of care relating to medical organisations, such as GP surgeries, hospitals and other healthcare providers such as Nursing and Care Homes, this is a legal concept which dictates the requirement for all medical professionals to provide their patients with a safe and adequate standard of care, and to offer them treatments which act in their best interests, and ensures the risks to foreseeable harm can be prevented. Any medical professionals who breach this duty of care can give their patients grounds to commence legal proceedings against them and the organisation they work for. There is also a professional duty of care as well as legal, and although these cannot be enforced the courts any breach of professional duty of care will be dealt with by the relevant body (Royal College of Nursing, 2024). </w:t>
      </w:r>
    </w:p>
    <w:p w14:paraId="3E4F58D9" w14:textId="77777777" w:rsidR="009B14A8" w:rsidRDefault="009B14A8" w:rsidP="00CA2A7F">
      <w:pPr>
        <w:pStyle w:val="NoSpacing"/>
        <w:jc w:val="both"/>
        <w:rPr>
          <w:rFonts w:ascii="Franklin Gothic Book" w:hAnsi="Franklin Gothic Book"/>
        </w:rPr>
      </w:pPr>
    </w:p>
    <w:p w14:paraId="3648321F" w14:textId="5E8888F0" w:rsidR="00B3488E" w:rsidRDefault="009B14A8" w:rsidP="00CA2A7F">
      <w:pPr>
        <w:pStyle w:val="NoSpacing"/>
        <w:jc w:val="both"/>
        <w:rPr>
          <w:rFonts w:ascii="Franklin Gothic Book" w:hAnsi="Franklin Gothic Book"/>
        </w:rPr>
      </w:pPr>
      <w:r>
        <w:rPr>
          <w:rFonts w:ascii="Franklin Gothic Book" w:hAnsi="Franklin Gothic Book"/>
        </w:rPr>
        <w:t>Vicarious</w:t>
      </w:r>
      <w:r w:rsidR="00B3488E">
        <w:rPr>
          <w:rFonts w:ascii="Franklin Gothic Book" w:hAnsi="Franklin Gothic Book"/>
        </w:rPr>
        <w:t xml:space="preserve"> Liability</w:t>
      </w:r>
      <w:r>
        <w:rPr>
          <w:rFonts w:ascii="Franklin Gothic Book" w:hAnsi="Franklin Gothic Book"/>
        </w:rPr>
        <w:t xml:space="preserve"> to be considered</w:t>
      </w:r>
      <w:r w:rsidR="00B3488E">
        <w:rPr>
          <w:rFonts w:ascii="Franklin Gothic Book" w:hAnsi="Franklin Gothic Book"/>
        </w:rPr>
        <w:t>, as</w:t>
      </w:r>
      <w:r>
        <w:rPr>
          <w:rFonts w:ascii="Franklin Gothic Book" w:hAnsi="Franklin Gothic Book"/>
        </w:rPr>
        <w:t xml:space="preserve"> Elijah was not given the treatment he was expecting, and not only did his injuries get progressively worse, </w:t>
      </w:r>
      <w:proofErr w:type="gramStart"/>
      <w:r>
        <w:rPr>
          <w:rFonts w:ascii="Franklin Gothic Book" w:hAnsi="Franklin Gothic Book"/>
        </w:rPr>
        <w:t>they</w:t>
      </w:r>
      <w:proofErr w:type="gramEnd"/>
      <w:r>
        <w:rPr>
          <w:rFonts w:ascii="Franklin Gothic Book" w:hAnsi="Franklin Gothic Book"/>
        </w:rPr>
        <w:t xml:space="preserve"> led him to need emergency surgery</w:t>
      </w:r>
      <w:r w:rsidR="00B3488E">
        <w:rPr>
          <w:rFonts w:ascii="Franklin Gothic Book" w:hAnsi="Franklin Gothic Book"/>
        </w:rPr>
        <w:t xml:space="preserve">. Vicarious liability imposes liability on employers for the wrongdoings of their employees. This basically means that if an employer is found vicariously liable then they are essentially liable for the actions of another person and implies that a court can compel a third party to account for conduct of an entirely separate party (Cameron, 2023).  </w:t>
      </w:r>
    </w:p>
    <w:p w14:paraId="43469776" w14:textId="77777777" w:rsidR="00B3488E" w:rsidRDefault="00B3488E" w:rsidP="00CA2A7F">
      <w:pPr>
        <w:pStyle w:val="NoSpacing"/>
        <w:jc w:val="both"/>
        <w:rPr>
          <w:rFonts w:ascii="Franklin Gothic Book" w:hAnsi="Franklin Gothic Book"/>
        </w:rPr>
      </w:pPr>
    </w:p>
    <w:p w14:paraId="639EB941" w14:textId="7A9B8F4E" w:rsidR="00CA2A7F" w:rsidRDefault="00B3488E" w:rsidP="00CA2A7F">
      <w:pPr>
        <w:pStyle w:val="NoSpacing"/>
        <w:jc w:val="both"/>
        <w:rPr>
          <w:rFonts w:ascii="Franklin Gothic Book" w:hAnsi="Franklin Gothic Book"/>
        </w:rPr>
      </w:pPr>
      <w:r>
        <w:rPr>
          <w:rFonts w:ascii="Franklin Gothic Book" w:hAnsi="Franklin Gothic Book"/>
        </w:rPr>
        <w:t xml:space="preserve">There have been instances where the court have set precedents for this, particularly in the case of Mohamud v WM Morrisons Supermarkets Plc [2016] which concerns the case of the claimant being assaulted by a store assistant while filling up his car at a petrol pump, it was held that the supermarket was liable as the employee was ‘in the field of his activities’ at the time of the assault. This judgement was made on appeal, the initial trial judge did not find the supermarket liable. There is also the case of Cox v Ministry of Justice [2016] where the claimant worked as a catering manager for Her Majesty’s Prison Service, which is an executive agency of the defendant. The claimant suffered a back injury after a </w:t>
      </w:r>
      <w:r>
        <w:rPr>
          <w:rFonts w:ascii="Franklin Gothic Book" w:hAnsi="Franklin Gothic Book"/>
        </w:rPr>
        <w:lastRenderedPageBreak/>
        <w:t xml:space="preserve">prisoner who she was working in the kitchens with dropped a large sack of rice. The </w:t>
      </w:r>
      <w:proofErr w:type="spellStart"/>
      <w:r>
        <w:rPr>
          <w:rFonts w:ascii="Franklin Gothic Book" w:hAnsi="Franklin Gothic Book"/>
        </w:rPr>
        <w:t>MoJ</w:t>
      </w:r>
      <w:proofErr w:type="spellEnd"/>
      <w:r>
        <w:rPr>
          <w:rFonts w:ascii="Franklin Gothic Book" w:hAnsi="Franklin Gothic Book"/>
        </w:rPr>
        <w:t xml:space="preserve"> had the defence that the prisoner was not a contractual </w:t>
      </w:r>
      <w:r w:rsidR="009B14A8">
        <w:rPr>
          <w:rFonts w:ascii="Franklin Gothic Book" w:hAnsi="Franklin Gothic Book"/>
        </w:rPr>
        <w:t>employee,</w:t>
      </w:r>
      <w:r>
        <w:rPr>
          <w:rFonts w:ascii="Franklin Gothic Book" w:hAnsi="Franklin Gothic Book"/>
        </w:rPr>
        <w:t xml:space="preserve"> but it was held that the prisoner was paid a nominal fee to provide an essential service within the prison, so this gave rise to an employer/employee relationship. </w:t>
      </w:r>
    </w:p>
    <w:p w14:paraId="3B94FCEE" w14:textId="77777777" w:rsidR="00CA2A7F" w:rsidRDefault="00CA2A7F" w:rsidP="00CA2A7F">
      <w:pPr>
        <w:pStyle w:val="NoSpacing"/>
        <w:jc w:val="both"/>
        <w:rPr>
          <w:rFonts w:ascii="Franklin Gothic Book" w:hAnsi="Franklin Gothic Book"/>
        </w:rPr>
      </w:pPr>
    </w:p>
    <w:p w14:paraId="7B169777" w14:textId="524FC73D" w:rsidR="00CA2A7F" w:rsidRDefault="009B14A8" w:rsidP="00CA2A7F">
      <w:pPr>
        <w:pStyle w:val="NoSpacing"/>
        <w:jc w:val="both"/>
        <w:rPr>
          <w:rFonts w:ascii="Franklin Gothic Book" w:hAnsi="Franklin Gothic Book"/>
        </w:rPr>
      </w:pPr>
      <w:r>
        <w:rPr>
          <w:rFonts w:ascii="Franklin Gothic Book" w:hAnsi="Franklin Gothic Book"/>
        </w:rPr>
        <w:t xml:space="preserve">Clinical negligence essentially means that you have been injured or your injuries have been made worse by the negligent treatment you received from a medical professional. This includes issues such as being misdiagnosed or having your diagnosis delayed. In order for Elijah to prove his situation amounts to clinical negligence he will need to prove that the medical professional who treated him owed him a duty of care, the professional then breached that duty of care, that breach caused him harm, and that harm caused further damage to him. If Elijah did bring a claim against the hospital, then the Civil Procedure Rules would dictate the conduct of the pursuing his claim, he would also need legal representation and given that legal aid is scarce in civil law most solicitors dealing with him would work on a conditional fee arrangement. Also, the claim must begin within three years of the incident or within three years of him being made aware of the negligence (Mind, 2018). </w:t>
      </w:r>
    </w:p>
    <w:p w14:paraId="4B9398AC" w14:textId="77777777" w:rsidR="009B14A8" w:rsidRDefault="009B14A8" w:rsidP="00CA2A7F">
      <w:pPr>
        <w:pStyle w:val="NoSpacing"/>
        <w:jc w:val="both"/>
        <w:rPr>
          <w:rFonts w:ascii="Franklin Gothic Book" w:hAnsi="Franklin Gothic Book"/>
        </w:rPr>
      </w:pPr>
    </w:p>
    <w:p w14:paraId="6C741D5F" w14:textId="62A86F7B" w:rsidR="009B14A8" w:rsidRDefault="009B14A8" w:rsidP="00CA2A7F">
      <w:pPr>
        <w:pStyle w:val="NoSpacing"/>
        <w:jc w:val="both"/>
        <w:rPr>
          <w:rFonts w:ascii="Franklin Gothic Book" w:hAnsi="Franklin Gothic Book"/>
        </w:rPr>
      </w:pPr>
      <w:r>
        <w:rPr>
          <w:rFonts w:ascii="Franklin Gothic Book" w:hAnsi="Franklin Gothic Book"/>
        </w:rPr>
        <w:t xml:space="preserve">There would be some defences open to the employer, causation being one and in this instance even if liability is admitted the defendant can still attempt to argue that all of the injuries and losses incurred by the claimant were not totally as a result of them being negligent. As part of the claims process the claimant must be able to demonstrate that the </w:t>
      </w:r>
      <w:proofErr w:type="gramStart"/>
      <w:r>
        <w:rPr>
          <w:rFonts w:ascii="Franklin Gothic Book" w:hAnsi="Franklin Gothic Book"/>
        </w:rPr>
        <w:t>amount</w:t>
      </w:r>
      <w:proofErr w:type="gramEnd"/>
      <w:r>
        <w:rPr>
          <w:rFonts w:ascii="Franklin Gothic Book" w:hAnsi="Franklin Gothic Book"/>
        </w:rPr>
        <w:t xml:space="preserve"> of losses they are claiming for due to the accident they suffered is wholly due to the defendant’s negligence. Contributory negligence can also be used as a defence, even though it is considered as a partial defence it still offers some mitigation for the defendant’s liability by demonstrating that the claimant was in part responsible for their injuries due to their own personal negligence (Catalyst Law, 2023). </w:t>
      </w:r>
    </w:p>
    <w:p w14:paraId="057994D0" w14:textId="77777777" w:rsidR="00CA2A7F" w:rsidRDefault="00CA2A7F" w:rsidP="00CA2A7F">
      <w:pPr>
        <w:pStyle w:val="NoSpacing"/>
        <w:jc w:val="both"/>
        <w:rPr>
          <w:rFonts w:ascii="Franklin Gothic Book" w:hAnsi="Franklin Gothic Book"/>
        </w:rPr>
      </w:pPr>
    </w:p>
    <w:p w14:paraId="7C6FC09F" w14:textId="73C61CFC" w:rsidR="009B14A8" w:rsidRDefault="009B14A8" w:rsidP="00CA2A7F">
      <w:pPr>
        <w:pStyle w:val="NoSpacing"/>
        <w:jc w:val="both"/>
        <w:rPr>
          <w:rFonts w:ascii="Franklin Gothic Book" w:hAnsi="Franklin Gothic Book"/>
        </w:rPr>
      </w:pPr>
      <w:r>
        <w:rPr>
          <w:rFonts w:ascii="Franklin Gothic Book" w:hAnsi="Franklin Gothic Book"/>
        </w:rPr>
        <w:t xml:space="preserve">Upon conducting research into the defences for personal injury and medical negligence, there are few, if any defences open to the hospital as they did act negligently by sending him away with little to no treatment and told him it was nothing to worry about. For his injury to turn gangrenous and need emergency surgery within a few days after seeking medical advice, the cut must have been pretty severe to be told not to worry about it. According to NHS website, the earlier you seek treatment for gangrene infection the better, which is what Elijah tried to do. He could bring a case against the hospital and based on the information about his injuries and initial treatment it does seem he would be able to meet the standard of proof for his case, he could also consider bringing a claim under Employer’s Liability and Occupier’s Liability, although as previously mentioned, contributory negligence may apply to his case. </w:t>
      </w:r>
    </w:p>
    <w:p w14:paraId="0EA29A18" w14:textId="77777777" w:rsidR="009B14A8" w:rsidRDefault="009B14A8" w:rsidP="00CA2A7F">
      <w:pPr>
        <w:pStyle w:val="NoSpacing"/>
        <w:jc w:val="both"/>
        <w:rPr>
          <w:rFonts w:ascii="Franklin Gothic Book" w:hAnsi="Franklin Gothic Book"/>
        </w:rPr>
      </w:pPr>
    </w:p>
    <w:p w14:paraId="48ED099F" w14:textId="77777777" w:rsidR="009B14A8" w:rsidRDefault="009B14A8" w:rsidP="00CA2A7F">
      <w:pPr>
        <w:pStyle w:val="NoSpacing"/>
        <w:jc w:val="both"/>
        <w:rPr>
          <w:rFonts w:ascii="Franklin Gothic Book" w:hAnsi="Franklin Gothic Book"/>
        </w:rPr>
      </w:pPr>
    </w:p>
    <w:p w14:paraId="6455938D" w14:textId="77777777" w:rsidR="009B14A8" w:rsidRDefault="009B14A8" w:rsidP="00CA2A7F">
      <w:pPr>
        <w:pStyle w:val="NoSpacing"/>
        <w:jc w:val="both"/>
        <w:rPr>
          <w:rFonts w:ascii="Franklin Gothic Book" w:hAnsi="Franklin Gothic Book"/>
        </w:rPr>
      </w:pPr>
    </w:p>
    <w:p w14:paraId="2746449C" w14:textId="77777777" w:rsidR="009B14A8" w:rsidRDefault="009B14A8" w:rsidP="00CA2A7F">
      <w:pPr>
        <w:pStyle w:val="NoSpacing"/>
        <w:jc w:val="both"/>
        <w:rPr>
          <w:rFonts w:ascii="Franklin Gothic Book" w:hAnsi="Franklin Gothic Book"/>
        </w:rPr>
      </w:pPr>
    </w:p>
    <w:p w14:paraId="489E5C46" w14:textId="77777777" w:rsidR="009B14A8" w:rsidRDefault="009B14A8" w:rsidP="00CA2A7F">
      <w:pPr>
        <w:pStyle w:val="NoSpacing"/>
        <w:jc w:val="both"/>
        <w:rPr>
          <w:rFonts w:ascii="Franklin Gothic Book" w:hAnsi="Franklin Gothic Book"/>
        </w:rPr>
      </w:pPr>
    </w:p>
    <w:p w14:paraId="7A792E59" w14:textId="77777777" w:rsidR="009B14A8" w:rsidRDefault="009B14A8" w:rsidP="00CA2A7F">
      <w:pPr>
        <w:pStyle w:val="NoSpacing"/>
        <w:jc w:val="both"/>
        <w:rPr>
          <w:rFonts w:ascii="Franklin Gothic Book" w:hAnsi="Franklin Gothic Book"/>
        </w:rPr>
      </w:pPr>
    </w:p>
    <w:p w14:paraId="4F4F6CFB" w14:textId="77777777" w:rsidR="009B14A8" w:rsidRDefault="009B14A8" w:rsidP="00CA2A7F">
      <w:pPr>
        <w:pStyle w:val="NoSpacing"/>
        <w:jc w:val="both"/>
        <w:rPr>
          <w:rFonts w:ascii="Franklin Gothic Book" w:hAnsi="Franklin Gothic Book"/>
        </w:rPr>
      </w:pPr>
    </w:p>
    <w:p w14:paraId="769A998C" w14:textId="77777777" w:rsidR="009B14A8" w:rsidRDefault="009B14A8" w:rsidP="00CA2A7F">
      <w:pPr>
        <w:pStyle w:val="NoSpacing"/>
        <w:jc w:val="both"/>
        <w:rPr>
          <w:rFonts w:ascii="Franklin Gothic Book" w:hAnsi="Franklin Gothic Book"/>
        </w:rPr>
      </w:pPr>
    </w:p>
    <w:p w14:paraId="689C432E" w14:textId="77777777" w:rsidR="009B14A8" w:rsidRDefault="009B14A8" w:rsidP="00CA2A7F">
      <w:pPr>
        <w:pStyle w:val="NoSpacing"/>
        <w:jc w:val="both"/>
        <w:rPr>
          <w:rFonts w:ascii="Franklin Gothic Book" w:hAnsi="Franklin Gothic Book"/>
        </w:rPr>
      </w:pPr>
    </w:p>
    <w:p w14:paraId="5DFFA481" w14:textId="77777777" w:rsidR="009B14A8" w:rsidRDefault="009B14A8" w:rsidP="00CA2A7F">
      <w:pPr>
        <w:pStyle w:val="NoSpacing"/>
        <w:jc w:val="both"/>
        <w:rPr>
          <w:rFonts w:ascii="Franklin Gothic Book" w:hAnsi="Franklin Gothic Book"/>
        </w:rPr>
      </w:pPr>
    </w:p>
    <w:p w14:paraId="73733782" w14:textId="77777777" w:rsidR="00CA2A7F" w:rsidRDefault="00CA2A7F" w:rsidP="00CA2A7F">
      <w:pPr>
        <w:pStyle w:val="NoSpacing"/>
        <w:jc w:val="both"/>
        <w:rPr>
          <w:rFonts w:ascii="Franklin Gothic Book" w:hAnsi="Franklin Gothic Book"/>
        </w:rPr>
      </w:pPr>
    </w:p>
    <w:p w14:paraId="2E5A9D9B" w14:textId="09F22641" w:rsidR="00CA2A7F" w:rsidRDefault="00CA2A7F" w:rsidP="00CA2A7F">
      <w:pPr>
        <w:pStyle w:val="NoSpacing"/>
        <w:jc w:val="center"/>
        <w:rPr>
          <w:rFonts w:ascii="Franklin Gothic Book" w:hAnsi="Franklin Gothic Book"/>
        </w:rPr>
      </w:pPr>
      <w:r>
        <w:rPr>
          <w:rFonts w:ascii="Franklin Gothic Book" w:hAnsi="Franklin Gothic Book"/>
          <w:b/>
          <w:bCs/>
          <w:u w:val="single"/>
        </w:rPr>
        <w:t>Reference List</w:t>
      </w:r>
    </w:p>
    <w:p w14:paraId="29F7ED12" w14:textId="77777777" w:rsidR="00CA2A7F" w:rsidRDefault="00CA2A7F" w:rsidP="00CA2A7F">
      <w:pPr>
        <w:pStyle w:val="NoSpacing"/>
        <w:jc w:val="center"/>
        <w:rPr>
          <w:rFonts w:ascii="Franklin Gothic Book" w:hAnsi="Franklin Gothic Book"/>
        </w:rPr>
      </w:pPr>
    </w:p>
    <w:p w14:paraId="46836D7F" w14:textId="626D901A" w:rsidR="00B3488E" w:rsidRPr="00B3488E" w:rsidRDefault="00B3488E" w:rsidP="00CA2A7F">
      <w:pPr>
        <w:pStyle w:val="NoSpacing"/>
        <w:rPr>
          <w:rFonts w:ascii="Franklin Gothic Book" w:hAnsi="Franklin Gothic Book"/>
        </w:rPr>
      </w:pPr>
      <w:r>
        <w:rPr>
          <w:rFonts w:ascii="Franklin Gothic Book" w:hAnsi="Franklin Gothic Book"/>
        </w:rPr>
        <w:t xml:space="preserve">Cameron. D, (2023), Stay Safe, Health &amp; Safety, </w:t>
      </w:r>
      <w:r>
        <w:rPr>
          <w:rFonts w:ascii="Franklin Gothic Book" w:hAnsi="Franklin Gothic Book"/>
          <w:i/>
          <w:iCs/>
        </w:rPr>
        <w:t>Vicarious Liability: When an Employee’s Actions Become Your Fault</w:t>
      </w:r>
      <w:r>
        <w:rPr>
          <w:rFonts w:ascii="Franklin Gothic Book" w:hAnsi="Franklin Gothic Book"/>
        </w:rPr>
        <w:t xml:space="preserve">, Available at: </w:t>
      </w:r>
      <w:hyperlink r:id="rId6" w:history="1">
        <w:r w:rsidRPr="00690CE2">
          <w:rPr>
            <w:rStyle w:val="Hyperlink"/>
            <w:rFonts w:ascii="Franklin Gothic Book" w:hAnsi="Franklin Gothic Book"/>
          </w:rPr>
          <w:t>https://staysafeapp.com/blog/vicarious-liability/#</w:t>
        </w:r>
      </w:hyperlink>
      <w:r>
        <w:rPr>
          <w:rFonts w:ascii="Franklin Gothic Book" w:hAnsi="Franklin Gothic Book"/>
        </w:rPr>
        <w:t xml:space="preserve"> Accessed: 20-January-2024</w:t>
      </w:r>
    </w:p>
    <w:p w14:paraId="690A5829" w14:textId="77777777" w:rsidR="00B3488E" w:rsidRDefault="00B3488E" w:rsidP="00CA2A7F">
      <w:pPr>
        <w:pStyle w:val="NoSpacing"/>
        <w:rPr>
          <w:rFonts w:ascii="Franklin Gothic Book" w:hAnsi="Franklin Gothic Book"/>
        </w:rPr>
      </w:pPr>
    </w:p>
    <w:p w14:paraId="3F28E9C5" w14:textId="7DE6837F" w:rsidR="009B14A8" w:rsidRPr="009B14A8" w:rsidRDefault="009B14A8" w:rsidP="00CA2A7F">
      <w:pPr>
        <w:pStyle w:val="NoSpacing"/>
        <w:rPr>
          <w:rFonts w:ascii="Franklin Gothic Book" w:hAnsi="Franklin Gothic Book"/>
        </w:rPr>
      </w:pPr>
      <w:r>
        <w:rPr>
          <w:rFonts w:ascii="Franklin Gothic Book" w:hAnsi="Franklin Gothic Book"/>
        </w:rPr>
        <w:t xml:space="preserve">Catalyst Law, (2023), </w:t>
      </w:r>
      <w:r>
        <w:rPr>
          <w:rFonts w:ascii="Franklin Gothic Book" w:hAnsi="Franklin Gothic Book"/>
          <w:i/>
          <w:iCs/>
        </w:rPr>
        <w:t>Defences to Personal Injury Claims</w:t>
      </w:r>
      <w:r>
        <w:rPr>
          <w:rFonts w:ascii="Franklin Gothic Book" w:hAnsi="Franklin Gothic Book"/>
        </w:rPr>
        <w:t xml:space="preserve">, Available at: </w:t>
      </w:r>
      <w:hyperlink r:id="rId7" w:history="1">
        <w:r w:rsidRPr="00690CE2">
          <w:rPr>
            <w:rStyle w:val="Hyperlink"/>
            <w:rFonts w:ascii="Franklin Gothic Book" w:hAnsi="Franklin Gothic Book"/>
          </w:rPr>
          <w:t>https://www.catalystlaw.co.uk/blog/defences-to-personal-injury-claims</w:t>
        </w:r>
      </w:hyperlink>
      <w:r>
        <w:rPr>
          <w:rFonts w:ascii="Franklin Gothic Book" w:hAnsi="Franklin Gothic Book"/>
        </w:rPr>
        <w:t xml:space="preserve"> Accessed: 25-January-2024</w:t>
      </w:r>
    </w:p>
    <w:p w14:paraId="6488696B" w14:textId="77777777" w:rsidR="009B14A8" w:rsidRDefault="009B14A8" w:rsidP="00CA2A7F">
      <w:pPr>
        <w:pStyle w:val="NoSpacing"/>
        <w:rPr>
          <w:rFonts w:ascii="Franklin Gothic Book" w:hAnsi="Franklin Gothic Book"/>
        </w:rPr>
      </w:pPr>
    </w:p>
    <w:p w14:paraId="748BFE0B" w14:textId="3B0C7C53" w:rsidR="00CA2A7F" w:rsidRPr="00CA2A7F" w:rsidRDefault="00CA2A7F" w:rsidP="00CA2A7F">
      <w:pPr>
        <w:pStyle w:val="NoSpacing"/>
        <w:rPr>
          <w:rFonts w:ascii="Franklin Gothic Book" w:hAnsi="Franklin Gothic Book"/>
        </w:rPr>
      </w:pPr>
      <w:r>
        <w:rPr>
          <w:rFonts w:ascii="Franklin Gothic Book" w:hAnsi="Franklin Gothic Book"/>
        </w:rPr>
        <w:t xml:space="preserve">Collin’s Dictionary, 2024, </w:t>
      </w:r>
      <w:r>
        <w:rPr>
          <w:rFonts w:ascii="Franklin Gothic Book" w:hAnsi="Franklin Gothic Book"/>
          <w:i/>
          <w:iCs/>
        </w:rPr>
        <w:t>Definition of Employer’s Liability in British English</w:t>
      </w:r>
      <w:r>
        <w:rPr>
          <w:rFonts w:ascii="Franklin Gothic Book" w:hAnsi="Franklin Gothic Book"/>
        </w:rPr>
        <w:t xml:space="preserve">, Available at: </w:t>
      </w:r>
      <w:hyperlink r:id="rId8" w:history="1">
        <w:r w:rsidRPr="00690CE2">
          <w:rPr>
            <w:rStyle w:val="Hyperlink"/>
            <w:rFonts w:ascii="Franklin Gothic Book" w:hAnsi="Franklin Gothic Book"/>
          </w:rPr>
          <w:t>https://www.collinsdictionary.com/dictionary/english/employers-liability</w:t>
        </w:r>
      </w:hyperlink>
      <w:r>
        <w:rPr>
          <w:rFonts w:ascii="Franklin Gothic Book" w:hAnsi="Franklin Gothic Book"/>
        </w:rPr>
        <w:t>. Accessed: 14-January-2024</w:t>
      </w:r>
    </w:p>
    <w:p w14:paraId="76BDFD69" w14:textId="77777777" w:rsidR="00CA2A7F" w:rsidRDefault="00CA2A7F" w:rsidP="00CA2A7F">
      <w:pPr>
        <w:pStyle w:val="NoSpacing"/>
        <w:rPr>
          <w:rFonts w:ascii="Franklin Gothic Book" w:hAnsi="Franklin Gothic Book"/>
        </w:rPr>
      </w:pPr>
    </w:p>
    <w:p w14:paraId="30F2A0B8" w14:textId="2871ED71" w:rsidR="00B3488E" w:rsidRDefault="00B3488E" w:rsidP="00CA2A7F">
      <w:pPr>
        <w:pStyle w:val="NoSpacing"/>
        <w:rPr>
          <w:rFonts w:ascii="Franklin Gothic Book" w:hAnsi="Franklin Gothic Book"/>
        </w:rPr>
      </w:pPr>
      <w:r>
        <w:rPr>
          <w:rFonts w:ascii="Franklin Gothic Book" w:hAnsi="Franklin Gothic Book"/>
        </w:rPr>
        <w:t xml:space="preserve">Employment Rights Act (1996), Available at: </w:t>
      </w:r>
      <w:hyperlink r:id="rId9" w:history="1">
        <w:r w:rsidRPr="00690CE2">
          <w:rPr>
            <w:rStyle w:val="Hyperlink"/>
            <w:rFonts w:ascii="Franklin Gothic Book" w:hAnsi="Franklin Gothic Book"/>
          </w:rPr>
          <w:t>https://www.legislation.gov.uk/ukpga/1996/18/contents</w:t>
        </w:r>
      </w:hyperlink>
      <w:r>
        <w:rPr>
          <w:rFonts w:ascii="Franklin Gothic Book" w:hAnsi="Franklin Gothic Book"/>
        </w:rPr>
        <w:t xml:space="preserve"> Accessed: 15-January-2024</w:t>
      </w:r>
    </w:p>
    <w:p w14:paraId="52846461" w14:textId="77777777" w:rsidR="009B14A8" w:rsidRDefault="009B14A8" w:rsidP="00CA2A7F">
      <w:pPr>
        <w:pStyle w:val="NoSpacing"/>
        <w:rPr>
          <w:rFonts w:ascii="Franklin Gothic Book" w:hAnsi="Franklin Gothic Book"/>
        </w:rPr>
      </w:pPr>
    </w:p>
    <w:p w14:paraId="2B6F49ED" w14:textId="2198236E" w:rsidR="009B14A8" w:rsidRDefault="009B14A8" w:rsidP="00CA2A7F">
      <w:pPr>
        <w:pStyle w:val="NoSpacing"/>
        <w:rPr>
          <w:rFonts w:ascii="Franklin Gothic Book" w:hAnsi="Franklin Gothic Book"/>
        </w:rPr>
      </w:pPr>
      <w:r>
        <w:rPr>
          <w:rFonts w:ascii="Franklin Gothic Book" w:hAnsi="Franklin Gothic Book"/>
        </w:rPr>
        <w:t xml:space="preserve">Health and Safety at Work Act (1974), Available at: </w:t>
      </w:r>
      <w:hyperlink r:id="rId10" w:history="1">
        <w:r w:rsidRPr="00690CE2">
          <w:rPr>
            <w:rStyle w:val="Hyperlink"/>
            <w:rFonts w:ascii="Franklin Gothic Book" w:hAnsi="Franklin Gothic Book"/>
          </w:rPr>
          <w:t>https://www.legislation.gov.uk/ukpga/1974/37/section/7</w:t>
        </w:r>
      </w:hyperlink>
      <w:r>
        <w:rPr>
          <w:rFonts w:ascii="Franklin Gothic Book" w:hAnsi="Franklin Gothic Book"/>
        </w:rPr>
        <w:t xml:space="preserve"> Accessed: 20-January-2024</w:t>
      </w:r>
    </w:p>
    <w:p w14:paraId="66E4C66C" w14:textId="77777777" w:rsidR="00B3488E" w:rsidRDefault="00B3488E" w:rsidP="00CA2A7F">
      <w:pPr>
        <w:pStyle w:val="NoSpacing"/>
        <w:rPr>
          <w:rFonts w:ascii="Franklin Gothic Book" w:hAnsi="Franklin Gothic Book"/>
        </w:rPr>
      </w:pPr>
    </w:p>
    <w:p w14:paraId="24D5437F" w14:textId="399DD33F" w:rsidR="00CA2A7F" w:rsidRDefault="00CA2A7F" w:rsidP="00CA2A7F">
      <w:pPr>
        <w:pStyle w:val="NoSpacing"/>
        <w:rPr>
          <w:rFonts w:ascii="Franklin Gothic Book" w:hAnsi="Franklin Gothic Book"/>
        </w:rPr>
      </w:pPr>
      <w:r>
        <w:rPr>
          <w:rFonts w:ascii="Franklin Gothic Book" w:hAnsi="Franklin Gothic Book"/>
        </w:rPr>
        <w:t xml:space="preserve">LexisNexis, 2023, </w:t>
      </w:r>
      <w:r w:rsidRPr="00CA2A7F">
        <w:rPr>
          <w:rFonts w:ascii="Franklin Gothic Book" w:hAnsi="Franklin Gothic Book"/>
          <w:i/>
          <w:iCs/>
        </w:rPr>
        <w:t>Duty of Care Definition: What Does Duty of Care Mean?</w:t>
      </w:r>
      <w:r>
        <w:rPr>
          <w:rFonts w:ascii="Franklin Gothic Book" w:hAnsi="Franklin Gothic Book"/>
        </w:rPr>
        <w:t xml:space="preserve">, Available at: </w:t>
      </w:r>
      <w:hyperlink r:id="rId11" w:history="1">
        <w:r w:rsidRPr="00690CE2">
          <w:rPr>
            <w:rStyle w:val="Hyperlink"/>
            <w:rFonts w:ascii="Franklin Gothic Book" w:hAnsi="Franklin Gothic Book"/>
          </w:rPr>
          <w:t>https://www.lexisnexis.co.uk/legal/glossary/duty-of-care#:~:text=What%20does%20Duty%20of%20care,of%20the%20case%20in%20question</w:t>
        </w:r>
      </w:hyperlink>
      <w:r>
        <w:rPr>
          <w:rFonts w:ascii="Franklin Gothic Book" w:hAnsi="Franklin Gothic Book"/>
        </w:rPr>
        <w:t>. Accessed: 12-January-2024</w:t>
      </w:r>
    </w:p>
    <w:p w14:paraId="3900EBFF" w14:textId="77777777" w:rsidR="009B14A8" w:rsidRDefault="009B14A8" w:rsidP="00CA2A7F">
      <w:pPr>
        <w:pStyle w:val="NoSpacing"/>
        <w:rPr>
          <w:rFonts w:ascii="Franklin Gothic Book" w:hAnsi="Franklin Gothic Book"/>
        </w:rPr>
      </w:pPr>
    </w:p>
    <w:p w14:paraId="529D0B83" w14:textId="15F1C0B3" w:rsidR="009B14A8" w:rsidRPr="009B14A8" w:rsidRDefault="009B14A8" w:rsidP="00CA2A7F">
      <w:pPr>
        <w:pStyle w:val="NoSpacing"/>
        <w:rPr>
          <w:rFonts w:ascii="Franklin Gothic Book" w:hAnsi="Franklin Gothic Book"/>
        </w:rPr>
      </w:pPr>
      <w:r>
        <w:rPr>
          <w:rFonts w:ascii="Franklin Gothic Book" w:hAnsi="Franklin Gothic Book"/>
        </w:rPr>
        <w:t xml:space="preserve">Mind, (2018), </w:t>
      </w:r>
      <w:r>
        <w:rPr>
          <w:rFonts w:ascii="Franklin Gothic Book" w:hAnsi="Franklin Gothic Book"/>
          <w:i/>
          <w:iCs/>
        </w:rPr>
        <w:t>Guide to Clinical Negligence</w:t>
      </w:r>
      <w:r>
        <w:rPr>
          <w:rFonts w:ascii="Franklin Gothic Book" w:hAnsi="Franklin Gothic Book"/>
        </w:rPr>
        <w:t xml:space="preserve">, Available at: </w:t>
      </w:r>
      <w:hyperlink r:id="rId12" w:history="1">
        <w:r w:rsidRPr="00690CE2">
          <w:rPr>
            <w:rStyle w:val="Hyperlink"/>
            <w:rFonts w:ascii="Franklin Gothic Book" w:hAnsi="Franklin Gothic Book"/>
          </w:rPr>
          <w:t>https://www.mind.org.uk/media-a/2916/clinical-negligence-2018.pdf</w:t>
        </w:r>
      </w:hyperlink>
      <w:r>
        <w:rPr>
          <w:rFonts w:ascii="Franklin Gothic Book" w:hAnsi="Franklin Gothic Book"/>
        </w:rPr>
        <w:t xml:space="preserve"> Accessed: 24-January-2024</w:t>
      </w:r>
    </w:p>
    <w:p w14:paraId="6A5D1D66" w14:textId="77777777" w:rsidR="009B14A8" w:rsidRDefault="009B14A8" w:rsidP="00CA2A7F">
      <w:pPr>
        <w:pStyle w:val="NoSpacing"/>
        <w:rPr>
          <w:rFonts w:ascii="Franklin Gothic Book" w:hAnsi="Franklin Gothic Book"/>
        </w:rPr>
      </w:pPr>
    </w:p>
    <w:p w14:paraId="23A6177C" w14:textId="183913E9" w:rsidR="009B14A8" w:rsidRPr="009B14A8" w:rsidRDefault="009B14A8" w:rsidP="00CA2A7F">
      <w:pPr>
        <w:pStyle w:val="NoSpacing"/>
        <w:rPr>
          <w:rFonts w:ascii="Franklin Gothic Book" w:hAnsi="Franklin Gothic Book"/>
        </w:rPr>
      </w:pPr>
      <w:r>
        <w:rPr>
          <w:rFonts w:ascii="Franklin Gothic Book" w:hAnsi="Franklin Gothic Book"/>
        </w:rPr>
        <w:t xml:space="preserve">NHS UK, (2022), </w:t>
      </w:r>
      <w:r>
        <w:rPr>
          <w:rFonts w:ascii="Franklin Gothic Book" w:hAnsi="Franklin Gothic Book"/>
          <w:i/>
          <w:iCs/>
        </w:rPr>
        <w:t>Information on Gangrene Infection</w:t>
      </w:r>
      <w:r>
        <w:rPr>
          <w:rFonts w:ascii="Franklin Gothic Book" w:hAnsi="Franklin Gothic Book"/>
        </w:rPr>
        <w:t xml:space="preserve">, Available at: </w:t>
      </w:r>
      <w:hyperlink r:id="rId13" w:history="1">
        <w:r w:rsidRPr="00690CE2">
          <w:rPr>
            <w:rStyle w:val="Hyperlink"/>
            <w:rFonts w:ascii="Franklin Gothic Book" w:hAnsi="Franklin Gothic Book"/>
          </w:rPr>
          <w:t>https://www.nhs.uk/conditions/gangrene/symptoms/</w:t>
        </w:r>
      </w:hyperlink>
      <w:r>
        <w:rPr>
          <w:rFonts w:ascii="Franklin Gothic Book" w:hAnsi="Franklin Gothic Book"/>
        </w:rPr>
        <w:t xml:space="preserve"> Accessed 25-January-2024</w:t>
      </w:r>
    </w:p>
    <w:p w14:paraId="63A48E68" w14:textId="77777777" w:rsidR="009B14A8" w:rsidRDefault="009B14A8" w:rsidP="00CA2A7F">
      <w:pPr>
        <w:pStyle w:val="NoSpacing"/>
        <w:rPr>
          <w:rFonts w:ascii="Franklin Gothic Book" w:hAnsi="Franklin Gothic Book"/>
        </w:rPr>
      </w:pPr>
    </w:p>
    <w:p w14:paraId="08A742F5" w14:textId="7B28BB06" w:rsidR="009B14A8" w:rsidRPr="009B14A8" w:rsidRDefault="009B14A8" w:rsidP="00CA2A7F">
      <w:pPr>
        <w:pStyle w:val="NoSpacing"/>
        <w:rPr>
          <w:rFonts w:ascii="Franklin Gothic Book" w:hAnsi="Franklin Gothic Book"/>
        </w:rPr>
      </w:pPr>
      <w:r>
        <w:rPr>
          <w:rFonts w:ascii="Franklin Gothic Book" w:hAnsi="Franklin Gothic Book"/>
        </w:rPr>
        <w:t xml:space="preserve">Royal College of Nursing, (2024), </w:t>
      </w:r>
      <w:r>
        <w:rPr>
          <w:rFonts w:ascii="Franklin Gothic Book" w:hAnsi="Franklin Gothic Book"/>
          <w:i/>
          <w:iCs/>
        </w:rPr>
        <w:t>Duty of Care</w:t>
      </w:r>
      <w:r>
        <w:rPr>
          <w:rFonts w:ascii="Franklin Gothic Book" w:hAnsi="Franklin Gothic Book"/>
        </w:rPr>
        <w:t xml:space="preserve">, Available at: </w:t>
      </w:r>
      <w:hyperlink r:id="rId14" w:history="1">
        <w:r w:rsidRPr="00690CE2">
          <w:rPr>
            <w:rStyle w:val="Hyperlink"/>
            <w:rFonts w:ascii="Franklin Gothic Book" w:hAnsi="Franklin Gothic Book"/>
          </w:rPr>
          <w:t>https://www.rcn.org.uk/Get-Help/RCN-advice/duty-of-care</w:t>
        </w:r>
      </w:hyperlink>
      <w:r>
        <w:rPr>
          <w:rFonts w:ascii="Franklin Gothic Book" w:hAnsi="Franklin Gothic Book"/>
        </w:rPr>
        <w:t xml:space="preserve"> Accessed: 22-January-2024</w:t>
      </w:r>
    </w:p>
    <w:p w14:paraId="6AAB0A58" w14:textId="77777777" w:rsidR="00CA2A7F" w:rsidRDefault="00CA2A7F" w:rsidP="00CA2A7F">
      <w:pPr>
        <w:pStyle w:val="NoSpacing"/>
        <w:rPr>
          <w:rFonts w:ascii="Franklin Gothic Book" w:hAnsi="Franklin Gothic Book"/>
        </w:rPr>
      </w:pPr>
    </w:p>
    <w:p w14:paraId="500B1A32" w14:textId="06965411" w:rsidR="00CA2A7F" w:rsidRDefault="00CA2A7F" w:rsidP="00CA2A7F">
      <w:pPr>
        <w:pStyle w:val="NoSpacing"/>
        <w:rPr>
          <w:rFonts w:ascii="Franklin Gothic Book" w:hAnsi="Franklin Gothic Book"/>
        </w:rPr>
      </w:pPr>
      <w:r>
        <w:rPr>
          <w:rFonts w:ascii="Franklin Gothic Book" w:hAnsi="Franklin Gothic Book"/>
        </w:rPr>
        <w:t xml:space="preserve">Study Smarter, 2023, </w:t>
      </w:r>
      <w:r>
        <w:rPr>
          <w:rFonts w:ascii="Franklin Gothic Book" w:hAnsi="Franklin Gothic Book"/>
          <w:i/>
          <w:iCs/>
        </w:rPr>
        <w:t>Duty of Care, Understanding Duty of Care in Civil Law</w:t>
      </w:r>
      <w:r>
        <w:rPr>
          <w:rFonts w:ascii="Franklin Gothic Book" w:hAnsi="Franklin Gothic Book"/>
        </w:rPr>
        <w:t xml:space="preserve">, Available at: </w:t>
      </w:r>
      <w:hyperlink r:id="rId15" w:history="1">
        <w:r w:rsidRPr="00690CE2">
          <w:rPr>
            <w:rStyle w:val="Hyperlink"/>
            <w:rFonts w:ascii="Franklin Gothic Book" w:hAnsi="Franklin Gothic Book"/>
          </w:rPr>
          <w:t>https://www.studysmarter.co.uk/explanations/law/civil-law/duty-of-care/#:~:text=Duty%20of%20care%20tests%20are,fairness%2C%20justness%2C%20and%20reasonableness</w:t>
        </w:r>
      </w:hyperlink>
      <w:r w:rsidRPr="00CA2A7F">
        <w:rPr>
          <w:rFonts w:ascii="Franklin Gothic Book" w:hAnsi="Franklin Gothic Book"/>
        </w:rPr>
        <w:t>.</w:t>
      </w:r>
      <w:r>
        <w:rPr>
          <w:rFonts w:ascii="Franklin Gothic Book" w:hAnsi="Franklin Gothic Book"/>
        </w:rPr>
        <w:t xml:space="preserve"> Accessed: 12-January-2024</w:t>
      </w:r>
    </w:p>
    <w:p w14:paraId="0874E425" w14:textId="77777777" w:rsidR="009B14A8" w:rsidRDefault="009B14A8" w:rsidP="00CA2A7F">
      <w:pPr>
        <w:pStyle w:val="NoSpacing"/>
        <w:rPr>
          <w:rFonts w:ascii="Franklin Gothic Book" w:hAnsi="Franklin Gothic Book"/>
        </w:rPr>
      </w:pPr>
    </w:p>
    <w:p w14:paraId="10F2E45C" w14:textId="48270872" w:rsidR="009B14A8" w:rsidRPr="009B14A8" w:rsidRDefault="009B14A8" w:rsidP="00CA2A7F">
      <w:pPr>
        <w:pStyle w:val="NoSpacing"/>
        <w:rPr>
          <w:rFonts w:ascii="Franklin Gothic Book" w:hAnsi="Franklin Gothic Book"/>
        </w:rPr>
      </w:pPr>
      <w:r>
        <w:rPr>
          <w:rFonts w:ascii="Franklin Gothic Book" w:hAnsi="Franklin Gothic Book"/>
        </w:rPr>
        <w:t xml:space="preserve">Thompson’s Solicitors, (2022), </w:t>
      </w:r>
      <w:r>
        <w:rPr>
          <w:rFonts w:ascii="Franklin Gothic Book" w:hAnsi="Franklin Gothic Book"/>
          <w:i/>
          <w:iCs/>
        </w:rPr>
        <w:t>What is Contributory Negligence?</w:t>
      </w:r>
      <w:r>
        <w:rPr>
          <w:rFonts w:ascii="Franklin Gothic Book" w:hAnsi="Franklin Gothic Book"/>
        </w:rPr>
        <w:t xml:space="preserve">, Available at: </w:t>
      </w:r>
      <w:hyperlink r:id="rId16" w:history="1">
        <w:r w:rsidRPr="00690CE2">
          <w:rPr>
            <w:rStyle w:val="Hyperlink"/>
            <w:rFonts w:ascii="Franklin Gothic Book" w:hAnsi="Franklin Gothic Book"/>
          </w:rPr>
          <w:t>https://www.thompsons.law/support/legal-guides/what-is-contributory-negligence</w:t>
        </w:r>
      </w:hyperlink>
      <w:r>
        <w:rPr>
          <w:rFonts w:ascii="Franklin Gothic Book" w:hAnsi="Franklin Gothic Book"/>
        </w:rPr>
        <w:t xml:space="preserve"> Accessed: 21-January-2024 </w:t>
      </w:r>
    </w:p>
    <w:p w14:paraId="336D040B" w14:textId="77777777" w:rsidR="009B14A8" w:rsidRDefault="009B14A8" w:rsidP="00CA2A7F">
      <w:pPr>
        <w:pStyle w:val="NoSpacing"/>
        <w:rPr>
          <w:rFonts w:ascii="Franklin Gothic Book" w:hAnsi="Franklin Gothic Book"/>
        </w:rPr>
      </w:pPr>
    </w:p>
    <w:p w14:paraId="1E67589C" w14:textId="77777777" w:rsidR="00CA2A7F" w:rsidRDefault="00CA2A7F" w:rsidP="00CA2A7F">
      <w:pPr>
        <w:pStyle w:val="NoSpacing"/>
        <w:rPr>
          <w:rFonts w:ascii="Franklin Gothic Book" w:hAnsi="Franklin Gothic Book"/>
        </w:rPr>
      </w:pPr>
    </w:p>
    <w:p w14:paraId="253C1FBD" w14:textId="1D0B6664" w:rsidR="00CA2A7F" w:rsidRDefault="00CA2A7F" w:rsidP="00CA2A7F">
      <w:pPr>
        <w:pStyle w:val="NoSpacing"/>
        <w:rPr>
          <w:rFonts w:ascii="Franklin Gothic Book" w:hAnsi="Franklin Gothic Book"/>
        </w:rPr>
      </w:pPr>
      <w:r>
        <w:rPr>
          <w:rFonts w:ascii="Franklin Gothic Book" w:hAnsi="Franklin Gothic Book"/>
          <w:u w:val="single"/>
        </w:rPr>
        <w:t>Case Law:</w:t>
      </w:r>
    </w:p>
    <w:p w14:paraId="7C43D015" w14:textId="77777777" w:rsidR="00CA2A7F" w:rsidRDefault="00CA2A7F" w:rsidP="00CA2A7F">
      <w:pPr>
        <w:pStyle w:val="NoSpacing"/>
        <w:rPr>
          <w:rFonts w:ascii="Franklin Gothic Book" w:hAnsi="Franklin Gothic Book"/>
        </w:rPr>
      </w:pPr>
    </w:p>
    <w:p w14:paraId="24EC79DC" w14:textId="714AB7E6" w:rsidR="00CA2A7F" w:rsidRDefault="00CA2A7F" w:rsidP="00CA2A7F">
      <w:pPr>
        <w:pStyle w:val="NoSpacing"/>
        <w:rPr>
          <w:rFonts w:ascii="Franklin Gothic Book" w:hAnsi="Franklin Gothic Book"/>
        </w:rPr>
      </w:pPr>
      <w:r>
        <w:rPr>
          <w:rFonts w:ascii="Franklin Gothic Book" w:hAnsi="Franklin Gothic Book"/>
        </w:rPr>
        <w:t>Caparo Industries v Dickman [1990]</w:t>
      </w:r>
      <w:r w:rsidR="00B3488E">
        <w:rPr>
          <w:rFonts w:ascii="Franklin Gothic Book" w:hAnsi="Franklin Gothic Book"/>
        </w:rPr>
        <w:t xml:space="preserve"> </w:t>
      </w:r>
    </w:p>
    <w:p w14:paraId="4654FAC9" w14:textId="294C50FE" w:rsidR="00B3488E" w:rsidRDefault="00B3488E" w:rsidP="00CA2A7F">
      <w:pPr>
        <w:pStyle w:val="NoSpacing"/>
        <w:rPr>
          <w:rFonts w:ascii="Franklin Gothic Book" w:hAnsi="Franklin Gothic Book"/>
        </w:rPr>
      </w:pPr>
      <w:r>
        <w:rPr>
          <w:rFonts w:ascii="Franklin Gothic Book" w:hAnsi="Franklin Gothic Book"/>
        </w:rPr>
        <w:lastRenderedPageBreak/>
        <w:t>Cox v Ministry of Justice [2016]</w:t>
      </w:r>
    </w:p>
    <w:p w14:paraId="1AF69082" w14:textId="0D6E4480" w:rsidR="00CA2A7F" w:rsidRDefault="00CA2A7F" w:rsidP="00CA2A7F">
      <w:pPr>
        <w:pStyle w:val="NoSpacing"/>
        <w:rPr>
          <w:rFonts w:ascii="Franklin Gothic Book" w:hAnsi="Franklin Gothic Book"/>
        </w:rPr>
      </w:pPr>
      <w:r>
        <w:rPr>
          <w:rFonts w:ascii="Franklin Gothic Book" w:hAnsi="Franklin Gothic Book"/>
        </w:rPr>
        <w:t>Hill v Chief Constable for West Yorkshire [1989]</w:t>
      </w:r>
    </w:p>
    <w:p w14:paraId="3F0CCCD9" w14:textId="554CED3C" w:rsidR="00B3488E" w:rsidRPr="00CA2A7F" w:rsidRDefault="00B3488E" w:rsidP="00CA2A7F">
      <w:pPr>
        <w:pStyle w:val="NoSpacing"/>
        <w:rPr>
          <w:rFonts w:ascii="Franklin Gothic Book" w:hAnsi="Franklin Gothic Book"/>
        </w:rPr>
      </w:pPr>
      <w:r>
        <w:rPr>
          <w:rFonts w:ascii="Franklin Gothic Book" w:hAnsi="Franklin Gothic Book"/>
        </w:rPr>
        <w:t>Mohamud v WM Morrison Supermarkets Plc [2016]</w:t>
      </w:r>
    </w:p>
    <w:sectPr w:rsidR="00B3488E" w:rsidRPr="00CA2A7F">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1856E" w14:textId="77777777" w:rsidR="00EA4513" w:rsidRDefault="00EA4513" w:rsidP="00CA2A7F">
      <w:r>
        <w:separator/>
      </w:r>
    </w:p>
  </w:endnote>
  <w:endnote w:type="continuationSeparator" w:id="0">
    <w:p w14:paraId="35C86937" w14:textId="77777777" w:rsidR="00EA4513" w:rsidRDefault="00EA4513" w:rsidP="00CA2A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0652264"/>
      <w:docPartObj>
        <w:docPartGallery w:val="Page Numbers (Bottom of Page)"/>
        <w:docPartUnique/>
      </w:docPartObj>
    </w:sdtPr>
    <w:sdtContent>
      <w:p w14:paraId="1354F342" w14:textId="7FDC6E0A" w:rsidR="00CA2A7F" w:rsidRDefault="00CA2A7F" w:rsidP="00690C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21815A" w14:textId="77777777" w:rsidR="00CA2A7F" w:rsidRDefault="00CA2A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3505077"/>
      <w:docPartObj>
        <w:docPartGallery w:val="Page Numbers (Bottom of Page)"/>
        <w:docPartUnique/>
      </w:docPartObj>
    </w:sdtPr>
    <w:sdtContent>
      <w:p w14:paraId="2A7B25FB" w14:textId="72EB480C" w:rsidR="00CA2A7F" w:rsidRDefault="00CA2A7F" w:rsidP="00690C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CE79CA" w14:textId="293ECFA9" w:rsidR="00CA2A7F" w:rsidRPr="00CA2A7F" w:rsidRDefault="00CA2A7F">
    <w:pPr>
      <w:pStyle w:val="Footer"/>
      <w:rPr>
        <w:rFonts w:ascii="Franklin Gothic Book" w:hAnsi="Franklin Gothic Book"/>
      </w:rPr>
    </w:pPr>
    <w:r w:rsidRPr="00CA2A7F">
      <w:rPr>
        <w:rFonts w:ascii="Franklin Gothic Book" w:hAnsi="Franklin Gothic Book"/>
      </w:rPr>
      <w:t>Ryan Green</w:t>
    </w:r>
    <w:r w:rsidRPr="00CA2A7F">
      <w:rPr>
        <w:rFonts w:ascii="Franklin Gothic Book" w:hAnsi="Franklin Gothic Book"/>
      </w:rPr>
      <w:tab/>
    </w:r>
    <w:r w:rsidRPr="00CA2A7F">
      <w:rPr>
        <w:rFonts w:ascii="Franklin Gothic Book" w:hAnsi="Franklin Gothic Book"/>
      </w:rPr>
      <w:tab/>
      <w:t>Student No: 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0EF3D" w14:textId="77777777" w:rsidR="00EA4513" w:rsidRDefault="00EA4513" w:rsidP="00CA2A7F">
      <w:r>
        <w:separator/>
      </w:r>
    </w:p>
  </w:footnote>
  <w:footnote w:type="continuationSeparator" w:id="0">
    <w:p w14:paraId="073218BE" w14:textId="77777777" w:rsidR="00EA4513" w:rsidRDefault="00EA4513" w:rsidP="00CA2A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81547" w14:textId="77777777" w:rsidR="00CA2A7F" w:rsidRDefault="00CA2A7F" w:rsidP="00CA2A7F">
    <w:pPr>
      <w:pStyle w:val="NoSpacing"/>
      <w:jc w:val="right"/>
      <w:rPr>
        <w:rFonts w:ascii="Franklin Gothic Book" w:hAnsi="Franklin Gothic Book"/>
      </w:rPr>
    </w:pPr>
    <w:r w:rsidRPr="00A406E5">
      <w:rPr>
        <w:noProof/>
      </w:rPr>
      <w:drawing>
        <wp:anchor distT="0" distB="0" distL="114300" distR="114300" simplePos="0" relativeHeight="251659264" behindDoc="0" locked="0" layoutInCell="1" allowOverlap="1" wp14:anchorId="4561FE69" wp14:editId="19C031CF">
          <wp:simplePos x="0" y="0"/>
          <wp:positionH relativeFrom="column">
            <wp:posOffset>-454025</wp:posOffset>
          </wp:positionH>
          <wp:positionV relativeFrom="paragraph">
            <wp:posOffset>16890</wp:posOffset>
          </wp:positionV>
          <wp:extent cx="1214755" cy="428625"/>
          <wp:effectExtent l="0" t="0" r="4445" b="317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14755" cy="428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Franklin Gothic Book" w:hAnsi="Franklin Gothic Book"/>
      </w:rPr>
      <w:t>UNIVERSITY OF WALES TRINITY SAINT DAVID</w:t>
    </w:r>
  </w:p>
  <w:p w14:paraId="764C6CE0" w14:textId="2EA15F4D" w:rsidR="00CA2A7F" w:rsidRDefault="00CA2A7F" w:rsidP="00CA2A7F">
    <w:pPr>
      <w:pStyle w:val="NoSpacing"/>
      <w:jc w:val="right"/>
      <w:rPr>
        <w:rFonts w:ascii="Franklin Gothic Book" w:hAnsi="Franklin Gothic Book"/>
      </w:rPr>
    </w:pPr>
    <w:r>
      <w:rPr>
        <w:rFonts w:ascii="Franklin Gothic Book" w:hAnsi="Franklin Gothic Book"/>
      </w:rPr>
      <w:t>Swansea Business Campus | Blue Light Academy | Law &amp; Legal Practice</w:t>
    </w:r>
  </w:p>
  <w:p w14:paraId="32235026" w14:textId="101806D3" w:rsidR="00CA2A7F" w:rsidRDefault="00CA2A7F" w:rsidP="00CA2A7F">
    <w:pPr>
      <w:pStyle w:val="NoSpacing"/>
      <w:jc w:val="right"/>
      <w:rPr>
        <w:rFonts w:ascii="Franklin Gothic Book" w:hAnsi="Franklin Gothic Book"/>
      </w:rPr>
    </w:pPr>
    <w:r>
      <w:rPr>
        <w:rFonts w:ascii="Franklin Gothic Book" w:hAnsi="Franklin Gothic Book"/>
      </w:rPr>
      <w:t>Level 5 | Tort Law | Lecturer: Zita Draper | Assignment 2</w:t>
    </w:r>
  </w:p>
  <w:p w14:paraId="263D638D" w14:textId="77777777" w:rsidR="00CA2A7F" w:rsidRPr="00CA2A7F" w:rsidRDefault="00CA2A7F" w:rsidP="00CA2A7F">
    <w:pPr>
      <w:pStyle w:val="NoSpacing"/>
      <w:jc w:val="right"/>
      <w:rPr>
        <w:rFonts w:ascii="Franklin Gothic Book" w:hAnsi="Franklin Gothic Book"/>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7F"/>
    <w:rsid w:val="009B14A8"/>
    <w:rsid w:val="00B3488E"/>
    <w:rsid w:val="00C728B9"/>
    <w:rsid w:val="00CA2A7F"/>
    <w:rsid w:val="00EA4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ECB53"/>
  <w15:chartTrackingRefBased/>
  <w15:docId w15:val="{92DF93AD-B06B-DF48-874C-565CEAFB6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A7F"/>
    <w:pPr>
      <w:tabs>
        <w:tab w:val="center" w:pos="4513"/>
        <w:tab w:val="right" w:pos="9026"/>
      </w:tabs>
    </w:pPr>
  </w:style>
  <w:style w:type="character" w:customStyle="1" w:styleId="HeaderChar">
    <w:name w:val="Header Char"/>
    <w:basedOn w:val="DefaultParagraphFont"/>
    <w:link w:val="Header"/>
    <w:uiPriority w:val="99"/>
    <w:rsid w:val="00CA2A7F"/>
  </w:style>
  <w:style w:type="paragraph" w:styleId="Footer">
    <w:name w:val="footer"/>
    <w:basedOn w:val="Normal"/>
    <w:link w:val="FooterChar"/>
    <w:uiPriority w:val="99"/>
    <w:unhideWhenUsed/>
    <w:rsid w:val="00CA2A7F"/>
    <w:pPr>
      <w:tabs>
        <w:tab w:val="center" w:pos="4513"/>
        <w:tab w:val="right" w:pos="9026"/>
      </w:tabs>
    </w:pPr>
  </w:style>
  <w:style w:type="character" w:customStyle="1" w:styleId="FooterChar">
    <w:name w:val="Footer Char"/>
    <w:basedOn w:val="DefaultParagraphFont"/>
    <w:link w:val="Footer"/>
    <w:uiPriority w:val="99"/>
    <w:rsid w:val="00CA2A7F"/>
  </w:style>
  <w:style w:type="paragraph" w:styleId="NoSpacing">
    <w:name w:val="No Spacing"/>
    <w:uiPriority w:val="1"/>
    <w:qFormat/>
    <w:rsid w:val="00CA2A7F"/>
  </w:style>
  <w:style w:type="character" w:styleId="PageNumber">
    <w:name w:val="page number"/>
    <w:basedOn w:val="DefaultParagraphFont"/>
    <w:uiPriority w:val="99"/>
    <w:semiHidden/>
    <w:unhideWhenUsed/>
    <w:rsid w:val="00CA2A7F"/>
  </w:style>
  <w:style w:type="character" w:styleId="Hyperlink">
    <w:name w:val="Hyperlink"/>
    <w:basedOn w:val="DefaultParagraphFont"/>
    <w:uiPriority w:val="99"/>
    <w:unhideWhenUsed/>
    <w:rsid w:val="00CA2A7F"/>
    <w:rPr>
      <w:color w:val="0563C1" w:themeColor="hyperlink"/>
      <w:u w:val="single"/>
    </w:rPr>
  </w:style>
  <w:style w:type="character" w:styleId="UnresolvedMention">
    <w:name w:val="Unresolved Mention"/>
    <w:basedOn w:val="DefaultParagraphFont"/>
    <w:uiPriority w:val="99"/>
    <w:semiHidden/>
    <w:unhideWhenUsed/>
    <w:rsid w:val="00CA2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employers-liability" TargetMode="External"/><Relationship Id="rId13" Type="http://schemas.openxmlformats.org/officeDocument/2006/relationships/hyperlink" Target="https://www.nhs.uk/conditions/gangrene/symptom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talystlaw.co.uk/blog/defences-to-personal-injury-claims" TargetMode="External"/><Relationship Id="rId12" Type="http://schemas.openxmlformats.org/officeDocument/2006/relationships/hyperlink" Target="https://www.mind.org.uk/media-a/2916/clinical-negligence-2018.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ompsons.law/support/legal-guides/what-is-contributory-negligenc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taysafeapp.com/blog/vicarious-liability/#" TargetMode="External"/><Relationship Id="rId11" Type="http://schemas.openxmlformats.org/officeDocument/2006/relationships/hyperlink" Target="https://www.lexisnexis.co.uk/legal/glossary/duty-of-care#:~:text=What%20does%20Duty%20of%20care,of%20the%20case%20in%20question" TargetMode="External"/><Relationship Id="rId5" Type="http://schemas.openxmlformats.org/officeDocument/2006/relationships/endnotes" Target="endnotes.xml"/><Relationship Id="rId15" Type="http://schemas.openxmlformats.org/officeDocument/2006/relationships/hyperlink" Target="https://www.studysmarter.co.uk/explanations/law/civil-law/duty-of-care/#:~:text=Duty%20of%20care%20tests%20are,fairness%2C%20justness%2C%20and%20reasonableness" TargetMode="External"/><Relationship Id="rId10" Type="http://schemas.openxmlformats.org/officeDocument/2006/relationships/hyperlink" Target="https://www.legislation.gov.uk/ukpga/1974/37/section/7"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legislation.gov.uk/ukpga/1996/18/contents" TargetMode="External"/><Relationship Id="rId14" Type="http://schemas.openxmlformats.org/officeDocument/2006/relationships/hyperlink" Target="https://www.rcn.org.uk/Get-Help/RCN-advice/duty-of-care"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5</Pages>
  <Words>2070</Words>
  <Characters>11799</Characters>
  <Application>Microsoft Office Word</Application>
  <DocSecurity>0</DocSecurity>
  <Lines>98</Lines>
  <Paragraphs>27</Paragraphs>
  <ScaleCrop>false</ScaleCrop>
  <Company>UWTSD - University of Wales Trinity Saint David</Company>
  <LinksUpToDate>false</LinksUpToDate>
  <CharactersWithSpaces>13842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3</cp:revision>
  <dcterms:created xsi:type="dcterms:W3CDTF">2024-01-26T21:16:00Z</dcterms:created>
  <dcterms:modified xsi:type="dcterms:W3CDTF">2024-01-26T23:41:00Z</dcterms:modified>
</cp:coreProperties>
</file>