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3865" w:rsidRDefault="00963865">
      <w:pPr>
        <w:jc w:val="center"/>
        <w:rPr>
          <w:rFonts w:ascii="Times New Roman" w:eastAsia="Times New Roman" w:hAnsi="Times New Roman" w:cs="Times New Roman"/>
          <w:b/>
          <w:sz w:val="24"/>
          <w:szCs w:val="24"/>
        </w:rPr>
      </w:pPr>
    </w:p>
    <w:p w:rsidR="00963865" w:rsidRDefault="00963865">
      <w:pPr>
        <w:jc w:val="center"/>
        <w:rPr>
          <w:rFonts w:ascii="Times New Roman" w:eastAsia="Times New Roman" w:hAnsi="Times New Roman" w:cs="Times New Roman"/>
          <w:b/>
          <w:sz w:val="24"/>
          <w:szCs w:val="24"/>
        </w:rPr>
      </w:pPr>
    </w:p>
    <w:p w:rsidR="00963865" w:rsidRDefault="00963865">
      <w:pPr>
        <w:jc w:val="center"/>
        <w:rPr>
          <w:rFonts w:ascii="Times New Roman" w:eastAsia="Times New Roman" w:hAnsi="Times New Roman" w:cs="Times New Roman"/>
          <w:b/>
          <w:sz w:val="24"/>
          <w:szCs w:val="24"/>
        </w:rPr>
      </w:pPr>
    </w:p>
    <w:p w:rsidR="00963865" w:rsidRDefault="00963865">
      <w:pPr>
        <w:jc w:val="center"/>
        <w:rPr>
          <w:rFonts w:ascii="Times New Roman" w:eastAsia="Times New Roman" w:hAnsi="Times New Roman" w:cs="Times New Roman"/>
          <w:b/>
          <w:sz w:val="24"/>
          <w:szCs w:val="24"/>
        </w:rPr>
      </w:pPr>
    </w:p>
    <w:p w:rsidR="00963865" w:rsidRDefault="00963865">
      <w:pPr>
        <w:jc w:val="center"/>
        <w:rPr>
          <w:rFonts w:ascii="Times New Roman" w:eastAsia="Times New Roman" w:hAnsi="Times New Roman" w:cs="Times New Roman"/>
          <w:b/>
          <w:sz w:val="24"/>
          <w:szCs w:val="24"/>
        </w:rPr>
      </w:pPr>
    </w:p>
    <w:p w:rsidR="00963865" w:rsidRDefault="00963865">
      <w:pPr>
        <w:jc w:val="center"/>
        <w:rPr>
          <w:rFonts w:ascii="Times New Roman" w:eastAsia="Times New Roman" w:hAnsi="Times New Roman" w:cs="Times New Roman"/>
          <w:b/>
          <w:sz w:val="24"/>
          <w:szCs w:val="24"/>
        </w:rPr>
      </w:pPr>
    </w:p>
    <w:p w:rsidR="00963865" w:rsidRPr="009119D1" w:rsidRDefault="003071F0">
      <w:pPr>
        <w:jc w:val="center"/>
        <w:rPr>
          <w:rFonts w:ascii="Times New Roman" w:eastAsia="Times New Roman" w:hAnsi="Times New Roman" w:cs="Times New Roman"/>
          <w:b/>
          <w:sz w:val="28"/>
          <w:szCs w:val="28"/>
        </w:rPr>
      </w:pPr>
      <w:r w:rsidRPr="009119D1">
        <w:rPr>
          <w:rFonts w:ascii="Times New Roman" w:eastAsia="Times New Roman" w:hAnsi="Times New Roman" w:cs="Times New Roman"/>
          <w:b/>
          <w:sz w:val="28"/>
          <w:szCs w:val="28"/>
        </w:rPr>
        <w:t xml:space="preserve">The changes made to the Personal Injury Small </w:t>
      </w:r>
      <w:r w:rsidR="009119D1" w:rsidRPr="009119D1">
        <w:rPr>
          <w:rFonts w:ascii="Times New Roman" w:eastAsia="Times New Roman" w:hAnsi="Times New Roman" w:cs="Times New Roman"/>
          <w:b/>
          <w:sz w:val="28"/>
          <w:szCs w:val="28"/>
        </w:rPr>
        <w:t>Claims procedure on 31 May 2021</w:t>
      </w:r>
      <w:r w:rsidRPr="009119D1">
        <w:rPr>
          <w:rFonts w:ascii="Times New Roman" w:eastAsia="Times New Roman" w:hAnsi="Times New Roman" w:cs="Times New Roman"/>
          <w:b/>
          <w:sz w:val="28"/>
          <w:szCs w:val="28"/>
        </w:rPr>
        <w:t xml:space="preserve"> will result in more cases being brought by litigants in person (without a</w:t>
      </w:r>
      <w:r w:rsidR="009119D1" w:rsidRPr="009119D1">
        <w:rPr>
          <w:rFonts w:ascii="Times New Roman" w:eastAsia="Times New Roman" w:hAnsi="Times New Roman" w:cs="Times New Roman"/>
          <w:b/>
          <w:sz w:val="28"/>
          <w:szCs w:val="28"/>
        </w:rPr>
        <w:t xml:space="preserve"> legal representative).</w:t>
      </w:r>
    </w:p>
    <w:p w:rsidR="00963865" w:rsidRDefault="00963865">
      <w:pPr>
        <w:jc w:val="center"/>
        <w:rPr>
          <w:rFonts w:ascii="Times New Roman" w:eastAsia="Times New Roman" w:hAnsi="Times New Roman" w:cs="Times New Roman"/>
          <w:b/>
          <w:sz w:val="24"/>
          <w:szCs w:val="24"/>
        </w:rPr>
      </w:pPr>
    </w:p>
    <w:p w:rsidR="00963865" w:rsidRDefault="00963865">
      <w:pPr>
        <w:jc w:val="center"/>
        <w:rPr>
          <w:rFonts w:ascii="Times New Roman" w:eastAsia="Times New Roman" w:hAnsi="Times New Roman" w:cs="Times New Roman"/>
          <w:b/>
          <w:sz w:val="24"/>
          <w:szCs w:val="24"/>
        </w:rPr>
      </w:pPr>
    </w:p>
    <w:p w:rsidR="009119D1" w:rsidRDefault="009119D1" w:rsidP="009119D1">
      <w:pPr>
        <w:ind w:left="2880" w:firstLine="720"/>
        <w:rPr>
          <w:rFonts w:ascii="Times New Roman" w:eastAsia="Times New Roman" w:hAnsi="Times New Roman" w:cs="Times New Roman"/>
          <w:b/>
          <w:sz w:val="28"/>
          <w:szCs w:val="28"/>
        </w:rPr>
      </w:pPr>
      <w:proofErr w:type="spellStart"/>
      <w:r w:rsidRPr="009119D1">
        <w:rPr>
          <w:rFonts w:ascii="Times New Roman" w:eastAsia="Times New Roman" w:hAnsi="Times New Roman" w:cs="Times New Roman"/>
          <w:b/>
          <w:sz w:val="28"/>
          <w:szCs w:val="28"/>
        </w:rPr>
        <w:t>Forida</w:t>
      </w:r>
      <w:proofErr w:type="spellEnd"/>
      <w:r w:rsidRPr="009119D1">
        <w:rPr>
          <w:rFonts w:ascii="Times New Roman" w:eastAsia="Times New Roman" w:hAnsi="Times New Roman" w:cs="Times New Roman"/>
          <w:b/>
          <w:sz w:val="28"/>
          <w:szCs w:val="28"/>
        </w:rPr>
        <w:t xml:space="preserve"> </w:t>
      </w:r>
      <w:proofErr w:type="spellStart"/>
      <w:r w:rsidRPr="009119D1">
        <w:rPr>
          <w:rFonts w:ascii="Times New Roman" w:eastAsia="Times New Roman" w:hAnsi="Times New Roman" w:cs="Times New Roman"/>
          <w:b/>
          <w:sz w:val="28"/>
          <w:szCs w:val="28"/>
        </w:rPr>
        <w:t>Yeasm</w:t>
      </w:r>
      <w:bookmarkStart w:id="0" w:name="_heading=h.gjdgxs" w:colFirst="0" w:colLast="0"/>
      <w:bookmarkEnd w:id="0"/>
      <w:r>
        <w:rPr>
          <w:rFonts w:ascii="Times New Roman" w:eastAsia="Times New Roman" w:hAnsi="Times New Roman" w:cs="Times New Roman"/>
          <w:b/>
          <w:sz w:val="28"/>
          <w:szCs w:val="28"/>
        </w:rPr>
        <w:t>in</w:t>
      </w:r>
      <w:proofErr w:type="spellEnd"/>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Default="009119D1" w:rsidP="009119D1">
      <w:pPr>
        <w:ind w:left="2880" w:firstLine="720"/>
        <w:rPr>
          <w:rFonts w:ascii="Times New Roman" w:eastAsia="Times New Roman" w:hAnsi="Times New Roman" w:cs="Times New Roman"/>
          <w:b/>
          <w:sz w:val="28"/>
          <w:szCs w:val="28"/>
        </w:rPr>
      </w:pPr>
    </w:p>
    <w:p w:rsidR="009119D1" w:rsidRPr="009119D1" w:rsidRDefault="009119D1" w:rsidP="009119D1">
      <w:pPr>
        <w:ind w:left="2880" w:firstLine="720"/>
        <w:rPr>
          <w:rFonts w:ascii="Times New Roman" w:eastAsia="Times New Roman" w:hAnsi="Times New Roman" w:cs="Times New Roman"/>
          <w:b/>
          <w:sz w:val="28"/>
          <w:szCs w:val="28"/>
        </w:rPr>
      </w:pPr>
    </w:p>
    <w:p w:rsidR="00963865" w:rsidRPr="009119D1" w:rsidRDefault="003071F0" w:rsidP="009119D1">
      <w:pPr>
        <w:pBdr>
          <w:top w:val="nil"/>
          <w:left w:val="nil"/>
          <w:bottom w:val="nil"/>
          <w:right w:val="nil"/>
          <w:between w:val="nil"/>
        </w:pBdr>
        <w:tabs>
          <w:tab w:val="right" w:pos="9026"/>
        </w:tabs>
        <w:rPr>
          <w:rFonts w:ascii="Times New Roman" w:eastAsia="Times New Roman" w:hAnsi="Times New Roman" w:cs="Times New Roman"/>
          <w:sz w:val="24"/>
          <w:szCs w:val="24"/>
        </w:rPr>
      </w:pPr>
      <w:r>
        <w:t>Introduction</w:t>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z w:val="24"/>
          <w:szCs w:val="24"/>
        </w:rPr>
        <w:t>any small personal injury claims are launched and/or defended by in person litigants because of the limited expenses repairable under th</w:t>
      </w:r>
      <w:r>
        <w:rPr>
          <w:rFonts w:ascii="Times New Roman" w:eastAsia="Times New Roman" w:hAnsi="Times New Roman" w:cs="Times New Roman"/>
          <w:sz w:val="24"/>
          <w:szCs w:val="24"/>
        </w:rPr>
        <w:t>e small claims track, which typically do not include the costs of legal assistance. Minor claims typically follow the comprehensive and formal steps of court orders and a final hearing, which, despite being intended to be informal, often precedes the trial</w:t>
      </w:r>
      <w:r>
        <w:rPr>
          <w:rFonts w:ascii="Times New Roman" w:eastAsia="Times New Roman" w:hAnsi="Times New Roman" w:cs="Times New Roman"/>
          <w:sz w:val="24"/>
          <w:szCs w:val="24"/>
        </w:rPr>
        <w:t xml:space="preserve"> format used in fast track and multi-track claims, which have evolved from the more casual method often employed for arbitrations. In rare cases, the court may increase the damages by up to 20% under the Regulations. In order for a regulated person (as def</w:t>
      </w:r>
      <w:r>
        <w:rPr>
          <w:rFonts w:ascii="Times New Roman" w:eastAsia="Times New Roman" w:hAnsi="Times New Roman" w:cs="Times New Roman"/>
          <w:sz w:val="24"/>
          <w:szCs w:val="24"/>
        </w:rPr>
        <w:t>ined in section 9 of the Civil Liability Act 2018) to invite a payment in settlement of, offer payment to settle, make or accept a payment in settlement of a claim for whiplash injury sustained in a road traffic accident, additional medical evidence must b</w:t>
      </w:r>
      <w:r>
        <w:rPr>
          <w:rFonts w:ascii="Times New Roman" w:eastAsia="Times New Roman" w:hAnsi="Times New Roman" w:cs="Times New Roman"/>
          <w:sz w:val="24"/>
          <w:szCs w:val="24"/>
        </w:rPr>
        <w:t>e provided, as specified in these Regulations. This project looks at the topic of personal injury claims and the modifications made to the Personal Injury Small Claims procedure on May 31, 2021, and how those modifications may encourage more people to repr</w:t>
      </w:r>
      <w:r>
        <w:rPr>
          <w:rFonts w:ascii="Times New Roman" w:eastAsia="Times New Roman" w:hAnsi="Times New Roman" w:cs="Times New Roman"/>
          <w:sz w:val="24"/>
          <w:szCs w:val="24"/>
        </w:rPr>
        <w:t>esent themselves in court.</w:t>
      </w:r>
    </w:p>
    <w:p w:rsidR="00963865" w:rsidRDefault="00963865">
      <w:pPr>
        <w:jc w:val="both"/>
        <w:rPr>
          <w:rFonts w:ascii="Times New Roman" w:eastAsia="Times New Roman" w:hAnsi="Times New Roman" w:cs="Times New Roman"/>
          <w:sz w:val="24"/>
          <w:szCs w:val="24"/>
        </w:rPr>
      </w:pPr>
    </w:p>
    <w:p w:rsidR="00963865" w:rsidRDefault="003071F0">
      <w:pPr>
        <w:pStyle w:val="Heading1"/>
        <w:spacing w:before="0"/>
      </w:pPr>
      <w:bookmarkStart w:id="1" w:name="_heading=h.30j0zll" w:colFirst="0" w:colLast="0"/>
      <w:bookmarkEnd w:id="1"/>
      <w:r>
        <w:t xml:space="preserve">Principles That Enable </w:t>
      </w:r>
      <w:proofErr w:type="gramStart"/>
      <w:r>
        <w:t>An</w:t>
      </w:r>
      <w:proofErr w:type="gramEnd"/>
      <w:r>
        <w:t xml:space="preserve"> Act Of Litigation</w:t>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Whiplash Injury Regulations lay out the guidelines by which small personal injury claims can be litigated, the unique method for handling claims that have been owed to the small personal injury claims track under, and covers the expenses recoverable in</w:t>
      </w:r>
      <w:r>
        <w:rPr>
          <w:rFonts w:ascii="Times New Roman" w:eastAsia="Times New Roman" w:hAnsi="Times New Roman" w:cs="Times New Roman"/>
          <w:sz w:val="24"/>
          <w:szCs w:val="24"/>
        </w:rPr>
        <w:t xml:space="preserve"> such cases. The regulations governing this type of claim are known as “Small personal injury claims”.</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Tariffs for whiplash injuries for the first 24 months after the accident are outlined in the Whiplash Injury Regulations, 2021.</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In addition, the Regulations state that the claimant is entitled to </w:t>
      </w:r>
      <w:r>
        <w:rPr>
          <w:rFonts w:ascii="Times New Roman" w:eastAsia="Times New Roman" w:hAnsi="Times New Roman" w:cs="Times New Roman"/>
          <w:sz w:val="24"/>
          <w:szCs w:val="24"/>
        </w:rPr>
        <w:lastRenderedPageBreak/>
        <w:t>compensation in excess of the whiplash tariff amount if they have also sustained a mild psychological injury. The length of time the mental harm persists also factors into how much compen</w:t>
      </w:r>
      <w:r>
        <w:rPr>
          <w:rFonts w:ascii="Times New Roman" w:eastAsia="Times New Roman" w:hAnsi="Times New Roman" w:cs="Times New Roman"/>
          <w:sz w:val="24"/>
          <w:szCs w:val="24"/>
        </w:rPr>
        <w:t>sation is awarded. The tariffs will only apply to a claim which must have an accrual date of 31 May 2021 or later, as confirmed by the Regulations.</w:t>
      </w:r>
      <w:r>
        <w:rPr>
          <w:rFonts w:ascii="Times New Roman" w:eastAsia="Times New Roman" w:hAnsi="Times New Roman" w:cs="Times New Roman"/>
          <w:sz w:val="24"/>
          <w:szCs w:val="24"/>
          <w:vertAlign w:val="superscript"/>
        </w:rPr>
        <w:footnoteReference w:id="3"/>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full information regarding the essential changes to amend the Rules of Civil Procedure can be found in </w:t>
      </w:r>
      <w:r>
        <w:rPr>
          <w:rFonts w:ascii="Times New Roman" w:eastAsia="Times New Roman" w:hAnsi="Times New Roman" w:cs="Times New Roman"/>
          <w:sz w:val="24"/>
          <w:szCs w:val="24"/>
        </w:rPr>
        <w:t>the Civil Procedure (Amendment No. 2) Rules 2021. When an RTA accident occurs before May 31, 2021, the current £5,000 small claims track perimeter for personal injury claims is kept under these Rules (under new rule 26.6A).</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Under these regulations:</w:t>
      </w:r>
    </w:p>
    <w:p w:rsidR="00963865" w:rsidRDefault="003071F0">
      <w:pPr>
        <w:numPr>
          <w:ilvl w:val="0"/>
          <w:numId w:val="1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Pursua</w:t>
      </w:r>
      <w:r>
        <w:rPr>
          <w:rFonts w:ascii="Times New Roman" w:eastAsia="Times New Roman" w:hAnsi="Times New Roman" w:cs="Times New Roman"/>
          <w:sz w:val="24"/>
          <w:szCs w:val="24"/>
        </w:rPr>
        <w:t>nt to the special regulations regarding claims for personal injury, any claim with a monetary value of up to £5,000;</w:t>
      </w:r>
      <w:r>
        <w:rPr>
          <w:rFonts w:ascii="Times New Roman" w:eastAsia="Times New Roman" w:hAnsi="Times New Roman" w:cs="Times New Roman"/>
          <w:sz w:val="24"/>
          <w:szCs w:val="24"/>
          <w:vertAlign w:val="superscript"/>
        </w:rPr>
        <w:footnoteReference w:id="5"/>
      </w:r>
    </w:p>
    <w:p w:rsidR="00963865" w:rsidRDefault="003071F0">
      <w:pPr>
        <w:numPr>
          <w:ilvl w:val="0"/>
          <w:numId w:val="1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damages for personal injuries that total less than £5,000 where the applicable value indicated in rule 26.6(1)(a)(ii)(</w:t>
      </w:r>
      <w:proofErr w:type="spellStart"/>
      <w:r>
        <w:rPr>
          <w:rFonts w:ascii="Times New Roman" w:eastAsia="Times New Roman" w:hAnsi="Times New Roman" w:cs="Times New Roman"/>
          <w:sz w:val="24"/>
          <w:szCs w:val="24"/>
        </w:rPr>
        <w:t>aa</w:t>
      </w:r>
      <w:proofErr w:type="spellEnd"/>
      <w:r>
        <w:rPr>
          <w:rFonts w:ascii="Times New Roman" w:eastAsia="Times New Roman" w:hAnsi="Times New Roman" w:cs="Times New Roman"/>
          <w:sz w:val="24"/>
          <w:szCs w:val="24"/>
        </w:rPr>
        <w:t xml:space="preserve">), (bb), or (cc), </w:t>
      </w:r>
      <w:r>
        <w:rPr>
          <w:rFonts w:ascii="Times New Roman" w:eastAsia="Times New Roman" w:hAnsi="Times New Roman" w:cs="Times New Roman"/>
          <w:sz w:val="24"/>
          <w:szCs w:val="24"/>
        </w:rPr>
        <w:t>is less than £5,000, £1,000, or £1,500, respectively; and</w:t>
      </w:r>
    </w:p>
    <w:p w:rsidR="00963865" w:rsidRDefault="003071F0">
      <w:pPr>
        <w:numPr>
          <w:ilvl w:val="0"/>
          <w:numId w:val="11"/>
        </w:numPr>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residential</w:t>
      </w:r>
      <w:proofErr w:type="gramEnd"/>
      <w:r>
        <w:rPr>
          <w:rFonts w:ascii="Times New Roman" w:eastAsia="Times New Roman" w:hAnsi="Times New Roman" w:cs="Times New Roman"/>
          <w:sz w:val="24"/>
          <w:szCs w:val="24"/>
        </w:rPr>
        <w:t xml:space="preserve"> tenant’s claim against landlord for repairs or other work to the premises, if the estimated cost of such repairs or work is less than £1,000, and any other claim for damages whose moneta</w:t>
      </w:r>
      <w:r>
        <w:rPr>
          <w:rFonts w:ascii="Times New Roman" w:eastAsia="Times New Roman" w:hAnsi="Times New Roman" w:cs="Times New Roman"/>
          <w:sz w:val="24"/>
          <w:szCs w:val="24"/>
        </w:rPr>
        <w:t>ry value does not exceed £1,000.</w:t>
      </w:r>
      <w:r>
        <w:rPr>
          <w:rFonts w:ascii="Times New Roman" w:eastAsia="Times New Roman" w:hAnsi="Times New Roman" w:cs="Times New Roman"/>
          <w:sz w:val="24"/>
          <w:szCs w:val="24"/>
          <w:vertAlign w:val="superscript"/>
        </w:rPr>
        <w:footnoteReference w:id="6"/>
      </w:r>
    </w:p>
    <w:p w:rsidR="00963865" w:rsidRDefault="003071F0">
      <w:pPr>
        <w:rPr>
          <w:rFonts w:ascii="Times New Roman" w:eastAsia="Times New Roman" w:hAnsi="Times New Roman" w:cs="Times New Roman"/>
          <w:b/>
          <w:sz w:val="24"/>
          <w:szCs w:val="24"/>
        </w:rPr>
      </w:pPr>
      <w:r>
        <w:br w:type="page"/>
      </w:r>
    </w:p>
    <w:p w:rsidR="00963865" w:rsidRDefault="003071F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The tariffs are as follows:</w:t>
      </w:r>
    </w:p>
    <w:p w:rsidR="00963865" w:rsidRDefault="003071F0">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886286" cy="1726104"/>
            <wp:effectExtent l="0" t="0" r="0" b="0"/>
            <wp:docPr id="3" name="image1.png" descr="https://www.clydeco.com/getattachment/2b0f9ea6-1003-4507-b41e-d9f47d56a951/02-03-whiplash-DYKT.png?lang=en-GB"/>
            <wp:cNvGraphicFramePr/>
            <a:graphic xmlns:a="http://schemas.openxmlformats.org/drawingml/2006/main">
              <a:graphicData uri="http://schemas.openxmlformats.org/drawingml/2006/picture">
                <pic:pic xmlns:pic="http://schemas.openxmlformats.org/drawingml/2006/picture">
                  <pic:nvPicPr>
                    <pic:cNvPr id="0" name="image1.png" descr="https://www.clydeco.com/getattachment/2b0f9ea6-1003-4507-b41e-d9f47d56a951/02-03-whiplash-DYKT.png?lang=en-GB"/>
                    <pic:cNvPicPr preferRelativeResize="0"/>
                  </pic:nvPicPr>
                  <pic:blipFill>
                    <a:blip r:embed="rId8"/>
                    <a:srcRect/>
                    <a:stretch>
                      <a:fillRect/>
                    </a:stretch>
                  </pic:blipFill>
                  <pic:spPr>
                    <a:xfrm>
                      <a:off x="0" y="0"/>
                      <a:ext cx="5886286" cy="1726104"/>
                    </a:xfrm>
                    <a:prstGeom prst="rect">
                      <a:avLst/>
                    </a:prstGeom>
                    <a:ln/>
                  </pic:spPr>
                </pic:pic>
              </a:graphicData>
            </a:graphic>
          </wp:inline>
        </w:drawing>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“small claims” refers to situations that do not involve significant sums of money or intricate legal difficulties.</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They are frequently used to get compensation or get refunds. Comm</w:t>
      </w:r>
      <w:r>
        <w:rPr>
          <w:rFonts w:ascii="Times New Roman" w:eastAsia="Times New Roman" w:hAnsi="Times New Roman" w:cs="Times New Roman"/>
          <w:sz w:val="24"/>
          <w:szCs w:val="24"/>
        </w:rPr>
        <w:t>only, the value of a small claim would not exceed £10,000 (or £5,000 as per the Whiplash Injury Regulations, 2021).</w:t>
      </w:r>
      <w:r>
        <w:rPr>
          <w:rFonts w:ascii="Times New Roman" w:eastAsia="Times New Roman" w:hAnsi="Times New Roman" w:cs="Times New Roman"/>
          <w:sz w:val="24"/>
          <w:szCs w:val="24"/>
          <w:vertAlign w:val="superscript"/>
        </w:rPr>
        <w:footnoteReference w:id="8"/>
      </w:r>
    </w:p>
    <w:p w:rsidR="00963865" w:rsidRDefault="00963865">
      <w:pPr>
        <w:jc w:val="both"/>
        <w:rPr>
          <w:rFonts w:ascii="Times New Roman" w:eastAsia="Times New Roman" w:hAnsi="Times New Roman" w:cs="Times New Roman"/>
          <w:sz w:val="24"/>
          <w:szCs w:val="24"/>
        </w:rPr>
      </w:pPr>
    </w:p>
    <w:p w:rsidR="00963865" w:rsidRDefault="003071F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Small claims are used for things like:</w:t>
      </w:r>
    </w:p>
    <w:p w:rsidR="00963865" w:rsidRDefault="003071F0">
      <w:pPr>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faulty product</w:t>
      </w:r>
    </w:p>
    <w:p w:rsidR="00963865" w:rsidRDefault="003071F0">
      <w:pPr>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service</w:t>
      </w:r>
    </w:p>
    <w:p w:rsidR="00963865" w:rsidRDefault="003071F0">
      <w:pPr>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a repayment</w:t>
      </w:r>
    </w:p>
    <w:p w:rsidR="00963865" w:rsidRDefault="003071F0">
      <w:pPr>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disagreements with the landlord, such as if they have</w:t>
      </w:r>
      <w:r>
        <w:rPr>
          <w:rFonts w:ascii="Times New Roman" w:eastAsia="Times New Roman" w:hAnsi="Times New Roman" w:cs="Times New Roman"/>
          <w:sz w:val="24"/>
          <w:szCs w:val="24"/>
        </w:rPr>
        <w:t xml:space="preserve"> neglected to fix a little problem</w:t>
      </w:r>
    </w:p>
    <w:p w:rsidR="00963865" w:rsidRDefault="003071F0">
      <w:pPr>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due compensation for labour performed</w:t>
      </w:r>
    </w:p>
    <w:p w:rsidR="00963865" w:rsidRDefault="003071F0">
      <w:pPr>
        <w:numPr>
          <w:ilvl w:val="0"/>
          <w:numId w:val="12"/>
        </w:numPr>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accidents</w:t>
      </w:r>
      <w:proofErr w:type="gramEnd"/>
      <w:r>
        <w:rPr>
          <w:rFonts w:ascii="Times New Roman" w:eastAsia="Times New Roman" w:hAnsi="Times New Roman" w:cs="Times New Roman"/>
          <w:sz w:val="24"/>
          <w:szCs w:val="24"/>
        </w:rPr>
        <w:t xml:space="preserve"> that result in bodily harm, such as those that happen on the road.</w:t>
      </w:r>
      <w:r>
        <w:rPr>
          <w:rFonts w:ascii="Times New Roman" w:eastAsia="Times New Roman" w:hAnsi="Times New Roman" w:cs="Times New Roman"/>
          <w:sz w:val="24"/>
          <w:szCs w:val="24"/>
          <w:vertAlign w:val="superscript"/>
        </w:rPr>
        <w:footnoteReference w:id="9"/>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common usage of the term “money claim” to refer to small claims. Since they are meant to</w:t>
      </w:r>
      <w:r>
        <w:rPr>
          <w:rFonts w:ascii="Times New Roman" w:eastAsia="Times New Roman" w:hAnsi="Times New Roman" w:cs="Times New Roman"/>
          <w:sz w:val="24"/>
          <w:szCs w:val="24"/>
        </w:rPr>
        <w:t xml:space="preserve"> be simple, parties generally would not need legal representation.</w:t>
      </w:r>
      <w:r>
        <w:rPr>
          <w:rFonts w:ascii="Times New Roman" w:eastAsia="Times New Roman" w:hAnsi="Times New Roman" w:cs="Times New Roman"/>
          <w:sz w:val="24"/>
          <w:szCs w:val="24"/>
          <w:vertAlign w:val="superscript"/>
        </w:rPr>
        <w:footnoteReference w:id="10"/>
      </w:r>
    </w:p>
    <w:p w:rsidR="00963865" w:rsidRDefault="00963865">
      <w:pPr>
        <w:jc w:val="both"/>
        <w:rPr>
          <w:rFonts w:ascii="Times New Roman" w:eastAsia="Times New Roman" w:hAnsi="Times New Roman" w:cs="Times New Roman"/>
          <w:sz w:val="24"/>
          <w:szCs w:val="24"/>
        </w:rPr>
      </w:pPr>
    </w:p>
    <w:p w:rsidR="00963865" w:rsidRDefault="00963865">
      <w:pPr>
        <w:jc w:val="both"/>
        <w:rPr>
          <w:rFonts w:ascii="Times New Roman" w:eastAsia="Times New Roman" w:hAnsi="Times New Roman" w:cs="Times New Roman"/>
          <w:b/>
          <w:sz w:val="24"/>
          <w:szCs w:val="24"/>
        </w:rPr>
      </w:pPr>
    </w:p>
    <w:p w:rsidR="00963865" w:rsidRDefault="003071F0">
      <w:pPr>
        <w:pStyle w:val="Heading2"/>
        <w:spacing w:before="0"/>
      </w:pPr>
      <w:bookmarkStart w:id="3" w:name="_heading=h.1fob9te" w:colFirst="0" w:colLast="0"/>
      <w:bookmarkEnd w:id="3"/>
      <w:r>
        <w:lastRenderedPageBreak/>
        <w:t>Exceptional circumstances</w:t>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Regulations reaffirm the Jury’s discretion to enhance compensation when the severity of the whiplash injury, the individual’s circumstances, or both are unu</w:t>
      </w:r>
      <w:r>
        <w:rPr>
          <w:rFonts w:ascii="Times New Roman" w:eastAsia="Times New Roman" w:hAnsi="Times New Roman" w:cs="Times New Roman"/>
          <w:sz w:val="24"/>
          <w:szCs w:val="24"/>
        </w:rPr>
        <w:t>sual and justify the use of the higher amount.</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 xml:space="preserve"> Claims containing only whiplash injuries, only moderate psychological issues, or just the whiplash component of a claim including several injuries are all eligible for the increase. In accordance with what is</w:t>
      </w:r>
      <w:r>
        <w:rPr>
          <w:rFonts w:ascii="Times New Roman" w:eastAsia="Times New Roman" w:hAnsi="Times New Roman" w:cs="Times New Roman"/>
          <w:sz w:val="24"/>
          <w:szCs w:val="24"/>
        </w:rPr>
        <w:t xml:space="preserve"> stated in the Regulations, the uplift amount cannot be more than 20% greater than the tariff amount.</w:t>
      </w:r>
      <w:r>
        <w:rPr>
          <w:rFonts w:ascii="Times New Roman" w:eastAsia="Times New Roman" w:hAnsi="Times New Roman" w:cs="Times New Roman"/>
          <w:sz w:val="24"/>
          <w:szCs w:val="24"/>
          <w:vertAlign w:val="superscript"/>
        </w:rPr>
        <w:footnoteReference w:id="12"/>
      </w:r>
    </w:p>
    <w:p w:rsidR="00963865" w:rsidRDefault="003071F0">
      <w:pPr>
        <w:rPr>
          <w:rFonts w:ascii="Times New Roman" w:eastAsia="Times New Roman" w:hAnsi="Times New Roman" w:cs="Times New Roman"/>
          <w:b/>
          <w:sz w:val="24"/>
          <w:szCs w:val="24"/>
        </w:rPr>
      </w:pPr>
      <w:r>
        <w:br w:type="page"/>
      </w:r>
    </w:p>
    <w:p w:rsidR="00963865" w:rsidRDefault="003071F0">
      <w:pPr>
        <w:pStyle w:val="Heading1"/>
        <w:spacing w:before="0"/>
      </w:pPr>
      <w:bookmarkStart w:id="4" w:name="_heading=h.3znysh7" w:colFirst="0" w:colLast="0"/>
      <w:bookmarkEnd w:id="4"/>
      <w:r>
        <w:lastRenderedPageBreak/>
        <w:t>Pre-Action Protocol</w:t>
      </w:r>
    </w:p>
    <w:p w:rsidR="00963865" w:rsidRDefault="003071F0">
      <w:pPr>
        <w:ind w:firstLine="720"/>
        <w:jc w:val="both"/>
        <w:rPr>
          <w:rFonts w:ascii="Times New Roman" w:eastAsia="Times New Roman" w:hAnsi="Times New Roman" w:cs="Times New Roman"/>
          <w:sz w:val="24"/>
          <w:szCs w:val="24"/>
        </w:rPr>
      </w:pPr>
      <w:bookmarkStart w:id="5" w:name="_heading=h.2et92p0" w:colFirst="0" w:colLast="0"/>
      <w:bookmarkEnd w:id="5"/>
      <w:r>
        <w:rPr>
          <w:rFonts w:ascii="Times New Roman" w:eastAsia="Times New Roman" w:hAnsi="Times New Roman" w:cs="Times New Roman"/>
          <w:sz w:val="24"/>
          <w:szCs w:val="24"/>
        </w:rPr>
        <w:t>For the most part, the personal injury claims are discussed under this protocol that are likely to be assigned to the fast track, and it applies to the totality of those claims, not just the personal injury component of a claim that also involves, for exam</w:t>
      </w:r>
      <w:r>
        <w:rPr>
          <w:rFonts w:ascii="Times New Roman" w:eastAsia="Times New Roman" w:hAnsi="Times New Roman" w:cs="Times New Roman"/>
          <w:sz w:val="24"/>
          <w:szCs w:val="24"/>
        </w:rPr>
        <w:t>ple, damage of property.</w:t>
      </w:r>
      <w:r>
        <w:rPr>
          <w:rFonts w:ascii="Times New Roman" w:eastAsia="Times New Roman" w:hAnsi="Times New Roman" w:cs="Times New Roman"/>
          <w:sz w:val="24"/>
          <w:szCs w:val="24"/>
          <w:vertAlign w:val="superscript"/>
        </w:rPr>
        <w:footnoteReference w:id="13"/>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Protocol suggests giving a defendant three months to look into a claim and react to it before legal action is taken. This may not always be the case, especially if the claimant does not seek legal advice until the deadline for</w:t>
      </w:r>
      <w:r>
        <w:rPr>
          <w:rFonts w:ascii="Times New Roman" w:eastAsia="Times New Roman" w:hAnsi="Times New Roman" w:cs="Times New Roman"/>
          <w:sz w:val="24"/>
          <w:szCs w:val="24"/>
        </w:rPr>
        <w:t xml:space="preserve"> filing a lawsuit is drawing near.</w:t>
      </w:r>
      <w:r>
        <w:rPr>
          <w:rFonts w:ascii="Times New Roman" w:eastAsia="Times New Roman" w:hAnsi="Times New Roman" w:cs="Times New Roman"/>
          <w:sz w:val="24"/>
          <w:szCs w:val="24"/>
          <w:vertAlign w:val="superscript"/>
        </w:rPr>
        <w:footnoteReference w:id="14"/>
      </w:r>
      <w:r>
        <w:rPr>
          <w:rFonts w:ascii="Times New Roman" w:eastAsia="Times New Roman" w:hAnsi="Times New Roman" w:cs="Times New Roman"/>
          <w:sz w:val="24"/>
          <w:szCs w:val="24"/>
        </w:rPr>
        <w:t xml:space="preserve"> The parties in such a case should consider asking the court to extend the deadlines for service of the claimant’s supporting documents and any defence, or to stay the proceedings entirely while the Protocol’s guidelines </w:t>
      </w:r>
      <w:r>
        <w:rPr>
          <w:rFonts w:ascii="Times New Roman" w:eastAsia="Times New Roman" w:hAnsi="Times New Roman" w:cs="Times New Roman"/>
          <w:sz w:val="24"/>
          <w:szCs w:val="24"/>
        </w:rPr>
        <w:t>are put into practise. The claimant’s attorney should give as much notice of the intention to issue proceedings as possible. Even if one of the claimants does not have an attorney, they should nevertheless follow the Protocol as closely as feasible.</w:t>
      </w:r>
    </w:p>
    <w:p w:rsidR="00963865" w:rsidRDefault="00963865">
      <w:pPr>
        <w:jc w:val="both"/>
        <w:rPr>
          <w:rFonts w:ascii="Times New Roman" w:eastAsia="Times New Roman" w:hAnsi="Times New Roman" w:cs="Times New Roman"/>
          <w:sz w:val="24"/>
          <w:szCs w:val="24"/>
        </w:rPr>
      </w:pPr>
    </w:p>
    <w:p w:rsidR="00963865" w:rsidRDefault="003071F0">
      <w:pPr>
        <w:pStyle w:val="Heading2"/>
        <w:spacing w:before="0"/>
      </w:pPr>
      <w:bookmarkStart w:id="6" w:name="_heading=h.tyjcwt" w:colFirst="0" w:colLast="0"/>
      <w:bookmarkEnd w:id="6"/>
      <w:r>
        <w:t>The I</w:t>
      </w:r>
      <w:r>
        <w:t>nitial Stages of Proceedings:</w:t>
      </w:r>
    </w:p>
    <w:p w:rsidR="00963865" w:rsidRDefault="003071F0">
      <w:pPr>
        <w:numPr>
          <w:ilvl w:val="0"/>
          <w:numId w:val="6"/>
        </w:numPr>
        <w:pBdr>
          <w:top w:val="nil"/>
          <w:left w:val="nil"/>
          <w:bottom w:val="nil"/>
          <w:right w:val="nil"/>
          <w:between w:val="nil"/>
        </w:pBdr>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The Letter of Notification: </w:t>
      </w:r>
      <w:r>
        <w:rPr>
          <w:rFonts w:ascii="Times New Roman" w:eastAsia="Times New Roman" w:hAnsi="Times New Roman" w:cs="Times New Roman"/>
          <w:color w:val="000000"/>
          <w:sz w:val="24"/>
          <w:szCs w:val="24"/>
        </w:rPr>
        <w:t>The claimant’s first communication with the defendant and/or insurer is the Letter of Notification. It is delivered to inform the insurance company that a claim will be filed against the insured (th</w:t>
      </w:r>
      <w:r>
        <w:rPr>
          <w:rFonts w:ascii="Times New Roman" w:eastAsia="Times New Roman" w:hAnsi="Times New Roman" w:cs="Times New Roman"/>
          <w:color w:val="000000"/>
          <w:sz w:val="24"/>
          <w:szCs w:val="24"/>
        </w:rPr>
        <w:t>e party that allegedly caused the accident).</w:t>
      </w:r>
      <w:r>
        <w:rPr>
          <w:rFonts w:ascii="Times New Roman" w:eastAsia="Times New Roman" w:hAnsi="Times New Roman" w:cs="Times New Roman"/>
          <w:color w:val="000000"/>
          <w:sz w:val="24"/>
          <w:szCs w:val="24"/>
          <w:vertAlign w:val="superscript"/>
        </w:rPr>
        <w:footnoteReference w:id="15"/>
      </w:r>
      <w:r>
        <w:rPr>
          <w:rFonts w:ascii="Times New Roman" w:eastAsia="Times New Roman" w:hAnsi="Times New Roman" w:cs="Times New Roman"/>
          <w:color w:val="000000"/>
          <w:sz w:val="24"/>
          <w:szCs w:val="24"/>
        </w:rPr>
        <w:t xml:space="preserve"> The claimant is not likely to have all the necessary information to send a formal Letter of Claim at this time.</w:t>
      </w:r>
    </w:p>
    <w:p w:rsidR="00963865" w:rsidRDefault="003071F0">
      <w:pPr>
        <w:numPr>
          <w:ilvl w:val="0"/>
          <w:numId w:val="1"/>
        </w:num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Rehabilitation: </w:t>
      </w:r>
      <w:r>
        <w:rPr>
          <w:rFonts w:ascii="Times New Roman" w:eastAsia="Times New Roman" w:hAnsi="Times New Roman" w:cs="Times New Roman"/>
          <w:sz w:val="24"/>
          <w:szCs w:val="24"/>
        </w:rPr>
        <w:t>The parties are obligated to meet the claimant’s immediate demands for medical and</w:t>
      </w:r>
      <w:r>
        <w:rPr>
          <w:rFonts w:ascii="Times New Roman" w:eastAsia="Times New Roman" w:hAnsi="Times New Roman" w:cs="Times New Roman"/>
          <w:sz w:val="24"/>
          <w:szCs w:val="24"/>
        </w:rPr>
        <w:t>/or rehabilitation treatment in order to facilitate his or her speedy recovery. The injured party may have a better chance of a speedy recovery if they get medical attention right away.</w:t>
      </w:r>
    </w:p>
    <w:p w:rsidR="00963865" w:rsidRDefault="003071F0">
      <w:pPr>
        <w:numPr>
          <w:ilvl w:val="0"/>
          <w:numId w:val="2"/>
        </w:num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Letter of Claim: </w:t>
      </w:r>
      <w:r>
        <w:rPr>
          <w:rFonts w:ascii="Times New Roman" w:eastAsia="Times New Roman" w:hAnsi="Times New Roman" w:cs="Times New Roman"/>
          <w:sz w:val="24"/>
          <w:szCs w:val="24"/>
        </w:rPr>
        <w:t>Two copies of the Letter of Claim should be delivered to the Defendant as soon as the Claimant is in a position to do so.</w:t>
      </w:r>
    </w:p>
    <w:p w:rsidR="00963865" w:rsidRDefault="003071F0">
      <w:pPr>
        <w:numPr>
          <w:ilvl w:val="0"/>
          <w:numId w:val="2"/>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The Response: </w:t>
      </w:r>
      <w:r>
        <w:rPr>
          <w:rFonts w:ascii="Times New Roman" w:eastAsia="Times New Roman" w:hAnsi="Times New Roman" w:cs="Times New Roman"/>
          <w:color w:val="000000"/>
          <w:sz w:val="24"/>
          <w:szCs w:val="24"/>
        </w:rPr>
        <w:t xml:space="preserve">The response letter must be answered by the defendant within 21 days after the date of mailing identifying the insurers </w:t>
      </w:r>
      <w:r>
        <w:rPr>
          <w:rFonts w:ascii="Times New Roman" w:eastAsia="Times New Roman" w:hAnsi="Times New Roman" w:cs="Times New Roman"/>
          <w:color w:val="000000"/>
          <w:sz w:val="24"/>
          <w:szCs w:val="24"/>
        </w:rPr>
        <w:t>in the letter. If the defendant or insurers do not respond to the claim within 21 days, the claimant can file suit. The insurer for the defendant has no more than three months from the day it receives the defendant’s response to the Letter of Claim to comp</w:t>
      </w:r>
      <w:r>
        <w:rPr>
          <w:rFonts w:ascii="Times New Roman" w:eastAsia="Times New Roman" w:hAnsi="Times New Roman" w:cs="Times New Roman"/>
          <w:color w:val="000000"/>
          <w:sz w:val="24"/>
          <w:szCs w:val="24"/>
        </w:rPr>
        <w:t>lete its investigation.</w:t>
      </w:r>
      <w:r>
        <w:rPr>
          <w:rFonts w:ascii="Times New Roman" w:eastAsia="Times New Roman" w:hAnsi="Times New Roman" w:cs="Times New Roman"/>
          <w:color w:val="000000"/>
          <w:sz w:val="24"/>
          <w:szCs w:val="24"/>
          <w:vertAlign w:val="superscript"/>
        </w:rPr>
        <w:footnoteReference w:id="16"/>
      </w:r>
      <w:r>
        <w:rPr>
          <w:rFonts w:ascii="Times New Roman" w:eastAsia="Times New Roman" w:hAnsi="Times New Roman" w:cs="Times New Roman"/>
          <w:color w:val="000000"/>
          <w:sz w:val="24"/>
          <w:szCs w:val="24"/>
        </w:rPr>
        <w:t xml:space="preserve"> It is imperative that the defendant respond before the end of the three-month period and state whether or not culpability is being admitted. If the defendant denies responsibility, they must provide an explanation for their positio</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z w:val="24"/>
          <w:szCs w:val="24"/>
          <w:vertAlign w:val="superscript"/>
        </w:rPr>
        <w:footnoteReference w:id="17"/>
      </w:r>
      <w:r>
        <w:rPr>
          <w:rFonts w:ascii="Times New Roman" w:eastAsia="Times New Roman" w:hAnsi="Times New Roman" w:cs="Times New Roman"/>
          <w:color w:val="000000"/>
          <w:sz w:val="24"/>
          <w:szCs w:val="24"/>
        </w:rPr>
        <w:t xml:space="preserve"> Further, they must explain how the incident occurred from their perspective and supply copies of any relevant paperwork.</w:t>
      </w:r>
    </w:p>
    <w:p w:rsidR="00963865" w:rsidRDefault="003071F0">
      <w:pPr>
        <w:numPr>
          <w:ilvl w:val="0"/>
          <w:numId w:val="3"/>
        </w:num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Disclosure of documents: </w:t>
      </w:r>
      <w:r>
        <w:rPr>
          <w:rFonts w:ascii="Times New Roman" w:eastAsia="Times New Roman" w:hAnsi="Times New Roman" w:cs="Times New Roman"/>
          <w:sz w:val="24"/>
          <w:szCs w:val="24"/>
        </w:rPr>
        <w:t xml:space="preserve">At this point, the claimant will be required to disclose (sent to the other party and the court) the kind </w:t>
      </w:r>
      <w:r>
        <w:rPr>
          <w:rFonts w:ascii="Times New Roman" w:eastAsia="Times New Roman" w:hAnsi="Times New Roman" w:cs="Times New Roman"/>
          <w:sz w:val="24"/>
          <w:szCs w:val="24"/>
        </w:rPr>
        <w:t>of documents that will be included in the Letter of Claim.</w:t>
      </w:r>
      <w:r>
        <w:rPr>
          <w:rFonts w:ascii="Times New Roman" w:eastAsia="Times New Roman" w:hAnsi="Times New Roman" w:cs="Times New Roman"/>
          <w:sz w:val="24"/>
          <w:szCs w:val="24"/>
          <w:vertAlign w:val="superscript"/>
        </w:rPr>
        <w:footnoteReference w:id="18"/>
      </w:r>
      <w:r>
        <w:rPr>
          <w:rFonts w:ascii="Times New Roman" w:eastAsia="Times New Roman" w:hAnsi="Times New Roman" w:cs="Times New Roman"/>
          <w:sz w:val="24"/>
          <w:szCs w:val="24"/>
        </w:rPr>
        <w:t xml:space="preserve"> This would include things like invoices for car repairs or insurance excess payments, rental car receipts, proof of lost wages, and replacement receipts for damaged property.</w:t>
      </w:r>
    </w:p>
    <w:p w:rsidR="00963865" w:rsidRDefault="003071F0">
      <w:pPr>
        <w:numPr>
          <w:ilvl w:val="0"/>
          <w:numId w:val="7"/>
        </w:num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Experts Reports: </w:t>
      </w:r>
      <w:r>
        <w:rPr>
          <w:rFonts w:ascii="Times New Roman" w:eastAsia="Times New Roman" w:hAnsi="Times New Roman" w:cs="Times New Roman"/>
          <w:sz w:val="24"/>
          <w:szCs w:val="24"/>
        </w:rPr>
        <w:t>A me</w:t>
      </w:r>
      <w:r>
        <w:rPr>
          <w:rFonts w:ascii="Times New Roman" w:eastAsia="Times New Roman" w:hAnsi="Times New Roman" w:cs="Times New Roman"/>
          <w:sz w:val="24"/>
          <w:szCs w:val="24"/>
        </w:rPr>
        <w:t>dical expert report is typically the only report received in fast-track cases.</w:t>
      </w:r>
    </w:p>
    <w:p w:rsidR="00963865" w:rsidRDefault="003071F0">
      <w:pPr>
        <w:numPr>
          <w:ilvl w:val="0"/>
          <w:numId w:val="4"/>
        </w:num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Alternative Dispute Resolution: </w:t>
      </w:r>
      <w:r>
        <w:rPr>
          <w:rFonts w:ascii="Times New Roman" w:eastAsia="Times New Roman" w:hAnsi="Times New Roman" w:cs="Times New Roman"/>
          <w:sz w:val="24"/>
          <w:szCs w:val="24"/>
        </w:rPr>
        <w:t xml:space="preserve">In the event that the dispute cannot be settled through dialogue, the parties are encouraged to explore their options for Alternative Dispute Resolution (ADR) as a means of reaching a settlement outside of court. Mediation and arbitration are two examples </w:t>
      </w:r>
      <w:r>
        <w:rPr>
          <w:rFonts w:ascii="Times New Roman" w:eastAsia="Times New Roman" w:hAnsi="Times New Roman" w:cs="Times New Roman"/>
          <w:sz w:val="24"/>
          <w:szCs w:val="24"/>
        </w:rPr>
        <w:t>of alternate dispute resolution methods.</w:t>
      </w:r>
    </w:p>
    <w:p w:rsidR="00963865" w:rsidRPr="009119D1" w:rsidRDefault="003071F0" w:rsidP="009119D1">
      <w:pPr>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Stocktake: </w:t>
      </w:r>
      <w:r>
        <w:rPr>
          <w:rFonts w:ascii="Times New Roman" w:eastAsia="Times New Roman" w:hAnsi="Times New Roman" w:cs="Times New Roman"/>
          <w:sz w:val="24"/>
          <w:szCs w:val="24"/>
        </w:rPr>
        <w:t>If the issue has not been resolved following the protocol process, then each side should assess the strengths and weaknesses of its case. The process concludes with the suggestion that the claimant ask the defendant’s insurance provider to appoint attorney</w:t>
      </w:r>
      <w:r>
        <w:rPr>
          <w:rFonts w:ascii="Times New Roman" w:eastAsia="Times New Roman" w:hAnsi="Times New Roman" w:cs="Times New Roman"/>
          <w:sz w:val="24"/>
          <w:szCs w:val="24"/>
        </w:rPr>
        <w:t>s to represent its insured in court before filing any formal proceedings.</w:t>
      </w:r>
      <w:r>
        <w:rPr>
          <w:rFonts w:ascii="Times New Roman" w:eastAsia="Times New Roman" w:hAnsi="Times New Roman" w:cs="Times New Roman"/>
          <w:sz w:val="24"/>
          <w:szCs w:val="24"/>
          <w:vertAlign w:val="superscript"/>
        </w:rPr>
        <w:footnoteReference w:id="19"/>
      </w:r>
      <w:r>
        <w:rPr>
          <w:rFonts w:ascii="Times New Roman" w:eastAsia="Times New Roman" w:hAnsi="Times New Roman" w:cs="Times New Roman"/>
          <w:sz w:val="24"/>
          <w:szCs w:val="24"/>
        </w:rPr>
        <w:t xml:space="preserve"> A claimant should send this invitation to insurers 7 or 14 days befo</w:t>
      </w:r>
      <w:r w:rsidR="009119D1">
        <w:rPr>
          <w:rFonts w:ascii="Times New Roman" w:eastAsia="Times New Roman" w:hAnsi="Times New Roman" w:cs="Times New Roman"/>
          <w:sz w:val="24"/>
          <w:szCs w:val="24"/>
        </w:rPr>
        <w:t>re he or she plans to file suit</w:t>
      </w:r>
      <w:r>
        <w:br w:type="page"/>
      </w:r>
    </w:p>
    <w:p w:rsidR="00963865" w:rsidRDefault="003071F0">
      <w:pPr>
        <w:pStyle w:val="Heading1"/>
        <w:spacing w:before="0"/>
      </w:pPr>
      <w:bookmarkStart w:id="7" w:name="_heading=h.3dy6vkm" w:colFirst="0" w:colLast="0"/>
      <w:bookmarkEnd w:id="7"/>
      <w:r>
        <w:lastRenderedPageBreak/>
        <w:t xml:space="preserve">The Trial Process </w:t>
      </w:r>
      <w:proofErr w:type="gramStart"/>
      <w:r>
        <w:t>From</w:t>
      </w:r>
      <w:proofErr w:type="gramEnd"/>
      <w:r>
        <w:t xml:space="preserve"> Pre-Trial Settlement To Trial To Resolution</w:t>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claim fo</w:t>
      </w:r>
      <w:r>
        <w:rPr>
          <w:rFonts w:ascii="Times New Roman" w:eastAsia="Times New Roman" w:hAnsi="Times New Roman" w:cs="Times New Roman"/>
          <w:sz w:val="24"/>
          <w:szCs w:val="24"/>
        </w:rPr>
        <w:t>r personal injury might be settled out of court or taken to trial. These cases are typically settled rather than tried. Going through with a personal injury trial is like drawing a joker from a deck full of cards due to the great degree of unpredictability</w:t>
      </w:r>
      <w:r>
        <w:rPr>
          <w:rFonts w:ascii="Times New Roman" w:eastAsia="Times New Roman" w:hAnsi="Times New Roman" w:cs="Times New Roman"/>
          <w:sz w:val="24"/>
          <w:szCs w:val="24"/>
        </w:rPr>
        <w:t xml:space="preserve"> involved. In either case, however, odds of generous compensation are better if claimants retain an experienced personal injury lawyer.</w:t>
      </w:r>
      <w:r>
        <w:rPr>
          <w:rFonts w:ascii="Times New Roman" w:eastAsia="Times New Roman" w:hAnsi="Times New Roman" w:cs="Times New Roman"/>
          <w:sz w:val="24"/>
          <w:szCs w:val="24"/>
          <w:vertAlign w:val="superscript"/>
        </w:rPr>
        <w:footnoteReference w:id="20"/>
      </w:r>
    </w:p>
    <w:p w:rsidR="00963865" w:rsidRDefault="00963865">
      <w:pPr>
        <w:jc w:val="both"/>
        <w:rPr>
          <w:rFonts w:ascii="Times New Roman" w:eastAsia="Times New Roman" w:hAnsi="Times New Roman" w:cs="Times New Roman"/>
          <w:sz w:val="24"/>
          <w:szCs w:val="24"/>
        </w:rPr>
      </w:pPr>
    </w:p>
    <w:p w:rsidR="00963865" w:rsidRDefault="003071F0">
      <w:pPr>
        <w:pStyle w:val="Heading2"/>
        <w:spacing w:before="0"/>
      </w:pPr>
      <w:bookmarkStart w:id="8" w:name="_heading=h.1t3h5sf" w:colFirst="0" w:colLast="0"/>
      <w:bookmarkEnd w:id="8"/>
      <w:r>
        <w:t>Pre-Trial Settlement</w:t>
      </w:r>
    </w:p>
    <w:p w:rsidR="00963865" w:rsidRDefault="003071F0">
      <w:pPr>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number of practice directions control the conduct of the parties before proceedings are issued.</w:t>
      </w:r>
      <w:r>
        <w:rPr>
          <w:rFonts w:ascii="Times New Roman" w:eastAsia="Times New Roman" w:hAnsi="Times New Roman" w:cs="Times New Roman"/>
          <w:sz w:val="24"/>
          <w:szCs w:val="24"/>
        </w:rPr>
        <w:t xml:space="preserve"> These factors promote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early settlement offers and (ii) early evaluation of the strengths and weaknesses of each party’s case.</w:t>
      </w:r>
      <w:r>
        <w:rPr>
          <w:rFonts w:ascii="Times New Roman" w:eastAsia="Times New Roman" w:hAnsi="Times New Roman" w:cs="Times New Roman"/>
          <w:sz w:val="24"/>
          <w:szCs w:val="24"/>
          <w:vertAlign w:val="superscript"/>
        </w:rPr>
        <w:footnoteReference w:id="21"/>
      </w:r>
      <w:r>
        <w:rPr>
          <w:rFonts w:ascii="Times New Roman" w:eastAsia="Times New Roman" w:hAnsi="Times New Roman" w:cs="Times New Roman"/>
          <w:sz w:val="24"/>
          <w:szCs w:val="24"/>
        </w:rPr>
        <w:t xml:space="preserve"> After the defence is submitted, the parties will fill out a directions questionnaire, which stresses the importance of tryin</w:t>
      </w:r>
      <w:r>
        <w:rPr>
          <w:rFonts w:ascii="Times New Roman" w:eastAsia="Times New Roman" w:hAnsi="Times New Roman" w:cs="Times New Roman"/>
          <w:sz w:val="24"/>
          <w:szCs w:val="24"/>
        </w:rPr>
        <w:t>g to resolve the issue out of court. A lawyer must attest that he or she has discussed settlement with their client. Either party may file a petition in the Court for a stay of proceedings for up to one month or for assistance in setting up mediation. Duri</w:t>
      </w:r>
      <w:r>
        <w:rPr>
          <w:rFonts w:ascii="Times New Roman" w:eastAsia="Times New Roman" w:hAnsi="Times New Roman" w:cs="Times New Roman"/>
          <w:sz w:val="24"/>
          <w:szCs w:val="24"/>
        </w:rPr>
        <w:t>ng interim hearings (hearings that take place before a trial), judges frequently suggest that the parties get together to try and reach a settlement.</w:t>
      </w:r>
      <w:r>
        <w:rPr>
          <w:rFonts w:ascii="Times New Roman" w:eastAsia="Times New Roman" w:hAnsi="Times New Roman" w:cs="Times New Roman"/>
          <w:sz w:val="24"/>
          <w:szCs w:val="24"/>
          <w:vertAlign w:val="superscript"/>
        </w:rPr>
        <w:footnoteReference w:id="22"/>
      </w:r>
      <w:r>
        <w:rPr>
          <w:rFonts w:ascii="Times New Roman" w:eastAsia="Times New Roman" w:hAnsi="Times New Roman" w:cs="Times New Roman"/>
          <w:sz w:val="24"/>
          <w:szCs w:val="24"/>
        </w:rPr>
        <w:t xml:space="preserve"> A judge may express dissatisfaction of parties who have failed to properly engage in settlement attempts,</w:t>
      </w:r>
      <w:r>
        <w:rPr>
          <w:rFonts w:ascii="Times New Roman" w:eastAsia="Times New Roman" w:hAnsi="Times New Roman" w:cs="Times New Roman"/>
          <w:sz w:val="24"/>
          <w:szCs w:val="24"/>
        </w:rPr>
        <w:t xml:space="preserve"> but the parties themselves should not be summoned before the court to discuss the details of the settlement negotiations. Personal injury settlements are more of an art than a science. Settlement proceeds through the following stages:</w:t>
      </w:r>
    </w:p>
    <w:p w:rsidR="00963865" w:rsidRDefault="003071F0">
      <w:pPr>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Lawyer from the clai</w:t>
      </w:r>
      <w:r>
        <w:rPr>
          <w:rFonts w:ascii="Times New Roman" w:eastAsia="Times New Roman" w:hAnsi="Times New Roman" w:cs="Times New Roman"/>
          <w:sz w:val="24"/>
          <w:szCs w:val="24"/>
        </w:rPr>
        <w:t>mant side sends a demand letter.</w:t>
      </w:r>
    </w:p>
    <w:p w:rsidR="00963865" w:rsidRDefault="003071F0">
      <w:pPr>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insurance company or the defendant examines the demand letter.</w:t>
      </w:r>
    </w:p>
    <w:p w:rsidR="00963865" w:rsidRDefault="003071F0">
      <w:pPr>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insurance company or the defendant make a counteroffer to the claimant.</w:t>
      </w:r>
    </w:p>
    <w:p w:rsidR="00963865" w:rsidRDefault="003071F0">
      <w:pPr>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Commencement of Negotiations between both parties.</w:t>
      </w:r>
    </w:p>
    <w:p w:rsidR="00963865" w:rsidRDefault="003071F0">
      <w:pPr>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parties either settle dis</w:t>
      </w:r>
      <w:r>
        <w:rPr>
          <w:rFonts w:ascii="Times New Roman" w:eastAsia="Times New Roman" w:hAnsi="Times New Roman" w:cs="Times New Roman"/>
          <w:sz w:val="24"/>
          <w:szCs w:val="24"/>
        </w:rPr>
        <w:t>putes by negotiations or go to trial.</w:t>
      </w:r>
    </w:p>
    <w:p w:rsidR="00963865" w:rsidRDefault="00963865">
      <w:pPr>
        <w:jc w:val="both"/>
        <w:rPr>
          <w:rFonts w:ascii="Times New Roman" w:eastAsia="Times New Roman" w:hAnsi="Times New Roman" w:cs="Times New Roman"/>
          <w:sz w:val="24"/>
          <w:szCs w:val="24"/>
        </w:rPr>
      </w:pPr>
    </w:p>
    <w:p w:rsidR="00963865" w:rsidRDefault="003071F0">
      <w:pPr>
        <w:pStyle w:val="Heading2"/>
        <w:spacing w:before="0"/>
      </w:pPr>
      <w:bookmarkStart w:id="9" w:name="_heading=h.4d34og8" w:colFirst="0" w:colLast="0"/>
      <w:bookmarkEnd w:id="9"/>
      <w:r>
        <w:t>Trial Procedure</w:t>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common practice to file suit in the event of a personal injury claim. Court procedures must begin if the defendant in the case refuses to admit blame for the accident and/or fails to make a reaso</w:t>
      </w:r>
      <w:r>
        <w:rPr>
          <w:rFonts w:ascii="Times New Roman" w:eastAsia="Times New Roman" w:hAnsi="Times New Roman" w:cs="Times New Roman"/>
          <w:sz w:val="24"/>
          <w:szCs w:val="24"/>
        </w:rPr>
        <w:t>nable compensation offer. The claim will be filed in court by the legal representative, who will submit a claim form detailing the case, including the medical report and a summary of the financial damages, to the court. Typically, a response to a claim ser</w:t>
      </w:r>
      <w:r>
        <w:rPr>
          <w:rFonts w:ascii="Times New Roman" w:eastAsia="Times New Roman" w:hAnsi="Times New Roman" w:cs="Times New Roman"/>
          <w:sz w:val="24"/>
          <w:szCs w:val="24"/>
        </w:rPr>
        <w:t>ved upon a defendant will be received within 28 days.</w:t>
      </w:r>
      <w:r>
        <w:rPr>
          <w:rFonts w:ascii="Times New Roman" w:eastAsia="Times New Roman" w:hAnsi="Times New Roman" w:cs="Times New Roman"/>
          <w:sz w:val="24"/>
          <w:szCs w:val="24"/>
          <w:vertAlign w:val="superscript"/>
        </w:rPr>
        <w:footnoteReference w:id="23"/>
      </w:r>
      <w:r>
        <w:rPr>
          <w:rFonts w:ascii="Times New Roman" w:eastAsia="Times New Roman" w:hAnsi="Times New Roman" w:cs="Times New Roman"/>
          <w:sz w:val="24"/>
          <w:szCs w:val="24"/>
        </w:rPr>
        <w:t xml:space="preserve"> The monetary amount and complexity of the claim will determine which track the court assigns to it.</w:t>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trial, the judge and the jury will decide the outcome of the case and impose their decision on the</w:t>
      </w:r>
      <w:r>
        <w:rPr>
          <w:rFonts w:ascii="Times New Roman" w:eastAsia="Times New Roman" w:hAnsi="Times New Roman" w:cs="Times New Roman"/>
          <w:sz w:val="24"/>
          <w:szCs w:val="24"/>
        </w:rPr>
        <w:t xml:space="preserve"> parties. Each side had the chance to present their case, complete with evidence, witness testimony, and closing arguments.</w:t>
      </w:r>
      <w:r>
        <w:rPr>
          <w:rFonts w:ascii="Times New Roman" w:eastAsia="Times New Roman" w:hAnsi="Times New Roman" w:cs="Times New Roman"/>
          <w:sz w:val="24"/>
          <w:szCs w:val="24"/>
          <w:vertAlign w:val="superscript"/>
        </w:rPr>
        <w:footnoteReference w:id="24"/>
      </w:r>
      <w:r>
        <w:rPr>
          <w:rFonts w:ascii="Times New Roman" w:eastAsia="Times New Roman" w:hAnsi="Times New Roman" w:cs="Times New Roman"/>
          <w:sz w:val="24"/>
          <w:szCs w:val="24"/>
        </w:rPr>
        <w:t xml:space="preserve"> Fewer than 10% of all claims for personal injury actually make it to trial. The official statistic from the UK claims that just app</w:t>
      </w:r>
      <w:r>
        <w:rPr>
          <w:rFonts w:ascii="Times New Roman" w:eastAsia="Times New Roman" w:hAnsi="Times New Roman" w:cs="Times New Roman"/>
          <w:sz w:val="24"/>
          <w:szCs w:val="24"/>
        </w:rPr>
        <w:t>roximately 3% of all personal injury cases actually end up in court. The trial process for personal injuries consists of 6 key phases:</w:t>
      </w:r>
    </w:p>
    <w:p w:rsidR="00963865" w:rsidRDefault="003071F0">
      <w:pPr>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Empanelling and selecting the jury (in the jury trial event),</w:t>
      </w:r>
    </w:p>
    <w:p w:rsidR="00963865" w:rsidRDefault="003071F0">
      <w:pPr>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Opening statements,</w:t>
      </w:r>
    </w:p>
    <w:p w:rsidR="00963865" w:rsidRDefault="003071F0">
      <w:pPr>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Witness testimony, examination, and cro</w:t>
      </w:r>
      <w:r>
        <w:rPr>
          <w:rFonts w:ascii="Times New Roman" w:eastAsia="Times New Roman" w:hAnsi="Times New Roman" w:cs="Times New Roman"/>
          <w:sz w:val="24"/>
          <w:szCs w:val="24"/>
        </w:rPr>
        <w:t>ss-examination;</w:t>
      </w:r>
    </w:p>
    <w:p w:rsidR="00963865" w:rsidRDefault="003071F0">
      <w:pPr>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in closing arguments;</w:t>
      </w:r>
    </w:p>
    <w:p w:rsidR="009119D1" w:rsidRDefault="003071F0" w:rsidP="009119D1">
      <w:pPr>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Jury deliberations; and</w:t>
      </w:r>
    </w:p>
    <w:p w:rsidR="00963865" w:rsidRPr="009119D1" w:rsidRDefault="003071F0" w:rsidP="009119D1">
      <w:pPr>
        <w:numPr>
          <w:ilvl w:val="0"/>
          <w:numId w:val="9"/>
        </w:numPr>
        <w:jc w:val="both"/>
        <w:rPr>
          <w:rFonts w:ascii="Times New Roman" w:eastAsia="Times New Roman" w:hAnsi="Times New Roman" w:cs="Times New Roman"/>
          <w:sz w:val="24"/>
          <w:szCs w:val="24"/>
        </w:rPr>
      </w:pPr>
      <w:r w:rsidRPr="009119D1">
        <w:rPr>
          <w:rFonts w:ascii="Times New Roman" w:eastAsia="Times New Roman" w:hAnsi="Times New Roman" w:cs="Times New Roman"/>
          <w:sz w:val="24"/>
          <w:szCs w:val="24"/>
        </w:rPr>
        <w:lastRenderedPageBreak/>
        <w:t>Final verdict.</w:t>
      </w:r>
    </w:p>
    <w:p w:rsidR="00963865" w:rsidRDefault="00963865">
      <w:pPr>
        <w:jc w:val="both"/>
        <w:rPr>
          <w:rFonts w:ascii="Times New Roman" w:eastAsia="Times New Roman" w:hAnsi="Times New Roman" w:cs="Times New Roman"/>
          <w:sz w:val="24"/>
          <w:szCs w:val="24"/>
        </w:rPr>
      </w:pPr>
    </w:p>
    <w:p w:rsidR="00963865" w:rsidRDefault="003071F0">
      <w:pPr>
        <w:pStyle w:val="Heading1"/>
        <w:spacing w:before="0"/>
      </w:pPr>
      <w:bookmarkStart w:id="10" w:name="_heading=h.2s8eyo1" w:colFirst="0" w:colLast="0"/>
      <w:bookmarkEnd w:id="10"/>
      <w:r>
        <w:t>Conclusion</w:t>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of the Whiplash Injury Regulations, 2021, parties to small claims can now represent themselves in pre-trial settlement and trial proceedings. For injuries discussed in whiplash regulations up to two years of time period and any small psychologi</w:t>
      </w:r>
      <w:r>
        <w:rPr>
          <w:rFonts w:ascii="Times New Roman" w:eastAsia="Times New Roman" w:hAnsi="Times New Roman" w:cs="Times New Roman"/>
          <w:sz w:val="24"/>
          <w:szCs w:val="24"/>
        </w:rPr>
        <w:t>cal damages sustained on the same time as the RTA, these Regulations set forth, by way of a charge, the total compensation of  the damages for suffering, pain and loss of amenity that may be awarded by the court.</w:t>
      </w:r>
    </w:p>
    <w:p w:rsidR="00963865" w:rsidRDefault="003071F0">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may be a dramatic surge in self-repre</w:t>
      </w:r>
      <w:r>
        <w:rPr>
          <w:rFonts w:ascii="Times New Roman" w:eastAsia="Times New Roman" w:hAnsi="Times New Roman" w:cs="Times New Roman"/>
          <w:sz w:val="24"/>
          <w:szCs w:val="24"/>
        </w:rPr>
        <w:t xml:space="preserve">sented litigants bringing personal injury civil suits to UK’s Civil Courts with the Whiplash reforms to personal injury claims. Almost always it is insisted by the court that there is a need for a “Single Joint Expert” to instruct both parties together in </w:t>
      </w:r>
      <w:r>
        <w:rPr>
          <w:rFonts w:ascii="Times New Roman" w:eastAsia="Times New Roman" w:hAnsi="Times New Roman" w:cs="Times New Roman"/>
          <w:sz w:val="24"/>
          <w:szCs w:val="24"/>
        </w:rPr>
        <w:t xml:space="preserve">claims of low value. A pro se litigant should not get instruction from an expert who is not conversant with the rules relevant to the case, until or unless there is no other way to proceed. On the order of the Court a party furnishes expert information to </w:t>
      </w:r>
      <w:r>
        <w:rPr>
          <w:rFonts w:ascii="Times New Roman" w:eastAsia="Times New Roman" w:hAnsi="Times New Roman" w:cs="Times New Roman"/>
          <w:sz w:val="24"/>
          <w:szCs w:val="24"/>
        </w:rPr>
        <w:t>his or her opponent where that party has in-house expertise access that is unavailable to the other party. Personal injury claims are more of an art than a science, and most of them are resolved out of court to avoid the time and expense of a trial.</w:t>
      </w:r>
    </w:p>
    <w:p w:rsidR="00963865" w:rsidRDefault="003071F0">
      <w:pPr>
        <w:rPr>
          <w:rFonts w:ascii="Times New Roman" w:eastAsia="Times New Roman" w:hAnsi="Times New Roman" w:cs="Times New Roman"/>
          <w:sz w:val="24"/>
          <w:szCs w:val="24"/>
        </w:rPr>
      </w:pPr>
      <w:r>
        <w:br w:type="page"/>
      </w:r>
    </w:p>
    <w:p w:rsidR="00963865" w:rsidRDefault="003071F0">
      <w:pPr>
        <w:pStyle w:val="Heading1"/>
        <w:spacing w:before="0"/>
      </w:pPr>
      <w:bookmarkStart w:id="11" w:name="_heading=h.17dp8vu" w:colFirst="0" w:colLast="0"/>
      <w:bookmarkEnd w:id="11"/>
      <w:r>
        <w:lastRenderedPageBreak/>
        <w:t>Refe</w:t>
      </w:r>
      <w:r>
        <w:t>rences</w:t>
      </w:r>
    </w:p>
    <w:p w:rsidR="00963865" w:rsidRDefault="003071F0">
      <w:pPr>
        <w:pStyle w:val="Heading2"/>
        <w:spacing w:before="0"/>
      </w:pPr>
      <w:bookmarkStart w:id="12" w:name="_heading=h.3rdcrjn" w:colFirst="0" w:colLast="0"/>
      <w:bookmarkEnd w:id="12"/>
      <w:r>
        <w:t>Books/Articles/Journals</w:t>
      </w:r>
    </w:p>
    <w:p w:rsidR="00963865" w:rsidRDefault="003071F0">
      <w:pPr>
        <w:ind w:left="720" w:hanging="720"/>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Akkermans</w:t>
      </w:r>
      <w:proofErr w:type="spellEnd"/>
      <w:r>
        <w:rPr>
          <w:rFonts w:ascii="Times New Roman" w:eastAsia="Times New Roman" w:hAnsi="Times New Roman" w:cs="Times New Roman"/>
          <w:sz w:val="24"/>
          <w:szCs w:val="24"/>
          <w:highlight w:val="white"/>
        </w:rPr>
        <w:t>, A., 2020. Achieving Justice in Personal Injury Compensation: The Need to Address the Emotional Dimensions of Suffering a Wrong. </w:t>
      </w:r>
      <w:r>
        <w:rPr>
          <w:rFonts w:ascii="Times New Roman" w:eastAsia="Times New Roman" w:hAnsi="Times New Roman" w:cs="Times New Roman"/>
          <w:i/>
          <w:sz w:val="24"/>
          <w:szCs w:val="24"/>
          <w:highlight w:val="white"/>
        </w:rPr>
        <w:t>Unexpected Consequences of Compensation Law, Oxford, Hart Publishing</w:t>
      </w:r>
      <w:r>
        <w:rPr>
          <w:rFonts w:ascii="Times New Roman" w:eastAsia="Times New Roman" w:hAnsi="Times New Roman" w:cs="Times New Roman"/>
          <w:sz w:val="24"/>
          <w:szCs w:val="24"/>
          <w:highlight w:val="white"/>
        </w:rPr>
        <w:t>, pp.15-37.</w:t>
      </w:r>
    </w:p>
    <w:p w:rsidR="00963865" w:rsidRDefault="003071F0">
      <w:pPr>
        <w:ind w:left="720" w:hanging="720"/>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Basten</w:t>
      </w:r>
      <w:proofErr w:type="spellEnd"/>
      <w:r>
        <w:rPr>
          <w:rFonts w:ascii="Times New Roman" w:eastAsia="Times New Roman" w:hAnsi="Times New Roman" w:cs="Times New Roman"/>
          <w:sz w:val="24"/>
          <w:szCs w:val="24"/>
          <w:highlight w:val="white"/>
        </w:rPr>
        <w:t>, J., 2018. Personal injury: contributory negligence. </w:t>
      </w:r>
      <w:r>
        <w:rPr>
          <w:rFonts w:ascii="Times New Roman" w:eastAsia="Times New Roman" w:hAnsi="Times New Roman" w:cs="Times New Roman"/>
          <w:i/>
          <w:sz w:val="24"/>
          <w:szCs w:val="24"/>
          <w:highlight w:val="white"/>
        </w:rPr>
        <w:t>JUDICIAL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(4), pp.417-430.</w:t>
      </w:r>
    </w:p>
    <w:p w:rsidR="00963865" w:rsidRDefault="003071F0">
      <w:pPr>
        <w:ind w:left="720" w:hanging="720"/>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Bjorklund</w:t>
      </w:r>
      <w:proofErr w:type="spellEnd"/>
      <w:r>
        <w:rPr>
          <w:rFonts w:ascii="Times New Roman" w:eastAsia="Times New Roman" w:hAnsi="Times New Roman" w:cs="Times New Roman"/>
          <w:sz w:val="24"/>
          <w:szCs w:val="24"/>
          <w:highlight w:val="white"/>
        </w:rPr>
        <w:t>, P.R., 2021. Special Needs Trusts: Applications to Personal Injury Damages. </w:t>
      </w:r>
      <w:r>
        <w:rPr>
          <w:rFonts w:ascii="Times New Roman" w:eastAsia="Times New Roman" w:hAnsi="Times New Roman" w:cs="Times New Roman"/>
          <w:i/>
          <w:sz w:val="24"/>
          <w:szCs w:val="24"/>
          <w:highlight w:val="white"/>
        </w:rPr>
        <w:t>J. Legal Econ.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 p.53.</w:t>
      </w:r>
    </w:p>
    <w:p w:rsidR="00963865" w:rsidRDefault="003071F0">
      <w:pPr>
        <w:ind w:left="720" w:hanging="720"/>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Ewuzie</w:t>
      </w:r>
      <w:proofErr w:type="spellEnd"/>
      <w:r>
        <w:rPr>
          <w:rFonts w:ascii="Times New Roman" w:eastAsia="Times New Roman" w:hAnsi="Times New Roman" w:cs="Times New Roman"/>
          <w:sz w:val="24"/>
          <w:szCs w:val="24"/>
          <w:highlight w:val="white"/>
        </w:rPr>
        <w:t xml:space="preserve">, M.A. and </w:t>
      </w:r>
      <w:proofErr w:type="spellStart"/>
      <w:r>
        <w:rPr>
          <w:rFonts w:ascii="Times New Roman" w:eastAsia="Times New Roman" w:hAnsi="Times New Roman" w:cs="Times New Roman"/>
          <w:sz w:val="24"/>
          <w:szCs w:val="24"/>
          <w:highlight w:val="white"/>
        </w:rPr>
        <w:t>Ewulum</w:t>
      </w:r>
      <w:proofErr w:type="spellEnd"/>
      <w:r>
        <w:rPr>
          <w:rFonts w:ascii="Times New Roman" w:eastAsia="Times New Roman" w:hAnsi="Times New Roman" w:cs="Times New Roman"/>
          <w:sz w:val="24"/>
          <w:szCs w:val="24"/>
          <w:highlight w:val="white"/>
        </w:rPr>
        <w:t>, B.E., 2020. ASSESSING T</w:t>
      </w:r>
      <w:r>
        <w:rPr>
          <w:rFonts w:ascii="Times New Roman" w:eastAsia="Times New Roman" w:hAnsi="Times New Roman" w:cs="Times New Roman"/>
          <w:sz w:val="24"/>
          <w:szCs w:val="24"/>
          <w:highlight w:val="white"/>
        </w:rPr>
        <w:t>HE QUANTUM OF DAMAGES IN PERSONAL INJURY CASES: TOWARDS CONTEMPORARY JUSTICE. </w:t>
      </w:r>
      <w:r>
        <w:rPr>
          <w:rFonts w:ascii="Times New Roman" w:eastAsia="Times New Roman" w:hAnsi="Times New Roman" w:cs="Times New Roman"/>
          <w:i/>
          <w:sz w:val="24"/>
          <w:szCs w:val="24"/>
          <w:highlight w:val="white"/>
        </w:rPr>
        <w:t>Journal of Commercial and Property Law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(1), pp.42-51.</w:t>
      </w:r>
    </w:p>
    <w:p w:rsidR="00963865" w:rsidRDefault="003071F0">
      <w:pPr>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Feng, X., 2018. </w:t>
      </w:r>
      <w:r>
        <w:rPr>
          <w:rFonts w:ascii="Times New Roman" w:eastAsia="Times New Roman" w:hAnsi="Times New Roman" w:cs="Times New Roman"/>
          <w:i/>
          <w:sz w:val="24"/>
          <w:szCs w:val="24"/>
          <w:highlight w:val="white"/>
        </w:rPr>
        <w:t xml:space="preserve">Corporate Liability </w:t>
      </w:r>
      <w:proofErr w:type="gramStart"/>
      <w:r>
        <w:rPr>
          <w:rFonts w:ascii="Times New Roman" w:eastAsia="Times New Roman" w:hAnsi="Times New Roman" w:cs="Times New Roman"/>
          <w:i/>
          <w:sz w:val="24"/>
          <w:szCs w:val="24"/>
          <w:highlight w:val="white"/>
        </w:rPr>
        <w:t>Towards</w:t>
      </w:r>
      <w:proofErr w:type="gramEnd"/>
      <w:r>
        <w:rPr>
          <w:rFonts w:ascii="Times New Roman" w:eastAsia="Times New Roman" w:hAnsi="Times New Roman" w:cs="Times New Roman"/>
          <w:i/>
          <w:sz w:val="24"/>
          <w:szCs w:val="24"/>
          <w:highlight w:val="white"/>
        </w:rPr>
        <w:t xml:space="preserve"> Tort Victims in the Personal Injury Context</w:t>
      </w:r>
      <w:r>
        <w:rPr>
          <w:rFonts w:ascii="Times New Roman" w:eastAsia="Times New Roman" w:hAnsi="Times New Roman" w:cs="Times New Roman"/>
          <w:sz w:val="24"/>
          <w:szCs w:val="24"/>
          <w:highlight w:val="white"/>
        </w:rPr>
        <w:t> (Doctoral dissertation, Queen Mary</w:t>
      </w:r>
      <w:r>
        <w:rPr>
          <w:rFonts w:ascii="Times New Roman" w:eastAsia="Times New Roman" w:hAnsi="Times New Roman" w:cs="Times New Roman"/>
          <w:sz w:val="24"/>
          <w:szCs w:val="24"/>
          <w:highlight w:val="white"/>
        </w:rPr>
        <w:t xml:space="preserve"> University of London).</w:t>
      </w:r>
    </w:p>
    <w:p w:rsidR="00963865" w:rsidRDefault="003071F0">
      <w:pPr>
        <w:ind w:left="720" w:hanging="720"/>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Folmer</w:t>
      </w:r>
      <w:proofErr w:type="spellEnd"/>
      <w:r>
        <w:rPr>
          <w:rFonts w:ascii="Times New Roman" w:eastAsia="Times New Roman" w:hAnsi="Times New Roman" w:cs="Times New Roman"/>
          <w:sz w:val="24"/>
          <w:szCs w:val="24"/>
          <w:highlight w:val="white"/>
        </w:rPr>
        <w:t>, C.P.R., 2018. Experimental approaches to private law: the case of redressing personal injury. In </w:t>
      </w:r>
      <w:r>
        <w:rPr>
          <w:rFonts w:ascii="Times New Roman" w:eastAsia="Times New Roman" w:hAnsi="Times New Roman" w:cs="Times New Roman"/>
          <w:i/>
          <w:sz w:val="24"/>
          <w:szCs w:val="24"/>
          <w:highlight w:val="white"/>
        </w:rPr>
        <w:t>Empirical Legal Research in Action</w:t>
      </w:r>
      <w:r>
        <w:rPr>
          <w:rFonts w:ascii="Times New Roman" w:eastAsia="Times New Roman" w:hAnsi="Times New Roman" w:cs="Times New Roman"/>
          <w:sz w:val="24"/>
          <w:szCs w:val="24"/>
          <w:highlight w:val="white"/>
        </w:rPr>
        <w:t> (pp. 109-136). Edward Elgar Publishing.</w:t>
      </w:r>
    </w:p>
    <w:p w:rsidR="00963865" w:rsidRDefault="003071F0">
      <w:pPr>
        <w:ind w:left="720" w:hanging="720"/>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Marchant</w:t>
      </w:r>
      <w:proofErr w:type="spellEnd"/>
      <w:r>
        <w:rPr>
          <w:rFonts w:ascii="Times New Roman" w:eastAsia="Times New Roman" w:hAnsi="Times New Roman" w:cs="Times New Roman"/>
          <w:sz w:val="24"/>
          <w:szCs w:val="24"/>
          <w:highlight w:val="white"/>
        </w:rPr>
        <w:t>, P., Hale, J.D. and Sadler, J.P., 2020. Doe</w:t>
      </w:r>
      <w:r>
        <w:rPr>
          <w:rFonts w:ascii="Times New Roman" w:eastAsia="Times New Roman" w:hAnsi="Times New Roman" w:cs="Times New Roman"/>
          <w:sz w:val="24"/>
          <w:szCs w:val="24"/>
          <w:highlight w:val="white"/>
        </w:rPr>
        <w:t>s changing to brighter road lighting improve road safety? Multilevel longitudinal analysis of road traffic collision frequency during the relighting of a UK city. </w:t>
      </w:r>
      <w:r>
        <w:rPr>
          <w:rFonts w:ascii="Times New Roman" w:eastAsia="Times New Roman" w:hAnsi="Times New Roman" w:cs="Times New Roman"/>
          <w:i/>
          <w:sz w:val="24"/>
          <w:szCs w:val="24"/>
          <w:highlight w:val="white"/>
        </w:rPr>
        <w:t xml:space="preserve">J </w:t>
      </w:r>
      <w:proofErr w:type="spellStart"/>
      <w:r>
        <w:rPr>
          <w:rFonts w:ascii="Times New Roman" w:eastAsia="Times New Roman" w:hAnsi="Times New Roman" w:cs="Times New Roman"/>
          <w:i/>
          <w:sz w:val="24"/>
          <w:szCs w:val="24"/>
          <w:highlight w:val="white"/>
        </w:rPr>
        <w:t>Epidemiol</w:t>
      </w:r>
      <w:proofErr w:type="spellEnd"/>
      <w:r>
        <w:rPr>
          <w:rFonts w:ascii="Times New Roman" w:eastAsia="Times New Roman" w:hAnsi="Times New Roman" w:cs="Times New Roman"/>
          <w:i/>
          <w:sz w:val="24"/>
          <w:szCs w:val="24"/>
          <w:highlight w:val="white"/>
        </w:rPr>
        <w:t xml:space="preserve"> Community Health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74</w:t>
      </w:r>
      <w:r>
        <w:rPr>
          <w:rFonts w:ascii="Times New Roman" w:eastAsia="Times New Roman" w:hAnsi="Times New Roman" w:cs="Times New Roman"/>
          <w:sz w:val="24"/>
          <w:szCs w:val="24"/>
          <w:highlight w:val="white"/>
        </w:rPr>
        <w:t>(5), pp.467-472.</w:t>
      </w:r>
    </w:p>
    <w:p w:rsidR="00963865" w:rsidRDefault="003071F0">
      <w:pPr>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McBride, N., 2020. The Cost and Value of Per</w:t>
      </w:r>
      <w:r>
        <w:rPr>
          <w:rFonts w:ascii="Times New Roman" w:eastAsia="Times New Roman" w:hAnsi="Times New Roman" w:cs="Times New Roman"/>
          <w:sz w:val="24"/>
          <w:szCs w:val="24"/>
          <w:highlight w:val="white"/>
        </w:rPr>
        <w:t>sonal Injury Law. </w:t>
      </w:r>
      <w:r>
        <w:rPr>
          <w:rFonts w:ascii="Times New Roman" w:eastAsia="Times New Roman" w:hAnsi="Times New Roman" w:cs="Times New Roman"/>
          <w:i/>
          <w:sz w:val="24"/>
          <w:szCs w:val="24"/>
          <w:highlight w:val="white"/>
        </w:rPr>
        <w:t>Day and Worthington (</w:t>
      </w:r>
      <w:proofErr w:type="spellStart"/>
      <w:proofErr w:type="gramStart"/>
      <w:r>
        <w:rPr>
          <w:rFonts w:ascii="Times New Roman" w:eastAsia="Times New Roman" w:hAnsi="Times New Roman" w:cs="Times New Roman"/>
          <w:i/>
          <w:sz w:val="24"/>
          <w:szCs w:val="24"/>
          <w:highlight w:val="white"/>
        </w:rPr>
        <w:t>eds</w:t>
      </w:r>
      <w:proofErr w:type="spellEnd"/>
      <w:proofErr w:type="gramEnd"/>
      <w:r>
        <w:rPr>
          <w:rFonts w:ascii="Times New Roman" w:eastAsia="Times New Roman" w:hAnsi="Times New Roman" w:cs="Times New Roman"/>
          <w:i/>
          <w:sz w:val="24"/>
          <w:szCs w:val="24"/>
          <w:highlight w:val="white"/>
        </w:rPr>
        <w:t xml:space="preserve">), Challenging Private Law: Lord </w:t>
      </w:r>
      <w:proofErr w:type="spellStart"/>
      <w:r>
        <w:rPr>
          <w:rFonts w:ascii="Times New Roman" w:eastAsia="Times New Roman" w:hAnsi="Times New Roman" w:cs="Times New Roman"/>
          <w:i/>
          <w:sz w:val="24"/>
          <w:szCs w:val="24"/>
          <w:highlight w:val="white"/>
        </w:rPr>
        <w:t>Sumption</w:t>
      </w:r>
      <w:proofErr w:type="spellEnd"/>
      <w:r>
        <w:rPr>
          <w:rFonts w:ascii="Times New Roman" w:eastAsia="Times New Roman" w:hAnsi="Times New Roman" w:cs="Times New Roman"/>
          <w:i/>
          <w:sz w:val="24"/>
          <w:szCs w:val="24"/>
          <w:highlight w:val="white"/>
        </w:rPr>
        <w:t xml:space="preserve"> on the Supreme Court (Hart Publishing, 2020)</w:t>
      </w:r>
      <w:r>
        <w:rPr>
          <w:rFonts w:ascii="Times New Roman" w:eastAsia="Times New Roman" w:hAnsi="Times New Roman" w:cs="Times New Roman"/>
          <w:sz w:val="24"/>
          <w:szCs w:val="24"/>
          <w:highlight w:val="white"/>
        </w:rPr>
        <w:t>.</w:t>
      </w:r>
    </w:p>
    <w:p w:rsidR="00963865" w:rsidRDefault="003071F0">
      <w:pPr>
        <w:ind w:left="720" w:hanging="720"/>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Pepłowska-Dąbrowska</w:t>
      </w:r>
      <w:proofErr w:type="spellEnd"/>
      <w:r>
        <w:rPr>
          <w:rFonts w:ascii="Times New Roman" w:eastAsia="Times New Roman" w:hAnsi="Times New Roman" w:cs="Times New Roman"/>
          <w:sz w:val="24"/>
          <w:szCs w:val="24"/>
          <w:highlight w:val="white"/>
        </w:rPr>
        <w:t>, Z., 2021. Liability for personal injury of passengers caused by the outbreak of disease at a cruise ship.</w:t>
      </w:r>
      <w:r>
        <w:rPr>
          <w:rFonts w:ascii="Times New Roman" w:eastAsia="Times New Roman" w:hAnsi="Times New Roman" w:cs="Times New Roman"/>
          <w:sz w:val="24"/>
          <w:szCs w:val="24"/>
          <w:highlight w:val="white"/>
        </w:rPr>
        <w:t xml:space="preserve"> Some remarks on grounds of the foreign courts’ case law. </w:t>
      </w:r>
      <w:proofErr w:type="spellStart"/>
      <w:r>
        <w:rPr>
          <w:rFonts w:ascii="Times New Roman" w:eastAsia="Times New Roman" w:hAnsi="Times New Roman" w:cs="Times New Roman"/>
          <w:i/>
          <w:sz w:val="24"/>
          <w:szCs w:val="24"/>
          <w:highlight w:val="white"/>
        </w:rPr>
        <w:t>Prawo</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Morskie</w:t>
      </w:r>
      <w:proofErr w:type="spellEnd"/>
      <w:r>
        <w:rPr>
          <w:rFonts w:ascii="Times New Roman" w:eastAsia="Times New Roman" w:hAnsi="Times New Roman" w:cs="Times New Roman"/>
          <w:sz w:val="24"/>
          <w:szCs w:val="24"/>
          <w:highlight w:val="white"/>
        </w:rPr>
        <w:t>, pp.141-152.</w:t>
      </w:r>
    </w:p>
    <w:p w:rsidR="00963865" w:rsidRDefault="003071F0">
      <w:pPr>
        <w:ind w:left="720" w:hanging="720"/>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Tarr</w:t>
      </w:r>
      <w:proofErr w:type="spellEnd"/>
      <w:r>
        <w:rPr>
          <w:rFonts w:ascii="Times New Roman" w:eastAsia="Times New Roman" w:hAnsi="Times New Roman" w:cs="Times New Roman"/>
          <w:sz w:val="24"/>
          <w:szCs w:val="24"/>
          <w:highlight w:val="white"/>
        </w:rPr>
        <w:t xml:space="preserve">, A.A. and </w:t>
      </w:r>
      <w:proofErr w:type="spellStart"/>
      <w:r>
        <w:rPr>
          <w:rFonts w:ascii="Times New Roman" w:eastAsia="Times New Roman" w:hAnsi="Times New Roman" w:cs="Times New Roman"/>
          <w:sz w:val="24"/>
          <w:szCs w:val="24"/>
          <w:highlight w:val="white"/>
        </w:rPr>
        <w:t>Tarr</w:t>
      </w:r>
      <w:proofErr w:type="spellEnd"/>
      <w:r>
        <w:rPr>
          <w:rFonts w:ascii="Times New Roman" w:eastAsia="Times New Roman" w:hAnsi="Times New Roman" w:cs="Times New Roman"/>
          <w:sz w:val="24"/>
          <w:szCs w:val="24"/>
          <w:highlight w:val="white"/>
        </w:rPr>
        <w:t>, J.A., 2021. Personal injury, property damage, trespass and nuisance. In </w:t>
      </w:r>
      <w:r>
        <w:rPr>
          <w:rFonts w:ascii="Times New Roman" w:eastAsia="Times New Roman" w:hAnsi="Times New Roman" w:cs="Times New Roman"/>
          <w:i/>
          <w:sz w:val="24"/>
          <w:szCs w:val="24"/>
          <w:highlight w:val="white"/>
        </w:rPr>
        <w:t>Drone Law and Policy</w:t>
      </w:r>
      <w:r>
        <w:rPr>
          <w:rFonts w:ascii="Times New Roman" w:eastAsia="Times New Roman" w:hAnsi="Times New Roman" w:cs="Times New Roman"/>
          <w:sz w:val="24"/>
          <w:szCs w:val="24"/>
          <w:highlight w:val="white"/>
        </w:rPr>
        <w:t> (pp. 167-182). Routledge.</w:t>
      </w:r>
    </w:p>
    <w:p w:rsidR="00963865" w:rsidRDefault="00963865">
      <w:pPr>
        <w:jc w:val="both"/>
        <w:rPr>
          <w:rFonts w:ascii="Times New Roman" w:eastAsia="Times New Roman" w:hAnsi="Times New Roman" w:cs="Times New Roman"/>
          <w:sz w:val="24"/>
          <w:szCs w:val="24"/>
        </w:rPr>
      </w:pPr>
    </w:p>
    <w:p w:rsidR="00963865" w:rsidRDefault="003071F0">
      <w:pPr>
        <w:pStyle w:val="Heading2"/>
        <w:spacing w:before="0"/>
      </w:pPr>
      <w:bookmarkStart w:id="13" w:name="_heading=h.26in1rg" w:colFirst="0" w:colLast="0"/>
      <w:bookmarkEnd w:id="13"/>
      <w:r>
        <w:t>Statutes</w:t>
      </w:r>
    </w:p>
    <w:p w:rsidR="00963865" w:rsidRDefault="003071F0">
      <w:pPr>
        <w:numPr>
          <w:ilvl w:val="0"/>
          <w:numId w:val="10"/>
        </w:numPr>
        <w:jc w:val="both"/>
        <w:rPr>
          <w:rFonts w:ascii="Times New Roman" w:eastAsia="Times New Roman" w:hAnsi="Times New Roman" w:cs="Times New Roman"/>
          <w:sz w:val="24"/>
          <w:szCs w:val="24"/>
        </w:rPr>
      </w:pPr>
      <w:bookmarkStart w:id="14" w:name="_heading=h.lnxbz9" w:colFirst="0" w:colLast="0"/>
      <w:bookmarkEnd w:id="14"/>
      <w:r>
        <w:rPr>
          <w:rFonts w:ascii="Times New Roman" w:eastAsia="Times New Roman" w:hAnsi="Times New Roman" w:cs="Times New Roman"/>
          <w:sz w:val="24"/>
          <w:szCs w:val="24"/>
        </w:rPr>
        <w:t>Pre-Action Protocol f</w:t>
      </w:r>
      <w:r>
        <w:rPr>
          <w:rFonts w:ascii="Times New Roman" w:eastAsia="Times New Roman" w:hAnsi="Times New Roman" w:cs="Times New Roman"/>
          <w:sz w:val="24"/>
          <w:szCs w:val="24"/>
        </w:rPr>
        <w:t xml:space="preserve">or Personal Injury Claims </w:t>
      </w:r>
    </w:p>
    <w:p w:rsidR="00963865" w:rsidRDefault="003071F0">
      <w:pPr>
        <w:numPr>
          <w:ilvl w:val="0"/>
          <w:numId w:val="10"/>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Whiplash Regulations 2021</w:t>
      </w:r>
    </w:p>
    <w:p w:rsidR="00963865" w:rsidRDefault="003071F0">
      <w:pPr>
        <w:numPr>
          <w:ilvl w:val="0"/>
          <w:numId w:val="10"/>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Civil Procedure (Amendment No.1) Rules 2021</w:t>
      </w:r>
    </w:p>
    <w:p w:rsidR="00963865" w:rsidRDefault="003071F0">
      <w:pPr>
        <w:numPr>
          <w:ilvl w:val="0"/>
          <w:numId w:val="10"/>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Rights Act 1998</w:t>
      </w:r>
    </w:p>
    <w:p w:rsidR="00963865" w:rsidRDefault="00963865">
      <w:pPr>
        <w:jc w:val="both"/>
        <w:rPr>
          <w:rFonts w:ascii="Times New Roman" w:eastAsia="Times New Roman" w:hAnsi="Times New Roman" w:cs="Times New Roman"/>
          <w:sz w:val="24"/>
          <w:szCs w:val="24"/>
        </w:rPr>
      </w:pPr>
    </w:p>
    <w:sectPr w:rsidR="0096386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71F0" w:rsidRDefault="003071F0">
      <w:pPr>
        <w:spacing w:line="240" w:lineRule="auto"/>
      </w:pPr>
      <w:r>
        <w:separator/>
      </w:r>
    </w:p>
  </w:endnote>
  <w:endnote w:type="continuationSeparator" w:id="0">
    <w:p w:rsidR="003071F0" w:rsidRDefault="003071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71F0" w:rsidRDefault="003071F0">
      <w:pPr>
        <w:spacing w:line="240" w:lineRule="auto"/>
      </w:pPr>
      <w:r>
        <w:separator/>
      </w:r>
    </w:p>
  </w:footnote>
  <w:footnote w:type="continuationSeparator" w:id="0">
    <w:p w:rsidR="003071F0" w:rsidRDefault="003071F0">
      <w:pPr>
        <w:spacing w:line="240" w:lineRule="auto"/>
      </w:pPr>
      <w:r>
        <w:continuationSeparator/>
      </w:r>
    </w:p>
  </w:footnote>
  <w:footnote w:id="1">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2">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bookmarkStart w:id="2" w:name="_GoBack"/>
      <w:bookmarkEnd w:id="2"/>
    </w:p>
  </w:footnote>
  <w:footnote w:id="3">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4">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5">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6">
    <w:p w:rsidR="00963865" w:rsidRDefault="003071F0">
      <w:pPr>
        <w:pBdr>
          <w:top w:val="nil"/>
          <w:left w:val="nil"/>
          <w:bottom w:val="nil"/>
          <w:right w:val="nil"/>
          <w:between w:val="nil"/>
        </w:pBdr>
        <w:spacing w:line="240" w:lineRule="auto"/>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w:t>
      </w:r>
    </w:p>
  </w:footnote>
  <w:footnote w:id="7">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8">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9">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0">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1">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2">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3">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4">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5">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6">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7">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8">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19">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20">
    <w:p w:rsidR="00963865" w:rsidRDefault="003071F0">
      <w:pPr>
        <w:pBdr>
          <w:top w:val="nil"/>
          <w:left w:val="nil"/>
          <w:bottom w:val="nil"/>
          <w:right w:val="nil"/>
          <w:between w:val="nil"/>
        </w:pBdr>
        <w:spacing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proofErr w:type="spellStart"/>
      <w:r>
        <w:rPr>
          <w:rFonts w:ascii="Times New Roman" w:eastAsia="Times New Roman" w:hAnsi="Times New Roman" w:cs="Times New Roman"/>
          <w:color w:val="000000"/>
          <w:sz w:val="20"/>
          <w:szCs w:val="20"/>
        </w:rPr>
        <w:t>Bjorklund</w:t>
      </w:r>
      <w:proofErr w:type="spellEnd"/>
      <w:r>
        <w:rPr>
          <w:rFonts w:ascii="Times New Roman" w:eastAsia="Times New Roman" w:hAnsi="Times New Roman" w:cs="Times New Roman"/>
          <w:color w:val="000000"/>
          <w:sz w:val="20"/>
          <w:szCs w:val="20"/>
        </w:rPr>
        <w:t>, P.R., 2021. Special Needs Trusts: Applications to Personal Injury Damages. </w:t>
      </w:r>
      <w:r>
        <w:rPr>
          <w:rFonts w:ascii="Times New Roman" w:eastAsia="Times New Roman" w:hAnsi="Times New Roman" w:cs="Times New Roman"/>
          <w:i/>
          <w:color w:val="000000"/>
          <w:sz w:val="20"/>
          <w:szCs w:val="20"/>
        </w:rPr>
        <w:t>J. Legal Econ.</w:t>
      </w:r>
      <w:r>
        <w:rPr>
          <w:rFonts w:ascii="Times New Roman" w:eastAsia="Times New Roman" w:hAnsi="Times New Roman" w:cs="Times New Roman"/>
          <w:color w:val="000000"/>
          <w:sz w:val="20"/>
          <w:szCs w:val="20"/>
        </w:rPr>
        <w:t>, </w:t>
      </w:r>
      <w:r>
        <w:rPr>
          <w:rFonts w:ascii="Times New Roman" w:eastAsia="Times New Roman" w:hAnsi="Times New Roman" w:cs="Times New Roman"/>
          <w:i/>
          <w:color w:val="000000"/>
          <w:sz w:val="20"/>
          <w:szCs w:val="20"/>
        </w:rPr>
        <w:t>27</w:t>
      </w:r>
      <w:r>
        <w:rPr>
          <w:rFonts w:ascii="Times New Roman" w:eastAsia="Times New Roman" w:hAnsi="Times New Roman" w:cs="Times New Roman"/>
          <w:color w:val="000000"/>
          <w:sz w:val="20"/>
          <w:szCs w:val="20"/>
        </w:rPr>
        <w:t>, p.53.</w:t>
      </w:r>
    </w:p>
  </w:footnote>
  <w:footnote w:id="21">
    <w:p w:rsidR="00963865" w:rsidRDefault="003071F0">
      <w:pPr>
        <w:pBdr>
          <w:top w:val="nil"/>
          <w:left w:val="nil"/>
          <w:bottom w:val="nil"/>
          <w:right w:val="nil"/>
          <w:between w:val="nil"/>
        </w:pBdr>
        <w:spacing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Human Rights Act 1998</w:t>
      </w:r>
    </w:p>
  </w:footnote>
  <w:footnote w:id="22">
    <w:p w:rsidR="00963865" w:rsidRDefault="003071F0">
      <w:pPr>
        <w:pBdr>
          <w:top w:val="nil"/>
          <w:left w:val="nil"/>
          <w:bottom w:val="nil"/>
          <w:right w:val="nil"/>
          <w:between w:val="nil"/>
        </w:pBdr>
        <w:spacing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proofErr w:type="spellStart"/>
      <w:r>
        <w:rPr>
          <w:rFonts w:ascii="Times New Roman" w:eastAsia="Times New Roman" w:hAnsi="Times New Roman" w:cs="Times New Roman"/>
          <w:color w:val="000000"/>
          <w:sz w:val="20"/>
          <w:szCs w:val="20"/>
        </w:rPr>
        <w:t>Folmer</w:t>
      </w:r>
      <w:proofErr w:type="spellEnd"/>
      <w:r>
        <w:rPr>
          <w:rFonts w:ascii="Times New Roman" w:eastAsia="Times New Roman" w:hAnsi="Times New Roman" w:cs="Times New Roman"/>
          <w:color w:val="000000"/>
          <w:sz w:val="20"/>
          <w:szCs w:val="20"/>
        </w:rPr>
        <w:t>, C.P.R., 2018. Experimental approaches to private law: the case of redressing personal injury. In </w:t>
      </w:r>
      <w:r>
        <w:rPr>
          <w:rFonts w:ascii="Times New Roman" w:eastAsia="Times New Roman" w:hAnsi="Times New Roman" w:cs="Times New Roman"/>
          <w:i/>
          <w:color w:val="000000"/>
          <w:sz w:val="20"/>
          <w:szCs w:val="20"/>
        </w:rPr>
        <w:t>Empirical Legal Research in Action</w:t>
      </w:r>
      <w:r>
        <w:rPr>
          <w:rFonts w:ascii="Times New Roman" w:eastAsia="Times New Roman" w:hAnsi="Times New Roman" w:cs="Times New Roman"/>
          <w:color w:val="000000"/>
          <w:sz w:val="20"/>
          <w:szCs w:val="20"/>
        </w:rPr>
        <w:t> (pp. 109-136). Edward Elgar Publishing.</w:t>
      </w:r>
    </w:p>
  </w:footnote>
  <w:footnote w:id="23">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 w:id="24">
    <w:p w:rsidR="00963865" w:rsidRDefault="00963865">
      <w:pPr>
        <w:pBdr>
          <w:top w:val="nil"/>
          <w:left w:val="nil"/>
          <w:bottom w:val="nil"/>
          <w:right w:val="nil"/>
          <w:between w:val="nil"/>
        </w:pBdr>
        <w:spacing w:line="240" w:lineRule="auto"/>
        <w:rPr>
          <w:rFonts w:ascii="Times New Roman" w:eastAsia="Times New Roman" w:hAnsi="Times New Roman" w:cs="Times New Roman"/>
          <w:color w:val="000000"/>
          <w:sz w:val="20"/>
          <w:szCs w:val="20"/>
        </w:rPr>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D6D00"/>
    <w:multiLevelType w:val="multilevel"/>
    <w:tmpl w:val="E7289F74"/>
    <w:lvl w:ilvl="0">
      <w:start w:val="8"/>
      <w:numFmt w:val="decimal"/>
      <w:lvlText w:val="%1."/>
      <w:lvlJc w:val="left"/>
      <w:pPr>
        <w:ind w:left="720" w:hanging="360"/>
      </w:pPr>
      <w:rPr>
        <w:b/>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nsid w:val="113F3F8F"/>
    <w:multiLevelType w:val="multilevel"/>
    <w:tmpl w:val="2E98C4C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12BA1821"/>
    <w:multiLevelType w:val="multilevel"/>
    <w:tmpl w:val="99DE70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201D393E"/>
    <w:multiLevelType w:val="multilevel"/>
    <w:tmpl w:val="6A884504"/>
    <w:lvl w:ilvl="0">
      <w:start w:val="6"/>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nsid w:val="2027408D"/>
    <w:multiLevelType w:val="multilevel"/>
    <w:tmpl w:val="2716E7CC"/>
    <w:lvl w:ilvl="0">
      <w:start w:val="7"/>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nsid w:val="39B17F2F"/>
    <w:multiLevelType w:val="multilevel"/>
    <w:tmpl w:val="1DD8455A"/>
    <w:lvl w:ilvl="0">
      <w:start w:val="2"/>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nsid w:val="4F05422D"/>
    <w:multiLevelType w:val="multilevel"/>
    <w:tmpl w:val="08B2D2F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nsid w:val="5F517F88"/>
    <w:multiLevelType w:val="multilevel"/>
    <w:tmpl w:val="AECC62A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nsid w:val="619671E2"/>
    <w:multiLevelType w:val="multilevel"/>
    <w:tmpl w:val="8004C0A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nsid w:val="74A35752"/>
    <w:multiLevelType w:val="multilevel"/>
    <w:tmpl w:val="77B2738C"/>
    <w:lvl w:ilvl="0">
      <w:start w:val="5"/>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0">
    <w:nsid w:val="7A3634A5"/>
    <w:multiLevelType w:val="multilevel"/>
    <w:tmpl w:val="BD807FE4"/>
    <w:lvl w:ilvl="0">
      <w:start w:val="3"/>
      <w:numFmt w:val="decimal"/>
      <w:lvlText w:val="%1."/>
      <w:lvlJc w:val="left"/>
      <w:pPr>
        <w:ind w:left="720" w:hanging="360"/>
      </w:pPr>
      <w:rPr>
        <w:b/>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1">
    <w:nsid w:val="7B221E1B"/>
    <w:multiLevelType w:val="multilevel"/>
    <w:tmpl w:val="40E6305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5"/>
  </w:num>
  <w:num w:numId="2">
    <w:abstractNumId w:val="10"/>
  </w:num>
  <w:num w:numId="3">
    <w:abstractNumId w:val="9"/>
  </w:num>
  <w:num w:numId="4">
    <w:abstractNumId w:val="4"/>
  </w:num>
  <w:num w:numId="5">
    <w:abstractNumId w:val="0"/>
  </w:num>
  <w:num w:numId="6">
    <w:abstractNumId w:val="7"/>
  </w:num>
  <w:num w:numId="7">
    <w:abstractNumId w:val="3"/>
  </w:num>
  <w:num w:numId="8">
    <w:abstractNumId w:val="11"/>
  </w:num>
  <w:num w:numId="9">
    <w:abstractNumId w:val="1"/>
  </w:num>
  <w:num w:numId="10">
    <w:abstractNumId w:val="2"/>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3865"/>
    <w:rsid w:val="003071F0"/>
    <w:rsid w:val="009119D1"/>
    <w:rsid w:val="00963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E31BCDD-7AC7-4DF3-A1CB-F6058E25F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A24F6"/>
    <w:pPr>
      <w:keepNext/>
      <w:keepLines/>
      <w:spacing w:before="240"/>
      <w:outlineLvl w:val="0"/>
    </w:pPr>
    <w:rPr>
      <w:rFonts w:ascii="Times New Roman" w:eastAsiaTheme="majorEastAsia" w:hAnsi="Times New Roman" w:cs="Times New Roman"/>
      <w:b/>
      <w:i/>
      <w:sz w:val="24"/>
      <w:szCs w:val="24"/>
    </w:rPr>
  </w:style>
  <w:style w:type="paragraph" w:styleId="Heading2">
    <w:name w:val="heading 2"/>
    <w:basedOn w:val="Normal"/>
    <w:next w:val="Normal"/>
    <w:link w:val="Heading2Char"/>
    <w:uiPriority w:val="9"/>
    <w:unhideWhenUsed/>
    <w:qFormat/>
    <w:rsid w:val="00AF65F9"/>
    <w:pPr>
      <w:keepNext/>
      <w:keepLines/>
      <w:spacing w:before="40"/>
      <w:outlineLvl w:val="1"/>
    </w:pPr>
    <w:rPr>
      <w:rFonts w:ascii="Times New Roman" w:eastAsiaTheme="majorEastAsia" w:hAnsi="Times New Roman" w:cs="Times New Roman"/>
      <w:b/>
      <w:sz w:val="24"/>
      <w:szCs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styleId="Hyperlink">
    <w:name w:val="Hyperlink"/>
    <w:basedOn w:val="DefaultParagraphFont"/>
    <w:uiPriority w:val="99"/>
    <w:unhideWhenUsed/>
    <w:rsid w:val="001E0934"/>
    <w:rPr>
      <w:color w:val="0563C1" w:themeColor="hyperlink"/>
      <w:u w:val="single"/>
    </w:rPr>
  </w:style>
  <w:style w:type="character" w:customStyle="1" w:styleId="UnresolvedMention">
    <w:name w:val="Unresolved Mention"/>
    <w:basedOn w:val="DefaultParagraphFont"/>
    <w:uiPriority w:val="99"/>
    <w:semiHidden/>
    <w:unhideWhenUsed/>
    <w:rsid w:val="001E0934"/>
    <w:rPr>
      <w:color w:val="605E5C"/>
      <w:shd w:val="clear" w:color="auto" w:fill="E1DFDD"/>
    </w:rPr>
  </w:style>
  <w:style w:type="paragraph" w:styleId="ListParagraph">
    <w:name w:val="List Paragraph"/>
    <w:basedOn w:val="Normal"/>
    <w:uiPriority w:val="34"/>
    <w:qFormat/>
    <w:rsid w:val="00223DB0"/>
    <w:pPr>
      <w:ind w:left="720"/>
      <w:contextualSpacing/>
    </w:pPr>
  </w:style>
  <w:style w:type="paragraph" w:styleId="NormalWeb">
    <w:name w:val="Normal (Web)"/>
    <w:basedOn w:val="Normal"/>
    <w:uiPriority w:val="99"/>
    <w:semiHidden/>
    <w:unhideWhenUsed/>
    <w:rsid w:val="00A27DC0"/>
    <w:rPr>
      <w:rFonts w:ascii="Times New Roman" w:hAnsi="Times New Roman" w:cs="Times New Roman"/>
      <w:sz w:val="24"/>
      <w:szCs w:val="24"/>
    </w:rPr>
  </w:style>
  <w:style w:type="character" w:customStyle="1" w:styleId="Heading1Char">
    <w:name w:val="Heading 1 Char"/>
    <w:basedOn w:val="DefaultParagraphFont"/>
    <w:link w:val="Heading1"/>
    <w:uiPriority w:val="9"/>
    <w:rsid w:val="00AA24F6"/>
    <w:rPr>
      <w:rFonts w:ascii="Times New Roman" w:eastAsiaTheme="majorEastAsia" w:hAnsi="Times New Roman" w:cs="Times New Roman"/>
      <w:b/>
      <w:i/>
      <w:sz w:val="24"/>
      <w:szCs w:val="24"/>
    </w:rPr>
  </w:style>
  <w:style w:type="character" w:customStyle="1" w:styleId="Heading2Char">
    <w:name w:val="Heading 2 Char"/>
    <w:basedOn w:val="DefaultParagraphFont"/>
    <w:link w:val="Heading2"/>
    <w:uiPriority w:val="9"/>
    <w:rsid w:val="00AF65F9"/>
    <w:rPr>
      <w:rFonts w:ascii="Times New Roman" w:eastAsiaTheme="majorEastAsia" w:hAnsi="Times New Roman" w:cs="Times New Roman"/>
      <w:b/>
      <w:sz w:val="24"/>
      <w:szCs w:val="24"/>
    </w:rPr>
  </w:style>
  <w:style w:type="paragraph" w:styleId="TOCHeading">
    <w:name w:val="TOC Heading"/>
    <w:basedOn w:val="Heading1"/>
    <w:next w:val="Normal"/>
    <w:uiPriority w:val="39"/>
    <w:unhideWhenUsed/>
    <w:qFormat/>
    <w:rsid w:val="007A79B7"/>
    <w:pPr>
      <w:spacing w:line="259" w:lineRule="auto"/>
      <w:outlineLvl w:val="9"/>
    </w:pPr>
    <w:rPr>
      <w:rFonts w:asciiTheme="majorHAnsi" w:hAnsiTheme="majorHAnsi" w:cstheme="majorBidi"/>
      <w:b w:val="0"/>
      <w:i w:val="0"/>
      <w:color w:val="2F5496" w:themeColor="accent1" w:themeShade="BF"/>
      <w:sz w:val="32"/>
      <w:szCs w:val="32"/>
      <w:lang w:val="en-US"/>
    </w:rPr>
  </w:style>
  <w:style w:type="paragraph" w:styleId="TOC1">
    <w:name w:val="toc 1"/>
    <w:basedOn w:val="Normal"/>
    <w:next w:val="Normal"/>
    <w:autoRedefine/>
    <w:uiPriority w:val="39"/>
    <w:unhideWhenUsed/>
    <w:rsid w:val="007A79B7"/>
    <w:pPr>
      <w:spacing w:after="100"/>
    </w:pPr>
  </w:style>
  <w:style w:type="paragraph" w:styleId="TOC2">
    <w:name w:val="toc 2"/>
    <w:basedOn w:val="Normal"/>
    <w:next w:val="Normal"/>
    <w:autoRedefine/>
    <w:uiPriority w:val="39"/>
    <w:unhideWhenUsed/>
    <w:rsid w:val="007A79B7"/>
    <w:pPr>
      <w:spacing w:after="100"/>
      <w:ind w:left="220"/>
    </w:pPr>
  </w:style>
  <w:style w:type="paragraph" w:styleId="FootnoteText">
    <w:name w:val="footnote text"/>
    <w:basedOn w:val="Normal"/>
    <w:link w:val="FootnoteTextChar"/>
    <w:uiPriority w:val="99"/>
    <w:semiHidden/>
    <w:unhideWhenUsed/>
    <w:rsid w:val="00F8250D"/>
    <w:pPr>
      <w:spacing w:line="240" w:lineRule="auto"/>
    </w:pPr>
    <w:rPr>
      <w:sz w:val="20"/>
      <w:szCs w:val="20"/>
    </w:rPr>
  </w:style>
  <w:style w:type="character" w:customStyle="1" w:styleId="FootnoteTextChar">
    <w:name w:val="Footnote Text Char"/>
    <w:basedOn w:val="DefaultParagraphFont"/>
    <w:link w:val="FootnoteText"/>
    <w:uiPriority w:val="99"/>
    <w:semiHidden/>
    <w:rsid w:val="00F8250D"/>
    <w:rPr>
      <w:sz w:val="20"/>
      <w:szCs w:val="20"/>
    </w:rPr>
  </w:style>
  <w:style w:type="character" w:styleId="FootnoteReference">
    <w:name w:val="footnote reference"/>
    <w:basedOn w:val="DefaultParagraphFont"/>
    <w:uiPriority w:val="99"/>
    <w:semiHidden/>
    <w:unhideWhenUsed/>
    <w:rsid w:val="00F8250D"/>
    <w:rPr>
      <w:vertAlign w:val="superscript"/>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or35vVpbI16rlLgSEtl8EedVDkw==">AMUW2mXOT7B2Kl6nYN2cJr8Bbf0q7yRKcT85EoZ7R5AV59SnbQFkf3tFGPerVwAE3Mr39Ucszv656LBYUZWoBYK3q1ta1qKEwV4b4L+6hfLErVxDU/ruEiemhMuqRMRg3hM5pjzcd8zw9OO5UdHaveyH+EUNgQg6YJ8s/98EbXnZeLlZXwIOyEdoSGozOPx8InvN3G14rbYyVG58g9o0VzW9E9ZSJNd2t7K22rA+J1dV2SrdKifUsfWbobr3A+YJpxS7ikC8qsPspg1e0RAxh/fc2ItILDun6xugSzpJqoyhEm5tu5stCsILrdcZS5zCk9dzPrT90nF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2230</Words>
  <Characters>12712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Windows User</cp:lastModifiedBy>
  <cp:revision>2</cp:revision>
  <dcterms:created xsi:type="dcterms:W3CDTF">2022-11-16T20:45:00Z</dcterms:created>
  <dcterms:modified xsi:type="dcterms:W3CDTF">2022-11-16T20:45:00Z</dcterms:modified>
</cp:coreProperties>
</file>