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930BF" w14:textId="70B5E387" w:rsidR="00203B7A" w:rsidRDefault="004B72F1" w:rsidP="004B72F1">
      <w:pPr>
        <w:jc w:val="center"/>
        <w:rPr>
          <w:rFonts w:asciiTheme="majorHAnsi" w:hAnsiTheme="majorHAnsi" w:cstheme="majorHAnsi"/>
          <w:b/>
          <w:bCs/>
          <w:sz w:val="32"/>
          <w:szCs w:val="32"/>
          <w:u w:val="single"/>
        </w:rPr>
      </w:pPr>
      <w:r w:rsidRPr="004B72F1">
        <w:rPr>
          <w:rFonts w:asciiTheme="majorHAnsi" w:hAnsiTheme="majorHAnsi" w:cstheme="majorHAnsi"/>
          <w:b/>
          <w:bCs/>
          <w:sz w:val="32"/>
          <w:szCs w:val="32"/>
          <w:u w:val="single"/>
        </w:rPr>
        <w:t xml:space="preserve">Critically analyse when an easement may have been created by </w:t>
      </w:r>
      <w:bookmarkStart w:id="0" w:name="_Hlk100316771"/>
      <w:r w:rsidRPr="004B72F1">
        <w:rPr>
          <w:rFonts w:asciiTheme="majorHAnsi" w:hAnsiTheme="majorHAnsi" w:cstheme="majorHAnsi"/>
          <w:b/>
          <w:bCs/>
          <w:sz w:val="32"/>
          <w:szCs w:val="32"/>
          <w:u w:val="single"/>
        </w:rPr>
        <w:t>prescription</w:t>
      </w:r>
      <w:bookmarkEnd w:id="0"/>
      <w:r>
        <w:rPr>
          <w:rFonts w:asciiTheme="majorHAnsi" w:hAnsiTheme="majorHAnsi" w:cstheme="majorHAnsi"/>
          <w:b/>
          <w:bCs/>
          <w:sz w:val="32"/>
          <w:szCs w:val="32"/>
          <w:u w:val="single"/>
        </w:rPr>
        <w:br/>
      </w:r>
      <w:r w:rsidRPr="004B72F1">
        <w:rPr>
          <w:rFonts w:asciiTheme="majorHAnsi" w:hAnsiTheme="majorHAnsi" w:cstheme="majorHAnsi"/>
          <w:b/>
          <w:bCs/>
          <w:sz w:val="32"/>
          <w:szCs w:val="32"/>
        </w:rPr>
        <w:t>Property Law BMLW6006</w:t>
      </w:r>
    </w:p>
    <w:p w14:paraId="6EBE7CB6" w14:textId="1CC34FD9" w:rsidR="004B72F1" w:rsidRDefault="004B72F1" w:rsidP="004B72F1">
      <w:pPr>
        <w:jc w:val="center"/>
        <w:rPr>
          <w:rFonts w:asciiTheme="majorHAnsi" w:hAnsiTheme="majorHAnsi" w:cstheme="majorHAnsi"/>
          <w:b/>
          <w:bCs/>
          <w:sz w:val="32"/>
          <w:szCs w:val="32"/>
          <w:u w:val="single"/>
        </w:rPr>
      </w:pPr>
    </w:p>
    <w:p w14:paraId="0BDB09E2" w14:textId="3CEA12D5" w:rsidR="004B72F1" w:rsidRDefault="004B72F1" w:rsidP="004B72F1">
      <w:pPr>
        <w:jc w:val="center"/>
        <w:rPr>
          <w:rFonts w:asciiTheme="majorHAnsi" w:hAnsiTheme="majorHAnsi" w:cstheme="majorHAnsi"/>
          <w:b/>
          <w:bCs/>
          <w:sz w:val="32"/>
          <w:szCs w:val="32"/>
        </w:rPr>
      </w:pPr>
      <w:r w:rsidRPr="004B72F1">
        <w:rPr>
          <w:rFonts w:asciiTheme="majorHAnsi" w:hAnsiTheme="majorHAnsi" w:cstheme="majorHAnsi"/>
          <w:b/>
          <w:bCs/>
          <w:sz w:val="32"/>
          <w:szCs w:val="32"/>
        </w:rPr>
        <w:t>Stephen Emyr Harries</w:t>
      </w:r>
      <w:r w:rsidRPr="004B72F1">
        <w:rPr>
          <w:rFonts w:asciiTheme="majorHAnsi" w:hAnsiTheme="majorHAnsi" w:cstheme="majorHAnsi"/>
          <w:b/>
          <w:bCs/>
          <w:sz w:val="32"/>
          <w:szCs w:val="32"/>
        </w:rPr>
        <w:br/>
        <w:t>1801259</w:t>
      </w:r>
      <w:r>
        <w:rPr>
          <w:rFonts w:asciiTheme="majorHAnsi" w:hAnsiTheme="majorHAnsi" w:cstheme="majorHAnsi"/>
          <w:b/>
          <w:bCs/>
          <w:sz w:val="32"/>
          <w:szCs w:val="32"/>
        </w:rPr>
        <w:br/>
      </w:r>
      <w:r>
        <w:rPr>
          <w:rFonts w:asciiTheme="majorHAnsi" w:hAnsiTheme="majorHAnsi" w:cstheme="majorHAnsi"/>
          <w:b/>
          <w:bCs/>
          <w:sz w:val="32"/>
          <w:szCs w:val="32"/>
        </w:rPr>
        <w:br/>
      </w:r>
    </w:p>
    <w:p w14:paraId="7AE14BEB" w14:textId="77777777" w:rsidR="004B72F1" w:rsidRDefault="004B72F1">
      <w:pPr>
        <w:spacing w:after="160" w:line="259" w:lineRule="auto"/>
        <w:rPr>
          <w:rFonts w:asciiTheme="majorHAnsi" w:hAnsiTheme="majorHAnsi" w:cstheme="majorHAnsi"/>
          <w:b/>
          <w:bCs/>
          <w:sz w:val="32"/>
          <w:szCs w:val="32"/>
        </w:rPr>
      </w:pPr>
      <w:r>
        <w:rPr>
          <w:rFonts w:asciiTheme="majorHAnsi" w:hAnsiTheme="majorHAnsi" w:cstheme="majorHAnsi"/>
          <w:b/>
          <w:bCs/>
          <w:sz w:val="32"/>
          <w:szCs w:val="32"/>
        </w:rPr>
        <w:br w:type="page"/>
      </w:r>
    </w:p>
    <w:p w14:paraId="77DC5D33" w14:textId="77777777" w:rsidR="000C1502" w:rsidRPr="000C1502"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lastRenderedPageBreak/>
        <w:t>An easement is the ability of a landowner to use land belonging to another person. This has specific limitations based on the situation that the land became an easement for that person but in general, it is the use or the ability to be on another landowner’s land. This right is associated with the land and not the owner of the land. (Bray, 2014)</w:t>
      </w:r>
    </w:p>
    <w:p w14:paraId="2F1F0E2B" w14:textId="77777777" w:rsidR="000C1502" w:rsidRPr="000C1502"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t>An easement by prescription must be made without force, it would not be able to be done in secret and, permission must also not be given. This can be seen in the case of Tara Hotel Ltd v Kensington Close Hotel Ltd (2011)</w:t>
      </w:r>
    </w:p>
    <w:p w14:paraId="2B0973EA" w14:textId="77777777" w:rsidR="000C1502" w:rsidRPr="000C1502"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t>There are 3 main methods of an easement being created under land law, they are under the common law, using the doctrine of lost modern grant and, by using the Prescription Act (1832) Under this the owner of land in absolute will be able to claim another owner of land in absolute to form an easement or to get an easement recognised using a prescription. In addition to the prescription rules. Furthermore, the amount of time a person has been using a piece of land would also be considered as a right may be seen as having been in constant use of the land and the assumption would be there was an agreement that was made as part of the deed (Dixon, 2018)</w:t>
      </w:r>
    </w:p>
    <w:p w14:paraId="272E1FD4" w14:textId="77777777" w:rsidR="000C1502" w:rsidRPr="000C1502"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t>For a claim to be made that the land should have been in use for a minimum of 20 years without any breaks or inconsistency in the usage of the land. In the case of Diment v NH Foot Ltd (1974) in this claim, the land was in use 6 to 10 times a year over 35 years, this was seen as a consistent use. This shows that the land does not need to be in constant use rather it would have to follow a rough schedule that remained relatively unchanged over that time frame (Gray &amp; Gray, 2011)</w:t>
      </w:r>
    </w:p>
    <w:p w14:paraId="2F87CF33" w14:textId="77777777" w:rsidR="000C1502" w:rsidRPr="000C1502"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t>Further clarifications’ can be seen in the cease of Dyce v Hay (1852) where the easement may not be used as an exclusive right to the person making the claim as well the person against whom the easement is brought must not prevent the other landowner from making use of the land as long as the use of the land is reasonable, although in this case reasonable is not clarified and so would be up to the judgment of a judge. (</w:t>
      </w:r>
      <w:proofErr w:type="spellStart"/>
      <w:r w:rsidRPr="000C1502">
        <w:rPr>
          <w:rFonts w:asciiTheme="minorHAnsi" w:hAnsiTheme="minorHAnsi" w:cstheme="minorHAnsi"/>
          <w:sz w:val="22"/>
          <w:szCs w:val="22"/>
        </w:rPr>
        <w:t>MacKenzie</w:t>
      </w:r>
      <w:proofErr w:type="spellEnd"/>
      <w:r w:rsidRPr="000C1502">
        <w:rPr>
          <w:rFonts w:asciiTheme="minorHAnsi" w:hAnsiTheme="minorHAnsi" w:cstheme="minorHAnsi"/>
          <w:sz w:val="22"/>
          <w:szCs w:val="22"/>
        </w:rPr>
        <w:t xml:space="preserve"> &amp; Philips, 2012)</w:t>
      </w:r>
    </w:p>
    <w:p w14:paraId="002B920D" w14:textId="77777777" w:rsidR="000C1502" w:rsidRPr="000C1502"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lastRenderedPageBreak/>
        <w:t xml:space="preserve">A claim may also be made as a result of a right, then there would be some checks used to ensure that this is a fair and just right to ensure that the person claiming an easement would not be able to do it illegally or have inconsistent rulings. The first aspect would be without force or </w:t>
      </w:r>
      <w:proofErr w:type="spellStart"/>
      <w:r w:rsidRPr="000C1502">
        <w:rPr>
          <w:rFonts w:asciiTheme="minorHAnsi" w:hAnsiTheme="minorHAnsi" w:cstheme="minorHAnsi"/>
          <w:sz w:val="22"/>
          <w:szCs w:val="22"/>
        </w:rPr>
        <w:t>nec</w:t>
      </w:r>
      <w:proofErr w:type="spellEnd"/>
      <w:r w:rsidRPr="000C1502">
        <w:rPr>
          <w:rFonts w:asciiTheme="minorHAnsi" w:hAnsiTheme="minorHAnsi" w:cstheme="minorHAnsi"/>
          <w:sz w:val="22"/>
          <w:szCs w:val="22"/>
        </w:rPr>
        <w:t xml:space="preserve"> vi, in the case of Winterburn v Bennett (2016) the use of signs would be sufficient to qualify as use of force. This shows that a landowner would be able to prevent people from using the land in writing with the placement of signs and ignoring the signs would constitute force. Although in this case it can also be seen that the signage must also be clear what the status of the land is otherwise a claim may still be able to be made. (</w:t>
      </w:r>
      <w:proofErr w:type="spellStart"/>
      <w:r w:rsidRPr="000C1502">
        <w:rPr>
          <w:rFonts w:asciiTheme="minorHAnsi" w:hAnsiTheme="minorHAnsi" w:cstheme="minorHAnsi"/>
          <w:sz w:val="22"/>
          <w:szCs w:val="22"/>
        </w:rPr>
        <w:t>MacKenzie</w:t>
      </w:r>
      <w:proofErr w:type="spellEnd"/>
      <w:r w:rsidRPr="000C1502">
        <w:rPr>
          <w:rFonts w:asciiTheme="minorHAnsi" w:hAnsiTheme="minorHAnsi" w:cstheme="minorHAnsi"/>
          <w:sz w:val="22"/>
          <w:szCs w:val="22"/>
        </w:rPr>
        <w:t xml:space="preserve"> &amp; Philips, 2012)</w:t>
      </w:r>
    </w:p>
    <w:p w14:paraId="228EBA64" w14:textId="77777777" w:rsidR="000C1502" w:rsidRPr="000C1502"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t>The next aspect would be that it may not be done in secrecy, this means that all claims to create an easement would have to be done in public to allow the master landowner the ability to make any counterargument. This aspect must also be true for the use of the land as in, the use of the easement must not be in a manner or at a time to intestinally avoid questioning or to undertake the actions without the knowledge of the master landowner. If this is attempted, it would not be seen without the landowner’s permission (Dixon, 2018)</w:t>
      </w:r>
    </w:p>
    <w:p w14:paraId="5891549C" w14:textId="77777777" w:rsidR="000C1502" w:rsidRPr="000C1502"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t>Finally, there must not be any form of permission for the land to be used to be able to form an easement, from the nature of a prescription for an easement if an agreement has been made other forms of creating an easement must be used. The forms of an agreement can be far-reaching, and, in any form, this can be seen in the case of Gardner v Hodgson’s Kingston Brewery Co Ltd (1903) as there was an agreement to make payments for the use of the track it was seen that the use of the land was with permission and so was not able to be used as continues use. Although it can also be seen in the case of Mills v Silver (1991) the acknowledgement of the use of the land is not enough to squash a claim as it would need an active agreement for the person to use the land rather than tolerance. An example of an attempt to take an action would be Liverpool Corporation v Coghill (1918) where even though it was not the intent the actions that were taken were in the middle of the night and so were seen to be secretive and so without permission was not allowed.</w:t>
      </w:r>
    </w:p>
    <w:p w14:paraId="5A67DB6F" w14:textId="77777777" w:rsidR="000C1502" w:rsidRPr="000C1502"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lastRenderedPageBreak/>
        <w:t xml:space="preserve"> This demonstrates that the use of prescription is for situations where an agreement has not been made but the use of the land has been continuing over a long time and consistently (Bevan, 2020)</w:t>
      </w:r>
    </w:p>
    <w:p w14:paraId="5D5A0757" w14:textId="77777777" w:rsidR="000C1502" w:rsidRPr="000C1502"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t>Easements in some cases may also be removed as a result of non-use, although this can be very difficult to define. In the case of Benn v Harding (1993), the future of using or the potential for the use of the land is also looked at, it was seen that an easement that was not used in 175 years was still valid as a result of the potential to use it. Although the law commission also has tried to change this, the change proposed would be if an easement has not been used in 20 years a claim of abandonment may be able to be brought forward showing that the preference in a more modern context is the current use of the land and not the potential use of the land in the future (</w:t>
      </w:r>
      <w:proofErr w:type="spellStart"/>
      <w:r w:rsidRPr="000C1502">
        <w:rPr>
          <w:rFonts w:asciiTheme="minorHAnsi" w:hAnsiTheme="minorHAnsi" w:cstheme="minorHAnsi"/>
          <w:sz w:val="22"/>
          <w:szCs w:val="22"/>
        </w:rPr>
        <w:t>MacKenzie</w:t>
      </w:r>
      <w:proofErr w:type="spellEnd"/>
      <w:r w:rsidRPr="000C1502">
        <w:rPr>
          <w:rFonts w:asciiTheme="minorHAnsi" w:hAnsiTheme="minorHAnsi" w:cstheme="minorHAnsi"/>
          <w:sz w:val="22"/>
          <w:szCs w:val="22"/>
        </w:rPr>
        <w:t xml:space="preserve"> &amp; Philips, 2012)</w:t>
      </w:r>
    </w:p>
    <w:p w14:paraId="61D88286" w14:textId="77777777" w:rsidR="000C1502" w:rsidRPr="000C1502"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t>Another method of creating an easement under prescription would be under common law, this has another set of aspects that would need to be followed to allow the legal and correct creation. The first aspect would be the continued use of the land, this would have to be from time immemorial, this is seen as 1189 as further back than this would be very difficult to prove. Additionally, the first assumption that is made would be if the right to land has been used for the past 20 years consistently then it would be seen as it is used from time immemorial unless proven otherwise. Furthermore, at any point in that time, if the use of the land was not or could not have been used then this would be a break in the continuity of use and as such would not be eligible for an easement. Finally, if at any point in the pat both the dominant and subservient land is owned by the same person this would then nullify any claim to an easement as a result of the need to be two parties involved to create an easement. If the claim has passed all tests, then it would be presumed to have need used from time and immemorial, this makes it very easy to rebut the claim as any single claim can be used to prevent the creation of an easement (Bogusz &amp; Roger, 2019)</w:t>
      </w:r>
    </w:p>
    <w:p w14:paraId="4A143A6D" w14:textId="77777777" w:rsidR="000C1502" w:rsidRPr="000C1502"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t xml:space="preserve">This aspect of the creation of easements is controversial as it relies on the doctrine of lost modern grants, this is the part that allows the court to assume an easement was made if the first 20 years </w:t>
      </w:r>
      <w:r w:rsidRPr="000C1502">
        <w:rPr>
          <w:rFonts w:asciiTheme="minorHAnsi" w:hAnsiTheme="minorHAnsi" w:cstheme="minorHAnsi"/>
          <w:sz w:val="22"/>
          <w:szCs w:val="22"/>
        </w:rPr>
        <w:lastRenderedPageBreak/>
        <w:t>were proven. This can be seen in the case of Dalton v Angus (1881) as a result of both the Prescription Act (1832) and the doctrine being used neither being well enough defined to allow them to work separately therefore there are two tools in place that are there to fix the shortcomings of the common law and as a result of this it has resulted in confusion in cases and an overstepping on some cases giving too much freedom to a person claiming easement as the need for proof is far lower when both tools are used together. Some judges would argue that both tools should not be used at the same time as they were designed to be fixing the same problem. This confusion could make it very difficult for a judge to use the president from any single case as the usage of any would-be is very muddy. (DOWLING, 2003)</w:t>
      </w:r>
    </w:p>
    <w:p w14:paraId="05124915" w14:textId="77777777" w:rsidR="000C1502" w:rsidRPr="000C1502"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t xml:space="preserve">Finally, the last method of creating an easement would be with the Prescription Act (1832) was put into place to clarify and extend the rights of a person claiming easement reducing the requirements of proof for the continuous use. First, the Act would look to see if the use of the land had been continuous for the last 20 years, if it had then it would be assumed to have been an easement in place from time immemorial. Although if the land had been in use for 40 years or more </w:t>
      </w:r>
      <w:proofErr w:type="spellStart"/>
      <w:r w:rsidRPr="000C1502">
        <w:rPr>
          <w:rFonts w:asciiTheme="minorHAnsi" w:hAnsiTheme="minorHAnsi" w:cstheme="minorHAnsi"/>
          <w:sz w:val="22"/>
          <w:szCs w:val="22"/>
        </w:rPr>
        <w:t>then</w:t>
      </w:r>
      <w:proofErr w:type="spellEnd"/>
      <w:r w:rsidRPr="000C1502">
        <w:rPr>
          <w:rFonts w:asciiTheme="minorHAnsi" w:hAnsiTheme="minorHAnsi" w:cstheme="minorHAnsi"/>
          <w:sz w:val="22"/>
          <w:szCs w:val="22"/>
        </w:rPr>
        <w:t xml:space="preserve"> a much lower standard of proof would then be needed. Rather than having to prove that the land had been in use for that time, they would have to prove that there had not been an agreement or other legal documents that set out the terms that the land may be used as an easement by prescription would not be valid with any form of agreement.</w:t>
      </w:r>
    </w:p>
    <w:p w14:paraId="298A6A2B" w14:textId="77777777" w:rsidR="000C1502" w:rsidRPr="000C1502"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t xml:space="preserve">For the Prescription Act to be used there must also be a continuous use of the land, this means there and not be a break in the usage. In the Act, any break for more than a year would prevent a claim from being made. Although this brings another issue with there being two different fixes for the initial problem with the burden of proof for easements. This is because using the doctoring of the lost modern grant may support a claim that has a gap larger than a year as the presumption that information is lost to time would overlook the gaps in time. This is an example of when being able to use both tools means that the burden is much lower than if either one was used by themselves. </w:t>
      </w:r>
      <w:r w:rsidRPr="000C1502">
        <w:rPr>
          <w:rFonts w:asciiTheme="minorHAnsi" w:hAnsiTheme="minorHAnsi" w:cstheme="minorHAnsi"/>
          <w:sz w:val="22"/>
          <w:szCs w:val="22"/>
        </w:rPr>
        <w:lastRenderedPageBreak/>
        <w:t>Although if this was not slowed it could put too much of a burden, this is because a break in the time would result in the time needed to reset putting too high of a time required to have the Act be of any use to most people.</w:t>
      </w:r>
    </w:p>
    <w:p w14:paraId="7F39A489" w14:textId="3E17CEA9" w:rsidR="00475664" w:rsidRDefault="000C1502" w:rsidP="002E7FEE">
      <w:pPr>
        <w:spacing w:after="160" w:line="480" w:lineRule="auto"/>
        <w:rPr>
          <w:rFonts w:asciiTheme="minorHAnsi" w:hAnsiTheme="minorHAnsi" w:cstheme="minorHAnsi"/>
          <w:sz w:val="22"/>
          <w:szCs w:val="22"/>
        </w:rPr>
      </w:pPr>
      <w:r w:rsidRPr="000C1502">
        <w:rPr>
          <w:rFonts w:asciiTheme="minorHAnsi" w:hAnsiTheme="minorHAnsi" w:cstheme="minorHAnsi"/>
          <w:sz w:val="22"/>
          <w:szCs w:val="22"/>
        </w:rPr>
        <w:t>A further criticism of the act can be seen in the Wicks (2018) who states that the bar council have made several attempts to make changes to the Act, but they have not been successful as a result of parliament not having time to make the changes rather than changes not being able or should be made. This shows that the Act is in desperate need of changing and updating to a more fir with the more modern world. The problem is then expanded on to not only be the age of the Act but the contents. Older acts are still being used in a much more successful manner, this means that it is very difficult to know how a judge will go before a trial as a result of having so much conflicting case information as well as using two tools to come to the decision this means that when thinking if a person has a claim to make an easement it is not as simple as to look at the statues and the case as a judge may interpret it different to another and use different aspects of the both the Act and loss of modern grand. Furthermore, as a result of the way they interact with each other adds another layer of confusion making it harder to have a conclusive understanding of how the trial may go before it goes ahead, it also makes it more difficult for a normal person to understand their rights. Wicks then goes on to say that this may never get fixed as it is seen as an issue that affects lawyers’ problems and would not be the type of issue that would be good to bring forth a movement to be fixed and so probably going to be an issue for years to come.</w:t>
      </w:r>
      <w:r w:rsidR="00475664">
        <w:rPr>
          <w:rFonts w:asciiTheme="minorHAnsi" w:hAnsiTheme="minorHAnsi" w:cstheme="minorHAnsi"/>
          <w:sz w:val="22"/>
          <w:szCs w:val="22"/>
        </w:rPr>
        <w:br w:type="page"/>
      </w:r>
    </w:p>
    <w:p w14:paraId="45BFAE5C" w14:textId="172AB8DF" w:rsidR="00687F4D" w:rsidRDefault="00475664">
      <w:pPr>
        <w:spacing w:after="160" w:line="259" w:lineRule="auto"/>
        <w:rPr>
          <w:rFonts w:asciiTheme="minorHAnsi" w:hAnsiTheme="minorHAnsi" w:cstheme="minorHAnsi"/>
          <w:sz w:val="22"/>
          <w:szCs w:val="22"/>
        </w:rPr>
      </w:pPr>
      <w:r>
        <w:rPr>
          <w:rFonts w:asciiTheme="minorHAnsi" w:hAnsiTheme="minorHAnsi" w:cstheme="minorHAnsi"/>
          <w:sz w:val="22"/>
          <w:szCs w:val="22"/>
        </w:rPr>
        <w:lastRenderedPageBreak/>
        <w:t>Cases used</w:t>
      </w:r>
    </w:p>
    <w:p w14:paraId="046F3094" w14:textId="466A6372" w:rsidR="00475664" w:rsidRPr="008A55E7" w:rsidRDefault="00475664">
      <w:pPr>
        <w:spacing w:after="160" w:line="259" w:lineRule="auto"/>
        <w:rPr>
          <w:rFonts w:asciiTheme="minorHAnsi" w:hAnsiTheme="minorHAnsi" w:cstheme="minorHAnsi"/>
          <w:sz w:val="22"/>
          <w:szCs w:val="22"/>
        </w:rPr>
      </w:pPr>
      <w:r w:rsidRPr="008A55E7">
        <w:rPr>
          <w:rFonts w:asciiTheme="minorHAnsi" w:hAnsiTheme="minorHAnsi" w:cstheme="minorHAnsi"/>
          <w:sz w:val="22"/>
          <w:szCs w:val="22"/>
        </w:rPr>
        <w:t>Winterburn v Bennett (2016)</w:t>
      </w:r>
      <w:r w:rsidR="00FC1057" w:rsidRPr="008A55E7">
        <w:rPr>
          <w:rFonts w:asciiTheme="minorHAnsi" w:hAnsiTheme="minorHAnsi" w:cstheme="minorHAnsi"/>
          <w:sz w:val="22"/>
          <w:szCs w:val="22"/>
        </w:rPr>
        <w:t xml:space="preserve"> </w:t>
      </w:r>
      <w:r w:rsidR="00FC1057" w:rsidRPr="008A55E7">
        <w:rPr>
          <w:rFonts w:asciiTheme="minorHAnsi" w:hAnsiTheme="minorHAnsi" w:cstheme="minorHAnsi"/>
          <w:sz w:val="22"/>
          <w:szCs w:val="22"/>
        </w:rPr>
        <w:t xml:space="preserve">EWCA </w:t>
      </w:r>
      <w:proofErr w:type="spellStart"/>
      <w:r w:rsidR="00FC1057" w:rsidRPr="008A55E7">
        <w:rPr>
          <w:rFonts w:asciiTheme="minorHAnsi" w:hAnsiTheme="minorHAnsi" w:cstheme="minorHAnsi"/>
          <w:sz w:val="22"/>
          <w:szCs w:val="22"/>
        </w:rPr>
        <w:t>Civ</w:t>
      </w:r>
      <w:proofErr w:type="spellEnd"/>
      <w:r w:rsidR="00FC1057" w:rsidRPr="008A55E7">
        <w:rPr>
          <w:rFonts w:asciiTheme="minorHAnsi" w:hAnsiTheme="minorHAnsi" w:cstheme="minorHAnsi"/>
          <w:sz w:val="22"/>
          <w:szCs w:val="22"/>
        </w:rPr>
        <w:t xml:space="preserve"> 482</w:t>
      </w:r>
    </w:p>
    <w:p w14:paraId="4F414CC3" w14:textId="71F35B13" w:rsidR="00475664" w:rsidRPr="008A55E7" w:rsidRDefault="00475664">
      <w:pPr>
        <w:spacing w:after="160" w:line="259" w:lineRule="auto"/>
        <w:rPr>
          <w:rFonts w:asciiTheme="minorHAnsi" w:hAnsiTheme="minorHAnsi" w:cstheme="minorHAnsi"/>
          <w:sz w:val="22"/>
          <w:szCs w:val="22"/>
        </w:rPr>
      </w:pPr>
      <w:r w:rsidRPr="008A55E7">
        <w:rPr>
          <w:rFonts w:asciiTheme="minorHAnsi" w:hAnsiTheme="minorHAnsi" w:cstheme="minorHAnsi"/>
          <w:sz w:val="22"/>
          <w:szCs w:val="22"/>
        </w:rPr>
        <w:t>Tara Hotel Ltd v Kensington Close Hotel Ltd (2011)</w:t>
      </w:r>
      <w:r w:rsidR="00FC1057" w:rsidRPr="008A55E7">
        <w:rPr>
          <w:rFonts w:asciiTheme="minorHAnsi" w:hAnsiTheme="minorHAnsi" w:cstheme="minorHAnsi"/>
          <w:sz w:val="22"/>
          <w:szCs w:val="22"/>
        </w:rPr>
        <w:t xml:space="preserve"> </w:t>
      </w:r>
      <w:r w:rsidR="00FC1057" w:rsidRPr="008A55E7">
        <w:rPr>
          <w:rFonts w:asciiTheme="minorHAnsi" w:hAnsiTheme="minorHAnsi" w:cstheme="minorHAnsi"/>
          <w:sz w:val="22"/>
          <w:szCs w:val="22"/>
        </w:rPr>
        <w:t xml:space="preserve">EWCA </w:t>
      </w:r>
      <w:proofErr w:type="spellStart"/>
      <w:r w:rsidR="00FC1057" w:rsidRPr="008A55E7">
        <w:rPr>
          <w:rFonts w:asciiTheme="minorHAnsi" w:hAnsiTheme="minorHAnsi" w:cstheme="minorHAnsi"/>
          <w:sz w:val="22"/>
          <w:szCs w:val="22"/>
        </w:rPr>
        <w:t>Civ</w:t>
      </w:r>
      <w:proofErr w:type="spellEnd"/>
      <w:r w:rsidR="00FC1057" w:rsidRPr="008A55E7">
        <w:rPr>
          <w:rFonts w:asciiTheme="minorHAnsi" w:hAnsiTheme="minorHAnsi" w:cstheme="minorHAnsi"/>
          <w:sz w:val="22"/>
          <w:szCs w:val="22"/>
        </w:rPr>
        <w:t xml:space="preserve"> 1356</w:t>
      </w:r>
    </w:p>
    <w:p w14:paraId="77381FBE" w14:textId="323E00F6" w:rsidR="00FC1057" w:rsidRPr="008A55E7" w:rsidRDefault="00FC1057">
      <w:pPr>
        <w:spacing w:after="160" w:line="259" w:lineRule="auto"/>
        <w:rPr>
          <w:rFonts w:asciiTheme="minorHAnsi" w:hAnsiTheme="minorHAnsi" w:cstheme="minorHAnsi"/>
          <w:sz w:val="22"/>
          <w:szCs w:val="22"/>
        </w:rPr>
      </w:pPr>
      <w:r w:rsidRPr="008A55E7">
        <w:rPr>
          <w:rFonts w:asciiTheme="minorHAnsi" w:hAnsiTheme="minorHAnsi" w:cstheme="minorHAnsi"/>
          <w:sz w:val="22"/>
          <w:szCs w:val="22"/>
        </w:rPr>
        <w:t>Benn v Harding (1993)</w:t>
      </w:r>
      <w:r w:rsidR="008A55E7" w:rsidRPr="008A55E7">
        <w:rPr>
          <w:rFonts w:asciiTheme="minorHAnsi" w:hAnsiTheme="minorHAnsi" w:cstheme="minorHAnsi"/>
          <w:sz w:val="22"/>
          <w:szCs w:val="22"/>
        </w:rPr>
        <w:t xml:space="preserve"> </w:t>
      </w:r>
      <w:r w:rsidR="008A55E7" w:rsidRPr="008A55E7">
        <w:rPr>
          <w:rFonts w:asciiTheme="minorHAnsi" w:hAnsiTheme="minorHAnsi" w:cstheme="minorHAnsi"/>
          <w:sz w:val="22"/>
          <w:szCs w:val="22"/>
        </w:rPr>
        <w:t>66 P. &amp; C.R. 246</w:t>
      </w:r>
    </w:p>
    <w:p w14:paraId="1F784FD3" w14:textId="1194C0F5" w:rsidR="00FC1057" w:rsidRPr="008A55E7" w:rsidRDefault="00FC1057">
      <w:pPr>
        <w:spacing w:after="160" w:line="259" w:lineRule="auto"/>
        <w:rPr>
          <w:rFonts w:asciiTheme="minorHAnsi" w:hAnsiTheme="minorHAnsi" w:cstheme="minorHAnsi"/>
          <w:sz w:val="22"/>
          <w:szCs w:val="22"/>
        </w:rPr>
      </w:pPr>
      <w:r w:rsidRPr="008A55E7">
        <w:rPr>
          <w:rFonts w:asciiTheme="minorHAnsi" w:hAnsiTheme="minorHAnsi" w:cstheme="minorHAnsi"/>
          <w:sz w:val="22"/>
          <w:szCs w:val="22"/>
        </w:rPr>
        <w:t>Mills v Silver (1991)</w:t>
      </w:r>
      <w:r w:rsidR="008A55E7" w:rsidRPr="008A55E7">
        <w:rPr>
          <w:rFonts w:asciiTheme="minorHAnsi" w:hAnsiTheme="minorHAnsi" w:cstheme="minorHAnsi"/>
          <w:sz w:val="22"/>
          <w:szCs w:val="22"/>
        </w:rPr>
        <w:t xml:space="preserve"> </w:t>
      </w:r>
      <w:r w:rsidR="008A55E7" w:rsidRPr="008A55E7">
        <w:rPr>
          <w:rFonts w:asciiTheme="minorHAnsi" w:hAnsiTheme="minorHAnsi" w:cstheme="minorHAnsi"/>
          <w:sz w:val="22"/>
          <w:szCs w:val="22"/>
        </w:rPr>
        <w:t>Ch 271, CA</w:t>
      </w:r>
    </w:p>
    <w:p w14:paraId="05160521" w14:textId="7DC04146" w:rsidR="00FC1057" w:rsidRPr="008A55E7" w:rsidRDefault="00FC1057" w:rsidP="00FC1057">
      <w:pPr>
        <w:spacing w:after="160" w:line="259" w:lineRule="auto"/>
        <w:rPr>
          <w:rFonts w:asciiTheme="minorHAnsi" w:hAnsiTheme="minorHAnsi" w:cstheme="minorHAnsi"/>
          <w:sz w:val="22"/>
          <w:szCs w:val="22"/>
        </w:rPr>
      </w:pPr>
      <w:r w:rsidRPr="008A55E7">
        <w:rPr>
          <w:rFonts w:asciiTheme="minorHAnsi" w:hAnsiTheme="minorHAnsi" w:cstheme="minorHAnsi"/>
          <w:sz w:val="22"/>
          <w:szCs w:val="22"/>
        </w:rPr>
        <w:t>Diment v NH Foot Ltd (1974)</w:t>
      </w:r>
      <w:r w:rsidR="008A55E7" w:rsidRPr="008A55E7">
        <w:rPr>
          <w:rFonts w:asciiTheme="minorHAnsi" w:hAnsiTheme="minorHAnsi" w:cstheme="minorHAnsi"/>
          <w:sz w:val="22"/>
          <w:szCs w:val="22"/>
        </w:rPr>
        <w:t xml:space="preserve"> </w:t>
      </w:r>
      <w:r w:rsidR="008A55E7" w:rsidRPr="008A55E7">
        <w:rPr>
          <w:rFonts w:asciiTheme="minorHAnsi" w:hAnsiTheme="minorHAnsi" w:cstheme="minorHAnsi"/>
          <w:sz w:val="22"/>
          <w:szCs w:val="22"/>
        </w:rPr>
        <w:t xml:space="preserve">1 WLR 1427, </w:t>
      </w:r>
      <w:proofErr w:type="spellStart"/>
      <w:r w:rsidR="008A55E7" w:rsidRPr="008A55E7">
        <w:rPr>
          <w:rFonts w:asciiTheme="minorHAnsi" w:hAnsiTheme="minorHAnsi" w:cstheme="minorHAnsi"/>
          <w:sz w:val="22"/>
          <w:szCs w:val="22"/>
        </w:rPr>
        <w:t>ChD</w:t>
      </w:r>
      <w:proofErr w:type="spellEnd"/>
    </w:p>
    <w:p w14:paraId="578D4DC9" w14:textId="2624156A" w:rsidR="00FC1057" w:rsidRPr="008A55E7" w:rsidRDefault="00FC1057" w:rsidP="00FC1057">
      <w:pPr>
        <w:spacing w:after="160" w:line="259" w:lineRule="auto"/>
        <w:rPr>
          <w:rFonts w:asciiTheme="minorHAnsi" w:hAnsiTheme="minorHAnsi" w:cstheme="minorHAnsi"/>
          <w:sz w:val="22"/>
          <w:szCs w:val="22"/>
        </w:rPr>
      </w:pPr>
      <w:r w:rsidRPr="008A55E7">
        <w:rPr>
          <w:rFonts w:asciiTheme="minorHAnsi" w:hAnsiTheme="minorHAnsi" w:cstheme="minorHAnsi"/>
          <w:sz w:val="22"/>
          <w:szCs w:val="22"/>
        </w:rPr>
        <w:t>Liverpool Corporation v Coghill (1918)</w:t>
      </w:r>
      <w:r w:rsidR="008A55E7" w:rsidRPr="008A55E7">
        <w:rPr>
          <w:rFonts w:asciiTheme="minorHAnsi" w:hAnsiTheme="minorHAnsi" w:cstheme="minorHAnsi"/>
          <w:sz w:val="22"/>
          <w:szCs w:val="22"/>
        </w:rPr>
        <w:t xml:space="preserve"> </w:t>
      </w:r>
      <w:r w:rsidR="008A55E7" w:rsidRPr="008A55E7">
        <w:rPr>
          <w:rFonts w:asciiTheme="minorHAnsi" w:hAnsiTheme="minorHAnsi" w:cstheme="minorHAnsi"/>
          <w:sz w:val="22"/>
          <w:szCs w:val="22"/>
        </w:rPr>
        <w:t>1 CH 307</w:t>
      </w:r>
    </w:p>
    <w:p w14:paraId="5D571DC3" w14:textId="0CBFAEC3" w:rsidR="00FC1057" w:rsidRPr="008A55E7" w:rsidRDefault="00FC1057" w:rsidP="00FC1057">
      <w:pPr>
        <w:spacing w:after="160" w:line="259" w:lineRule="auto"/>
        <w:rPr>
          <w:rFonts w:asciiTheme="minorHAnsi" w:hAnsiTheme="minorHAnsi" w:cstheme="minorHAnsi"/>
          <w:sz w:val="22"/>
          <w:szCs w:val="22"/>
        </w:rPr>
      </w:pPr>
      <w:r w:rsidRPr="008A55E7">
        <w:rPr>
          <w:rFonts w:asciiTheme="minorHAnsi" w:hAnsiTheme="minorHAnsi" w:cstheme="minorHAnsi"/>
          <w:sz w:val="22"/>
          <w:szCs w:val="22"/>
        </w:rPr>
        <w:t>Gardner v Hodgson’s Kingston Brewery Co Ltd (1903)</w:t>
      </w:r>
      <w:r w:rsidR="008A55E7" w:rsidRPr="008A55E7">
        <w:rPr>
          <w:rFonts w:asciiTheme="minorHAnsi" w:hAnsiTheme="minorHAnsi" w:cstheme="minorHAnsi"/>
          <w:sz w:val="22"/>
          <w:szCs w:val="22"/>
        </w:rPr>
        <w:t xml:space="preserve"> </w:t>
      </w:r>
      <w:r w:rsidR="008A55E7" w:rsidRPr="008A55E7">
        <w:rPr>
          <w:rFonts w:asciiTheme="minorHAnsi" w:hAnsiTheme="minorHAnsi" w:cstheme="minorHAnsi"/>
          <w:sz w:val="22"/>
          <w:szCs w:val="22"/>
        </w:rPr>
        <w:t>AC 229</w:t>
      </w:r>
    </w:p>
    <w:p w14:paraId="24A82FC5" w14:textId="484F1046" w:rsidR="00FC1057" w:rsidRPr="008A55E7" w:rsidRDefault="00FC1057" w:rsidP="008A55E7">
      <w:pPr>
        <w:spacing w:after="160" w:line="259" w:lineRule="auto"/>
        <w:rPr>
          <w:rFonts w:asciiTheme="minorHAnsi" w:hAnsiTheme="minorHAnsi" w:cstheme="minorHAnsi"/>
          <w:sz w:val="22"/>
          <w:szCs w:val="22"/>
        </w:rPr>
      </w:pPr>
      <w:r w:rsidRPr="008A55E7">
        <w:rPr>
          <w:rFonts w:asciiTheme="minorHAnsi" w:hAnsiTheme="minorHAnsi" w:cstheme="minorHAnsi"/>
          <w:sz w:val="22"/>
          <w:szCs w:val="22"/>
        </w:rPr>
        <w:t>Dalton v Angus (1881)</w:t>
      </w:r>
      <w:r w:rsidR="008A55E7" w:rsidRPr="008A55E7">
        <w:rPr>
          <w:rFonts w:asciiTheme="minorHAnsi" w:hAnsiTheme="minorHAnsi" w:cstheme="minorHAnsi"/>
          <w:sz w:val="22"/>
          <w:szCs w:val="22"/>
        </w:rPr>
        <w:t xml:space="preserve"> </w:t>
      </w:r>
      <w:r w:rsidR="008A55E7" w:rsidRPr="008A55E7">
        <w:rPr>
          <w:rFonts w:asciiTheme="minorHAnsi" w:hAnsiTheme="minorHAnsi" w:cstheme="minorHAnsi"/>
          <w:sz w:val="22"/>
          <w:szCs w:val="22"/>
        </w:rPr>
        <w:t>6 App Cas 740; 46 JP 132; 50 LJQB 689</w:t>
      </w:r>
      <w:r w:rsidR="008A55E7" w:rsidRPr="008A55E7">
        <w:rPr>
          <w:rFonts w:asciiTheme="minorHAnsi" w:hAnsiTheme="minorHAnsi" w:cstheme="minorHAnsi"/>
          <w:sz w:val="22"/>
          <w:szCs w:val="22"/>
        </w:rPr>
        <w:t xml:space="preserve">; </w:t>
      </w:r>
      <w:r w:rsidR="008A55E7" w:rsidRPr="008A55E7">
        <w:rPr>
          <w:rFonts w:asciiTheme="minorHAnsi" w:hAnsiTheme="minorHAnsi" w:cstheme="minorHAnsi"/>
          <w:sz w:val="22"/>
          <w:szCs w:val="22"/>
        </w:rPr>
        <w:t>30 WR 191</w:t>
      </w:r>
    </w:p>
    <w:p w14:paraId="363E840A" w14:textId="6A16B72F" w:rsidR="00FC1057" w:rsidRPr="008A55E7" w:rsidRDefault="00FC1057" w:rsidP="00FC1057">
      <w:pPr>
        <w:spacing w:after="160" w:line="259" w:lineRule="auto"/>
        <w:rPr>
          <w:rFonts w:asciiTheme="minorHAnsi" w:hAnsiTheme="minorHAnsi" w:cstheme="minorHAnsi"/>
          <w:sz w:val="22"/>
          <w:szCs w:val="22"/>
        </w:rPr>
      </w:pPr>
      <w:r w:rsidRPr="008A55E7">
        <w:rPr>
          <w:rFonts w:asciiTheme="minorHAnsi" w:hAnsiTheme="minorHAnsi" w:cstheme="minorHAnsi"/>
          <w:sz w:val="22"/>
          <w:szCs w:val="22"/>
        </w:rPr>
        <w:t>Dyce v Hay (1852)</w:t>
      </w:r>
      <w:r w:rsidR="008A55E7" w:rsidRPr="008A55E7">
        <w:rPr>
          <w:rFonts w:asciiTheme="minorHAnsi" w:hAnsiTheme="minorHAnsi" w:cstheme="minorHAnsi"/>
          <w:sz w:val="22"/>
          <w:szCs w:val="22"/>
        </w:rPr>
        <w:t xml:space="preserve"> </w:t>
      </w:r>
      <w:r w:rsidR="008A55E7" w:rsidRPr="008A55E7">
        <w:rPr>
          <w:rFonts w:asciiTheme="minorHAnsi" w:hAnsiTheme="minorHAnsi" w:cstheme="minorHAnsi"/>
          <w:sz w:val="22"/>
          <w:szCs w:val="22"/>
        </w:rPr>
        <w:t>1 Macq 305</w:t>
      </w:r>
    </w:p>
    <w:p w14:paraId="27A9BA12" w14:textId="77777777" w:rsidR="00FC1057" w:rsidRPr="00FC1057" w:rsidRDefault="00FC1057">
      <w:pPr>
        <w:spacing w:after="160" w:line="259" w:lineRule="auto"/>
        <w:rPr>
          <w:rFonts w:asciiTheme="minorHAnsi" w:hAnsiTheme="minorHAnsi" w:cstheme="minorHAnsi"/>
          <w:sz w:val="22"/>
          <w:szCs w:val="22"/>
        </w:rPr>
      </w:pPr>
    </w:p>
    <w:p w14:paraId="7D93A14A" w14:textId="77777777" w:rsidR="00FC1057" w:rsidRDefault="00FC1057">
      <w:pPr>
        <w:spacing w:after="160" w:line="259" w:lineRule="auto"/>
        <w:rPr>
          <w:rFonts w:asciiTheme="minorHAnsi" w:hAnsiTheme="minorHAnsi" w:cstheme="minorHAnsi"/>
          <w:color w:val="70AD47" w:themeColor="accent6"/>
          <w:sz w:val="22"/>
          <w:szCs w:val="22"/>
        </w:rPr>
      </w:pPr>
    </w:p>
    <w:p w14:paraId="3BAD8591" w14:textId="77777777" w:rsidR="00FC1057" w:rsidRDefault="00FC1057">
      <w:pPr>
        <w:spacing w:after="160" w:line="259" w:lineRule="auto"/>
        <w:rPr>
          <w:rFonts w:asciiTheme="minorHAnsi" w:hAnsiTheme="minorHAnsi" w:cstheme="minorHAnsi"/>
          <w:color w:val="70AD47" w:themeColor="accent6"/>
          <w:sz w:val="22"/>
          <w:szCs w:val="22"/>
        </w:rPr>
      </w:pPr>
    </w:p>
    <w:p w14:paraId="6A58F9EB" w14:textId="77777777" w:rsidR="00475664" w:rsidRDefault="00475664">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1BD6AF34" w14:textId="0F124578" w:rsidR="00475664" w:rsidRPr="00FC1057" w:rsidRDefault="00475664">
      <w:pPr>
        <w:spacing w:after="160" w:line="259" w:lineRule="auto"/>
        <w:rPr>
          <w:rFonts w:asciiTheme="minorHAnsi" w:hAnsiTheme="minorHAnsi" w:cstheme="minorHAnsi"/>
          <w:sz w:val="22"/>
          <w:szCs w:val="22"/>
        </w:rPr>
      </w:pPr>
      <w:r w:rsidRPr="00FC1057">
        <w:rPr>
          <w:rFonts w:asciiTheme="minorHAnsi" w:hAnsiTheme="minorHAnsi" w:cstheme="minorHAnsi"/>
          <w:sz w:val="22"/>
          <w:szCs w:val="22"/>
        </w:rPr>
        <w:lastRenderedPageBreak/>
        <w:t>Acts used</w:t>
      </w:r>
    </w:p>
    <w:p w14:paraId="253E53E3" w14:textId="7BD85199" w:rsidR="00475664" w:rsidRPr="00FC1057" w:rsidRDefault="00475664" w:rsidP="00475664">
      <w:pPr>
        <w:spacing w:after="160" w:line="259" w:lineRule="auto"/>
        <w:rPr>
          <w:rFonts w:asciiTheme="minorHAnsi" w:hAnsiTheme="minorHAnsi" w:cstheme="minorHAnsi"/>
          <w:sz w:val="22"/>
          <w:szCs w:val="22"/>
        </w:rPr>
      </w:pPr>
      <w:r w:rsidRPr="00FC1057">
        <w:rPr>
          <w:rFonts w:asciiTheme="minorHAnsi" w:hAnsiTheme="minorHAnsi" w:cstheme="minorHAnsi"/>
          <w:sz w:val="22"/>
          <w:szCs w:val="22"/>
        </w:rPr>
        <w:t>Prescription Act (1832)</w:t>
      </w:r>
      <w:r w:rsidR="00FC1057">
        <w:rPr>
          <w:rFonts w:asciiTheme="minorHAnsi" w:hAnsiTheme="minorHAnsi" w:cstheme="minorHAnsi"/>
          <w:sz w:val="22"/>
          <w:szCs w:val="22"/>
        </w:rPr>
        <w:t xml:space="preserve"> c. 71</w:t>
      </w:r>
    </w:p>
    <w:p w14:paraId="795EDC2E" w14:textId="019B1200" w:rsidR="009915DE" w:rsidRDefault="009915DE">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sdt>
      <w:sdtPr>
        <w:id w:val="-453331345"/>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14:paraId="4CECAFF9" w14:textId="61C23525" w:rsidR="009915DE" w:rsidRDefault="009915DE">
          <w:pPr>
            <w:pStyle w:val="Heading1"/>
          </w:pPr>
          <w:r>
            <w:t>Bibliography</w:t>
          </w:r>
        </w:p>
        <w:sdt>
          <w:sdtPr>
            <w:id w:val="111145805"/>
            <w:bibliography/>
          </w:sdtPr>
          <w:sdtContent>
            <w:p w14:paraId="3B786C55" w14:textId="77777777" w:rsidR="008A55E7" w:rsidRDefault="009915DE" w:rsidP="008A55E7">
              <w:pPr>
                <w:pStyle w:val="Bibliography"/>
                <w:ind w:left="720" w:hanging="720"/>
                <w:rPr>
                  <w:noProof/>
                  <w:sz w:val="24"/>
                  <w:szCs w:val="24"/>
                  <w:lang w:val="en-US"/>
                </w:rPr>
              </w:pPr>
              <w:r>
                <w:fldChar w:fldCharType="begin"/>
              </w:r>
              <w:r>
                <w:instrText xml:space="preserve"> BIBLIOGRAPHY </w:instrText>
              </w:r>
              <w:r>
                <w:fldChar w:fldCharType="separate"/>
              </w:r>
              <w:r w:rsidR="008A55E7">
                <w:rPr>
                  <w:noProof/>
                  <w:lang w:val="en-US"/>
                </w:rPr>
                <w:t xml:space="preserve">Bevan, C. (2020). </w:t>
              </w:r>
              <w:r w:rsidR="008A55E7">
                <w:rPr>
                  <w:i/>
                  <w:iCs/>
                  <w:noProof/>
                  <w:lang w:val="en-US"/>
                </w:rPr>
                <w:t>Land Law</w:t>
              </w:r>
              <w:r w:rsidR="008A55E7">
                <w:rPr>
                  <w:noProof/>
                  <w:lang w:val="en-US"/>
                </w:rPr>
                <w:t xml:space="preserve"> (2nd ed.). Oxford: Oxford university press.</w:t>
              </w:r>
            </w:p>
            <w:p w14:paraId="15E0DFC2" w14:textId="77777777" w:rsidR="008A55E7" w:rsidRDefault="008A55E7" w:rsidP="008A55E7">
              <w:pPr>
                <w:pStyle w:val="Bibliography"/>
                <w:ind w:left="720" w:hanging="720"/>
                <w:rPr>
                  <w:noProof/>
                  <w:lang w:val="en-US"/>
                </w:rPr>
              </w:pPr>
              <w:r>
                <w:rPr>
                  <w:noProof/>
                  <w:lang w:val="en-US"/>
                </w:rPr>
                <w:t xml:space="preserve">Bogusz, B., &amp; Roger, S. (2019). </w:t>
              </w:r>
              <w:r>
                <w:rPr>
                  <w:i/>
                  <w:iCs/>
                  <w:noProof/>
                  <w:lang w:val="en-US"/>
                </w:rPr>
                <w:t>Complete Land Law: Text, Cases, and Materials</w:t>
              </w:r>
              <w:r>
                <w:rPr>
                  <w:noProof/>
                  <w:lang w:val="en-US"/>
                </w:rPr>
                <w:t xml:space="preserve"> (6th ed.). Oxford: Oxford University Press.</w:t>
              </w:r>
            </w:p>
            <w:p w14:paraId="6EF4D803" w14:textId="77777777" w:rsidR="008A55E7" w:rsidRDefault="008A55E7" w:rsidP="008A55E7">
              <w:pPr>
                <w:pStyle w:val="Bibliography"/>
                <w:ind w:left="720" w:hanging="720"/>
                <w:rPr>
                  <w:noProof/>
                  <w:lang w:val="en-US"/>
                </w:rPr>
              </w:pPr>
              <w:r>
                <w:rPr>
                  <w:noProof/>
                  <w:lang w:val="en-US"/>
                </w:rPr>
                <w:t xml:space="preserve">Bray, J. (2014). </w:t>
              </w:r>
              <w:r>
                <w:rPr>
                  <w:i/>
                  <w:iCs/>
                  <w:noProof/>
                  <w:lang w:val="en-US"/>
                </w:rPr>
                <w:t>Land Law: key facts key cases.</w:t>
              </w:r>
              <w:r>
                <w:rPr>
                  <w:noProof/>
                  <w:lang w:val="en-US"/>
                </w:rPr>
                <w:t xml:space="preserve"> New York: Routledge.</w:t>
              </w:r>
            </w:p>
            <w:p w14:paraId="420FD051" w14:textId="77777777" w:rsidR="008A55E7" w:rsidRDefault="008A55E7" w:rsidP="008A55E7">
              <w:pPr>
                <w:pStyle w:val="Bibliography"/>
                <w:ind w:left="720" w:hanging="720"/>
                <w:rPr>
                  <w:noProof/>
                  <w:lang w:val="en-US"/>
                </w:rPr>
              </w:pPr>
              <w:r>
                <w:rPr>
                  <w:noProof/>
                  <w:lang w:val="en-US"/>
                </w:rPr>
                <w:t xml:space="preserve">Dixon, M. (2018). </w:t>
              </w:r>
              <w:r>
                <w:rPr>
                  <w:i/>
                  <w:iCs/>
                  <w:noProof/>
                  <w:lang w:val="en-US"/>
                </w:rPr>
                <w:t>Modern Land Law</w:t>
              </w:r>
              <w:r>
                <w:rPr>
                  <w:noProof/>
                  <w:lang w:val="en-US"/>
                </w:rPr>
                <w:t xml:space="preserve"> (11th ed.). Oxon: Routledge.</w:t>
              </w:r>
            </w:p>
            <w:p w14:paraId="73B79C8C" w14:textId="77777777" w:rsidR="008A55E7" w:rsidRDefault="008A55E7" w:rsidP="008A55E7">
              <w:pPr>
                <w:pStyle w:val="Bibliography"/>
                <w:ind w:left="720" w:hanging="720"/>
                <w:rPr>
                  <w:noProof/>
                  <w:lang w:val="en-US"/>
                </w:rPr>
              </w:pPr>
              <w:r>
                <w:rPr>
                  <w:noProof/>
                  <w:lang w:val="en-US"/>
                </w:rPr>
                <w:t xml:space="preserve">DOWLING, A. (2003). THE DOCTRINE OF LOST MODERN GRANT. </w:t>
              </w:r>
              <w:r>
                <w:rPr>
                  <w:i/>
                  <w:iCs/>
                  <w:noProof/>
                  <w:lang w:val="en-US"/>
                </w:rPr>
                <w:t>Irish Jurist, 38</w:t>
              </w:r>
              <w:r>
                <w:rPr>
                  <w:noProof/>
                  <w:lang w:val="en-US"/>
                </w:rPr>
                <w:t>, 225–262.</w:t>
              </w:r>
            </w:p>
            <w:p w14:paraId="65FDA0FE" w14:textId="77777777" w:rsidR="008A55E7" w:rsidRDefault="008A55E7" w:rsidP="008A55E7">
              <w:pPr>
                <w:pStyle w:val="Bibliography"/>
                <w:ind w:left="720" w:hanging="720"/>
                <w:rPr>
                  <w:noProof/>
                  <w:lang w:val="en-US"/>
                </w:rPr>
              </w:pPr>
              <w:r>
                <w:rPr>
                  <w:noProof/>
                  <w:lang w:val="en-US"/>
                </w:rPr>
                <w:t xml:space="preserve">Gray, K., &amp; Gray, S. (2011). </w:t>
              </w:r>
              <w:r>
                <w:rPr>
                  <w:i/>
                  <w:iCs/>
                  <w:noProof/>
                  <w:lang w:val="en-US"/>
                </w:rPr>
                <w:t>Land law</w:t>
              </w:r>
              <w:r>
                <w:rPr>
                  <w:noProof/>
                  <w:lang w:val="en-US"/>
                </w:rPr>
                <w:t xml:space="preserve"> (7th ed.). Oxford: Oxford university press.</w:t>
              </w:r>
            </w:p>
            <w:p w14:paraId="4E160D1C" w14:textId="77777777" w:rsidR="008A55E7" w:rsidRDefault="008A55E7" w:rsidP="008A55E7">
              <w:pPr>
                <w:pStyle w:val="Bibliography"/>
                <w:ind w:left="720" w:hanging="720"/>
                <w:rPr>
                  <w:noProof/>
                  <w:lang w:val="en-US"/>
                </w:rPr>
              </w:pPr>
              <w:r>
                <w:rPr>
                  <w:noProof/>
                  <w:lang w:val="en-US"/>
                </w:rPr>
                <w:t xml:space="preserve">MacKenzie, J.-A., &amp; Philips, M. (2012). </w:t>
              </w:r>
              <w:r>
                <w:rPr>
                  <w:i/>
                  <w:iCs/>
                  <w:noProof/>
                  <w:lang w:val="en-US"/>
                </w:rPr>
                <w:t>Land law</w:t>
              </w:r>
              <w:r>
                <w:rPr>
                  <w:noProof/>
                  <w:lang w:val="en-US"/>
                </w:rPr>
                <w:t xml:space="preserve"> (14th ed.). Oxford: Oxford university press.</w:t>
              </w:r>
            </w:p>
            <w:p w14:paraId="2F27B61B" w14:textId="7E56C4A0" w:rsidR="009915DE" w:rsidRDefault="009915DE" w:rsidP="008A55E7">
              <w:r>
                <w:rPr>
                  <w:b/>
                  <w:bCs/>
                  <w:noProof/>
                </w:rPr>
                <w:fldChar w:fldCharType="end"/>
              </w:r>
            </w:p>
          </w:sdtContent>
        </w:sdt>
      </w:sdtContent>
    </w:sdt>
    <w:p w14:paraId="33AC6FDC" w14:textId="77777777" w:rsidR="009915DE" w:rsidRPr="004B72F1" w:rsidRDefault="009915DE" w:rsidP="0035692A">
      <w:pPr>
        <w:rPr>
          <w:rFonts w:asciiTheme="minorHAnsi" w:hAnsiTheme="minorHAnsi" w:cstheme="minorHAnsi"/>
          <w:sz w:val="22"/>
          <w:szCs w:val="22"/>
        </w:rPr>
      </w:pPr>
    </w:p>
    <w:sectPr w:rsidR="009915DE" w:rsidRPr="004B72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E19"/>
    <w:rsid w:val="00020FA5"/>
    <w:rsid w:val="00045D16"/>
    <w:rsid w:val="000828FB"/>
    <w:rsid w:val="00090ADA"/>
    <w:rsid w:val="000B4FB0"/>
    <w:rsid w:val="000B6E58"/>
    <w:rsid w:val="000C1502"/>
    <w:rsid w:val="00112239"/>
    <w:rsid w:val="00165159"/>
    <w:rsid w:val="001E7910"/>
    <w:rsid w:val="00203B7A"/>
    <w:rsid w:val="00267F6E"/>
    <w:rsid w:val="002E7FEE"/>
    <w:rsid w:val="0035692A"/>
    <w:rsid w:val="00387968"/>
    <w:rsid w:val="003B588E"/>
    <w:rsid w:val="0041023C"/>
    <w:rsid w:val="00475664"/>
    <w:rsid w:val="00493F6B"/>
    <w:rsid w:val="004B72F1"/>
    <w:rsid w:val="004F2275"/>
    <w:rsid w:val="00501232"/>
    <w:rsid w:val="0052611E"/>
    <w:rsid w:val="005943E0"/>
    <w:rsid w:val="005C7209"/>
    <w:rsid w:val="005F2145"/>
    <w:rsid w:val="00610B13"/>
    <w:rsid w:val="00687F4D"/>
    <w:rsid w:val="006B2D57"/>
    <w:rsid w:val="006F1266"/>
    <w:rsid w:val="00752D1F"/>
    <w:rsid w:val="00753444"/>
    <w:rsid w:val="00796B2F"/>
    <w:rsid w:val="008103DE"/>
    <w:rsid w:val="00851473"/>
    <w:rsid w:val="00876B22"/>
    <w:rsid w:val="008902D5"/>
    <w:rsid w:val="008A55E7"/>
    <w:rsid w:val="009915DE"/>
    <w:rsid w:val="009C05BF"/>
    <w:rsid w:val="00A3517A"/>
    <w:rsid w:val="00A47C20"/>
    <w:rsid w:val="00A9459B"/>
    <w:rsid w:val="00AA506E"/>
    <w:rsid w:val="00AC097B"/>
    <w:rsid w:val="00BB271C"/>
    <w:rsid w:val="00BC52DB"/>
    <w:rsid w:val="00BF5844"/>
    <w:rsid w:val="00C02905"/>
    <w:rsid w:val="00CA5717"/>
    <w:rsid w:val="00CE521A"/>
    <w:rsid w:val="00D715A5"/>
    <w:rsid w:val="00D8471E"/>
    <w:rsid w:val="00D93E7C"/>
    <w:rsid w:val="00DC0B3B"/>
    <w:rsid w:val="00DE496A"/>
    <w:rsid w:val="00DE4C67"/>
    <w:rsid w:val="00DF5E19"/>
    <w:rsid w:val="00DF73B4"/>
    <w:rsid w:val="00DF7E76"/>
    <w:rsid w:val="00E313D2"/>
    <w:rsid w:val="00FB56D1"/>
    <w:rsid w:val="00FC1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2F57E"/>
  <w15:chartTrackingRefBased/>
  <w15:docId w15:val="{B89D3B59-5C0A-4E52-B8D2-5BE158D19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2F1"/>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915DE"/>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3">
    <w:name w:val="heading 3"/>
    <w:basedOn w:val="Normal"/>
    <w:next w:val="Normal"/>
    <w:link w:val="Heading3Char"/>
    <w:uiPriority w:val="9"/>
    <w:semiHidden/>
    <w:unhideWhenUsed/>
    <w:qFormat/>
    <w:rsid w:val="008A55E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5DE"/>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9915DE"/>
  </w:style>
  <w:style w:type="character" w:customStyle="1" w:styleId="Heading3Char">
    <w:name w:val="Heading 3 Char"/>
    <w:basedOn w:val="DefaultParagraphFont"/>
    <w:link w:val="Heading3"/>
    <w:uiPriority w:val="9"/>
    <w:semiHidden/>
    <w:rsid w:val="008A55E7"/>
    <w:rPr>
      <w:rFonts w:asciiTheme="majorHAnsi" w:eastAsiaTheme="majorEastAsia" w:hAnsiTheme="majorHAnsi" w:cstheme="majorBidi"/>
      <w:color w:val="1F3763" w:themeColor="accent1" w:themeShade="7F"/>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43170">
      <w:bodyDiv w:val="1"/>
      <w:marLeft w:val="0"/>
      <w:marRight w:val="0"/>
      <w:marTop w:val="0"/>
      <w:marBottom w:val="0"/>
      <w:divBdr>
        <w:top w:val="none" w:sz="0" w:space="0" w:color="auto"/>
        <w:left w:val="none" w:sz="0" w:space="0" w:color="auto"/>
        <w:bottom w:val="none" w:sz="0" w:space="0" w:color="auto"/>
        <w:right w:val="none" w:sz="0" w:space="0" w:color="auto"/>
      </w:divBdr>
    </w:div>
    <w:div w:id="75060048">
      <w:bodyDiv w:val="1"/>
      <w:marLeft w:val="0"/>
      <w:marRight w:val="0"/>
      <w:marTop w:val="0"/>
      <w:marBottom w:val="0"/>
      <w:divBdr>
        <w:top w:val="none" w:sz="0" w:space="0" w:color="auto"/>
        <w:left w:val="none" w:sz="0" w:space="0" w:color="auto"/>
        <w:bottom w:val="none" w:sz="0" w:space="0" w:color="auto"/>
        <w:right w:val="none" w:sz="0" w:space="0" w:color="auto"/>
      </w:divBdr>
    </w:div>
    <w:div w:id="75366500">
      <w:bodyDiv w:val="1"/>
      <w:marLeft w:val="0"/>
      <w:marRight w:val="0"/>
      <w:marTop w:val="0"/>
      <w:marBottom w:val="0"/>
      <w:divBdr>
        <w:top w:val="none" w:sz="0" w:space="0" w:color="auto"/>
        <w:left w:val="none" w:sz="0" w:space="0" w:color="auto"/>
        <w:bottom w:val="none" w:sz="0" w:space="0" w:color="auto"/>
        <w:right w:val="none" w:sz="0" w:space="0" w:color="auto"/>
      </w:divBdr>
    </w:div>
    <w:div w:id="95175256">
      <w:bodyDiv w:val="1"/>
      <w:marLeft w:val="0"/>
      <w:marRight w:val="0"/>
      <w:marTop w:val="0"/>
      <w:marBottom w:val="0"/>
      <w:divBdr>
        <w:top w:val="none" w:sz="0" w:space="0" w:color="auto"/>
        <w:left w:val="none" w:sz="0" w:space="0" w:color="auto"/>
        <w:bottom w:val="none" w:sz="0" w:space="0" w:color="auto"/>
        <w:right w:val="none" w:sz="0" w:space="0" w:color="auto"/>
      </w:divBdr>
    </w:div>
    <w:div w:id="111941126">
      <w:bodyDiv w:val="1"/>
      <w:marLeft w:val="0"/>
      <w:marRight w:val="0"/>
      <w:marTop w:val="0"/>
      <w:marBottom w:val="0"/>
      <w:divBdr>
        <w:top w:val="none" w:sz="0" w:space="0" w:color="auto"/>
        <w:left w:val="none" w:sz="0" w:space="0" w:color="auto"/>
        <w:bottom w:val="none" w:sz="0" w:space="0" w:color="auto"/>
        <w:right w:val="none" w:sz="0" w:space="0" w:color="auto"/>
      </w:divBdr>
    </w:div>
    <w:div w:id="114061500">
      <w:bodyDiv w:val="1"/>
      <w:marLeft w:val="0"/>
      <w:marRight w:val="0"/>
      <w:marTop w:val="0"/>
      <w:marBottom w:val="0"/>
      <w:divBdr>
        <w:top w:val="none" w:sz="0" w:space="0" w:color="auto"/>
        <w:left w:val="none" w:sz="0" w:space="0" w:color="auto"/>
        <w:bottom w:val="none" w:sz="0" w:space="0" w:color="auto"/>
        <w:right w:val="none" w:sz="0" w:space="0" w:color="auto"/>
      </w:divBdr>
    </w:div>
    <w:div w:id="190803523">
      <w:bodyDiv w:val="1"/>
      <w:marLeft w:val="0"/>
      <w:marRight w:val="0"/>
      <w:marTop w:val="0"/>
      <w:marBottom w:val="0"/>
      <w:divBdr>
        <w:top w:val="none" w:sz="0" w:space="0" w:color="auto"/>
        <w:left w:val="none" w:sz="0" w:space="0" w:color="auto"/>
        <w:bottom w:val="none" w:sz="0" w:space="0" w:color="auto"/>
        <w:right w:val="none" w:sz="0" w:space="0" w:color="auto"/>
      </w:divBdr>
    </w:div>
    <w:div w:id="238290215">
      <w:bodyDiv w:val="1"/>
      <w:marLeft w:val="0"/>
      <w:marRight w:val="0"/>
      <w:marTop w:val="0"/>
      <w:marBottom w:val="0"/>
      <w:divBdr>
        <w:top w:val="none" w:sz="0" w:space="0" w:color="auto"/>
        <w:left w:val="none" w:sz="0" w:space="0" w:color="auto"/>
        <w:bottom w:val="none" w:sz="0" w:space="0" w:color="auto"/>
        <w:right w:val="none" w:sz="0" w:space="0" w:color="auto"/>
      </w:divBdr>
    </w:div>
    <w:div w:id="243804239">
      <w:bodyDiv w:val="1"/>
      <w:marLeft w:val="0"/>
      <w:marRight w:val="0"/>
      <w:marTop w:val="0"/>
      <w:marBottom w:val="0"/>
      <w:divBdr>
        <w:top w:val="none" w:sz="0" w:space="0" w:color="auto"/>
        <w:left w:val="none" w:sz="0" w:space="0" w:color="auto"/>
        <w:bottom w:val="none" w:sz="0" w:space="0" w:color="auto"/>
        <w:right w:val="none" w:sz="0" w:space="0" w:color="auto"/>
      </w:divBdr>
    </w:div>
    <w:div w:id="249627874">
      <w:bodyDiv w:val="1"/>
      <w:marLeft w:val="0"/>
      <w:marRight w:val="0"/>
      <w:marTop w:val="0"/>
      <w:marBottom w:val="0"/>
      <w:divBdr>
        <w:top w:val="none" w:sz="0" w:space="0" w:color="auto"/>
        <w:left w:val="none" w:sz="0" w:space="0" w:color="auto"/>
        <w:bottom w:val="none" w:sz="0" w:space="0" w:color="auto"/>
        <w:right w:val="none" w:sz="0" w:space="0" w:color="auto"/>
      </w:divBdr>
    </w:div>
    <w:div w:id="335811233">
      <w:bodyDiv w:val="1"/>
      <w:marLeft w:val="0"/>
      <w:marRight w:val="0"/>
      <w:marTop w:val="0"/>
      <w:marBottom w:val="0"/>
      <w:divBdr>
        <w:top w:val="none" w:sz="0" w:space="0" w:color="auto"/>
        <w:left w:val="none" w:sz="0" w:space="0" w:color="auto"/>
        <w:bottom w:val="none" w:sz="0" w:space="0" w:color="auto"/>
        <w:right w:val="none" w:sz="0" w:space="0" w:color="auto"/>
      </w:divBdr>
    </w:div>
    <w:div w:id="347492470">
      <w:bodyDiv w:val="1"/>
      <w:marLeft w:val="0"/>
      <w:marRight w:val="0"/>
      <w:marTop w:val="0"/>
      <w:marBottom w:val="0"/>
      <w:divBdr>
        <w:top w:val="none" w:sz="0" w:space="0" w:color="auto"/>
        <w:left w:val="none" w:sz="0" w:space="0" w:color="auto"/>
        <w:bottom w:val="none" w:sz="0" w:space="0" w:color="auto"/>
        <w:right w:val="none" w:sz="0" w:space="0" w:color="auto"/>
      </w:divBdr>
    </w:div>
    <w:div w:id="385958674">
      <w:bodyDiv w:val="1"/>
      <w:marLeft w:val="0"/>
      <w:marRight w:val="0"/>
      <w:marTop w:val="0"/>
      <w:marBottom w:val="0"/>
      <w:divBdr>
        <w:top w:val="none" w:sz="0" w:space="0" w:color="auto"/>
        <w:left w:val="none" w:sz="0" w:space="0" w:color="auto"/>
        <w:bottom w:val="none" w:sz="0" w:space="0" w:color="auto"/>
        <w:right w:val="none" w:sz="0" w:space="0" w:color="auto"/>
      </w:divBdr>
    </w:div>
    <w:div w:id="424107653">
      <w:bodyDiv w:val="1"/>
      <w:marLeft w:val="0"/>
      <w:marRight w:val="0"/>
      <w:marTop w:val="0"/>
      <w:marBottom w:val="0"/>
      <w:divBdr>
        <w:top w:val="none" w:sz="0" w:space="0" w:color="auto"/>
        <w:left w:val="none" w:sz="0" w:space="0" w:color="auto"/>
        <w:bottom w:val="none" w:sz="0" w:space="0" w:color="auto"/>
        <w:right w:val="none" w:sz="0" w:space="0" w:color="auto"/>
      </w:divBdr>
    </w:div>
    <w:div w:id="429543101">
      <w:bodyDiv w:val="1"/>
      <w:marLeft w:val="0"/>
      <w:marRight w:val="0"/>
      <w:marTop w:val="0"/>
      <w:marBottom w:val="0"/>
      <w:divBdr>
        <w:top w:val="none" w:sz="0" w:space="0" w:color="auto"/>
        <w:left w:val="none" w:sz="0" w:space="0" w:color="auto"/>
        <w:bottom w:val="none" w:sz="0" w:space="0" w:color="auto"/>
        <w:right w:val="none" w:sz="0" w:space="0" w:color="auto"/>
      </w:divBdr>
    </w:div>
    <w:div w:id="483621543">
      <w:bodyDiv w:val="1"/>
      <w:marLeft w:val="0"/>
      <w:marRight w:val="0"/>
      <w:marTop w:val="0"/>
      <w:marBottom w:val="0"/>
      <w:divBdr>
        <w:top w:val="none" w:sz="0" w:space="0" w:color="auto"/>
        <w:left w:val="none" w:sz="0" w:space="0" w:color="auto"/>
        <w:bottom w:val="none" w:sz="0" w:space="0" w:color="auto"/>
        <w:right w:val="none" w:sz="0" w:space="0" w:color="auto"/>
      </w:divBdr>
    </w:div>
    <w:div w:id="486479888">
      <w:bodyDiv w:val="1"/>
      <w:marLeft w:val="0"/>
      <w:marRight w:val="0"/>
      <w:marTop w:val="0"/>
      <w:marBottom w:val="0"/>
      <w:divBdr>
        <w:top w:val="none" w:sz="0" w:space="0" w:color="auto"/>
        <w:left w:val="none" w:sz="0" w:space="0" w:color="auto"/>
        <w:bottom w:val="none" w:sz="0" w:space="0" w:color="auto"/>
        <w:right w:val="none" w:sz="0" w:space="0" w:color="auto"/>
      </w:divBdr>
    </w:div>
    <w:div w:id="518397107">
      <w:bodyDiv w:val="1"/>
      <w:marLeft w:val="0"/>
      <w:marRight w:val="0"/>
      <w:marTop w:val="0"/>
      <w:marBottom w:val="0"/>
      <w:divBdr>
        <w:top w:val="none" w:sz="0" w:space="0" w:color="auto"/>
        <w:left w:val="none" w:sz="0" w:space="0" w:color="auto"/>
        <w:bottom w:val="none" w:sz="0" w:space="0" w:color="auto"/>
        <w:right w:val="none" w:sz="0" w:space="0" w:color="auto"/>
      </w:divBdr>
    </w:div>
    <w:div w:id="538979417">
      <w:bodyDiv w:val="1"/>
      <w:marLeft w:val="0"/>
      <w:marRight w:val="0"/>
      <w:marTop w:val="0"/>
      <w:marBottom w:val="0"/>
      <w:divBdr>
        <w:top w:val="none" w:sz="0" w:space="0" w:color="auto"/>
        <w:left w:val="none" w:sz="0" w:space="0" w:color="auto"/>
        <w:bottom w:val="none" w:sz="0" w:space="0" w:color="auto"/>
        <w:right w:val="none" w:sz="0" w:space="0" w:color="auto"/>
      </w:divBdr>
    </w:div>
    <w:div w:id="545458482">
      <w:bodyDiv w:val="1"/>
      <w:marLeft w:val="0"/>
      <w:marRight w:val="0"/>
      <w:marTop w:val="0"/>
      <w:marBottom w:val="0"/>
      <w:divBdr>
        <w:top w:val="none" w:sz="0" w:space="0" w:color="auto"/>
        <w:left w:val="none" w:sz="0" w:space="0" w:color="auto"/>
        <w:bottom w:val="none" w:sz="0" w:space="0" w:color="auto"/>
        <w:right w:val="none" w:sz="0" w:space="0" w:color="auto"/>
      </w:divBdr>
    </w:div>
    <w:div w:id="560021956">
      <w:bodyDiv w:val="1"/>
      <w:marLeft w:val="0"/>
      <w:marRight w:val="0"/>
      <w:marTop w:val="0"/>
      <w:marBottom w:val="0"/>
      <w:divBdr>
        <w:top w:val="none" w:sz="0" w:space="0" w:color="auto"/>
        <w:left w:val="none" w:sz="0" w:space="0" w:color="auto"/>
        <w:bottom w:val="none" w:sz="0" w:space="0" w:color="auto"/>
        <w:right w:val="none" w:sz="0" w:space="0" w:color="auto"/>
      </w:divBdr>
    </w:div>
    <w:div w:id="562106390">
      <w:bodyDiv w:val="1"/>
      <w:marLeft w:val="0"/>
      <w:marRight w:val="0"/>
      <w:marTop w:val="0"/>
      <w:marBottom w:val="0"/>
      <w:divBdr>
        <w:top w:val="none" w:sz="0" w:space="0" w:color="auto"/>
        <w:left w:val="none" w:sz="0" w:space="0" w:color="auto"/>
        <w:bottom w:val="none" w:sz="0" w:space="0" w:color="auto"/>
        <w:right w:val="none" w:sz="0" w:space="0" w:color="auto"/>
      </w:divBdr>
    </w:div>
    <w:div w:id="591939927">
      <w:bodyDiv w:val="1"/>
      <w:marLeft w:val="0"/>
      <w:marRight w:val="0"/>
      <w:marTop w:val="0"/>
      <w:marBottom w:val="0"/>
      <w:divBdr>
        <w:top w:val="none" w:sz="0" w:space="0" w:color="auto"/>
        <w:left w:val="none" w:sz="0" w:space="0" w:color="auto"/>
        <w:bottom w:val="none" w:sz="0" w:space="0" w:color="auto"/>
        <w:right w:val="none" w:sz="0" w:space="0" w:color="auto"/>
      </w:divBdr>
    </w:div>
    <w:div w:id="618681690">
      <w:bodyDiv w:val="1"/>
      <w:marLeft w:val="0"/>
      <w:marRight w:val="0"/>
      <w:marTop w:val="0"/>
      <w:marBottom w:val="0"/>
      <w:divBdr>
        <w:top w:val="none" w:sz="0" w:space="0" w:color="auto"/>
        <w:left w:val="none" w:sz="0" w:space="0" w:color="auto"/>
        <w:bottom w:val="none" w:sz="0" w:space="0" w:color="auto"/>
        <w:right w:val="none" w:sz="0" w:space="0" w:color="auto"/>
      </w:divBdr>
    </w:div>
    <w:div w:id="653531547">
      <w:bodyDiv w:val="1"/>
      <w:marLeft w:val="0"/>
      <w:marRight w:val="0"/>
      <w:marTop w:val="0"/>
      <w:marBottom w:val="0"/>
      <w:divBdr>
        <w:top w:val="none" w:sz="0" w:space="0" w:color="auto"/>
        <w:left w:val="none" w:sz="0" w:space="0" w:color="auto"/>
        <w:bottom w:val="none" w:sz="0" w:space="0" w:color="auto"/>
        <w:right w:val="none" w:sz="0" w:space="0" w:color="auto"/>
      </w:divBdr>
    </w:div>
    <w:div w:id="661851640">
      <w:bodyDiv w:val="1"/>
      <w:marLeft w:val="0"/>
      <w:marRight w:val="0"/>
      <w:marTop w:val="0"/>
      <w:marBottom w:val="0"/>
      <w:divBdr>
        <w:top w:val="none" w:sz="0" w:space="0" w:color="auto"/>
        <w:left w:val="none" w:sz="0" w:space="0" w:color="auto"/>
        <w:bottom w:val="none" w:sz="0" w:space="0" w:color="auto"/>
        <w:right w:val="none" w:sz="0" w:space="0" w:color="auto"/>
      </w:divBdr>
    </w:div>
    <w:div w:id="686372468">
      <w:bodyDiv w:val="1"/>
      <w:marLeft w:val="0"/>
      <w:marRight w:val="0"/>
      <w:marTop w:val="0"/>
      <w:marBottom w:val="0"/>
      <w:divBdr>
        <w:top w:val="none" w:sz="0" w:space="0" w:color="auto"/>
        <w:left w:val="none" w:sz="0" w:space="0" w:color="auto"/>
        <w:bottom w:val="none" w:sz="0" w:space="0" w:color="auto"/>
        <w:right w:val="none" w:sz="0" w:space="0" w:color="auto"/>
      </w:divBdr>
    </w:div>
    <w:div w:id="704872365">
      <w:bodyDiv w:val="1"/>
      <w:marLeft w:val="0"/>
      <w:marRight w:val="0"/>
      <w:marTop w:val="0"/>
      <w:marBottom w:val="0"/>
      <w:divBdr>
        <w:top w:val="none" w:sz="0" w:space="0" w:color="auto"/>
        <w:left w:val="none" w:sz="0" w:space="0" w:color="auto"/>
        <w:bottom w:val="none" w:sz="0" w:space="0" w:color="auto"/>
        <w:right w:val="none" w:sz="0" w:space="0" w:color="auto"/>
      </w:divBdr>
    </w:div>
    <w:div w:id="705063460">
      <w:bodyDiv w:val="1"/>
      <w:marLeft w:val="0"/>
      <w:marRight w:val="0"/>
      <w:marTop w:val="0"/>
      <w:marBottom w:val="0"/>
      <w:divBdr>
        <w:top w:val="none" w:sz="0" w:space="0" w:color="auto"/>
        <w:left w:val="none" w:sz="0" w:space="0" w:color="auto"/>
        <w:bottom w:val="none" w:sz="0" w:space="0" w:color="auto"/>
        <w:right w:val="none" w:sz="0" w:space="0" w:color="auto"/>
      </w:divBdr>
    </w:div>
    <w:div w:id="709771262">
      <w:bodyDiv w:val="1"/>
      <w:marLeft w:val="0"/>
      <w:marRight w:val="0"/>
      <w:marTop w:val="0"/>
      <w:marBottom w:val="0"/>
      <w:divBdr>
        <w:top w:val="none" w:sz="0" w:space="0" w:color="auto"/>
        <w:left w:val="none" w:sz="0" w:space="0" w:color="auto"/>
        <w:bottom w:val="none" w:sz="0" w:space="0" w:color="auto"/>
        <w:right w:val="none" w:sz="0" w:space="0" w:color="auto"/>
      </w:divBdr>
    </w:div>
    <w:div w:id="714550311">
      <w:bodyDiv w:val="1"/>
      <w:marLeft w:val="0"/>
      <w:marRight w:val="0"/>
      <w:marTop w:val="0"/>
      <w:marBottom w:val="0"/>
      <w:divBdr>
        <w:top w:val="none" w:sz="0" w:space="0" w:color="auto"/>
        <w:left w:val="none" w:sz="0" w:space="0" w:color="auto"/>
        <w:bottom w:val="none" w:sz="0" w:space="0" w:color="auto"/>
        <w:right w:val="none" w:sz="0" w:space="0" w:color="auto"/>
      </w:divBdr>
    </w:div>
    <w:div w:id="718745531">
      <w:bodyDiv w:val="1"/>
      <w:marLeft w:val="0"/>
      <w:marRight w:val="0"/>
      <w:marTop w:val="0"/>
      <w:marBottom w:val="0"/>
      <w:divBdr>
        <w:top w:val="none" w:sz="0" w:space="0" w:color="auto"/>
        <w:left w:val="none" w:sz="0" w:space="0" w:color="auto"/>
        <w:bottom w:val="none" w:sz="0" w:space="0" w:color="auto"/>
        <w:right w:val="none" w:sz="0" w:space="0" w:color="auto"/>
      </w:divBdr>
    </w:div>
    <w:div w:id="727844956">
      <w:bodyDiv w:val="1"/>
      <w:marLeft w:val="0"/>
      <w:marRight w:val="0"/>
      <w:marTop w:val="0"/>
      <w:marBottom w:val="0"/>
      <w:divBdr>
        <w:top w:val="none" w:sz="0" w:space="0" w:color="auto"/>
        <w:left w:val="none" w:sz="0" w:space="0" w:color="auto"/>
        <w:bottom w:val="none" w:sz="0" w:space="0" w:color="auto"/>
        <w:right w:val="none" w:sz="0" w:space="0" w:color="auto"/>
      </w:divBdr>
    </w:div>
    <w:div w:id="741295050">
      <w:bodyDiv w:val="1"/>
      <w:marLeft w:val="0"/>
      <w:marRight w:val="0"/>
      <w:marTop w:val="0"/>
      <w:marBottom w:val="0"/>
      <w:divBdr>
        <w:top w:val="none" w:sz="0" w:space="0" w:color="auto"/>
        <w:left w:val="none" w:sz="0" w:space="0" w:color="auto"/>
        <w:bottom w:val="none" w:sz="0" w:space="0" w:color="auto"/>
        <w:right w:val="none" w:sz="0" w:space="0" w:color="auto"/>
      </w:divBdr>
    </w:div>
    <w:div w:id="744688051">
      <w:bodyDiv w:val="1"/>
      <w:marLeft w:val="0"/>
      <w:marRight w:val="0"/>
      <w:marTop w:val="0"/>
      <w:marBottom w:val="0"/>
      <w:divBdr>
        <w:top w:val="none" w:sz="0" w:space="0" w:color="auto"/>
        <w:left w:val="none" w:sz="0" w:space="0" w:color="auto"/>
        <w:bottom w:val="none" w:sz="0" w:space="0" w:color="auto"/>
        <w:right w:val="none" w:sz="0" w:space="0" w:color="auto"/>
      </w:divBdr>
    </w:div>
    <w:div w:id="756748942">
      <w:bodyDiv w:val="1"/>
      <w:marLeft w:val="0"/>
      <w:marRight w:val="0"/>
      <w:marTop w:val="0"/>
      <w:marBottom w:val="0"/>
      <w:divBdr>
        <w:top w:val="none" w:sz="0" w:space="0" w:color="auto"/>
        <w:left w:val="none" w:sz="0" w:space="0" w:color="auto"/>
        <w:bottom w:val="none" w:sz="0" w:space="0" w:color="auto"/>
        <w:right w:val="none" w:sz="0" w:space="0" w:color="auto"/>
      </w:divBdr>
    </w:div>
    <w:div w:id="757412198">
      <w:bodyDiv w:val="1"/>
      <w:marLeft w:val="0"/>
      <w:marRight w:val="0"/>
      <w:marTop w:val="0"/>
      <w:marBottom w:val="0"/>
      <w:divBdr>
        <w:top w:val="none" w:sz="0" w:space="0" w:color="auto"/>
        <w:left w:val="none" w:sz="0" w:space="0" w:color="auto"/>
        <w:bottom w:val="none" w:sz="0" w:space="0" w:color="auto"/>
        <w:right w:val="none" w:sz="0" w:space="0" w:color="auto"/>
      </w:divBdr>
    </w:div>
    <w:div w:id="770129723">
      <w:bodyDiv w:val="1"/>
      <w:marLeft w:val="0"/>
      <w:marRight w:val="0"/>
      <w:marTop w:val="0"/>
      <w:marBottom w:val="0"/>
      <w:divBdr>
        <w:top w:val="none" w:sz="0" w:space="0" w:color="auto"/>
        <w:left w:val="none" w:sz="0" w:space="0" w:color="auto"/>
        <w:bottom w:val="none" w:sz="0" w:space="0" w:color="auto"/>
        <w:right w:val="none" w:sz="0" w:space="0" w:color="auto"/>
      </w:divBdr>
    </w:div>
    <w:div w:id="791632007">
      <w:bodyDiv w:val="1"/>
      <w:marLeft w:val="0"/>
      <w:marRight w:val="0"/>
      <w:marTop w:val="0"/>
      <w:marBottom w:val="0"/>
      <w:divBdr>
        <w:top w:val="none" w:sz="0" w:space="0" w:color="auto"/>
        <w:left w:val="none" w:sz="0" w:space="0" w:color="auto"/>
        <w:bottom w:val="none" w:sz="0" w:space="0" w:color="auto"/>
        <w:right w:val="none" w:sz="0" w:space="0" w:color="auto"/>
      </w:divBdr>
    </w:div>
    <w:div w:id="793332678">
      <w:bodyDiv w:val="1"/>
      <w:marLeft w:val="0"/>
      <w:marRight w:val="0"/>
      <w:marTop w:val="0"/>
      <w:marBottom w:val="0"/>
      <w:divBdr>
        <w:top w:val="none" w:sz="0" w:space="0" w:color="auto"/>
        <w:left w:val="none" w:sz="0" w:space="0" w:color="auto"/>
        <w:bottom w:val="none" w:sz="0" w:space="0" w:color="auto"/>
        <w:right w:val="none" w:sz="0" w:space="0" w:color="auto"/>
      </w:divBdr>
    </w:div>
    <w:div w:id="801463491">
      <w:bodyDiv w:val="1"/>
      <w:marLeft w:val="0"/>
      <w:marRight w:val="0"/>
      <w:marTop w:val="0"/>
      <w:marBottom w:val="0"/>
      <w:divBdr>
        <w:top w:val="none" w:sz="0" w:space="0" w:color="auto"/>
        <w:left w:val="none" w:sz="0" w:space="0" w:color="auto"/>
        <w:bottom w:val="none" w:sz="0" w:space="0" w:color="auto"/>
        <w:right w:val="none" w:sz="0" w:space="0" w:color="auto"/>
      </w:divBdr>
    </w:div>
    <w:div w:id="820148277">
      <w:bodyDiv w:val="1"/>
      <w:marLeft w:val="0"/>
      <w:marRight w:val="0"/>
      <w:marTop w:val="0"/>
      <w:marBottom w:val="0"/>
      <w:divBdr>
        <w:top w:val="none" w:sz="0" w:space="0" w:color="auto"/>
        <w:left w:val="none" w:sz="0" w:space="0" w:color="auto"/>
        <w:bottom w:val="none" w:sz="0" w:space="0" w:color="auto"/>
        <w:right w:val="none" w:sz="0" w:space="0" w:color="auto"/>
      </w:divBdr>
    </w:div>
    <w:div w:id="822354049">
      <w:bodyDiv w:val="1"/>
      <w:marLeft w:val="0"/>
      <w:marRight w:val="0"/>
      <w:marTop w:val="0"/>
      <w:marBottom w:val="0"/>
      <w:divBdr>
        <w:top w:val="none" w:sz="0" w:space="0" w:color="auto"/>
        <w:left w:val="none" w:sz="0" w:space="0" w:color="auto"/>
        <w:bottom w:val="none" w:sz="0" w:space="0" w:color="auto"/>
        <w:right w:val="none" w:sz="0" w:space="0" w:color="auto"/>
      </w:divBdr>
    </w:div>
    <w:div w:id="858853820">
      <w:bodyDiv w:val="1"/>
      <w:marLeft w:val="0"/>
      <w:marRight w:val="0"/>
      <w:marTop w:val="0"/>
      <w:marBottom w:val="0"/>
      <w:divBdr>
        <w:top w:val="none" w:sz="0" w:space="0" w:color="auto"/>
        <w:left w:val="none" w:sz="0" w:space="0" w:color="auto"/>
        <w:bottom w:val="none" w:sz="0" w:space="0" w:color="auto"/>
        <w:right w:val="none" w:sz="0" w:space="0" w:color="auto"/>
      </w:divBdr>
    </w:div>
    <w:div w:id="878277779">
      <w:bodyDiv w:val="1"/>
      <w:marLeft w:val="0"/>
      <w:marRight w:val="0"/>
      <w:marTop w:val="0"/>
      <w:marBottom w:val="0"/>
      <w:divBdr>
        <w:top w:val="none" w:sz="0" w:space="0" w:color="auto"/>
        <w:left w:val="none" w:sz="0" w:space="0" w:color="auto"/>
        <w:bottom w:val="none" w:sz="0" w:space="0" w:color="auto"/>
        <w:right w:val="none" w:sz="0" w:space="0" w:color="auto"/>
      </w:divBdr>
    </w:div>
    <w:div w:id="916553543">
      <w:bodyDiv w:val="1"/>
      <w:marLeft w:val="0"/>
      <w:marRight w:val="0"/>
      <w:marTop w:val="0"/>
      <w:marBottom w:val="0"/>
      <w:divBdr>
        <w:top w:val="none" w:sz="0" w:space="0" w:color="auto"/>
        <w:left w:val="none" w:sz="0" w:space="0" w:color="auto"/>
        <w:bottom w:val="none" w:sz="0" w:space="0" w:color="auto"/>
        <w:right w:val="none" w:sz="0" w:space="0" w:color="auto"/>
      </w:divBdr>
    </w:div>
    <w:div w:id="924385635">
      <w:bodyDiv w:val="1"/>
      <w:marLeft w:val="0"/>
      <w:marRight w:val="0"/>
      <w:marTop w:val="0"/>
      <w:marBottom w:val="0"/>
      <w:divBdr>
        <w:top w:val="none" w:sz="0" w:space="0" w:color="auto"/>
        <w:left w:val="none" w:sz="0" w:space="0" w:color="auto"/>
        <w:bottom w:val="none" w:sz="0" w:space="0" w:color="auto"/>
        <w:right w:val="none" w:sz="0" w:space="0" w:color="auto"/>
      </w:divBdr>
    </w:div>
    <w:div w:id="957223994">
      <w:bodyDiv w:val="1"/>
      <w:marLeft w:val="0"/>
      <w:marRight w:val="0"/>
      <w:marTop w:val="0"/>
      <w:marBottom w:val="0"/>
      <w:divBdr>
        <w:top w:val="none" w:sz="0" w:space="0" w:color="auto"/>
        <w:left w:val="none" w:sz="0" w:space="0" w:color="auto"/>
        <w:bottom w:val="none" w:sz="0" w:space="0" w:color="auto"/>
        <w:right w:val="none" w:sz="0" w:space="0" w:color="auto"/>
      </w:divBdr>
    </w:div>
    <w:div w:id="1029599536">
      <w:bodyDiv w:val="1"/>
      <w:marLeft w:val="0"/>
      <w:marRight w:val="0"/>
      <w:marTop w:val="0"/>
      <w:marBottom w:val="0"/>
      <w:divBdr>
        <w:top w:val="none" w:sz="0" w:space="0" w:color="auto"/>
        <w:left w:val="none" w:sz="0" w:space="0" w:color="auto"/>
        <w:bottom w:val="none" w:sz="0" w:space="0" w:color="auto"/>
        <w:right w:val="none" w:sz="0" w:space="0" w:color="auto"/>
      </w:divBdr>
    </w:div>
    <w:div w:id="1045328249">
      <w:bodyDiv w:val="1"/>
      <w:marLeft w:val="0"/>
      <w:marRight w:val="0"/>
      <w:marTop w:val="0"/>
      <w:marBottom w:val="0"/>
      <w:divBdr>
        <w:top w:val="none" w:sz="0" w:space="0" w:color="auto"/>
        <w:left w:val="none" w:sz="0" w:space="0" w:color="auto"/>
        <w:bottom w:val="none" w:sz="0" w:space="0" w:color="auto"/>
        <w:right w:val="none" w:sz="0" w:space="0" w:color="auto"/>
      </w:divBdr>
    </w:div>
    <w:div w:id="1051811198">
      <w:bodyDiv w:val="1"/>
      <w:marLeft w:val="0"/>
      <w:marRight w:val="0"/>
      <w:marTop w:val="0"/>
      <w:marBottom w:val="0"/>
      <w:divBdr>
        <w:top w:val="none" w:sz="0" w:space="0" w:color="auto"/>
        <w:left w:val="none" w:sz="0" w:space="0" w:color="auto"/>
        <w:bottom w:val="none" w:sz="0" w:space="0" w:color="auto"/>
        <w:right w:val="none" w:sz="0" w:space="0" w:color="auto"/>
      </w:divBdr>
    </w:div>
    <w:div w:id="1084299234">
      <w:bodyDiv w:val="1"/>
      <w:marLeft w:val="0"/>
      <w:marRight w:val="0"/>
      <w:marTop w:val="0"/>
      <w:marBottom w:val="0"/>
      <w:divBdr>
        <w:top w:val="none" w:sz="0" w:space="0" w:color="auto"/>
        <w:left w:val="none" w:sz="0" w:space="0" w:color="auto"/>
        <w:bottom w:val="none" w:sz="0" w:space="0" w:color="auto"/>
        <w:right w:val="none" w:sz="0" w:space="0" w:color="auto"/>
      </w:divBdr>
    </w:div>
    <w:div w:id="1109348751">
      <w:bodyDiv w:val="1"/>
      <w:marLeft w:val="0"/>
      <w:marRight w:val="0"/>
      <w:marTop w:val="0"/>
      <w:marBottom w:val="0"/>
      <w:divBdr>
        <w:top w:val="none" w:sz="0" w:space="0" w:color="auto"/>
        <w:left w:val="none" w:sz="0" w:space="0" w:color="auto"/>
        <w:bottom w:val="none" w:sz="0" w:space="0" w:color="auto"/>
        <w:right w:val="none" w:sz="0" w:space="0" w:color="auto"/>
      </w:divBdr>
    </w:div>
    <w:div w:id="1116024615">
      <w:bodyDiv w:val="1"/>
      <w:marLeft w:val="0"/>
      <w:marRight w:val="0"/>
      <w:marTop w:val="0"/>
      <w:marBottom w:val="0"/>
      <w:divBdr>
        <w:top w:val="none" w:sz="0" w:space="0" w:color="auto"/>
        <w:left w:val="none" w:sz="0" w:space="0" w:color="auto"/>
        <w:bottom w:val="none" w:sz="0" w:space="0" w:color="auto"/>
        <w:right w:val="none" w:sz="0" w:space="0" w:color="auto"/>
      </w:divBdr>
    </w:div>
    <w:div w:id="1157914175">
      <w:bodyDiv w:val="1"/>
      <w:marLeft w:val="0"/>
      <w:marRight w:val="0"/>
      <w:marTop w:val="0"/>
      <w:marBottom w:val="0"/>
      <w:divBdr>
        <w:top w:val="none" w:sz="0" w:space="0" w:color="auto"/>
        <w:left w:val="none" w:sz="0" w:space="0" w:color="auto"/>
        <w:bottom w:val="none" w:sz="0" w:space="0" w:color="auto"/>
        <w:right w:val="none" w:sz="0" w:space="0" w:color="auto"/>
      </w:divBdr>
    </w:div>
    <w:div w:id="1169909212">
      <w:bodyDiv w:val="1"/>
      <w:marLeft w:val="0"/>
      <w:marRight w:val="0"/>
      <w:marTop w:val="0"/>
      <w:marBottom w:val="0"/>
      <w:divBdr>
        <w:top w:val="none" w:sz="0" w:space="0" w:color="auto"/>
        <w:left w:val="none" w:sz="0" w:space="0" w:color="auto"/>
        <w:bottom w:val="none" w:sz="0" w:space="0" w:color="auto"/>
        <w:right w:val="none" w:sz="0" w:space="0" w:color="auto"/>
      </w:divBdr>
    </w:div>
    <w:div w:id="1170759363">
      <w:bodyDiv w:val="1"/>
      <w:marLeft w:val="0"/>
      <w:marRight w:val="0"/>
      <w:marTop w:val="0"/>
      <w:marBottom w:val="0"/>
      <w:divBdr>
        <w:top w:val="none" w:sz="0" w:space="0" w:color="auto"/>
        <w:left w:val="none" w:sz="0" w:space="0" w:color="auto"/>
        <w:bottom w:val="none" w:sz="0" w:space="0" w:color="auto"/>
        <w:right w:val="none" w:sz="0" w:space="0" w:color="auto"/>
      </w:divBdr>
    </w:div>
    <w:div w:id="1186794640">
      <w:bodyDiv w:val="1"/>
      <w:marLeft w:val="0"/>
      <w:marRight w:val="0"/>
      <w:marTop w:val="0"/>
      <w:marBottom w:val="0"/>
      <w:divBdr>
        <w:top w:val="none" w:sz="0" w:space="0" w:color="auto"/>
        <w:left w:val="none" w:sz="0" w:space="0" w:color="auto"/>
        <w:bottom w:val="none" w:sz="0" w:space="0" w:color="auto"/>
        <w:right w:val="none" w:sz="0" w:space="0" w:color="auto"/>
      </w:divBdr>
    </w:div>
    <w:div w:id="1188445621">
      <w:bodyDiv w:val="1"/>
      <w:marLeft w:val="0"/>
      <w:marRight w:val="0"/>
      <w:marTop w:val="0"/>
      <w:marBottom w:val="0"/>
      <w:divBdr>
        <w:top w:val="none" w:sz="0" w:space="0" w:color="auto"/>
        <w:left w:val="none" w:sz="0" w:space="0" w:color="auto"/>
        <w:bottom w:val="none" w:sz="0" w:space="0" w:color="auto"/>
        <w:right w:val="none" w:sz="0" w:space="0" w:color="auto"/>
      </w:divBdr>
    </w:div>
    <w:div w:id="1221942289">
      <w:bodyDiv w:val="1"/>
      <w:marLeft w:val="0"/>
      <w:marRight w:val="0"/>
      <w:marTop w:val="0"/>
      <w:marBottom w:val="0"/>
      <w:divBdr>
        <w:top w:val="none" w:sz="0" w:space="0" w:color="auto"/>
        <w:left w:val="none" w:sz="0" w:space="0" w:color="auto"/>
        <w:bottom w:val="none" w:sz="0" w:space="0" w:color="auto"/>
        <w:right w:val="none" w:sz="0" w:space="0" w:color="auto"/>
      </w:divBdr>
    </w:div>
    <w:div w:id="1244408995">
      <w:bodyDiv w:val="1"/>
      <w:marLeft w:val="0"/>
      <w:marRight w:val="0"/>
      <w:marTop w:val="0"/>
      <w:marBottom w:val="0"/>
      <w:divBdr>
        <w:top w:val="none" w:sz="0" w:space="0" w:color="auto"/>
        <w:left w:val="none" w:sz="0" w:space="0" w:color="auto"/>
        <w:bottom w:val="none" w:sz="0" w:space="0" w:color="auto"/>
        <w:right w:val="none" w:sz="0" w:space="0" w:color="auto"/>
      </w:divBdr>
    </w:div>
    <w:div w:id="1280601403">
      <w:bodyDiv w:val="1"/>
      <w:marLeft w:val="0"/>
      <w:marRight w:val="0"/>
      <w:marTop w:val="0"/>
      <w:marBottom w:val="0"/>
      <w:divBdr>
        <w:top w:val="none" w:sz="0" w:space="0" w:color="auto"/>
        <w:left w:val="none" w:sz="0" w:space="0" w:color="auto"/>
        <w:bottom w:val="none" w:sz="0" w:space="0" w:color="auto"/>
        <w:right w:val="none" w:sz="0" w:space="0" w:color="auto"/>
      </w:divBdr>
    </w:div>
    <w:div w:id="1291325878">
      <w:bodyDiv w:val="1"/>
      <w:marLeft w:val="0"/>
      <w:marRight w:val="0"/>
      <w:marTop w:val="0"/>
      <w:marBottom w:val="0"/>
      <w:divBdr>
        <w:top w:val="none" w:sz="0" w:space="0" w:color="auto"/>
        <w:left w:val="none" w:sz="0" w:space="0" w:color="auto"/>
        <w:bottom w:val="none" w:sz="0" w:space="0" w:color="auto"/>
        <w:right w:val="none" w:sz="0" w:space="0" w:color="auto"/>
      </w:divBdr>
    </w:div>
    <w:div w:id="1298755449">
      <w:bodyDiv w:val="1"/>
      <w:marLeft w:val="0"/>
      <w:marRight w:val="0"/>
      <w:marTop w:val="0"/>
      <w:marBottom w:val="0"/>
      <w:divBdr>
        <w:top w:val="none" w:sz="0" w:space="0" w:color="auto"/>
        <w:left w:val="none" w:sz="0" w:space="0" w:color="auto"/>
        <w:bottom w:val="none" w:sz="0" w:space="0" w:color="auto"/>
        <w:right w:val="none" w:sz="0" w:space="0" w:color="auto"/>
      </w:divBdr>
    </w:div>
    <w:div w:id="1302030094">
      <w:bodyDiv w:val="1"/>
      <w:marLeft w:val="0"/>
      <w:marRight w:val="0"/>
      <w:marTop w:val="0"/>
      <w:marBottom w:val="0"/>
      <w:divBdr>
        <w:top w:val="none" w:sz="0" w:space="0" w:color="auto"/>
        <w:left w:val="none" w:sz="0" w:space="0" w:color="auto"/>
        <w:bottom w:val="none" w:sz="0" w:space="0" w:color="auto"/>
        <w:right w:val="none" w:sz="0" w:space="0" w:color="auto"/>
      </w:divBdr>
    </w:div>
    <w:div w:id="1335302534">
      <w:bodyDiv w:val="1"/>
      <w:marLeft w:val="0"/>
      <w:marRight w:val="0"/>
      <w:marTop w:val="0"/>
      <w:marBottom w:val="0"/>
      <w:divBdr>
        <w:top w:val="none" w:sz="0" w:space="0" w:color="auto"/>
        <w:left w:val="none" w:sz="0" w:space="0" w:color="auto"/>
        <w:bottom w:val="none" w:sz="0" w:space="0" w:color="auto"/>
        <w:right w:val="none" w:sz="0" w:space="0" w:color="auto"/>
      </w:divBdr>
    </w:div>
    <w:div w:id="1337221505">
      <w:bodyDiv w:val="1"/>
      <w:marLeft w:val="0"/>
      <w:marRight w:val="0"/>
      <w:marTop w:val="0"/>
      <w:marBottom w:val="0"/>
      <w:divBdr>
        <w:top w:val="none" w:sz="0" w:space="0" w:color="auto"/>
        <w:left w:val="none" w:sz="0" w:space="0" w:color="auto"/>
        <w:bottom w:val="none" w:sz="0" w:space="0" w:color="auto"/>
        <w:right w:val="none" w:sz="0" w:space="0" w:color="auto"/>
      </w:divBdr>
    </w:div>
    <w:div w:id="1339043766">
      <w:bodyDiv w:val="1"/>
      <w:marLeft w:val="0"/>
      <w:marRight w:val="0"/>
      <w:marTop w:val="0"/>
      <w:marBottom w:val="0"/>
      <w:divBdr>
        <w:top w:val="none" w:sz="0" w:space="0" w:color="auto"/>
        <w:left w:val="none" w:sz="0" w:space="0" w:color="auto"/>
        <w:bottom w:val="none" w:sz="0" w:space="0" w:color="auto"/>
        <w:right w:val="none" w:sz="0" w:space="0" w:color="auto"/>
      </w:divBdr>
    </w:div>
    <w:div w:id="1348210990">
      <w:bodyDiv w:val="1"/>
      <w:marLeft w:val="0"/>
      <w:marRight w:val="0"/>
      <w:marTop w:val="0"/>
      <w:marBottom w:val="0"/>
      <w:divBdr>
        <w:top w:val="none" w:sz="0" w:space="0" w:color="auto"/>
        <w:left w:val="none" w:sz="0" w:space="0" w:color="auto"/>
        <w:bottom w:val="none" w:sz="0" w:space="0" w:color="auto"/>
        <w:right w:val="none" w:sz="0" w:space="0" w:color="auto"/>
      </w:divBdr>
    </w:div>
    <w:div w:id="1386568861">
      <w:bodyDiv w:val="1"/>
      <w:marLeft w:val="0"/>
      <w:marRight w:val="0"/>
      <w:marTop w:val="0"/>
      <w:marBottom w:val="0"/>
      <w:divBdr>
        <w:top w:val="none" w:sz="0" w:space="0" w:color="auto"/>
        <w:left w:val="none" w:sz="0" w:space="0" w:color="auto"/>
        <w:bottom w:val="none" w:sz="0" w:space="0" w:color="auto"/>
        <w:right w:val="none" w:sz="0" w:space="0" w:color="auto"/>
      </w:divBdr>
    </w:div>
    <w:div w:id="1414472510">
      <w:bodyDiv w:val="1"/>
      <w:marLeft w:val="0"/>
      <w:marRight w:val="0"/>
      <w:marTop w:val="0"/>
      <w:marBottom w:val="0"/>
      <w:divBdr>
        <w:top w:val="none" w:sz="0" w:space="0" w:color="auto"/>
        <w:left w:val="none" w:sz="0" w:space="0" w:color="auto"/>
        <w:bottom w:val="none" w:sz="0" w:space="0" w:color="auto"/>
        <w:right w:val="none" w:sz="0" w:space="0" w:color="auto"/>
      </w:divBdr>
    </w:div>
    <w:div w:id="1424105734">
      <w:bodyDiv w:val="1"/>
      <w:marLeft w:val="0"/>
      <w:marRight w:val="0"/>
      <w:marTop w:val="0"/>
      <w:marBottom w:val="0"/>
      <w:divBdr>
        <w:top w:val="none" w:sz="0" w:space="0" w:color="auto"/>
        <w:left w:val="none" w:sz="0" w:space="0" w:color="auto"/>
        <w:bottom w:val="none" w:sz="0" w:space="0" w:color="auto"/>
        <w:right w:val="none" w:sz="0" w:space="0" w:color="auto"/>
      </w:divBdr>
    </w:div>
    <w:div w:id="1446193434">
      <w:bodyDiv w:val="1"/>
      <w:marLeft w:val="0"/>
      <w:marRight w:val="0"/>
      <w:marTop w:val="0"/>
      <w:marBottom w:val="0"/>
      <w:divBdr>
        <w:top w:val="none" w:sz="0" w:space="0" w:color="auto"/>
        <w:left w:val="none" w:sz="0" w:space="0" w:color="auto"/>
        <w:bottom w:val="none" w:sz="0" w:space="0" w:color="auto"/>
        <w:right w:val="none" w:sz="0" w:space="0" w:color="auto"/>
      </w:divBdr>
    </w:div>
    <w:div w:id="1497570701">
      <w:bodyDiv w:val="1"/>
      <w:marLeft w:val="0"/>
      <w:marRight w:val="0"/>
      <w:marTop w:val="0"/>
      <w:marBottom w:val="0"/>
      <w:divBdr>
        <w:top w:val="none" w:sz="0" w:space="0" w:color="auto"/>
        <w:left w:val="none" w:sz="0" w:space="0" w:color="auto"/>
        <w:bottom w:val="none" w:sz="0" w:space="0" w:color="auto"/>
        <w:right w:val="none" w:sz="0" w:space="0" w:color="auto"/>
      </w:divBdr>
    </w:div>
    <w:div w:id="1520777354">
      <w:bodyDiv w:val="1"/>
      <w:marLeft w:val="0"/>
      <w:marRight w:val="0"/>
      <w:marTop w:val="0"/>
      <w:marBottom w:val="0"/>
      <w:divBdr>
        <w:top w:val="none" w:sz="0" w:space="0" w:color="auto"/>
        <w:left w:val="none" w:sz="0" w:space="0" w:color="auto"/>
        <w:bottom w:val="none" w:sz="0" w:space="0" w:color="auto"/>
        <w:right w:val="none" w:sz="0" w:space="0" w:color="auto"/>
      </w:divBdr>
    </w:div>
    <w:div w:id="1523738296">
      <w:bodyDiv w:val="1"/>
      <w:marLeft w:val="0"/>
      <w:marRight w:val="0"/>
      <w:marTop w:val="0"/>
      <w:marBottom w:val="0"/>
      <w:divBdr>
        <w:top w:val="none" w:sz="0" w:space="0" w:color="auto"/>
        <w:left w:val="none" w:sz="0" w:space="0" w:color="auto"/>
        <w:bottom w:val="none" w:sz="0" w:space="0" w:color="auto"/>
        <w:right w:val="none" w:sz="0" w:space="0" w:color="auto"/>
      </w:divBdr>
    </w:div>
    <w:div w:id="1573348579">
      <w:bodyDiv w:val="1"/>
      <w:marLeft w:val="0"/>
      <w:marRight w:val="0"/>
      <w:marTop w:val="0"/>
      <w:marBottom w:val="0"/>
      <w:divBdr>
        <w:top w:val="none" w:sz="0" w:space="0" w:color="auto"/>
        <w:left w:val="none" w:sz="0" w:space="0" w:color="auto"/>
        <w:bottom w:val="none" w:sz="0" w:space="0" w:color="auto"/>
        <w:right w:val="none" w:sz="0" w:space="0" w:color="auto"/>
      </w:divBdr>
    </w:div>
    <w:div w:id="1605378782">
      <w:bodyDiv w:val="1"/>
      <w:marLeft w:val="0"/>
      <w:marRight w:val="0"/>
      <w:marTop w:val="0"/>
      <w:marBottom w:val="0"/>
      <w:divBdr>
        <w:top w:val="none" w:sz="0" w:space="0" w:color="auto"/>
        <w:left w:val="none" w:sz="0" w:space="0" w:color="auto"/>
        <w:bottom w:val="none" w:sz="0" w:space="0" w:color="auto"/>
        <w:right w:val="none" w:sz="0" w:space="0" w:color="auto"/>
      </w:divBdr>
    </w:div>
    <w:div w:id="1607542202">
      <w:bodyDiv w:val="1"/>
      <w:marLeft w:val="0"/>
      <w:marRight w:val="0"/>
      <w:marTop w:val="0"/>
      <w:marBottom w:val="0"/>
      <w:divBdr>
        <w:top w:val="none" w:sz="0" w:space="0" w:color="auto"/>
        <w:left w:val="none" w:sz="0" w:space="0" w:color="auto"/>
        <w:bottom w:val="none" w:sz="0" w:space="0" w:color="auto"/>
        <w:right w:val="none" w:sz="0" w:space="0" w:color="auto"/>
      </w:divBdr>
    </w:div>
    <w:div w:id="1615868320">
      <w:bodyDiv w:val="1"/>
      <w:marLeft w:val="0"/>
      <w:marRight w:val="0"/>
      <w:marTop w:val="0"/>
      <w:marBottom w:val="0"/>
      <w:divBdr>
        <w:top w:val="none" w:sz="0" w:space="0" w:color="auto"/>
        <w:left w:val="none" w:sz="0" w:space="0" w:color="auto"/>
        <w:bottom w:val="none" w:sz="0" w:space="0" w:color="auto"/>
        <w:right w:val="none" w:sz="0" w:space="0" w:color="auto"/>
      </w:divBdr>
    </w:div>
    <w:div w:id="1619483697">
      <w:bodyDiv w:val="1"/>
      <w:marLeft w:val="0"/>
      <w:marRight w:val="0"/>
      <w:marTop w:val="0"/>
      <w:marBottom w:val="0"/>
      <w:divBdr>
        <w:top w:val="none" w:sz="0" w:space="0" w:color="auto"/>
        <w:left w:val="none" w:sz="0" w:space="0" w:color="auto"/>
        <w:bottom w:val="none" w:sz="0" w:space="0" w:color="auto"/>
        <w:right w:val="none" w:sz="0" w:space="0" w:color="auto"/>
      </w:divBdr>
    </w:div>
    <w:div w:id="1675110410">
      <w:bodyDiv w:val="1"/>
      <w:marLeft w:val="0"/>
      <w:marRight w:val="0"/>
      <w:marTop w:val="0"/>
      <w:marBottom w:val="0"/>
      <w:divBdr>
        <w:top w:val="none" w:sz="0" w:space="0" w:color="auto"/>
        <w:left w:val="none" w:sz="0" w:space="0" w:color="auto"/>
        <w:bottom w:val="none" w:sz="0" w:space="0" w:color="auto"/>
        <w:right w:val="none" w:sz="0" w:space="0" w:color="auto"/>
      </w:divBdr>
    </w:div>
    <w:div w:id="1689139423">
      <w:bodyDiv w:val="1"/>
      <w:marLeft w:val="0"/>
      <w:marRight w:val="0"/>
      <w:marTop w:val="0"/>
      <w:marBottom w:val="0"/>
      <w:divBdr>
        <w:top w:val="none" w:sz="0" w:space="0" w:color="auto"/>
        <w:left w:val="none" w:sz="0" w:space="0" w:color="auto"/>
        <w:bottom w:val="none" w:sz="0" w:space="0" w:color="auto"/>
        <w:right w:val="none" w:sz="0" w:space="0" w:color="auto"/>
      </w:divBdr>
    </w:div>
    <w:div w:id="1697001656">
      <w:bodyDiv w:val="1"/>
      <w:marLeft w:val="0"/>
      <w:marRight w:val="0"/>
      <w:marTop w:val="0"/>
      <w:marBottom w:val="0"/>
      <w:divBdr>
        <w:top w:val="none" w:sz="0" w:space="0" w:color="auto"/>
        <w:left w:val="none" w:sz="0" w:space="0" w:color="auto"/>
        <w:bottom w:val="none" w:sz="0" w:space="0" w:color="auto"/>
        <w:right w:val="none" w:sz="0" w:space="0" w:color="auto"/>
      </w:divBdr>
    </w:div>
    <w:div w:id="1701197495">
      <w:bodyDiv w:val="1"/>
      <w:marLeft w:val="0"/>
      <w:marRight w:val="0"/>
      <w:marTop w:val="0"/>
      <w:marBottom w:val="0"/>
      <w:divBdr>
        <w:top w:val="none" w:sz="0" w:space="0" w:color="auto"/>
        <w:left w:val="none" w:sz="0" w:space="0" w:color="auto"/>
        <w:bottom w:val="none" w:sz="0" w:space="0" w:color="auto"/>
        <w:right w:val="none" w:sz="0" w:space="0" w:color="auto"/>
      </w:divBdr>
    </w:div>
    <w:div w:id="1720743782">
      <w:bodyDiv w:val="1"/>
      <w:marLeft w:val="0"/>
      <w:marRight w:val="0"/>
      <w:marTop w:val="0"/>
      <w:marBottom w:val="0"/>
      <w:divBdr>
        <w:top w:val="none" w:sz="0" w:space="0" w:color="auto"/>
        <w:left w:val="none" w:sz="0" w:space="0" w:color="auto"/>
        <w:bottom w:val="none" w:sz="0" w:space="0" w:color="auto"/>
        <w:right w:val="none" w:sz="0" w:space="0" w:color="auto"/>
      </w:divBdr>
    </w:div>
    <w:div w:id="1725333340">
      <w:bodyDiv w:val="1"/>
      <w:marLeft w:val="0"/>
      <w:marRight w:val="0"/>
      <w:marTop w:val="0"/>
      <w:marBottom w:val="0"/>
      <w:divBdr>
        <w:top w:val="none" w:sz="0" w:space="0" w:color="auto"/>
        <w:left w:val="none" w:sz="0" w:space="0" w:color="auto"/>
        <w:bottom w:val="none" w:sz="0" w:space="0" w:color="auto"/>
        <w:right w:val="none" w:sz="0" w:space="0" w:color="auto"/>
      </w:divBdr>
    </w:div>
    <w:div w:id="1748335379">
      <w:bodyDiv w:val="1"/>
      <w:marLeft w:val="0"/>
      <w:marRight w:val="0"/>
      <w:marTop w:val="0"/>
      <w:marBottom w:val="0"/>
      <w:divBdr>
        <w:top w:val="none" w:sz="0" w:space="0" w:color="auto"/>
        <w:left w:val="none" w:sz="0" w:space="0" w:color="auto"/>
        <w:bottom w:val="none" w:sz="0" w:space="0" w:color="auto"/>
        <w:right w:val="none" w:sz="0" w:space="0" w:color="auto"/>
      </w:divBdr>
    </w:div>
    <w:div w:id="1762025842">
      <w:bodyDiv w:val="1"/>
      <w:marLeft w:val="0"/>
      <w:marRight w:val="0"/>
      <w:marTop w:val="0"/>
      <w:marBottom w:val="0"/>
      <w:divBdr>
        <w:top w:val="none" w:sz="0" w:space="0" w:color="auto"/>
        <w:left w:val="none" w:sz="0" w:space="0" w:color="auto"/>
        <w:bottom w:val="none" w:sz="0" w:space="0" w:color="auto"/>
        <w:right w:val="none" w:sz="0" w:space="0" w:color="auto"/>
      </w:divBdr>
    </w:div>
    <w:div w:id="1779368289">
      <w:bodyDiv w:val="1"/>
      <w:marLeft w:val="0"/>
      <w:marRight w:val="0"/>
      <w:marTop w:val="0"/>
      <w:marBottom w:val="0"/>
      <w:divBdr>
        <w:top w:val="none" w:sz="0" w:space="0" w:color="auto"/>
        <w:left w:val="none" w:sz="0" w:space="0" w:color="auto"/>
        <w:bottom w:val="none" w:sz="0" w:space="0" w:color="auto"/>
        <w:right w:val="none" w:sz="0" w:space="0" w:color="auto"/>
      </w:divBdr>
    </w:div>
    <w:div w:id="1805199640">
      <w:bodyDiv w:val="1"/>
      <w:marLeft w:val="0"/>
      <w:marRight w:val="0"/>
      <w:marTop w:val="0"/>
      <w:marBottom w:val="0"/>
      <w:divBdr>
        <w:top w:val="none" w:sz="0" w:space="0" w:color="auto"/>
        <w:left w:val="none" w:sz="0" w:space="0" w:color="auto"/>
        <w:bottom w:val="none" w:sz="0" w:space="0" w:color="auto"/>
        <w:right w:val="none" w:sz="0" w:space="0" w:color="auto"/>
      </w:divBdr>
    </w:div>
    <w:div w:id="1827740753">
      <w:bodyDiv w:val="1"/>
      <w:marLeft w:val="0"/>
      <w:marRight w:val="0"/>
      <w:marTop w:val="0"/>
      <w:marBottom w:val="0"/>
      <w:divBdr>
        <w:top w:val="none" w:sz="0" w:space="0" w:color="auto"/>
        <w:left w:val="none" w:sz="0" w:space="0" w:color="auto"/>
        <w:bottom w:val="none" w:sz="0" w:space="0" w:color="auto"/>
        <w:right w:val="none" w:sz="0" w:space="0" w:color="auto"/>
      </w:divBdr>
    </w:div>
    <w:div w:id="1839733609">
      <w:bodyDiv w:val="1"/>
      <w:marLeft w:val="0"/>
      <w:marRight w:val="0"/>
      <w:marTop w:val="0"/>
      <w:marBottom w:val="0"/>
      <w:divBdr>
        <w:top w:val="none" w:sz="0" w:space="0" w:color="auto"/>
        <w:left w:val="none" w:sz="0" w:space="0" w:color="auto"/>
        <w:bottom w:val="none" w:sz="0" w:space="0" w:color="auto"/>
        <w:right w:val="none" w:sz="0" w:space="0" w:color="auto"/>
      </w:divBdr>
    </w:div>
    <w:div w:id="1848009710">
      <w:bodyDiv w:val="1"/>
      <w:marLeft w:val="0"/>
      <w:marRight w:val="0"/>
      <w:marTop w:val="0"/>
      <w:marBottom w:val="0"/>
      <w:divBdr>
        <w:top w:val="none" w:sz="0" w:space="0" w:color="auto"/>
        <w:left w:val="none" w:sz="0" w:space="0" w:color="auto"/>
        <w:bottom w:val="none" w:sz="0" w:space="0" w:color="auto"/>
        <w:right w:val="none" w:sz="0" w:space="0" w:color="auto"/>
      </w:divBdr>
    </w:div>
    <w:div w:id="1873027897">
      <w:bodyDiv w:val="1"/>
      <w:marLeft w:val="0"/>
      <w:marRight w:val="0"/>
      <w:marTop w:val="0"/>
      <w:marBottom w:val="0"/>
      <w:divBdr>
        <w:top w:val="none" w:sz="0" w:space="0" w:color="auto"/>
        <w:left w:val="none" w:sz="0" w:space="0" w:color="auto"/>
        <w:bottom w:val="none" w:sz="0" w:space="0" w:color="auto"/>
        <w:right w:val="none" w:sz="0" w:space="0" w:color="auto"/>
      </w:divBdr>
    </w:div>
    <w:div w:id="1895577033">
      <w:bodyDiv w:val="1"/>
      <w:marLeft w:val="0"/>
      <w:marRight w:val="0"/>
      <w:marTop w:val="0"/>
      <w:marBottom w:val="0"/>
      <w:divBdr>
        <w:top w:val="none" w:sz="0" w:space="0" w:color="auto"/>
        <w:left w:val="none" w:sz="0" w:space="0" w:color="auto"/>
        <w:bottom w:val="none" w:sz="0" w:space="0" w:color="auto"/>
        <w:right w:val="none" w:sz="0" w:space="0" w:color="auto"/>
      </w:divBdr>
    </w:div>
    <w:div w:id="1948074217">
      <w:bodyDiv w:val="1"/>
      <w:marLeft w:val="0"/>
      <w:marRight w:val="0"/>
      <w:marTop w:val="0"/>
      <w:marBottom w:val="0"/>
      <w:divBdr>
        <w:top w:val="none" w:sz="0" w:space="0" w:color="auto"/>
        <w:left w:val="none" w:sz="0" w:space="0" w:color="auto"/>
        <w:bottom w:val="none" w:sz="0" w:space="0" w:color="auto"/>
        <w:right w:val="none" w:sz="0" w:space="0" w:color="auto"/>
      </w:divBdr>
    </w:div>
    <w:div w:id="1961915078">
      <w:bodyDiv w:val="1"/>
      <w:marLeft w:val="0"/>
      <w:marRight w:val="0"/>
      <w:marTop w:val="0"/>
      <w:marBottom w:val="0"/>
      <w:divBdr>
        <w:top w:val="none" w:sz="0" w:space="0" w:color="auto"/>
        <w:left w:val="none" w:sz="0" w:space="0" w:color="auto"/>
        <w:bottom w:val="none" w:sz="0" w:space="0" w:color="auto"/>
        <w:right w:val="none" w:sz="0" w:space="0" w:color="auto"/>
      </w:divBdr>
    </w:div>
    <w:div w:id="1969239258">
      <w:bodyDiv w:val="1"/>
      <w:marLeft w:val="0"/>
      <w:marRight w:val="0"/>
      <w:marTop w:val="0"/>
      <w:marBottom w:val="0"/>
      <w:divBdr>
        <w:top w:val="none" w:sz="0" w:space="0" w:color="auto"/>
        <w:left w:val="none" w:sz="0" w:space="0" w:color="auto"/>
        <w:bottom w:val="none" w:sz="0" w:space="0" w:color="auto"/>
        <w:right w:val="none" w:sz="0" w:space="0" w:color="auto"/>
      </w:divBdr>
    </w:div>
    <w:div w:id="2018772596">
      <w:bodyDiv w:val="1"/>
      <w:marLeft w:val="0"/>
      <w:marRight w:val="0"/>
      <w:marTop w:val="0"/>
      <w:marBottom w:val="0"/>
      <w:divBdr>
        <w:top w:val="none" w:sz="0" w:space="0" w:color="auto"/>
        <w:left w:val="none" w:sz="0" w:space="0" w:color="auto"/>
        <w:bottom w:val="none" w:sz="0" w:space="0" w:color="auto"/>
        <w:right w:val="none" w:sz="0" w:space="0" w:color="auto"/>
      </w:divBdr>
    </w:div>
    <w:div w:id="2027978491">
      <w:bodyDiv w:val="1"/>
      <w:marLeft w:val="0"/>
      <w:marRight w:val="0"/>
      <w:marTop w:val="0"/>
      <w:marBottom w:val="0"/>
      <w:divBdr>
        <w:top w:val="none" w:sz="0" w:space="0" w:color="auto"/>
        <w:left w:val="none" w:sz="0" w:space="0" w:color="auto"/>
        <w:bottom w:val="none" w:sz="0" w:space="0" w:color="auto"/>
        <w:right w:val="none" w:sz="0" w:space="0" w:color="auto"/>
      </w:divBdr>
    </w:div>
    <w:div w:id="2041465830">
      <w:bodyDiv w:val="1"/>
      <w:marLeft w:val="0"/>
      <w:marRight w:val="0"/>
      <w:marTop w:val="0"/>
      <w:marBottom w:val="0"/>
      <w:divBdr>
        <w:top w:val="none" w:sz="0" w:space="0" w:color="auto"/>
        <w:left w:val="none" w:sz="0" w:space="0" w:color="auto"/>
        <w:bottom w:val="none" w:sz="0" w:space="0" w:color="auto"/>
        <w:right w:val="none" w:sz="0" w:space="0" w:color="auto"/>
      </w:divBdr>
    </w:div>
    <w:div w:id="2060394629">
      <w:bodyDiv w:val="1"/>
      <w:marLeft w:val="0"/>
      <w:marRight w:val="0"/>
      <w:marTop w:val="0"/>
      <w:marBottom w:val="0"/>
      <w:divBdr>
        <w:top w:val="none" w:sz="0" w:space="0" w:color="auto"/>
        <w:left w:val="none" w:sz="0" w:space="0" w:color="auto"/>
        <w:bottom w:val="none" w:sz="0" w:space="0" w:color="auto"/>
        <w:right w:val="none" w:sz="0" w:space="0" w:color="auto"/>
      </w:divBdr>
    </w:div>
    <w:div w:id="2077437750">
      <w:bodyDiv w:val="1"/>
      <w:marLeft w:val="0"/>
      <w:marRight w:val="0"/>
      <w:marTop w:val="0"/>
      <w:marBottom w:val="0"/>
      <w:divBdr>
        <w:top w:val="none" w:sz="0" w:space="0" w:color="auto"/>
        <w:left w:val="none" w:sz="0" w:space="0" w:color="auto"/>
        <w:bottom w:val="none" w:sz="0" w:space="0" w:color="auto"/>
        <w:right w:val="none" w:sz="0" w:space="0" w:color="auto"/>
      </w:divBdr>
    </w:div>
    <w:div w:id="2117749321">
      <w:bodyDiv w:val="1"/>
      <w:marLeft w:val="0"/>
      <w:marRight w:val="0"/>
      <w:marTop w:val="0"/>
      <w:marBottom w:val="0"/>
      <w:divBdr>
        <w:top w:val="none" w:sz="0" w:space="0" w:color="auto"/>
        <w:left w:val="none" w:sz="0" w:space="0" w:color="auto"/>
        <w:bottom w:val="none" w:sz="0" w:space="0" w:color="auto"/>
        <w:right w:val="none" w:sz="0" w:space="0" w:color="auto"/>
      </w:divBdr>
    </w:div>
    <w:div w:id="2122917593">
      <w:bodyDiv w:val="1"/>
      <w:marLeft w:val="0"/>
      <w:marRight w:val="0"/>
      <w:marTop w:val="0"/>
      <w:marBottom w:val="0"/>
      <w:divBdr>
        <w:top w:val="none" w:sz="0" w:space="0" w:color="auto"/>
        <w:left w:val="none" w:sz="0" w:space="0" w:color="auto"/>
        <w:bottom w:val="none" w:sz="0" w:space="0" w:color="auto"/>
        <w:right w:val="none" w:sz="0" w:space="0" w:color="auto"/>
      </w:divBdr>
    </w:div>
    <w:div w:id="2123452230">
      <w:bodyDiv w:val="1"/>
      <w:marLeft w:val="0"/>
      <w:marRight w:val="0"/>
      <w:marTop w:val="0"/>
      <w:marBottom w:val="0"/>
      <w:divBdr>
        <w:top w:val="none" w:sz="0" w:space="0" w:color="auto"/>
        <w:left w:val="none" w:sz="0" w:space="0" w:color="auto"/>
        <w:bottom w:val="none" w:sz="0" w:space="0" w:color="auto"/>
        <w:right w:val="none" w:sz="0" w:space="0" w:color="auto"/>
      </w:divBdr>
    </w:div>
    <w:div w:id="2128114743">
      <w:bodyDiv w:val="1"/>
      <w:marLeft w:val="0"/>
      <w:marRight w:val="0"/>
      <w:marTop w:val="0"/>
      <w:marBottom w:val="0"/>
      <w:divBdr>
        <w:top w:val="none" w:sz="0" w:space="0" w:color="auto"/>
        <w:left w:val="none" w:sz="0" w:space="0" w:color="auto"/>
        <w:bottom w:val="none" w:sz="0" w:space="0" w:color="auto"/>
        <w:right w:val="none" w:sz="0" w:space="0" w:color="auto"/>
      </w:divBdr>
    </w:div>
    <w:div w:id="2143111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Bra14</b:Tag>
    <b:SourceType>Book</b:SourceType>
    <b:Guid>{E17CB2A1-97AD-4BC5-9A11-B46A25B90B16}</b:Guid>
    <b:Author>
      <b:Author>
        <b:NameList>
          <b:Person>
            <b:Last>Bray</b:Last>
            <b:First>Judith</b:First>
          </b:Person>
        </b:NameList>
      </b:Author>
    </b:Author>
    <b:Title>Land Law: key facts key cases</b:Title>
    <b:Year>2014</b:Year>
    <b:City>New York</b:City>
    <b:Publisher>Routledge</b:Publisher>
    <b:RefOrder>1</b:RefOrder>
  </b:Source>
  <b:Source>
    <b:Tag>Dix18</b:Tag>
    <b:SourceType>Book</b:SourceType>
    <b:Guid>{FDCCDD76-99D6-4920-8AD4-62D7B62F8C9A}</b:Guid>
    <b:Author>
      <b:Author>
        <b:NameList>
          <b:Person>
            <b:Last>Dixon</b:Last>
            <b:First>Martin</b:First>
          </b:Person>
        </b:NameList>
      </b:Author>
    </b:Author>
    <b:Title>Modern Land Law</b:Title>
    <b:Year>2018</b:Year>
    <b:City>Oxon</b:City>
    <b:Publisher>Routledge</b:Publisher>
    <b:Edition>11th</b:Edition>
    <b:RefOrder>2</b:RefOrder>
  </b:Source>
  <b:Source>
    <b:Tag>Gra111</b:Tag>
    <b:SourceType>Book</b:SourceType>
    <b:Guid>{BA0F8219-6F03-4BB6-8C27-412635A6E196}</b:Guid>
    <b:Author>
      <b:Author>
        <b:NameList>
          <b:Person>
            <b:Last>Gray</b:Last>
            <b:First>Kevin</b:First>
          </b:Person>
          <b:Person>
            <b:Last>Gray</b:Last>
            <b:First>Susan</b:First>
          </b:Person>
        </b:NameList>
      </b:Author>
    </b:Author>
    <b:Title>Land law</b:Title>
    <b:Year>2011</b:Year>
    <b:City>Oxford</b:City>
    <b:Publisher>Oxford university press</b:Publisher>
    <b:Edition>7th</b:Edition>
    <b:RefOrder>3</b:RefOrder>
  </b:Source>
  <b:Source>
    <b:Tag>Mac12</b:Tag>
    <b:SourceType>Book</b:SourceType>
    <b:Guid>{A11694F2-BA7B-46AF-8FB6-1EFDF04009C5}</b:Guid>
    <b:Author>
      <b:Author>
        <b:NameList>
          <b:Person>
            <b:Last>MacKenzie</b:Last>
            <b:First>Judith-Anne</b:First>
          </b:Person>
          <b:Person>
            <b:Last>Philips</b:Last>
            <b:First>Mary</b:First>
          </b:Person>
        </b:NameList>
      </b:Author>
    </b:Author>
    <b:Title>Land law</b:Title>
    <b:Year>2012</b:Year>
    <b:City>Oxford</b:City>
    <b:Publisher>Oxford university press</b:Publisher>
    <b:Edition>14th</b:Edition>
    <b:RefOrder>4</b:RefOrder>
  </b:Source>
  <b:Source>
    <b:Tag>Bev20</b:Tag>
    <b:SourceType>Book</b:SourceType>
    <b:Guid>{F8B7AC0E-5C57-40B9-8AD9-BAE742B29DE4}</b:Guid>
    <b:Author>
      <b:Author>
        <b:NameList>
          <b:Person>
            <b:Last>Bevan</b:Last>
            <b:First>Chris</b:First>
          </b:Person>
        </b:NameList>
      </b:Author>
    </b:Author>
    <b:Title>Land Law</b:Title>
    <b:Year>2020</b:Year>
    <b:City>Oxford</b:City>
    <b:Publisher>Oxford university press</b:Publisher>
    <b:Edition>2nd</b:Edition>
    <b:RefOrder>5</b:RefOrder>
  </b:Source>
  <b:Source>
    <b:Tag>Bog19</b:Tag>
    <b:SourceType>Book</b:SourceType>
    <b:Guid>{916EA981-FAA8-4BB4-8506-E2D0A29CD305}</b:Guid>
    <b:Author>
      <b:Author>
        <b:NameList>
          <b:Person>
            <b:Last>Bogusz</b:Last>
            <b:First>Barbara</b:First>
          </b:Person>
          <b:Person>
            <b:Last>Roger</b:Last>
            <b:First>Sexton</b:First>
          </b:Person>
        </b:NameList>
      </b:Author>
    </b:Author>
    <b:Title>Complete Land Law: Text, Cases, and Materials</b:Title>
    <b:Year>2019</b:Year>
    <b:City>Oxford</b:City>
    <b:Publisher>Oxford University Press</b:Publisher>
    <b:Edition>6th</b:Edition>
    <b:RefOrder>6</b:RefOrder>
  </b:Source>
  <b:Source>
    <b:Tag>DOW03</b:Tag>
    <b:SourceType>JournalArticle</b:SourceType>
    <b:Guid>{F91EA60F-A3E6-41C2-8E66-E509F50A918A}</b:Guid>
    <b:Title>THE DOCTRINE OF LOST MODERN GRANT</b:Title>
    <b:Year>2003</b:Year>
    <b:Author>
      <b:Author>
        <b:NameList>
          <b:Person>
            <b:Last>DOWLING</b:Last>
            <b:First>ALAN</b:First>
          </b:Person>
        </b:NameList>
      </b:Author>
    </b:Author>
    <b:JournalName>Irish Jurist</b:JournalName>
    <b:Pages>225–262</b:Pages>
    <b:Volume>38</b:Volume>
    <b:RefOrder>7</b:RefOrder>
  </b:Source>
</b:Sources>
</file>

<file path=customXml/itemProps1.xml><?xml version="1.0" encoding="utf-8"?>
<ds:datastoreItem xmlns:ds="http://schemas.openxmlformats.org/officeDocument/2006/customXml" ds:itemID="{04F3C910-5DB7-4BFD-B645-183FEE1EF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9</Pages>
  <Words>1818</Words>
  <Characters>10369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Emyr Harries (1801259)</dc:creator>
  <cp:keywords/>
  <dc:description/>
  <cp:lastModifiedBy>Emyr Harries</cp:lastModifiedBy>
  <cp:revision>4</cp:revision>
  <dcterms:created xsi:type="dcterms:W3CDTF">2022-03-31T23:33:00Z</dcterms:created>
  <dcterms:modified xsi:type="dcterms:W3CDTF">2022-04-08T17:18:00Z</dcterms:modified>
</cp:coreProperties>
</file>