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3723D9" w14:textId="77777777" w:rsidR="00CF29C4" w:rsidRDefault="004D0F98" w:rsidP="00CF29C4">
      <w:pPr>
        <w:spacing w:line="360" w:lineRule="auto"/>
        <w:jc w:val="center"/>
        <w:rPr>
          <w:rFonts w:ascii="Arial" w:hAnsi="Arial" w:cs="Arial"/>
          <w:b/>
          <w:bCs/>
          <w:sz w:val="52"/>
          <w:szCs w:val="52"/>
        </w:rPr>
      </w:pPr>
      <w:r w:rsidRPr="004D0F98">
        <w:rPr>
          <w:rFonts w:ascii="Arial" w:hAnsi="Arial" w:cs="Arial"/>
          <w:b/>
          <w:bCs/>
          <w:sz w:val="52"/>
          <w:szCs w:val="52"/>
        </w:rPr>
        <w:t xml:space="preserve">Managing Marketing Change in the Digital Era: A Critical Evaluation of the Marketing Function at </w:t>
      </w:r>
    </w:p>
    <w:p w14:paraId="1818AED7" w14:textId="750B8D42" w:rsidR="004D0F98" w:rsidRPr="00CF29C4" w:rsidRDefault="004D0F98" w:rsidP="00CF29C4">
      <w:pPr>
        <w:spacing w:line="360" w:lineRule="auto"/>
        <w:jc w:val="center"/>
        <w:rPr>
          <w:rFonts w:ascii="Arial" w:hAnsi="Arial" w:cs="Arial"/>
          <w:b/>
          <w:bCs/>
          <w:sz w:val="52"/>
          <w:szCs w:val="52"/>
        </w:rPr>
      </w:pPr>
      <w:r w:rsidRPr="004D0F98">
        <w:rPr>
          <w:rFonts w:ascii="Arial" w:hAnsi="Arial" w:cs="Arial"/>
          <w:b/>
          <w:bCs/>
          <w:sz w:val="52"/>
          <w:szCs w:val="52"/>
        </w:rPr>
        <w:t>Celebrity Cruises</w:t>
      </w:r>
    </w:p>
    <w:p w14:paraId="691200E2" w14:textId="537D938D" w:rsidR="00CF29C4" w:rsidRDefault="007E438B" w:rsidP="004D0F98">
      <w:pPr>
        <w:spacing w:line="360" w:lineRule="auto"/>
        <w:jc w:val="both"/>
        <w:rPr>
          <w:rFonts w:ascii="Arial" w:hAnsi="Arial" w:cs="Arial"/>
          <w:b/>
          <w:bCs/>
          <w:sz w:val="44"/>
          <w:szCs w:val="44"/>
        </w:rPr>
      </w:pPr>
      <w:r>
        <w:rPr>
          <w:rFonts w:ascii="Arial" w:hAnsi="Arial" w:cs="Arial"/>
          <w:b/>
          <w:bCs/>
          <w:noProof/>
          <w:sz w:val="44"/>
          <w:szCs w:val="44"/>
        </w:rPr>
        <w:drawing>
          <wp:inline distT="0" distB="0" distL="0" distR="0" wp14:anchorId="13926357" wp14:editId="5E1BC302">
            <wp:extent cx="5731510" cy="2865755"/>
            <wp:effectExtent l="0" t="0" r="2540" b="0"/>
            <wp:docPr id="407234151" name="Picture 1" descr="A logo of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234151" name="Picture 1" descr="A logo of a university&#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29A9F459" w14:textId="77777777" w:rsidR="00CF29C4" w:rsidRPr="004D0F98" w:rsidRDefault="00CF29C4" w:rsidP="004D0F98">
      <w:pPr>
        <w:spacing w:line="360" w:lineRule="auto"/>
        <w:jc w:val="both"/>
        <w:rPr>
          <w:rFonts w:ascii="Arial" w:hAnsi="Arial" w:cs="Arial"/>
          <w:b/>
          <w:bCs/>
          <w:sz w:val="44"/>
          <w:szCs w:val="44"/>
        </w:rPr>
      </w:pPr>
    </w:p>
    <w:p w14:paraId="2D46B539" w14:textId="3D245506" w:rsidR="00C151CD" w:rsidRDefault="004D0F98" w:rsidP="007E438B">
      <w:pPr>
        <w:spacing w:line="360" w:lineRule="auto"/>
        <w:jc w:val="center"/>
        <w:rPr>
          <w:rFonts w:ascii="Arial" w:hAnsi="Arial" w:cs="Arial"/>
          <w:sz w:val="28"/>
          <w:szCs w:val="28"/>
        </w:rPr>
      </w:pPr>
      <w:r w:rsidRPr="004D0F98">
        <w:rPr>
          <w:rFonts w:ascii="Arial" w:hAnsi="Arial" w:cs="Arial"/>
          <w:b/>
          <w:bCs/>
          <w:sz w:val="28"/>
          <w:szCs w:val="28"/>
        </w:rPr>
        <w:t>Module:</w:t>
      </w:r>
      <w:r w:rsidRPr="004D0F98">
        <w:rPr>
          <w:rFonts w:ascii="Arial" w:hAnsi="Arial" w:cs="Arial"/>
          <w:sz w:val="28"/>
          <w:szCs w:val="28"/>
        </w:rPr>
        <w:t xml:space="preserve"> Managing Marketing Change</w:t>
      </w:r>
    </w:p>
    <w:p w14:paraId="1AA608E2" w14:textId="656097D8" w:rsidR="004D0F98" w:rsidRPr="004D0F98" w:rsidRDefault="00C151CD" w:rsidP="007E438B">
      <w:pPr>
        <w:spacing w:line="360" w:lineRule="auto"/>
        <w:jc w:val="center"/>
        <w:rPr>
          <w:rFonts w:ascii="Arial" w:hAnsi="Arial" w:cs="Arial"/>
          <w:sz w:val="28"/>
          <w:szCs w:val="28"/>
        </w:rPr>
      </w:pPr>
      <w:r w:rsidRPr="00ED529C">
        <w:rPr>
          <w:rFonts w:ascii="Arial" w:hAnsi="Arial" w:cs="Arial"/>
          <w:b/>
          <w:bCs/>
          <w:sz w:val="28"/>
          <w:szCs w:val="28"/>
        </w:rPr>
        <w:t>Module Code</w:t>
      </w:r>
      <w:r w:rsidR="00ED529C" w:rsidRPr="00ED529C">
        <w:rPr>
          <w:rFonts w:ascii="Arial" w:hAnsi="Arial" w:cs="Arial"/>
          <w:b/>
          <w:bCs/>
          <w:sz w:val="28"/>
          <w:szCs w:val="28"/>
        </w:rPr>
        <w:t>:</w:t>
      </w:r>
      <w:r>
        <w:rPr>
          <w:rFonts w:ascii="Arial" w:hAnsi="Arial" w:cs="Arial"/>
          <w:sz w:val="28"/>
          <w:szCs w:val="28"/>
        </w:rPr>
        <w:t xml:space="preserve"> </w:t>
      </w:r>
      <w:r w:rsidR="00CE5B9D" w:rsidRPr="0050181D">
        <w:rPr>
          <w:rFonts w:ascii="Arial" w:hAnsi="Arial" w:cs="Arial"/>
          <w:sz w:val="28"/>
          <w:szCs w:val="28"/>
        </w:rPr>
        <w:t>BMMB7026</w:t>
      </w:r>
      <w:r w:rsidR="00ED529C">
        <w:rPr>
          <w:rFonts w:ascii="Arial" w:hAnsi="Arial" w:cs="Arial"/>
          <w:sz w:val="28"/>
          <w:szCs w:val="28"/>
        </w:rPr>
        <w:t>D</w:t>
      </w:r>
    </w:p>
    <w:p w14:paraId="5D0E91FB" w14:textId="77777777" w:rsidR="004D0F98" w:rsidRPr="004D0F98" w:rsidRDefault="004D0F98" w:rsidP="007E438B">
      <w:pPr>
        <w:spacing w:line="360" w:lineRule="auto"/>
        <w:jc w:val="center"/>
        <w:rPr>
          <w:rFonts w:ascii="Arial" w:hAnsi="Arial" w:cs="Arial"/>
          <w:sz w:val="28"/>
          <w:szCs w:val="28"/>
        </w:rPr>
      </w:pPr>
      <w:r w:rsidRPr="004D0F98">
        <w:rPr>
          <w:rFonts w:ascii="Arial" w:hAnsi="Arial" w:cs="Arial"/>
          <w:b/>
          <w:bCs/>
          <w:sz w:val="28"/>
          <w:szCs w:val="28"/>
        </w:rPr>
        <w:t>Organisation:</w:t>
      </w:r>
      <w:r w:rsidRPr="004D0F98">
        <w:rPr>
          <w:rFonts w:ascii="Arial" w:hAnsi="Arial" w:cs="Arial"/>
          <w:sz w:val="28"/>
          <w:szCs w:val="28"/>
        </w:rPr>
        <w:t xml:space="preserve"> Celebrity Cruises</w:t>
      </w:r>
    </w:p>
    <w:p w14:paraId="13032214" w14:textId="1EC8B4C3" w:rsidR="004D0F98" w:rsidRPr="004D0F98" w:rsidRDefault="004D0F98" w:rsidP="007E438B">
      <w:pPr>
        <w:spacing w:line="360" w:lineRule="auto"/>
        <w:jc w:val="center"/>
        <w:rPr>
          <w:rFonts w:ascii="Arial" w:hAnsi="Arial" w:cs="Arial"/>
          <w:sz w:val="28"/>
          <w:szCs w:val="28"/>
        </w:rPr>
      </w:pPr>
      <w:r w:rsidRPr="004D0F98">
        <w:rPr>
          <w:rFonts w:ascii="Arial" w:hAnsi="Arial" w:cs="Arial"/>
          <w:b/>
          <w:bCs/>
          <w:sz w:val="28"/>
          <w:szCs w:val="28"/>
        </w:rPr>
        <w:t>Student Name:</w:t>
      </w:r>
      <w:r w:rsidRPr="004D0F98">
        <w:rPr>
          <w:rFonts w:ascii="Arial" w:hAnsi="Arial" w:cs="Arial"/>
          <w:sz w:val="28"/>
          <w:szCs w:val="28"/>
        </w:rPr>
        <w:t xml:space="preserve"> </w:t>
      </w:r>
      <w:r w:rsidR="000F74A3" w:rsidRPr="00CF29C4">
        <w:rPr>
          <w:rFonts w:ascii="Arial" w:hAnsi="Arial" w:cs="Arial"/>
          <w:sz w:val="28"/>
          <w:szCs w:val="28"/>
        </w:rPr>
        <w:t>Velislava Hristova</w:t>
      </w:r>
    </w:p>
    <w:p w14:paraId="7A3F0F36" w14:textId="22C2BD88" w:rsidR="004D0F98" w:rsidRPr="004D0F98" w:rsidRDefault="004D0F98" w:rsidP="007E438B">
      <w:pPr>
        <w:spacing w:line="360" w:lineRule="auto"/>
        <w:jc w:val="center"/>
        <w:rPr>
          <w:rFonts w:ascii="Arial" w:hAnsi="Arial" w:cs="Arial"/>
          <w:sz w:val="28"/>
          <w:szCs w:val="28"/>
        </w:rPr>
      </w:pPr>
      <w:r w:rsidRPr="004D0F98">
        <w:rPr>
          <w:rFonts w:ascii="Arial" w:hAnsi="Arial" w:cs="Arial"/>
          <w:b/>
          <w:bCs/>
          <w:sz w:val="28"/>
          <w:szCs w:val="28"/>
        </w:rPr>
        <w:t>Student Number:</w:t>
      </w:r>
      <w:r w:rsidRPr="004D0F98">
        <w:rPr>
          <w:rFonts w:ascii="Arial" w:hAnsi="Arial" w:cs="Arial"/>
          <w:sz w:val="28"/>
          <w:szCs w:val="28"/>
        </w:rPr>
        <w:t xml:space="preserve"> </w:t>
      </w:r>
      <w:r w:rsidR="000F74A3" w:rsidRPr="00CF29C4">
        <w:rPr>
          <w:rFonts w:ascii="Arial" w:hAnsi="Arial" w:cs="Arial"/>
          <w:sz w:val="28"/>
          <w:szCs w:val="28"/>
        </w:rPr>
        <w:t>2233502</w:t>
      </w:r>
    </w:p>
    <w:p w14:paraId="4C937A85" w14:textId="74CF259A" w:rsidR="004D0F98" w:rsidRPr="004D0F98" w:rsidRDefault="004D0F98" w:rsidP="007E438B">
      <w:pPr>
        <w:spacing w:line="360" w:lineRule="auto"/>
        <w:jc w:val="center"/>
        <w:rPr>
          <w:rFonts w:ascii="Arial" w:hAnsi="Arial" w:cs="Arial"/>
          <w:sz w:val="28"/>
          <w:szCs w:val="28"/>
        </w:rPr>
      </w:pPr>
      <w:r w:rsidRPr="004D0F98">
        <w:rPr>
          <w:rFonts w:ascii="Arial" w:hAnsi="Arial" w:cs="Arial"/>
          <w:b/>
          <w:bCs/>
          <w:sz w:val="28"/>
          <w:szCs w:val="28"/>
        </w:rPr>
        <w:t>Submission Date:</w:t>
      </w:r>
      <w:r w:rsidRPr="004D0F98">
        <w:rPr>
          <w:rFonts w:ascii="Arial" w:hAnsi="Arial" w:cs="Arial"/>
          <w:sz w:val="28"/>
          <w:szCs w:val="28"/>
        </w:rPr>
        <w:t xml:space="preserve"> </w:t>
      </w:r>
      <w:r w:rsidR="000F74A3" w:rsidRPr="00CF29C4">
        <w:rPr>
          <w:rFonts w:ascii="Arial" w:hAnsi="Arial" w:cs="Arial"/>
          <w:sz w:val="28"/>
          <w:szCs w:val="28"/>
        </w:rPr>
        <w:t>05/06/2026</w:t>
      </w:r>
    </w:p>
    <w:p w14:paraId="673AAA1F" w14:textId="77777777" w:rsidR="000F74A3" w:rsidRDefault="000F74A3" w:rsidP="004D0F98">
      <w:pPr>
        <w:spacing w:line="360" w:lineRule="auto"/>
        <w:jc w:val="both"/>
        <w:rPr>
          <w:rFonts w:ascii="Arial" w:hAnsi="Arial" w:cs="Arial"/>
        </w:rPr>
      </w:pPr>
    </w:p>
    <w:p w14:paraId="14E61412" w14:textId="77777777" w:rsidR="00CF29C4" w:rsidRPr="004D0F98" w:rsidRDefault="00CF29C4" w:rsidP="004D0F98">
      <w:pPr>
        <w:spacing w:line="360" w:lineRule="auto"/>
        <w:jc w:val="both"/>
        <w:rPr>
          <w:rFonts w:ascii="Arial" w:hAnsi="Arial" w:cs="Arial"/>
        </w:rPr>
      </w:pPr>
    </w:p>
    <w:p w14:paraId="5BB054E2" w14:textId="77777777" w:rsidR="004D0F98" w:rsidRPr="005A29F8" w:rsidRDefault="004D0F98" w:rsidP="004D0F98">
      <w:pPr>
        <w:spacing w:line="360" w:lineRule="auto"/>
        <w:jc w:val="both"/>
        <w:rPr>
          <w:rFonts w:ascii="Arial" w:hAnsi="Arial" w:cs="Arial"/>
          <w:b/>
          <w:bCs/>
          <w:sz w:val="28"/>
          <w:szCs w:val="28"/>
        </w:rPr>
      </w:pPr>
      <w:r w:rsidRPr="005A29F8">
        <w:rPr>
          <w:rFonts w:ascii="Arial" w:hAnsi="Arial" w:cs="Arial"/>
          <w:b/>
          <w:bCs/>
          <w:sz w:val="28"/>
          <w:szCs w:val="28"/>
        </w:rPr>
        <w:t>Executive Summary</w:t>
      </w:r>
    </w:p>
    <w:p w14:paraId="4163543B" w14:textId="77777777" w:rsidR="000F74A3" w:rsidRPr="004D0F98" w:rsidRDefault="000F74A3" w:rsidP="004D0F98">
      <w:pPr>
        <w:spacing w:line="360" w:lineRule="auto"/>
        <w:jc w:val="both"/>
        <w:rPr>
          <w:rFonts w:ascii="Arial" w:hAnsi="Arial" w:cs="Arial"/>
          <w:b/>
          <w:bCs/>
        </w:rPr>
      </w:pPr>
    </w:p>
    <w:p w14:paraId="16B53905" w14:textId="77777777" w:rsidR="004D0F98" w:rsidRPr="004D0F98" w:rsidRDefault="004D0F98" w:rsidP="004D0F98">
      <w:pPr>
        <w:spacing w:line="360" w:lineRule="auto"/>
        <w:jc w:val="both"/>
        <w:rPr>
          <w:rFonts w:ascii="Arial" w:hAnsi="Arial" w:cs="Arial"/>
        </w:rPr>
      </w:pPr>
      <w:r w:rsidRPr="004D0F98">
        <w:rPr>
          <w:rFonts w:ascii="Arial" w:hAnsi="Arial" w:cs="Arial"/>
        </w:rPr>
        <w:t>This report critically evaluates the marketing function of Celebrity Cruises within the context of digital transformation, changing consumer behaviour, and increasing sustainability expectations. As a premium cruise brand operating under Royal Caribbean Group, Celebrity Cruises has established a strong market position through luxury differentiation, experiential branding, and customer-centric marketing strategies. However, technological disruption, intensified competition, environmental scrutiny, and evolving customer expectations are creating significant challenges for long-term competitiveness.</w:t>
      </w:r>
    </w:p>
    <w:p w14:paraId="41594344" w14:textId="728DCF2B" w:rsidR="004D0F98" w:rsidRPr="004D0F98" w:rsidRDefault="004D0F98" w:rsidP="004D0F98">
      <w:pPr>
        <w:spacing w:line="360" w:lineRule="auto"/>
        <w:jc w:val="both"/>
        <w:rPr>
          <w:rFonts w:ascii="Arial" w:hAnsi="Arial" w:cs="Arial"/>
        </w:rPr>
      </w:pPr>
      <w:r w:rsidRPr="004D0F98">
        <w:rPr>
          <w:rFonts w:ascii="Arial" w:hAnsi="Arial" w:cs="Arial"/>
        </w:rPr>
        <w:t>The report applies PESTEL, SWOT, Segmentation</w:t>
      </w:r>
      <w:r w:rsidR="003A1298">
        <w:rPr>
          <w:rFonts w:ascii="Arial" w:hAnsi="Arial" w:cs="Arial"/>
        </w:rPr>
        <w:t xml:space="preserve"> </w:t>
      </w:r>
      <w:r w:rsidRPr="004D0F98">
        <w:rPr>
          <w:rFonts w:ascii="Arial" w:hAnsi="Arial" w:cs="Arial"/>
        </w:rPr>
        <w:t>Targeting</w:t>
      </w:r>
      <w:r w:rsidR="003A1298">
        <w:rPr>
          <w:rFonts w:ascii="Arial" w:hAnsi="Arial" w:cs="Arial"/>
        </w:rPr>
        <w:t xml:space="preserve"> </w:t>
      </w:r>
      <w:r w:rsidRPr="004D0F98">
        <w:rPr>
          <w:rFonts w:ascii="Arial" w:hAnsi="Arial" w:cs="Arial"/>
        </w:rPr>
        <w:t>Positioning (STP), and marketing mix frameworks to assess the effectiveness of current marketing activities. The analysis identifies strengths in premium brand positioning, customer experience management, and digital engagement capabilities. Nevertheless, weaknesses relating to environmental perceptions and demographic concentration are evident. Opportunities associated with artificial intelligence (AI), personalisation, and sustainable tourism are contrasted against threats arising from regulatory pressures, economic uncertainty, and intensified competition.</w:t>
      </w:r>
    </w:p>
    <w:p w14:paraId="1876685D" w14:textId="77777777" w:rsidR="004D0F98" w:rsidRPr="004D0F98" w:rsidRDefault="004D0F98" w:rsidP="004D0F98">
      <w:pPr>
        <w:spacing w:line="360" w:lineRule="auto"/>
        <w:jc w:val="both"/>
        <w:rPr>
          <w:rFonts w:ascii="Arial" w:hAnsi="Arial" w:cs="Arial"/>
        </w:rPr>
      </w:pPr>
      <w:r w:rsidRPr="004D0F98">
        <w:rPr>
          <w:rFonts w:ascii="Arial" w:hAnsi="Arial" w:cs="Arial"/>
        </w:rPr>
        <w:t>The report further examines the internal and external forces driving marketing change and evaluates how emerging developments such as AI-driven personalisation, immersive technologies, ESG branding, and ethical data management are likely to influence future marketing strategies.</w:t>
      </w:r>
    </w:p>
    <w:p w14:paraId="118E7767" w14:textId="77777777" w:rsidR="004D0F98" w:rsidRPr="004D0F98" w:rsidRDefault="004D0F98" w:rsidP="004D0F98">
      <w:pPr>
        <w:spacing w:line="360" w:lineRule="auto"/>
        <w:jc w:val="both"/>
        <w:rPr>
          <w:rFonts w:ascii="Arial" w:hAnsi="Arial" w:cs="Arial"/>
        </w:rPr>
      </w:pPr>
      <w:r w:rsidRPr="004D0F98">
        <w:rPr>
          <w:rFonts w:ascii="Arial" w:hAnsi="Arial" w:cs="Arial"/>
        </w:rPr>
        <w:t>The report concludes that Celebrity Cruises must continue evolving towards a more digitally integrated, customer-centric, and sustainability-focused marketing model. Recommendations focus on enhancing personalisation, strengthening ESG communication, improving omnichannel integration, and developing innovative customer experiences to support long-term competitive advantage.</w:t>
      </w:r>
    </w:p>
    <w:p w14:paraId="21876610" w14:textId="1AA33247" w:rsidR="004D0F98" w:rsidRDefault="004D0F98" w:rsidP="004D0F98">
      <w:pPr>
        <w:spacing w:line="360" w:lineRule="auto"/>
        <w:jc w:val="both"/>
        <w:rPr>
          <w:rFonts w:ascii="Arial" w:hAnsi="Arial" w:cs="Arial"/>
        </w:rPr>
      </w:pPr>
    </w:p>
    <w:p w14:paraId="20878336" w14:textId="77777777" w:rsidR="000F74A3" w:rsidRDefault="000F74A3" w:rsidP="004D0F98">
      <w:pPr>
        <w:spacing w:line="360" w:lineRule="auto"/>
        <w:jc w:val="both"/>
        <w:rPr>
          <w:rFonts w:ascii="Arial" w:hAnsi="Arial" w:cs="Arial"/>
        </w:rPr>
      </w:pPr>
    </w:p>
    <w:p w14:paraId="6E80393B" w14:textId="6457EDBC" w:rsidR="00C04403" w:rsidRPr="005A29F8" w:rsidRDefault="00C04403" w:rsidP="00C04403">
      <w:pPr>
        <w:spacing w:line="360" w:lineRule="auto"/>
        <w:jc w:val="both"/>
        <w:rPr>
          <w:rFonts w:ascii="Arial" w:hAnsi="Arial" w:cs="Arial"/>
          <w:b/>
          <w:bCs/>
          <w:sz w:val="28"/>
          <w:szCs w:val="28"/>
        </w:rPr>
      </w:pPr>
      <w:r w:rsidRPr="005A29F8">
        <w:rPr>
          <w:rFonts w:ascii="Arial" w:hAnsi="Arial" w:cs="Arial"/>
          <w:b/>
          <w:bCs/>
          <w:sz w:val="28"/>
          <w:szCs w:val="28"/>
        </w:rPr>
        <w:lastRenderedPageBreak/>
        <w:t>Contents</w:t>
      </w:r>
      <w:r w:rsidR="00561F1D" w:rsidRPr="005A29F8">
        <w:rPr>
          <w:rFonts w:ascii="Arial" w:hAnsi="Arial" w:cs="Arial"/>
          <w:b/>
          <w:bCs/>
          <w:sz w:val="28"/>
          <w:szCs w:val="28"/>
        </w:rPr>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412"/>
        <w:gridCol w:w="461"/>
      </w:tblGrid>
      <w:tr w:rsidR="00C04403" w:rsidRPr="00C04403" w14:paraId="76E0FE2B" w14:textId="77777777" w:rsidTr="001C65AD">
        <w:trPr>
          <w:tblCellSpacing w:w="15" w:type="dxa"/>
        </w:trPr>
        <w:tc>
          <w:tcPr>
            <w:tcW w:w="0" w:type="auto"/>
            <w:vAlign w:val="center"/>
            <w:hideMark/>
          </w:tcPr>
          <w:p w14:paraId="33C44469" w14:textId="77777777" w:rsidR="00C04403" w:rsidRPr="00C04403" w:rsidRDefault="00C04403" w:rsidP="00C04403">
            <w:pPr>
              <w:spacing w:line="360" w:lineRule="auto"/>
              <w:jc w:val="both"/>
              <w:rPr>
                <w:rFonts w:ascii="Arial" w:hAnsi="Arial" w:cs="Arial"/>
              </w:rPr>
            </w:pPr>
            <w:r w:rsidRPr="00C04403">
              <w:rPr>
                <w:rFonts w:ascii="Arial" w:hAnsi="Arial" w:cs="Arial"/>
              </w:rPr>
              <w:t>Executive Summary</w:t>
            </w:r>
          </w:p>
        </w:tc>
        <w:tc>
          <w:tcPr>
            <w:tcW w:w="416" w:type="dxa"/>
            <w:vAlign w:val="center"/>
            <w:hideMark/>
          </w:tcPr>
          <w:p w14:paraId="0B813528" w14:textId="44AB66E7" w:rsidR="00C04403" w:rsidRPr="00C04403" w:rsidRDefault="00F94583" w:rsidP="00C04403">
            <w:pPr>
              <w:spacing w:line="360" w:lineRule="auto"/>
              <w:jc w:val="both"/>
              <w:rPr>
                <w:rFonts w:ascii="Arial" w:hAnsi="Arial" w:cs="Arial"/>
              </w:rPr>
            </w:pPr>
            <w:r>
              <w:rPr>
                <w:rFonts w:ascii="Arial" w:hAnsi="Arial" w:cs="Arial"/>
              </w:rPr>
              <w:t>2</w:t>
            </w:r>
          </w:p>
        </w:tc>
      </w:tr>
      <w:tr w:rsidR="00C04403" w:rsidRPr="00C04403" w14:paraId="347F18B9" w14:textId="77777777" w:rsidTr="001C65AD">
        <w:trPr>
          <w:tblCellSpacing w:w="15" w:type="dxa"/>
        </w:trPr>
        <w:tc>
          <w:tcPr>
            <w:tcW w:w="0" w:type="auto"/>
            <w:vAlign w:val="center"/>
            <w:hideMark/>
          </w:tcPr>
          <w:p w14:paraId="3083B221" w14:textId="77777777" w:rsidR="00C04403" w:rsidRPr="00C04403" w:rsidRDefault="00C04403" w:rsidP="00C04403">
            <w:pPr>
              <w:spacing w:line="360" w:lineRule="auto"/>
              <w:jc w:val="both"/>
              <w:rPr>
                <w:rFonts w:ascii="Arial" w:hAnsi="Arial" w:cs="Arial"/>
              </w:rPr>
            </w:pPr>
            <w:r w:rsidRPr="00C04403">
              <w:rPr>
                <w:rFonts w:ascii="Arial" w:hAnsi="Arial" w:cs="Arial"/>
              </w:rPr>
              <w:t>Contents Page</w:t>
            </w:r>
          </w:p>
        </w:tc>
        <w:tc>
          <w:tcPr>
            <w:tcW w:w="416" w:type="dxa"/>
            <w:vAlign w:val="center"/>
            <w:hideMark/>
          </w:tcPr>
          <w:p w14:paraId="4755753A" w14:textId="0DEF593D" w:rsidR="00C04403" w:rsidRPr="00C04403" w:rsidRDefault="00F94583" w:rsidP="00C04403">
            <w:pPr>
              <w:spacing w:line="360" w:lineRule="auto"/>
              <w:jc w:val="both"/>
              <w:rPr>
                <w:rFonts w:ascii="Arial" w:hAnsi="Arial" w:cs="Arial"/>
              </w:rPr>
            </w:pPr>
            <w:r>
              <w:rPr>
                <w:rFonts w:ascii="Arial" w:hAnsi="Arial" w:cs="Arial"/>
              </w:rPr>
              <w:t>3</w:t>
            </w:r>
          </w:p>
        </w:tc>
      </w:tr>
      <w:tr w:rsidR="00C04403" w:rsidRPr="00C04403" w14:paraId="0EFB11D4" w14:textId="77777777" w:rsidTr="001C65AD">
        <w:trPr>
          <w:tblCellSpacing w:w="15" w:type="dxa"/>
        </w:trPr>
        <w:tc>
          <w:tcPr>
            <w:tcW w:w="0" w:type="auto"/>
            <w:vAlign w:val="center"/>
            <w:hideMark/>
          </w:tcPr>
          <w:p w14:paraId="0AE44535" w14:textId="77777777" w:rsidR="00C04403" w:rsidRPr="00C04403" w:rsidRDefault="00C04403" w:rsidP="00C04403">
            <w:pPr>
              <w:spacing w:line="360" w:lineRule="auto"/>
              <w:jc w:val="both"/>
              <w:rPr>
                <w:rFonts w:ascii="Arial" w:hAnsi="Arial" w:cs="Arial"/>
              </w:rPr>
            </w:pPr>
            <w:r w:rsidRPr="00C04403">
              <w:rPr>
                <w:rFonts w:ascii="Arial" w:hAnsi="Arial" w:cs="Arial"/>
              </w:rPr>
              <w:t>1. Introduction</w:t>
            </w:r>
          </w:p>
        </w:tc>
        <w:tc>
          <w:tcPr>
            <w:tcW w:w="416" w:type="dxa"/>
            <w:vAlign w:val="center"/>
            <w:hideMark/>
          </w:tcPr>
          <w:p w14:paraId="723FA71E" w14:textId="179918FC" w:rsidR="00C04403" w:rsidRPr="00C04403" w:rsidRDefault="0068494F" w:rsidP="00C04403">
            <w:pPr>
              <w:spacing w:line="360" w:lineRule="auto"/>
              <w:jc w:val="both"/>
              <w:rPr>
                <w:rFonts w:ascii="Arial" w:hAnsi="Arial" w:cs="Arial"/>
              </w:rPr>
            </w:pPr>
            <w:r>
              <w:rPr>
                <w:rFonts w:ascii="Arial" w:hAnsi="Arial" w:cs="Arial"/>
              </w:rPr>
              <w:t>5</w:t>
            </w:r>
          </w:p>
        </w:tc>
      </w:tr>
      <w:tr w:rsidR="00C04403" w:rsidRPr="00C04403" w14:paraId="0718464E" w14:textId="77777777" w:rsidTr="001C65AD">
        <w:trPr>
          <w:tblCellSpacing w:w="15" w:type="dxa"/>
        </w:trPr>
        <w:tc>
          <w:tcPr>
            <w:tcW w:w="0" w:type="auto"/>
            <w:vAlign w:val="center"/>
            <w:hideMark/>
          </w:tcPr>
          <w:p w14:paraId="50E7A318" w14:textId="77777777" w:rsidR="00C04403" w:rsidRPr="00C04403" w:rsidRDefault="00C04403" w:rsidP="00C04403">
            <w:pPr>
              <w:spacing w:line="360" w:lineRule="auto"/>
              <w:jc w:val="both"/>
              <w:rPr>
                <w:rFonts w:ascii="Arial" w:hAnsi="Arial" w:cs="Arial"/>
              </w:rPr>
            </w:pPr>
            <w:r w:rsidRPr="00C04403">
              <w:rPr>
                <w:rFonts w:ascii="Arial" w:hAnsi="Arial" w:cs="Arial"/>
              </w:rPr>
              <w:t>2. Critical Appraisal of Current Marketing Activities</w:t>
            </w:r>
          </w:p>
        </w:tc>
        <w:tc>
          <w:tcPr>
            <w:tcW w:w="416" w:type="dxa"/>
            <w:vAlign w:val="center"/>
            <w:hideMark/>
          </w:tcPr>
          <w:p w14:paraId="6168A895" w14:textId="6FA28EBB" w:rsidR="00C04403" w:rsidRPr="00C04403" w:rsidRDefault="0068494F" w:rsidP="00C04403">
            <w:pPr>
              <w:spacing w:line="360" w:lineRule="auto"/>
              <w:jc w:val="both"/>
              <w:rPr>
                <w:rFonts w:ascii="Arial" w:hAnsi="Arial" w:cs="Arial"/>
              </w:rPr>
            </w:pPr>
            <w:r>
              <w:rPr>
                <w:rFonts w:ascii="Arial" w:hAnsi="Arial" w:cs="Arial"/>
              </w:rPr>
              <w:t>6</w:t>
            </w:r>
          </w:p>
        </w:tc>
      </w:tr>
      <w:tr w:rsidR="00C04403" w:rsidRPr="00C04403" w14:paraId="4E3455A5" w14:textId="77777777" w:rsidTr="001C65AD">
        <w:trPr>
          <w:tblCellSpacing w:w="15" w:type="dxa"/>
        </w:trPr>
        <w:tc>
          <w:tcPr>
            <w:tcW w:w="0" w:type="auto"/>
            <w:vAlign w:val="center"/>
            <w:hideMark/>
          </w:tcPr>
          <w:p w14:paraId="494DE093" w14:textId="77777777" w:rsidR="00C04403" w:rsidRPr="00C04403" w:rsidRDefault="00C04403" w:rsidP="00C04403">
            <w:pPr>
              <w:spacing w:line="360" w:lineRule="auto"/>
              <w:jc w:val="both"/>
              <w:rPr>
                <w:rFonts w:ascii="Arial" w:hAnsi="Arial" w:cs="Arial"/>
              </w:rPr>
            </w:pPr>
            <w:r w:rsidRPr="00C04403">
              <w:rPr>
                <w:rFonts w:ascii="Arial" w:hAnsi="Arial" w:cs="Arial"/>
              </w:rPr>
              <w:t>2.1 Company Overview</w:t>
            </w:r>
          </w:p>
        </w:tc>
        <w:tc>
          <w:tcPr>
            <w:tcW w:w="416" w:type="dxa"/>
            <w:vAlign w:val="center"/>
            <w:hideMark/>
          </w:tcPr>
          <w:p w14:paraId="4BAD30C2" w14:textId="26CB70B6" w:rsidR="00C04403" w:rsidRPr="00C04403" w:rsidRDefault="0068494F" w:rsidP="00C04403">
            <w:pPr>
              <w:spacing w:line="360" w:lineRule="auto"/>
              <w:jc w:val="both"/>
              <w:rPr>
                <w:rFonts w:ascii="Arial" w:hAnsi="Arial" w:cs="Arial"/>
              </w:rPr>
            </w:pPr>
            <w:r>
              <w:rPr>
                <w:rFonts w:ascii="Arial" w:hAnsi="Arial" w:cs="Arial"/>
              </w:rPr>
              <w:t>6</w:t>
            </w:r>
          </w:p>
        </w:tc>
      </w:tr>
      <w:tr w:rsidR="00C04403" w:rsidRPr="00C04403" w14:paraId="028D6F24" w14:textId="77777777" w:rsidTr="001C65AD">
        <w:trPr>
          <w:tblCellSpacing w:w="15" w:type="dxa"/>
        </w:trPr>
        <w:tc>
          <w:tcPr>
            <w:tcW w:w="0" w:type="auto"/>
            <w:vAlign w:val="center"/>
            <w:hideMark/>
          </w:tcPr>
          <w:p w14:paraId="48C68C9B" w14:textId="77777777" w:rsidR="00C04403" w:rsidRPr="00C04403" w:rsidRDefault="00C04403" w:rsidP="00C04403">
            <w:pPr>
              <w:spacing w:line="360" w:lineRule="auto"/>
              <w:jc w:val="both"/>
              <w:rPr>
                <w:rFonts w:ascii="Arial" w:hAnsi="Arial" w:cs="Arial"/>
              </w:rPr>
            </w:pPr>
            <w:r w:rsidRPr="00C04403">
              <w:rPr>
                <w:rFonts w:ascii="Arial" w:hAnsi="Arial" w:cs="Arial"/>
              </w:rPr>
              <w:t>2.2 PESTEL Analysis</w:t>
            </w:r>
          </w:p>
        </w:tc>
        <w:tc>
          <w:tcPr>
            <w:tcW w:w="416" w:type="dxa"/>
            <w:vAlign w:val="center"/>
            <w:hideMark/>
          </w:tcPr>
          <w:p w14:paraId="040D0535" w14:textId="2F4948E9" w:rsidR="00C04403" w:rsidRPr="00C04403" w:rsidRDefault="009416B0" w:rsidP="00C04403">
            <w:pPr>
              <w:spacing w:line="360" w:lineRule="auto"/>
              <w:jc w:val="both"/>
              <w:rPr>
                <w:rFonts w:ascii="Arial" w:hAnsi="Arial" w:cs="Arial"/>
              </w:rPr>
            </w:pPr>
            <w:r>
              <w:rPr>
                <w:rFonts w:ascii="Arial" w:hAnsi="Arial" w:cs="Arial"/>
              </w:rPr>
              <w:t>7</w:t>
            </w:r>
          </w:p>
        </w:tc>
      </w:tr>
      <w:tr w:rsidR="00C04403" w:rsidRPr="00C04403" w14:paraId="11D02568" w14:textId="77777777" w:rsidTr="001C65AD">
        <w:trPr>
          <w:tblCellSpacing w:w="15" w:type="dxa"/>
        </w:trPr>
        <w:tc>
          <w:tcPr>
            <w:tcW w:w="0" w:type="auto"/>
            <w:vAlign w:val="center"/>
            <w:hideMark/>
          </w:tcPr>
          <w:p w14:paraId="06ED63FD" w14:textId="77777777" w:rsidR="00C04403" w:rsidRPr="00C04403" w:rsidRDefault="00C04403" w:rsidP="00C04403">
            <w:pPr>
              <w:spacing w:line="360" w:lineRule="auto"/>
              <w:jc w:val="both"/>
              <w:rPr>
                <w:rFonts w:ascii="Arial" w:hAnsi="Arial" w:cs="Arial"/>
              </w:rPr>
            </w:pPr>
            <w:r w:rsidRPr="00C04403">
              <w:rPr>
                <w:rFonts w:ascii="Arial" w:hAnsi="Arial" w:cs="Arial"/>
              </w:rPr>
              <w:t>2.3 SWOT Analysis</w:t>
            </w:r>
          </w:p>
        </w:tc>
        <w:tc>
          <w:tcPr>
            <w:tcW w:w="416" w:type="dxa"/>
            <w:vAlign w:val="center"/>
            <w:hideMark/>
          </w:tcPr>
          <w:p w14:paraId="5C21A552" w14:textId="4CE71DF6" w:rsidR="00C04403" w:rsidRPr="00C04403" w:rsidRDefault="006769CE" w:rsidP="00C04403">
            <w:pPr>
              <w:spacing w:line="360" w:lineRule="auto"/>
              <w:jc w:val="both"/>
              <w:rPr>
                <w:rFonts w:ascii="Arial" w:hAnsi="Arial" w:cs="Arial"/>
              </w:rPr>
            </w:pPr>
            <w:r>
              <w:rPr>
                <w:rFonts w:ascii="Arial" w:hAnsi="Arial" w:cs="Arial"/>
              </w:rPr>
              <w:t>8</w:t>
            </w:r>
          </w:p>
        </w:tc>
      </w:tr>
      <w:tr w:rsidR="00C04403" w:rsidRPr="00C04403" w14:paraId="3510A682" w14:textId="77777777" w:rsidTr="001C65AD">
        <w:trPr>
          <w:tblCellSpacing w:w="15" w:type="dxa"/>
        </w:trPr>
        <w:tc>
          <w:tcPr>
            <w:tcW w:w="0" w:type="auto"/>
            <w:vAlign w:val="center"/>
            <w:hideMark/>
          </w:tcPr>
          <w:p w14:paraId="7937BD2D" w14:textId="77777777" w:rsidR="00C04403" w:rsidRPr="00C04403" w:rsidRDefault="00C04403" w:rsidP="00C04403">
            <w:pPr>
              <w:spacing w:line="360" w:lineRule="auto"/>
              <w:jc w:val="both"/>
              <w:rPr>
                <w:rFonts w:ascii="Arial" w:hAnsi="Arial" w:cs="Arial"/>
              </w:rPr>
            </w:pPr>
            <w:r w:rsidRPr="00C04403">
              <w:rPr>
                <w:rFonts w:ascii="Arial" w:hAnsi="Arial" w:cs="Arial"/>
              </w:rPr>
              <w:t>2.4 Segmentation, Targeting and Positioning (STP)</w:t>
            </w:r>
          </w:p>
        </w:tc>
        <w:tc>
          <w:tcPr>
            <w:tcW w:w="416" w:type="dxa"/>
            <w:vAlign w:val="center"/>
            <w:hideMark/>
          </w:tcPr>
          <w:p w14:paraId="6A61629A" w14:textId="3EA699BF" w:rsidR="00C04403" w:rsidRPr="00C04403" w:rsidRDefault="006769CE" w:rsidP="00C04403">
            <w:pPr>
              <w:spacing w:line="360" w:lineRule="auto"/>
              <w:jc w:val="both"/>
              <w:rPr>
                <w:rFonts w:ascii="Arial" w:hAnsi="Arial" w:cs="Arial"/>
              </w:rPr>
            </w:pPr>
            <w:r>
              <w:rPr>
                <w:rFonts w:ascii="Arial" w:hAnsi="Arial" w:cs="Arial"/>
              </w:rPr>
              <w:t>10</w:t>
            </w:r>
          </w:p>
        </w:tc>
      </w:tr>
      <w:tr w:rsidR="00C04403" w:rsidRPr="00C04403" w14:paraId="68785DA8" w14:textId="77777777" w:rsidTr="001C65AD">
        <w:trPr>
          <w:tblCellSpacing w:w="15" w:type="dxa"/>
        </w:trPr>
        <w:tc>
          <w:tcPr>
            <w:tcW w:w="0" w:type="auto"/>
            <w:vAlign w:val="center"/>
            <w:hideMark/>
          </w:tcPr>
          <w:p w14:paraId="5AD086AB" w14:textId="77777777" w:rsidR="00C04403" w:rsidRPr="00C04403" w:rsidRDefault="00C04403" w:rsidP="00C04403">
            <w:pPr>
              <w:spacing w:line="360" w:lineRule="auto"/>
              <w:jc w:val="both"/>
              <w:rPr>
                <w:rFonts w:ascii="Arial" w:hAnsi="Arial" w:cs="Arial"/>
              </w:rPr>
            </w:pPr>
            <w:r w:rsidRPr="00C04403">
              <w:rPr>
                <w:rFonts w:ascii="Arial" w:hAnsi="Arial" w:cs="Arial"/>
              </w:rPr>
              <w:t>2.5 Evaluation of the Extended Marketing Mix (7Ps)</w:t>
            </w:r>
          </w:p>
        </w:tc>
        <w:tc>
          <w:tcPr>
            <w:tcW w:w="416" w:type="dxa"/>
            <w:vAlign w:val="center"/>
            <w:hideMark/>
          </w:tcPr>
          <w:p w14:paraId="0CCB25DE" w14:textId="52142AF4" w:rsidR="00C04403" w:rsidRPr="00C04403" w:rsidRDefault="005B043C" w:rsidP="00C04403">
            <w:pPr>
              <w:spacing w:line="360" w:lineRule="auto"/>
              <w:jc w:val="both"/>
              <w:rPr>
                <w:rFonts w:ascii="Arial" w:hAnsi="Arial" w:cs="Arial"/>
              </w:rPr>
            </w:pPr>
            <w:r>
              <w:rPr>
                <w:rFonts w:ascii="Arial" w:hAnsi="Arial" w:cs="Arial"/>
              </w:rPr>
              <w:t>11</w:t>
            </w:r>
          </w:p>
        </w:tc>
      </w:tr>
      <w:tr w:rsidR="00C04403" w:rsidRPr="00C04403" w14:paraId="1F6C5A34" w14:textId="77777777" w:rsidTr="001C65AD">
        <w:trPr>
          <w:tblCellSpacing w:w="15" w:type="dxa"/>
        </w:trPr>
        <w:tc>
          <w:tcPr>
            <w:tcW w:w="0" w:type="auto"/>
            <w:vAlign w:val="center"/>
            <w:hideMark/>
          </w:tcPr>
          <w:p w14:paraId="6CADF615" w14:textId="77777777" w:rsidR="00C04403" w:rsidRPr="00C04403" w:rsidRDefault="00C04403" w:rsidP="00C04403">
            <w:pPr>
              <w:spacing w:line="360" w:lineRule="auto"/>
              <w:jc w:val="both"/>
              <w:rPr>
                <w:rFonts w:ascii="Arial" w:hAnsi="Arial" w:cs="Arial"/>
              </w:rPr>
            </w:pPr>
            <w:r w:rsidRPr="00C04403">
              <w:rPr>
                <w:rFonts w:ascii="Arial" w:hAnsi="Arial" w:cs="Arial"/>
              </w:rPr>
              <w:t>2.6 Customer Value, Brand Equity and Digital Metrics</w:t>
            </w:r>
          </w:p>
        </w:tc>
        <w:tc>
          <w:tcPr>
            <w:tcW w:w="416" w:type="dxa"/>
            <w:vAlign w:val="center"/>
            <w:hideMark/>
          </w:tcPr>
          <w:p w14:paraId="68C66DBA" w14:textId="004BF254" w:rsidR="00C04403" w:rsidRPr="00C04403" w:rsidRDefault="00C04403" w:rsidP="00C04403">
            <w:pPr>
              <w:spacing w:line="360" w:lineRule="auto"/>
              <w:jc w:val="both"/>
              <w:rPr>
                <w:rFonts w:ascii="Arial" w:hAnsi="Arial" w:cs="Arial"/>
              </w:rPr>
            </w:pPr>
            <w:r w:rsidRPr="00C04403">
              <w:rPr>
                <w:rFonts w:ascii="Arial" w:hAnsi="Arial" w:cs="Arial"/>
              </w:rPr>
              <w:t>1</w:t>
            </w:r>
            <w:r w:rsidR="005B043C">
              <w:rPr>
                <w:rFonts w:ascii="Arial" w:hAnsi="Arial" w:cs="Arial"/>
              </w:rPr>
              <w:t>3</w:t>
            </w:r>
          </w:p>
        </w:tc>
      </w:tr>
      <w:tr w:rsidR="00C04403" w:rsidRPr="00C04403" w14:paraId="433874BD" w14:textId="77777777" w:rsidTr="001C65AD">
        <w:trPr>
          <w:tblCellSpacing w:w="15" w:type="dxa"/>
        </w:trPr>
        <w:tc>
          <w:tcPr>
            <w:tcW w:w="0" w:type="auto"/>
            <w:vAlign w:val="center"/>
            <w:hideMark/>
          </w:tcPr>
          <w:p w14:paraId="1ACD4A5E" w14:textId="77777777" w:rsidR="00C04403" w:rsidRPr="00C04403" w:rsidRDefault="00C04403" w:rsidP="00C04403">
            <w:pPr>
              <w:spacing w:line="360" w:lineRule="auto"/>
              <w:jc w:val="both"/>
              <w:rPr>
                <w:rFonts w:ascii="Arial" w:hAnsi="Arial" w:cs="Arial"/>
              </w:rPr>
            </w:pPr>
            <w:r w:rsidRPr="00C04403">
              <w:rPr>
                <w:rFonts w:ascii="Arial" w:hAnsi="Arial" w:cs="Arial"/>
              </w:rPr>
              <w:t>2.7 Ethical, Cultural and Sustainability Considerations</w:t>
            </w:r>
          </w:p>
        </w:tc>
        <w:tc>
          <w:tcPr>
            <w:tcW w:w="416" w:type="dxa"/>
            <w:vAlign w:val="center"/>
            <w:hideMark/>
          </w:tcPr>
          <w:p w14:paraId="50AACAF2" w14:textId="28E431DD" w:rsidR="00C04403" w:rsidRPr="00C04403" w:rsidRDefault="00C04403" w:rsidP="00C04403">
            <w:pPr>
              <w:spacing w:line="360" w:lineRule="auto"/>
              <w:jc w:val="both"/>
              <w:rPr>
                <w:rFonts w:ascii="Arial" w:hAnsi="Arial" w:cs="Arial"/>
              </w:rPr>
            </w:pPr>
            <w:r w:rsidRPr="00C04403">
              <w:rPr>
                <w:rFonts w:ascii="Arial" w:hAnsi="Arial" w:cs="Arial"/>
              </w:rPr>
              <w:t>1</w:t>
            </w:r>
            <w:r w:rsidR="008E7D6A">
              <w:rPr>
                <w:rFonts w:ascii="Arial" w:hAnsi="Arial" w:cs="Arial"/>
              </w:rPr>
              <w:t>4</w:t>
            </w:r>
          </w:p>
        </w:tc>
      </w:tr>
      <w:tr w:rsidR="00C04403" w:rsidRPr="00C04403" w14:paraId="3D577490" w14:textId="77777777" w:rsidTr="001C65AD">
        <w:trPr>
          <w:tblCellSpacing w:w="15" w:type="dxa"/>
        </w:trPr>
        <w:tc>
          <w:tcPr>
            <w:tcW w:w="0" w:type="auto"/>
            <w:vAlign w:val="center"/>
            <w:hideMark/>
          </w:tcPr>
          <w:p w14:paraId="67E353CB" w14:textId="77777777" w:rsidR="00C04403" w:rsidRPr="00C04403" w:rsidRDefault="00C04403" w:rsidP="00C04403">
            <w:pPr>
              <w:spacing w:line="360" w:lineRule="auto"/>
              <w:jc w:val="both"/>
              <w:rPr>
                <w:rFonts w:ascii="Arial" w:hAnsi="Arial" w:cs="Arial"/>
              </w:rPr>
            </w:pPr>
            <w:r w:rsidRPr="00C04403">
              <w:rPr>
                <w:rFonts w:ascii="Arial" w:hAnsi="Arial" w:cs="Arial"/>
              </w:rPr>
              <w:t>3. Analysis of Internal and External Forces Driving Marketing Change</w:t>
            </w:r>
          </w:p>
        </w:tc>
        <w:tc>
          <w:tcPr>
            <w:tcW w:w="416" w:type="dxa"/>
            <w:vAlign w:val="center"/>
            <w:hideMark/>
          </w:tcPr>
          <w:p w14:paraId="17128A7C" w14:textId="6B3204BE" w:rsidR="00C04403" w:rsidRPr="00C04403" w:rsidRDefault="00C04403" w:rsidP="00C04403">
            <w:pPr>
              <w:spacing w:line="360" w:lineRule="auto"/>
              <w:jc w:val="both"/>
              <w:rPr>
                <w:rFonts w:ascii="Arial" w:hAnsi="Arial" w:cs="Arial"/>
              </w:rPr>
            </w:pPr>
            <w:r w:rsidRPr="00C04403">
              <w:rPr>
                <w:rFonts w:ascii="Arial" w:hAnsi="Arial" w:cs="Arial"/>
              </w:rPr>
              <w:t>1</w:t>
            </w:r>
            <w:r w:rsidR="008E7D6A">
              <w:rPr>
                <w:rFonts w:ascii="Arial" w:hAnsi="Arial" w:cs="Arial"/>
              </w:rPr>
              <w:t>5</w:t>
            </w:r>
          </w:p>
        </w:tc>
      </w:tr>
      <w:tr w:rsidR="00C04403" w:rsidRPr="00C04403" w14:paraId="227EFB64" w14:textId="77777777" w:rsidTr="001C65AD">
        <w:trPr>
          <w:tblCellSpacing w:w="15" w:type="dxa"/>
        </w:trPr>
        <w:tc>
          <w:tcPr>
            <w:tcW w:w="0" w:type="auto"/>
            <w:vAlign w:val="center"/>
            <w:hideMark/>
          </w:tcPr>
          <w:p w14:paraId="5F1F9705" w14:textId="77777777" w:rsidR="00C04403" w:rsidRPr="00C04403" w:rsidRDefault="00C04403" w:rsidP="00C04403">
            <w:pPr>
              <w:spacing w:line="360" w:lineRule="auto"/>
              <w:jc w:val="both"/>
              <w:rPr>
                <w:rFonts w:ascii="Arial" w:hAnsi="Arial" w:cs="Arial"/>
              </w:rPr>
            </w:pPr>
            <w:r w:rsidRPr="00C04403">
              <w:rPr>
                <w:rFonts w:ascii="Arial" w:hAnsi="Arial" w:cs="Arial"/>
              </w:rPr>
              <w:t>3.1 External Forces</w:t>
            </w:r>
          </w:p>
        </w:tc>
        <w:tc>
          <w:tcPr>
            <w:tcW w:w="416" w:type="dxa"/>
            <w:vAlign w:val="center"/>
            <w:hideMark/>
          </w:tcPr>
          <w:p w14:paraId="59F18B6F" w14:textId="4F369053" w:rsidR="00C04403" w:rsidRPr="00C04403" w:rsidRDefault="009416B0" w:rsidP="00C04403">
            <w:pPr>
              <w:spacing w:line="360" w:lineRule="auto"/>
              <w:jc w:val="both"/>
              <w:rPr>
                <w:rFonts w:ascii="Arial" w:hAnsi="Arial" w:cs="Arial"/>
              </w:rPr>
            </w:pPr>
            <w:r>
              <w:rPr>
                <w:rFonts w:ascii="Arial" w:hAnsi="Arial" w:cs="Arial"/>
              </w:rPr>
              <w:t>15</w:t>
            </w:r>
          </w:p>
        </w:tc>
      </w:tr>
      <w:tr w:rsidR="00C04403" w:rsidRPr="00C04403" w14:paraId="3C63E407" w14:textId="77777777" w:rsidTr="001C65AD">
        <w:trPr>
          <w:tblCellSpacing w:w="15" w:type="dxa"/>
        </w:trPr>
        <w:tc>
          <w:tcPr>
            <w:tcW w:w="0" w:type="auto"/>
            <w:vAlign w:val="center"/>
            <w:hideMark/>
          </w:tcPr>
          <w:p w14:paraId="7C7EEB8A" w14:textId="77777777" w:rsidR="00C04403" w:rsidRPr="00C04403" w:rsidRDefault="00C04403" w:rsidP="00C04403">
            <w:pPr>
              <w:spacing w:line="360" w:lineRule="auto"/>
              <w:jc w:val="both"/>
              <w:rPr>
                <w:rFonts w:ascii="Arial" w:hAnsi="Arial" w:cs="Arial"/>
              </w:rPr>
            </w:pPr>
            <w:r w:rsidRPr="00C04403">
              <w:rPr>
                <w:rFonts w:ascii="Arial" w:hAnsi="Arial" w:cs="Arial"/>
              </w:rPr>
              <w:t>3.2 Internal Forces</w:t>
            </w:r>
          </w:p>
        </w:tc>
        <w:tc>
          <w:tcPr>
            <w:tcW w:w="416" w:type="dxa"/>
            <w:vAlign w:val="center"/>
            <w:hideMark/>
          </w:tcPr>
          <w:p w14:paraId="2C1F0086" w14:textId="1DB2FEB5" w:rsidR="00C04403" w:rsidRPr="00C04403" w:rsidRDefault="00C04403" w:rsidP="00C04403">
            <w:pPr>
              <w:spacing w:line="360" w:lineRule="auto"/>
              <w:jc w:val="both"/>
              <w:rPr>
                <w:rFonts w:ascii="Arial" w:hAnsi="Arial" w:cs="Arial"/>
              </w:rPr>
            </w:pPr>
            <w:r w:rsidRPr="00C04403">
              <w:rPr>
                <w:rFonts w:ascii="Arial" w:hAnsi="Arial" w:cs="Arial"/>
              </w:rPr>
              <w:t>1</w:t>
            </w:r>
            <w:r w:rsidR="009416B0">
              <w:rPr>
                <w:rFonts w:ascii="Arial" w:hAnsi="Arial" w:cs="Arial"/>
              </w:rPr>
              <w:t>5</w:t>
            </w:r>
          </w:p>
        </w:tc>
      </w:tr>
      <w:tr w:rsidR="00C04403" w:rsidRPr="00C04403" w14:paraId="1C5BEFD0" w14:textId="77777777" w:rsidTr="001C65AD">
        <w:trPr>
          <w:tblCellSpacing w:w="15" w:type="dxa"/>
        </w:trPr>
        <w:tc>
          <w:tcPr>
            <w:tcW w:w="0" w:type="auto"/>
            <w:vAlign w:val="center"/>
            <w:hideMark/>
          </w:tcPr>
          <w:p w14:paraId="5F2FC818" w14:textId="77777777" w:rsidR="00C04403" w:rsidRPr="00C04403" w:rsidRDefault="00C04403" w:rsidP="00C04403">
            <w:pPr>
              <w:spacing w:line="360" w:lineRule="auto"/>
              <w:jc w:val="both"/>
              <w:rPr>
                <w:rFonts w:ascii="Arial" w:hAnsi="Arial" w:cs="Arial"/>
              </w:rPr>
            </w:pPr>
            <w:r w:rsidRPr="00C04403">
              <w:rPr>
                <w:rFonts w:ascii="Arial" w:hAnsi="Arial" w:cs="Arial"/>
              </w:rPr>
              <w:t>4. Future Developments in Marketing</w:t>
            </w:r>
          </w:p>
        </w:tc>
        <w:tc>
          <w:tcPr>
            <w:tcW w:w="416" w:type="dxa"/>
            <w:vAlign w:val="center"/>
            <w:hideMark/>
          </w:tcPr>
          <w:p w14:paraId="471C1B9B" w14:textId="5D72A123" w:rsidR="00C04403" w:rsidRPr="00C04403" w:rsidRDefault="00C04403" w:rsidP="00C04403">
            <w:pPr>
              <w:spacing w:line="360" w:lineRule="auto"/>
              <w:jc w:val="both"/>
              <w:rPr>
                <w:rFonts w:ascii="Arial" w:hAnsi="Arial" w:cs="Arial"/>
              </w:rPr>
            </w:pPr>
            <w:r w:rsidRPr="00C04403">
              <w:rPr>
                <w:rFonts w:ascii="Arial" w:hAnsi="Arial" w:cs="Arial"/>
              </w:rPr>
              <w:t>1</w:t>
            </w:r>
            <w:r w:rsidR="009416B0">
              <w:rPr>
                <w:rFonts w:ascii="Arial" w:hAnsi="Arial" w:cs="Arial"/>
              </w:rPr>
              <w:t>6</w:t>
            </w:r>
          </w:p>
        </w:tc>
      </w:tr>
      <w:tr w:rsidR="00C04403" w:rsidRPr="00C04403" w14:paraId="5B214D9C" w14:textId="77777777" w:rsidTr="001C65AD">
        <w:trPr>
          <w:tblCellSpacing w:w="15" w:type="dxa"/>
        </w:trPr>
        <w:tc>
          <w:tcPr>
            <w:tcW w:w="0" w:type="auto"/>
            <w:vAlign w:val="center"/>
            <w:hideMark/>
          </w:tcPr>
          <w:p w14:paraId="0E0BC4A0" w14:textId="77777777" w:rsidR="00C04403" w:rsidRPr="00C04403" w:rsidRDefault="00C04403" w:rsidP="00C04403">
            <w:pPr>
              <w:spacing w:line="360" w:lineRule="auto"/>
              <w:jc w:val="both"/>
              <w:rPr>
                <w:rFonts w:ascii="Arial" w:hAnsi="Arial" w:cs="Arial"/>
              </w:rPr>
            </w:pPr>
            <w:r w:rsidRPr="00C04403">
              <w:rPr>
                <w:rFonts w:ascii="Arial" w:hAnsi="Arial" w:cs="Arial"/>
              </w:rPr>
              <w:t>4.1 AI-Driven Personalisation</w:t>
            </w:r>
          </w:p>
        </w:tc>
        <w:tc>
          <w:tcPr>
            <w:tcW w:w="416" w:type="dxa"/>
            <w:vAlign w:val="center"/>
            <w:hideMark/>
          </w:tcPr>
          <w:p w14:paraId="7482DB3B" w14:textId="3EBABEEA" w:rsidR="00C04403" w:rsidRPr="00C04403" w:rsidRDefault="00C04403" w:rsidP="00C04403">
            <w:pPr>
              <w:spacing w:line="360" w:lineRule="auto"/>
              <w:jc w:val="both"/>
              <w:rPr>
                <w:rFonts w:ascii="Arial" w:hAnsi="Arial" w:cs="Arial"/>
              </w:rPr>
            </w:pPr>
            <w:r w:rsidRPr="00C04403">
              <w:rPr>
                <w:rFonts w:ascii="Arial" w:hAnsi="Arial" w:cs="Arial"/>
              </w:rPr>
              <w:t>1</w:t>
            </w:r>
            <w:r w:rsidR="009416B0">
              <w:rPr>
                <w:rFonts w:ascii="Arial" w:hAnsi="Arial" w:cs="Arial"/>
              </w:rPr>
              <w:t>7</w:t>
            </w:r>
          </w:p>
        </w:tc>
      </w:tr>
      <w:tr w:rsidR="00C04403" w:rsidRPr="00C04403" w14:paraId="13125AF4" w14:textId="77777777" w:rsidTr="001C65AD">
        <w:trPr>
          <w:tblCellSpacing w:w="15" w:type="dxa"/>
        </w:trPr>
        <w:tc>
          <w:tcPr>
            <w:tcW w:w="0" w:type="auto"/>
            <w:vAlign w:val="center"/>
            <w:hideMark/>
          </w:tcPr>
          <w:p w14:paraId="27AB3829" w14:textId="77777777" w:rsidR="00C04403" w:rsidRPr="00C04403" w:rsidRDefault="00C04403" w:rsidP="00C04403">
            <w:pPr>
              <w:spacing w:line="360" w:lineRule="auto"/>
              <w:jc w:val="both"/>
              <w:rPr>
                <w:rFonts w:ascii="Arial" w:hAnsi="Arial" w:cs="Arial"/>
              </w:rPr>
            </w:pPr>
            <w:r w:rsidRPr="00C04403">
              <w:rPr>
                <w:rFonts w:ascii="Arial" w:hAnsi="Arial" w:cs="Arial"/>
              </w:rPr>
              <w:t>4.2 ESG-Driven Branding</w:t>
            </w:r>
          </w:p>
        </w:tc>
        <w:tc>
          <w:tcPr>
            <w:tcW w:w="416" w:type="dxa"/>
            <w:vAlign w:val="center"/>
            <w:hideMark/>
          </w:tcPr>
          <w:p w14:paraId="6E96323E" w14:textId="7861D012" w:rsidR="00C04403" w:rsidRPr="00C04403" w:rsidRDefault="00C04403" w:rsidP="00C04403">
            <w:pPr>
              <w:spacing w:line="360" w:lineRule="auto"/>
              <w:jc w:val="both"/>
              <w:rPr>
                <w:rFonts w:ascii="Arial" w:hAnsi="Arial" w:cs="Arial"/>
              </w:rPr>
            </w:pPr>
            <w:r w:rsidRPr="00C04403">
              <w:rPr>
                <w:rFonts w:ascii="Arial" w:hAnsi="Arial" w:cs="Arial"/>
              </w:rPr>
              <w:t>1</w:t>
            </w:r>
            <w:r w:rsidR="009416B0">
              <w:rPr>
                <w:rFonts w:ascii="Arial" w:hAnsi="Arial" w:cs="Arial"/>
              </w:rPr>
              <w:t>7</w:t>
            </w:r>
          </w:p>
        </w:tc>
      </w:tr>
      <w:tr w:rsidR="00C04403" w:rsidRPr="00C04403" w14:paraId="0DC37760" w14:textId="77777777" w:rsidTr="001C65AD">
        <w:trPr>
          <w:tblCellSpacing w:w="15" w:type="dxa"/>
        </w:trPr>
        <w:tc>
          <w:tcPr>
            <w:tcW w:w="0" w:type="auto"/>
            <w:vAlign w:val="center"/>
            <w:hideMark/>
          </w:tcPr>
          <w:p w14:paraId="423801CE" w14:textId="77777777" w:rsidR="00C04403" w:rsidRPr="00C04403" w:rsidRDefault="00C04403" w:rsidP="00C04403">
            <w:pPr>
              <w:spacing w:line="360" w:lineRule="auto"/>
              <w:jc w:val="both"/>
              <w:rPr>
                <w:rFonts w:ascii="Arial" w:hAnsi="Arial" w:cs="Arial"/>
              </w:rPr>
            </w:pPr>
            <w:r w:rsidRPr="00C04403">
              <w:rPr>
                <w:rFonts w:ascii="Arial" w:hAnsi="Arial" w:cs="Arial"/>
              </w:rPr>
              <w:t>4.3 Immersive Digital Experiences</w:t>
            </w:r>
          </w:p>
        </w:tc>
        <w:tc>
          <w:tcPr>
            <w:tcW w:w="416" w:type="dxa"/>
            <w:vAlign w:val="center"/>
            <w:hideMark/>
          </w:tcPr>
          <w:p w14:paraId="79AA1A64" w14:textId="4F045F41" w:rsidR="00C04403" w:rsidRPr="00C04403" w:rsidRDefault="00C04403" w:rsidP="00C04403">
            <w:pPr>
              <w:spacing w:line="360" w:lineRule="auto"/>
              <w:jc w:val="both"/>
              <w:rPr>
                <w:rFonts w:ascii="Arial" w:hAnsi="Arial" w:cs="Arial"/>
              </w:rPr>
            </w:pPr>
            <w:r w:rsidRPr="00C04403">
              <w:rPr>
                <w:rFonts w:ascii="Arial" w:hAnsi="Arial" w:cs="Arial"/>
              </w:rPr>
              <w:t>1</w:t>
            </w:r>
            <w:r w:rsidR="003818F2">
              <w:rPr>
                <w:rFonts w:ascii="Arial" w:hAnsi="Arial" w:cs="Arial"/>
              </w:rPr>
              <w:t>7</w:t>
            </w:r>
          </w:p>
        </w:tc>
      </w:tr>
      <w:tr w:rsidR="00C04403" w:rsidRPr="00C04403" w14:paraId="36E40613" w14:textId="77777777" w:rsidTr="001C65AD">
        <w:trPr>
          <w:tblCellSpacing w:w="15" w:type="dxa"/>
        </w:trPr>
        <w:tc>
          <w:tcPr>
            <w:tcW w:w="0" w:type="auto"/>
            <w:vAlign w:val="center"/>
            <w:hideMark/>
          </w:tcPr>
          <w:p w14:paraId="1EC759E5" w14:textId="77777777" w:rsidR="00C04403" w:rsidRPr="00C04403" w:rsidRDefault="00C04403" w:rsidP="00C04403">
            <w:pPr>
              <w:spacing w:line="360" w:lineRule="auto"/>
              <w:jc w:val="both"/>
              <w:rPr>
                <w:rFonts w:ascii="Arial" w:hAnsi="Arial" w:cs="Arial"/>
              </w:rPr>
            </w:pPr>
            <w:r w:rsidRPr="00C04403">
              <w:rPr>
                <w:rFonts w:ascii="Arial" w:hAnsi="Arial" w:cs="Arial"/>
              </w:rPr>
              <w:t>4.4 Ethical Marketing and Data Governance</w:t>
            </w:r>
          </w:p>
        </w:tc>
        <w:tc>
          <w:tcPr>
            <w:tcW w:w="416" w:type="dxa"/>
            <w:vAlign w:val="center"/>
            <w:hideMark/>
          </w:tcPr>
          <w:p w14:paraId="60D06C9F" w14:textId="7473AD1C" w:rsidR="00C04403" w:rsidRPr="00C04403" w:rsidRDefault="00C04403" w:rsidP="00C04403">
            <w:pPr>
              <w:spacing w:line="360" w:lineRule="auto"/>
              <w:jc w:val="both"/>
              <w:rPr>
                <w:rFonts w:ascii="Arial" w:hAnsi="Arial" w:cs="Arial"/>
              </w:rPr>
            </w:pPr>
            <w:r w:rsidRPr="00C04403">
              <w:rPr>
                <w:rFonts w:ascii="Arial" w:hAnsi="Arial" w:cs="Arial"/>
              </w:rPr>
              <w:t>1</w:t>
            </w:r>
            <w:r w:rsidR="003818F2">
              <w:rPr>
                <w:rFonts w:ascii="Arial" w:hAnsi="Arial" w:cs="Arial"/>
              </w:rPr>
              <w:t>8</w:t>
            </w:r>
          </w:p>
        </w:tc>
      </w:tr>
      <w:tr w:rsidR="00C04403" w:rsidRPr="00C04403" w14:paraId="1E5628A9" w14:textId="77777777" w:rsidTr="001C65AD">
        <w:trPr>
          <w:tblCellSpacing w:w="15" w:type="dxa"/>
        </w:trPr>
        <w:tc>
          <w:tcPr>
            <w:tcW w:w="0" w:type="auto"/>
            <w:vAlign w:val="center"/>
            <w:hideMark/>
          </w:tcPr>
          <w:p w14:paraId="64C9D979" w14:textId="77777777" w:rsidR="00C04403" w:rsidRPr="00C04403" w:rsidRDefault="00C04403" w:rsidP="00C04403">
            <w:pPr>
              <w:spacing w:line="360" w:lineRule="auto"/>
              <w:jc w:val="both"/>
              <w:rPr>
                <w:rFonts w:ascii="Arial" w:hAnsi="Arial" w:cs="Arial"/>
              </w:rPr>
            </w:pPr>
            <w:r w:rsidRPr="00C04403">
              <w:rPr>
                <w:rFonts w:ascii="Arial" w:hAnsi="Arial" w:cs="Arial"/>
              </w:rPr>
              <w:t>5. Recommendations</w:t>
            </w:r>
          </w:p>
        </w:tc>
        <w:tc>
          <w:tcPr>
            <w:tcW w:w="416" w:type="dxa"/>
            <w:vAlign w:val="center"/>
            <w:hideMark/>
          </w:tcPr>
          <w:p w14:paraId="2EA8D73E" w14:textId="634A168A" w:rsidR="00C04403" w:rsidRPr="00C04403" w:rsidRDefault="00C04403" w:rsidP="00C04403">
            <w:pPr>
              <w:spacing w:line="360" w:lineRule="auto"/>
              <w:jc w:val="both"/>
              <w:rPr>
                <w:rFonts w:ascii="Arial" w:hAnsi="Arial" w:cs="Arial"/>
              </w:rPr>
            </w:pPr>
            <w:r w:rsidRPr="00C04403">
              <w:rPr>
                <w:rFonts w:ascii="Arial" w:hAnsi="Arial" w:cs="Arial"/>
              </w:rPr>
              <w:t>1</w:t>
            </w:r>
            <w:r w:rsidR="003818F2">
              <w:rPr>
                <w:rFonts w:ascii="Arial" w:hAnsi="Arial" w:cs="Arial"/>
              </w:rPr>
              <w:t>8</w:t>
            </w:r>
          </w:p>
        </w:tc>
      </w:tr>
      <w:tr w:rsidR="00C04403" w:rsidRPr="00C04403" w14:paraId="7DB132FA" w14:textId="77777777" w:rsidTr="001C65AD">
        <w:trPr>
          <w:tblCellSpacing w:w="15" w:type="dxa"/>
        </w:trPr>
        <w:tc>
          <w:tcPr>
            <w:tcW w:w="0" w:type="auto"/>
            <w:vAlign w:val="center"/>
            <w:hideMark/>
          </w:tcPr>
          <w:p w14:paraId="6A62ABA4" w14:textId="77777777" w:rsidR="00C04403" w:rsidRPr="00C04403" w:rsidRDefault="00C04403" w:rsidP="00C04403">
            <w:pPr>
              <w:spacing w:line="360" w:lineRule="auto"/>
              <w:jc w:val="both"/>
              <w:rPr>
                <w:rFonts w:ascii="Arial" w:hAnsi="Arial" w:cs="Arial"/>
              </w:rPr>
            </w:pPr>
            <w:r w:rsidRPr="00C04403">
              <w:rPr>
                <w:rFonts w:ascii="Arial" w:hAnsi="Arial" w:cs="Arial"/>
              </w:rPr>
              <w:lastRenderedPageBreak/>
              <w:t>6. Conclusion</w:t>
            </w:r>
          </w:p>
        </w:tc>
        <w:tc>
          <w:tcPr>
            <w:tcW w:w="416" w:type="dxa"/>
            <w:vAlign w:val="center"/>
            <w:hideMark/>
          </w:tcPr>
          <w:p w14:paraId="665FA105" w14:textId="01DAA313" w:rsidR="00C04403" w:rsidRPr="00C04403" w:rsidRDefault="00387C8D" w:rsidP="00C04403">
            <w:pPr>
              <w:spacing w:line="360" w:lineRule="auto"/>
              <w:jc w:val="both"/>
              <w:rPr>
                <w:rFonts w:ascii="Arial" w:hAnsi="Arial" w:cs="Arial"/>
              </w:rPr>
            </w:pPr>
            <w:r>
              <w:rPr>
                <w:rFonts w:ascii="Arial" w:hAnsi="Arial" w:cs="Arial"/>
              </w:rPr>
              <w:t>20</w:t>
            </w:r>
          </w:p>
        </w:tc>
      </w:tr>
      <w:tr w:rsidR="00C04403" w:rsidRPr="00C04403" w14:paraId="0F7C5988" w14:textId="77777777" w:rsidTr="001C65AD">
        <w:trPr>
          <w:tblCellSpacing w:w="15" w:type="dxa"/>
        </w:trPr>
        <w:tc>
          <w:tcPr>
            <w:tcW w:w="0" w:type="auto"/>
            <w:vAlign w:val="center"/>
            <w:hideMark/>
          </w:tcPr>
          <w:p w14:paraId="11FD8BD2" w14:textId="77777777" w:rsidR="00C04403" w:rsidRPr="00C04403" w:rsidRDefault="00C04403" w:rsidP="00C04403">
            <w:pPr>
              <w:spacing w:line="360" w:lineRule="auto"/>
              <w:jc w:val="both"/>
              <w:rPr>
                <w:rFonts w:ascii="Arial" w:hAnsi="Arial" w:cs="Arial"/>
              </w:rPr>
            </w:pPr>
            <w:r w:rsidRPr="00C04403">
              <w:rPr>
                <w:rFonts w:ascii="Arial" w:hAnsi="Arial" w:cs="Arial"/>
              </w:rPr>
              <w:t>References</w:t>
            </w:r>
          </w:p>
        </w:tc>
        <w:tc>
          <w:tcPr>
            <w:tcW w:w="416" w:type="dxa"/>
            <w:vAlign w:val="center"/>
            <w:hideMark/>
          </w:tcPr>
          <w:p w14:paraId="46E9B973" w14:textId="39E3796A" w:rsidR="00C04403" w:rsidRPr="00C04403" w:rsidRDefault="00C04403" w:rsidP="00C04403">
            <w:pPr>
              <w:spacing w:line="360" w:lineRule="auto"/>
              <w:jc w:val="both"/>
              <w:rPr>
                <w:rFonts w:ascii="Arial" w:hAnsi="Arial" w:cs="Arial"/>
              </w:rPr>
            </w:pPr>
            <w:r w:rsidRPr="00C04403">
              <w:rPr>
                <w:rFonts w:ascii="Arial" w:hAnsi="Arial" w:cs="Arial"/>
              </w:rPr>
              <w:t>2</w:t>
            </w:r>
            <w:r w:rsidR="00387C8D">
              <w:rPr>
                <w:rFonts w:ascii="Arial" w:hAnsi="Arial" w:cs="Arial"/>
              </w:rPr>
              <w:t>2</w:t>
            </w:r>
          </w:p>
        </w:tc>
      </w:tr>
      <w:tr w:rsidR="00C04403" w:rsidRPr="00C04403" w14:paraId="3672790A" w14:textId="77777777" w:rsidTr="001C65AD">
        <w:trPr>
          <w:tblCellSpacing w:w="15" w:type="dxa"/>
        </w:trPr>
        <w:tc>
          <w:tcPr>
            <w:tcW w:w="0" w:type="auto"/>
            <w:vAlign w:val="center"/>
            <w:hideMark/>
          </w:tcPr>
          <w:p w14:paraId="30836756" w14:textId="77777777" w:rsidR="00C04403" w:rsidRPr="00C04403" w:rsidRDefault="00C04403" w:rsidP="00C04403">
            <w:pPr>
              <w:spacing w:line="360" w:lineRule="auto"/>
              <w:jc w:val="both"/>
              <w:rPr>
                <w:rFonts w:ascii="Arial" w:hAnsi="Arial" w:cs="Arial"/>
              </w:rPr>
            </w:pPr>
            <w:r w:rsidRPr="00C04403">
              <w:rPr>
                <w:rFonts w:ascii="Arial" w:hAnsi="Arial" w:cs="Arial"/>
              </w:rPr>
              <w:t>Appendices</w:t>
            </w:r>
          </w:p>
        </w:tc>
        <w:tc>
          <w:tcPr>
            <w:tcW w:w="416" w:type="dxa"/>
            <w:vAlign w:val="center"/>
            <w:hideMark/>
          </w:tcPr>
          <w:p w14:paraId="3C20192C" w14:textId="62562108" w:rsidR="00C04403" w:rsidRPr="00C04403" w:rsidRDefault="00C04403" w:rsidP="00C04403">
            <w:pPr>
              <w:spacing w:line="360" w:lineRule="auto"/>
              <w:jc w:val="both"/>
              <w:rPr>
                <w:rFonts w:ascii="Arial" w:hAnsi="Arial" w:cs="Arial"/>
              </w:rPr>
            </w:pPr>
            <w:r w:rsidRPr="00C04403">
              <w:rPr>
                <w:rFonts w:ascii="Arial" w:hAnsi="Arial" w:cs="Arial"/>
              </w:rPr>
              <w:t>2</w:t>
            </w:r>
            <w:r w:rsidR="00387C8D">
              <w:rPr>
                <w:rFonts w:ascii="Arial" w:hAnsi="Arial" w:cs="Arial"/>
              </w:rPr>
              <w:t>6</w:t>
            </w:r>
          </w:p>
        </w:tc>
      </w:tr>
      <w:tr w:rsidR="00C04403" w:rsidRPr="00C04403" w14:paraId="04CE106B" w14:textId="77777777" w:rsidTr="001C65AD">
        <w:trPr>
          <w:tblCellSpacing w:w="15" w:type="dxa"/>
        </w:trPr>
        <w:tc>
          <w:tcPr>
            <w:tcW w:w="0" w:type="auto"/>
            <w:vAlign w:val="center"/>
            <w:hideMark/>
          </w:tcPr>
          <w:p w14:paraId="609A361E" w14:textId="77777777" w:rsidR="00C04403" w:rsidRPr="00C04403" w:rsidRDefault="00C04403" w:rsidP="00C04403">
            <w:pPr>
              <w:spacing w:line="360" w:lineRule="auto"/>
              <w:jc w:val="both"/>
              <w:rPr>
                <w:rFonts w:ascii="Arial" w:hAnsi="Arial" w:cs="Arial"/>
              </w:rPr>
            </w:pPr>
            <w:r w:rsidRPr="00C04403">
              <w:rPr>
                <w:rFonts w:ascii="Arial" w:hAnsi="Arial" w:cs="Arial"/>
              </w:rPr>
              <w:t>Appendix A: PESTEL Analysis Summary</w:t>
            </w:r>
          </w:p>
        </w:tc>
        <w:tc>
          <w:tcPr>
            <w:tcW w:w="416" w:type="dxa"/>
            <w:vAlign w:val="center"/>
            <w:hideMark/>
          </w:tcPr>
          <w:p w14:paraId="171B13AA" w14:textId="2D83EF4A" w:rsidR="00C04403" w:rsidRPr="00C04403" w:rsidRDefault="00C04403" w:rsidP="00C04403">
            <w:pPr>
              <w:spacing w:line="360" w:lineRule="auto"/>
              <w:jc w:val="both"/>
              <w:rPr>
                <w:rFonts w:ascii="Arial" w:hAnsi="Arial" w:cs="Arial"/>
              </w:rPr>
            </w:pPr>
            <w:r w:rsidRPr="00C04403">
              <w:rPr>
                <w:rFonts w:ascii="Arial" w:hAnsi="Arial" w:cs="Arial"/>
              </w:rPr>
              <w:t>2</w:t>
            </w:r>
            <w:r w:rsidR="00330B46">
              <w:rPr>
                <w:rFonts w:ascii="Arial" w:hAnsi="Arial" w:cs="Arial"/>
              </w:rPr>
              <w:t>6</w:t>
            </w:r>
          </w:p>
        </w:tc>
      </w:tr>
      <w:tr w:rsidR="00C04403" w:rsidRPr="00C04403" w14:paraId="43428695" w14:textId="77777777" w:rsidTr="001C65AD">
        <w:trPr>
          <w:tblCellSpacing w:w="15" w:type="dxa"/>
        </w:trPr>
        <w:tc>
          <w:tcPr>
            <w:tcW w:w="0" w:type="auto"/>
            <w:vAlign w:val="center"/>
            <w:hideMark/>
          </w:tcPr>
          <w:p w14:paraId="70587A10" w14:textId="77777777" w:rsidR="00C04403" w:rsidRPr="00C04403" w:rsidRDefault="00C04403" w:rsidP="00C04403">
            <w:pPr>
              <w:spacing w:line="360" w:lineRule="auto"/>
              <w:jc w:val="both"/>
              <w:rPr>
                <w:rFonts w:ascii="Arial" w:hAnsi="Arial" w:cs="Arial"/>
              </w:rPr>
            </w:pPr>
            <w:r w:rsidRPr="00C04403">
              <w:rPr>
                <w:rFonts w:ascii="Arial" w:hAnsi="Arial" w:cs="Arial"/>
              </w:rPr>
              <w:t>Appendix B: SWOT Matrix</w:t>
            </w:r>
          </w:p>
        </w:tc>
        <w:tc>
          <w:tcPr>
            <w:tcW w:w="416" w:type="dxa"/>
            <w:vAlign w:val="center"/>
            <w:hideMark/>
          </w:tcPr>
          <w:p w14:paraId="0D4FA390" w14:textId="6F1AE183" w:rsidR="00C04403" w:rsidRPr="00C04403" w:rsidRDefault="00C04403" w:rsidP="00C04403">
            <w:pPr>
              <w:spacing w:line="360" w:lineRule="auto"/>
              <w:jc w:val="both"/>
              <w:rPr>
                <w:rFonts w:ascii="Arial" w:hAnsi="Arial" w:cs="Arial"/>
              </w:rPr>
            </w:pPr>
            <w:r w:rsidRPr="00C04403">
              <w:rPr>
                <w:rFonts w:ascii="Arial" w:hAnsi="Arial" w:cs="Arial"/>
              </w:rPr>
              <w:t>2</w:t>
            </w:r>
            <w:r w:rsidR="00330B46">
              <w:rPr>
                <w:rFonts w:ascii="Arial" w:hAnsi="Arial" w:cs="Arial"/>
              </w:rPr>
              <w:t>6</w:t>
            </w:r>
          </w:p>
        </w:tc>
      </w:tr>
      <w:tr w:rsidR="00C04403" w:rsidRPr="00C04403" w14:paraId="69061AA2" w14:textId="77777777" w:rsidTr="001C65AD">
        <w:trPr>
          <w:tblCellSpacing w:w="15" w:type="dxa"/>
        </w:trPr>
        <w:tc>
          <w:tcPr>
            <w:tcW w:w="0" w:type="auto"/>
            <w:vAlign w:val="center"/>
            <w:hideMark/>
          </w:tcPr>
          <w:p w14:paraId="6A31CF9A" w14:textId="77777777" w:rsidR="00C04403" w:rsidRPr="00C04403" w:rsidRDefault="00C04403" w:rsidP="00C04403">
            <w:pPr>
              <w:spacing w:line="360" w:lineRule="auto"/>
              <w:jc w:val="both"/>
              <w:rPr>
                <w:rFonts w:ascii="Arial" w:hAnsi="Arial" w:cs="Arial"/>
              </w:rPr>
            </w:pPr>
            <w:r w:rsidRPr="00C04403">
              <w:rPr>
                <w:rFonts w:ascii="Arial" w:hAnsi="Arial" w:cs="Arial"/>
              </w:rPr>
              <w:t>Appendix C: STP Framework</w:t>
            </w:r>
          </w:p>
        </w:tc>
        <w:tc>
          <w:tcPr>
            <w:tcW w:w="416" w:type="dxa"/>
            <w:vAlign w:val="center"/>
            <w:hideMark/>
          </w:tcPr>
          <w:p w14:paraId="13F6401B" w14:textId="3CD39528" w:rsidR="00C04403" w:rsidRPr="00C04403" w:rsidRDefault="00C04403" w:rsidP="00C04403">
            <w:pPr>
              <w:spacing w:line="360" w:lineRule="auto"/>
              <w:jc w:val="both"/>
              <w:rPr>
                <w:rFonts w:ascii="Arial" w:hAnsi="Arial" w:cs="Arial"/>
              </w:rPr>
            </w:pPr>
            <w:r w:rsidRPr="00C04403">
              <w:rPr>
                <w:rFonts w:ascii="Arial" w:hAnsi="Arial" w:cs="Arial"/>
              </w:rPr>
              <w:t>2</w:t>
            </w:r>
            <w:r w:rsidR="00330B46">
              <w:rPr>
                <w:rFonts w:ascii="Arial" w:hAnsi="Arial" w:cs="Arial"/>
              </w:rPr>
              <w:t>7</w:t>
            </w:r>
          </w:p>
        </w:tc>
      </w:tr>
    </w:tbl>
    <w:p w14:paraId="5CA06717" w14:textId="77777777" w:rsidR="000F74A3" w:rsidRPr="004D0F98" w:rsidRDefault="000F74A3" w:rsidP="004D0F98">
      <w:pPr>
        <w:spacing w:line="360" w:lineRule="auto"/>
        <w:jc w:val="both"/>
        <w:rPr>
          <w:rFonts w:ascii="Arial" w:hAnsi="Arial" w:cs="Arial"/>
        </w:rPr>
      </w:pPr>
    </w:p>
    <w:p w14:paraId="21B4A3B5" w14:textId="77777777" w:rsidR="00C04403" w:rsidRDefault="00C04403" w:rsidP="004D0F98">
      <w:pPr>
        <w:spacing w:line="360" w:lineRule="auto"/>
        <w:jc w:val="both"/>
        <w:rPr>
          <w:rFonts w:ascii="Arial" w:hAnsi="Arial" w:cs="Arial"/>
          <w:b/>
          <w:bCs/>
        </w:rPr>
      </w:pPr>
    </w:p>
    <w:p w14:paraId="530CFF77" w14:textId="77777777" w:rsidR="00C04403" w:rsidRDefault="00C04403">
      <w:pPr>
        <w:rPr>
          <w:rFonts w:ascii="Arial" w:hAnsi="Arial" w:cs="Arial"/>
          <w:b/>
          <w:bCs/>
        </w:rPr>
      </w:pPr>
      <w:r>
        <w:rPr>
          <w:rFonts w:ascii="Arial" w:hAnsi="Arial" w:cs="Arial"/>
          <w:b/>
          <w:bCs/>
        </w:rPr>
        <w:br w:type="page"/>
      </w:r>
    </w:p>
    <w:p w14:paraId="137DB901" w14:textId="77777777" w:rsidR="00C04403" w:rsidRDefault="00C04403" w:rsidP="004D0F98">
      <w:pPr>
        <w:spacing w:line="360" w:lineRule="auto"/>
        <w:jc w:val="both"/>
        <w:rPr>
          <w:rFonts w:ascii="Arial" w:hAnsi="Arial" w:cs="Arial"/>
          <w:b/>
          <w:bCs/>
        </w:rPr>
      </w:pPr>
    </w:p>
    <w:p w14:paraId="62633DC4" w14:textId="165765B2" w:rsidR="004D0F98" w:rsidRPr="005A29F8" w:rsidRDefault="004D0F98" w:rsidP="00974AA3">
      <w:pPr>
        <w:rPr>
          <w:rFonts w:ascii="Arial" w:hAnsi="Arial" w:cs="Arial"/>
          <w:b/>
          <w:bCs/>
          <w:sz w:val="28"/>
          <w:szCs w:val="28"/>
        </w:rPr>
      </w:pPr>
      <w:r w:rsidRPr="005A29F8">
        <w:rPr>
          <w:rFonts w:ascii="Arial" w:hAnsi="Arial" w:cs="Arial"/>
          <w:b/>
          <w:bCs/>
          <w:sz w:val="28"/>
          <w:szCs w:val="28"/>
        </w:rPr>
        <w:t>1. Introduction</w:t>
      </w:r>
    </w:p>
    <w:p w14:paraId="599D1256" w14:textId="77777777" w:rsidR="000F74A3" w:rsidRPr="004D0F98" w:rsidRDefault="000F74A3" w:rsidP="004D0F98">
      <w:pPr>
        <w:spacing w:line="360" w:lineRule="auto"/>
        <w:jc w:val="both"/>
        <w:rPr>
          <w:rFonts w:ascii="Arial" w:hAnsi="Arial" w:cs="Arial"/>
          <w:b/>
          <w:bCs/>
        </w:rPr>
      </w:pPr>
    </w:p>
    <w:p w14:paraId="14456CC3" w14:textId="77777777" w:rsidR="004D0F98" w:rsidRPr="004D0F98" w:rsidRDefault="004D0F98" w:rsidP="004D0F98">
      <w:pPr>
        <w:spacing w:line="360" w:lineRule="auto"/>
        <w:jc w:val="both"/>
        <w:rPr>
          <w:rFonts w:ascii="Arial" w:hAnsi="Arial" w:cs="Arial"/>
        </w:rPr>
      </w:pPr>
      <w:r w:rsidRPr="004D0F98">
        <w:rPr>
          <w:rFonts w:ascii="Arial" w:hAnsi="Arial" w:cs="Arial"/>
        </w:rPr>
        <w:t>Marketing has evolved from a transactional function focused on promotion and sales into a strategic capability concerned with creating customer value, building relationships, and supporting long-term organisational competitiveness (Kotler, Keller and Chernev, 2023). Advances in digital technology, artificial intelligence, social media, and customer analytics have transformed how organisations engage consumers and develop competitive advantage. Consequently, organisations operating within highly competitive sectors such as tourism and hospitality must continuously adapt marketing strategies to remain relevant and effective.</w:t>
      </w:r>
    </w:p>
    <w:p w14:paraId="466A1F2D" w14:textId="77777777" w:rsidR="004D0F98" w:rsidRPr="004D0F98" w:rsidRDefault="004D0F98" w:rsidP="004D0F98">
      <w:pPr>
        <w:spacing w:line="360" w:lineRule="auto"/>
        <w:jc w:val="both"/>
        <w:rPr>
          <w:rFonts w:ascii="Arial" w:hAnsi="Arial" w:cs="Arial"/>
        </w:rPr>
      </w:pPr>
      <w:r w:rsidRPr="004D0F98">
        <w:rPr>
          <w:rFonts w:ascii="Arial" w:hAnsi="Arial" w:cs="Arial"/>
        </w:rPr>
        <w:t>The cruise industry has experienced substantial change during the past decade. Technological innovation, environmental concerns, changing travel preferences, and post-pandemic recovery have reshaped customer expectations and competitive dynamics. Cruise operators are increasingly required to deliver personalised experiences, demonstrate environmental responsibility, and engage consumers through multiple digital channels. These developments have elevated the strategic importance of marketing as a driver of organisational performance and change.</w:t>
      </w:r>
    </w:p>
    <w:p w14:paraId="703ACCDF" w14:textId="77777777" w:rsidR="004D0F98" w:rsidRPr="004D0F98" w:rsidRDefault="004D0F98" w:rsidP="004D0F98">
      <w:pPr>
        <w:spacing w:line="360" w:lineRule="auto"/>
        <w:jc w:val="both"/>
        <w:rPr>
          <w:rFonts w:ascii="Arial" w:hAnsi="Arial" w:cs="Arial"/>
        </w:rPr>
      </w:pPr>
      <w:r w:rsidRPr="004D0F98">
        <w:rPr>
          <w:rFonts w:ascii="Arial" w:hAnsi="Arial" w:cs="Arial"/>
        </w:rPr>
        <w:t>Celebrity Cruises operates as a premium cruise line within Royal Caribbean Group and has developed a reputation for modern luxury, innovative ship design, destination-focused itineraries, and personalised service. The company's "Nothing Comes Close" campaign reflects its strategic emphasis on experiential branding and customer value creation. Rather than competing solely on product features, Celebrity Cruises seeks to differentiate itself through memorable experiences and emotional engagement.</w:t>
      </w:r>
    </w:p>
    <w:p w14:paraId="1AD28AD0" w14:textId="0DF02B47" w:rsidR="004D0F98" w:rsidRPr="004D0F98" w:rsidRDefault="004D0F98" w:rsidP="004D0F98">
      <w:pPr>
        <w:spacing w:line="360" w:lineRule="auto"/>
        <w:jc w:val="both"/>
        <w:rPr>
          <w:rFonts w:ascii="Arial" w:hAnsi="Arial" w:cs="Arial"/>
        </w:rPr>
      </w:pPr>
      <w:r w:rsidRPr="004D0F98">
        <w:rPr>
          <w:rFonts w:ascii="Arial" w:hAnsi="Arial" w:cs="Arial"/>
        </w:rPr>
        <w:t>From a theoretical perspective, Celebrity Cruises' marketing strategy can be viewed through the Resource</w:t>
      </w:r>
      <w:r w:rsidR="00B15835">
        <w:rPr>
          <w:rFonts w:ascii="Arial" w:hAnsi="Arial" w:cs="Arial"/>
        </w:rPr>
        <w:t xml:space="preserve"> </w:t>
      </w:r>
      <w:r w:rsidRPr="004D0F98">
        <w:rPr>
          <w:rFonts w:ascii="Arial" w:hAnsi="Arial" w:cs="Arial"/>
        </w:rPr>
        <w:t>Based View (RBV), which suggests that sustainable competitive advantage is derived from valuable and difficult</w:t>
      </w:r>
      <w:r w:rsidR="000F74A3">
        <w:rPr>
          <w:rFonts w:ascii="Arial" w:hAnsi="Arial" w:cs="Arial"/>
        </w:rPr>
        <w:t xml:space="preserve"> </w:t>
      </w:r>
      <w:r w:rsidRPr="004D0F98">
        <w:rPr>
          <w:rFonts w:ascii="Arial" w:hAnsi="Arial" w:cs="Arial"/>
        </w:rPr>
        <w:t>to</w:t>
      </w:r>
      <w:r w:rsidR="000F74A3">
        <w:rPr>
          <w:rFonts w:ascii="Arial" w:hAnsi="Arial" w:cs="Arial"/>
        </w:rPr>
        <w:t xml:space="preserve"> </w:t>
      </w:r>
      <w:r w:rsidRPr="004D0F98">
        <w:rPr>
          <w:rFonts w:ascii="Arial" w:hAnsi="Arial" w:cs="Arial"/>
        </w:rPr>
        <w:t xml:space="preserve">imitate resources such as brand equity, customer loyalty, and service quality (Barney, 1991). However, Dynamic Capabilities Theory argues that competitive advantage depends not only on possessing resources but also on continuously adapting them in response to environmental change (Teece, 2018). This perspective is particularly relevant within </w:t>
      </w:r>
      <w:r w:rsidRPr="004D0F98">
        <w:rPr>
          <w:rFonts w:ascii="Arial" w:hAnsi="Arial" w:cs="Arial"/>
        </w:rPr>
        <w:lastRenderedPageBreak/>
        <w:t>tourism markets where technological disruption and consumer expectations evolve rapidly.</w:t>
      </w:r>
    </w:p>
    <w:p w14:paraId="1A241486" w14:textId="77777777" w:rsidR="004D0F98" w:rsidRPr="004D0F98" w:rsidRDefault="004D0F98" w:rsidP="004D0F98">
      <w:pPr>
        <w:spacing w:line="360" w:lineRule="auto"/>
        <w:jc w:val="both"/>
        <w:rPr>
          <w:rFonts w:ascii="Arial" w:hAnsi="Arial" w:cs="Arial"/>
        </w:rPr>
      </w:pPr>
      <w:r w:rsidRPr="004D0F98">
        <w:rPr>
          <w:rFonts w:ascii="Arial" w:hAnsi="Arial" w:cs="Arial"/>
        </w:rPr>
        <w:t>Furthermore, Service-Dominant Logic proposes that value is co-created through interactions between organisations and customers rather than delivered solely through products and services (Vargo and Lusch, 2016). This concept is increasingly important within cruise tourism where customer experiences, social media engagement, and user-generated content contribute significantly to perceived value and brand reputation.</w:t>
      </w:r>
    </w:p>
    <w:p w14:paraId="75340CAD" w14:textId="77777777" w:rsidR="004D0F98" w:rsidRPr="004D0F98" w:rsidRDefault="004D0F98" w:rsidP="004D0F98">
      <w:pPr>
        <w:spacing w:line="360" w:lineRule="auto"/>
        <w:jc w:val="both"/>
        <w:rPr>
          <w:rFonts w:ascii="Arial" w:hAnsi="Arial" w:cs="Arial"/>
        </w:rPr>
      </w:pPr>
      <w:r w:rsidRPr="004D0F98">
        <w:rPr>
          <w:rFonts w:ascii="Arial" w:hAnsi="Arial" w:cs="Arial"/>
        </w:rPr>
        <w:t>This report critically evaluates the marketing function of Celebrity Cruises by analysing current marketing activities, assessing drivers of marketing change, examining future developments, and proposing evidence-based recommendations to support long-term effectiveness and sustainability.</w:t>
      </w:r>
    </w:p>
    <w:p w14:paraId="68D74B4C" w14:textId="3A837540" w:rsidR="004D0F98" w:rsidRPr="004D0F98" w:rsidRDefault="004D0F98" w:rsidP="004D0F98">
      <w:pPr>
        <w:spacing w:line="360" w:lineRule="auto"/>
        <w:jc w:val="both"/>
        <w:rPr>
          <w:rFonts w:ascii="Arial" w:hAnsi="Arial" w:cs="Arial"/>
        </w:rPr>
      </w:pPr>
    </w:p>
    <w:p w14:paraId="26708597" w14:textId="77777777" w:rsidR="004D0F98" w:rsidRPr="005A29F8" w:rsidRDefault="004D0F98" w:rsidP="004D0F98">
      <w:pPr>
        <w:spacing w:line="360" w:lineRule="auto"/>
        <w:jc w:val="both"/>
        <w:rPr>
          <w:rFonts w:ascii="Arial" w:hAnsi="Arial" w:cs="Arial"/>
          <w:b/>
          <w:bCs/>
          <w:sz w:val="28"/>
          <w:szCs w:val="28"/>
        </w:rPr>
      </w:pPr>
      <w:r w:rsidRPr="005A29F8">
        <w:rPr>
          <w:rFonts w:ascii="Arial" w:hAnsi="Arial" w:cs="Arial"/>
          <w:b/>
          <w:bCs/>
          <w:sz w:val="28"/>
          <w:szCs w:val="28"/>
        </w:rPr>
        <w:t>2. Critical Appraisal of Current Marketing Activities</w:t>
      </w:r>
    </w:p>
    <w:p w14:paraId="45C1C9AC" w14:textId="77777777" w:rsidR="004D0F98" w:rsidRPr="004D0F98" w:rsidRDefault="004D0F98" w:rsidP="004D0F98">
      <w:pPr>
        <w:spacing w:line="360" w:lineRule="auto"/>
        <w:jc w:val="both"/>
        <w:rPr>
          <w:rFonts w:ascii="Arial" w:hAnsi="Arial" w:cs="Arial"/>
          <w:b/>
          <w:bCs/>
        </w:rPr>
      </w:pPr>
      <w:r w:rsidRPr="005A29F8">
        <w:rPr>
          <w:rFonts w:ascii="Arial" w:hAnsi="Arial" w:cs="Arial"/>
          <w:b/>
          <w:bCs/>
          <w:sz w:val="28"/>
          <w:szCs w:val="28"/>
        </w:rPr>
        <w:t>2.1 Company Overview</w:t>
      </w:r>
    </w:p>
    <w:p w14:paraId="3662A0D4" w14:textId="77777777" w:rsidR="004D0F98" w:rsidRPr="004D0F98" w:rsidRDefault="004D0F98" w:rsidP="004D0F98">
      <w:pPr>
        <w:spacing w:line="360" w:lineRule="auto"/>
        <w:jc w:val="both"/>
        <w:rPr>
          <w:rFonts w:ascii="Arial" w:hAnsi="Arial" w:cs="Arial"/>
        </w:rPr>
      </w:pPr>
      <w:r w:rsidRPr="004D0F98">
        <w:rPr>
          <w:rFonts w:ascii="Arial" w:hAnsi="Arial" w:cs="Arial"/>
        </w:rPr>
        <w:t>Celebrity Cruises is one of the leading premium cruise brands within Royal Caribbean Group. The organisation serves global markets through a fleet of modern vessels offering luxury accommodation, destination-focused experiences, premium dining, and personalised service. The company's strategic positioning centres on "Modern Luxury," differentiating it from mainstream cruise operators while remaining more accessible than ultra-luxury brands.</w:t>
      </w:r>
    </w:p>
    <w:p w14:paraId="00C0BA97" w14:textId="77777777" w:rsidR="004D0F98" w:rsidRPr="004D0F98" w:rsidRDefault="004D0F98" w:rsidP="004D0F98">
      <w:pPr>
        <w:spacing w:line="360" w:lineRule="auto"/>
        <w:jc w:val="both"/>
        <w:rPr>
          <w:rFonts w:ascii="Arial" w:hAnsi="Arial" w:cs="Arial"/>
        </w:rPr>
      </w:pPr>
      <w:r w:rsidRPr="004D0F98">
        <w:rPr>
          <w:rFonts w:ascii="Arial" w:hAnsi="Arial" w:cs="Arial"/>
        </w:rPr>
        <w:t>Marketing activities are heavily focused on experiential branding, digital engagement, customer relationship management, influencer partnerships, and content marketing. Through these initiatives, Celebrity Cruises seeks to attract affluent consumers seeking sophisticated travel experiences while maintaining long-term customer loyalty.</w:t>
      </w:r>
    </w:p>
    <w:p w14:paraId="7CC2D099" w14:textId="77777777" w:rsidR="004D0F98" w:rsidRPr="004D0F98" w:rsidRDefault="004D0F98" w:rsidP="004D0F98">
      <w:pPr>
        <w:spacing w:line="360" w:lineRule="auto"/>
        <w:jc w:val="both"/>
        <w:rPr>
          <w:rFonts w:ascii="Arial" w:hAnsi="Arial" w:cs="Arial"/>
        </w:rPr>
      </w:pPr>
      <w:r w:rsidRPr="004D0F98">
        <w:rPr>
          <w:rFonts w:ascii="Arial" w:hAnsi="Arial" w:cs="Arial"/>
        </w:rPr>
        <w:t>However, increasing competition from Norwegian Cruise Line, MSC Cruises, and Virgin Voyages requires continuous innovation to sustain differentiation and customer value.</w:t>
      </w:r>
    </w:p>
    <w:p w14:paraId="58C9820E" w14:textId="6035DB29" w:rsidR="004D0F98" w:rsidRPr="004D0F98" w:rsidRDefault="004D0F98" w:rsidP="004D0F98">
      <w:pPr>
        <w:spacing w:line="360" w:lineRule="auto"/>
        <w:jc w:val="both"/>
        <w:rPr>
          <w:rFonts w:ascii="Arial" w:hAnsi="Arial" w:cs="Arial"/>
        </w:rPr>
      </w:pPr>
    </w:p>
    <w:p w14:paraId="458F3DDC" w14:textId="77777777" w:rsidR="004D0F98" w:rsidRPr="005A29F8" w:rsidRDefault="004D0F98" w:rsidP="004D0F98">
      <w:pPr>
        <w:spacing w:line="360" w:lineRule="auto"/>
        <w:jc w:val="both"/>
        <w:rPr>
          <w:rFonts w:ascii="Arial" w:hAnsi="Arial" w:cs="Arial"/>
          <w:b/>
          <w:bCs/>
          <w:sz w:val="28"/>
          <w:szCs w:val="28"/>
        </w:rPr>
      </w:pPr>
      <w:r w:rsidRPr="005A29F8">
        <w:rPr>
          <w:rFonts w:ascii="Arial" w:hAnsi="Arial" w:cs="Arial"/>
          <w:b/>
          <w:bCs/>
          <w:sz w:val="28"/>
          <w:szCs w:val="28"/>
        </w:rPr>
        <w:lastRenderedPageBreak/>
        <w:t>2.2 PESTEL Analysis</w:t>
      </w:r>
    </w:p>
    <w:p w14:paraId="2344F48B" w14:textId="77777777" w:rsidR="004D0F98" w:rsidRPr="004D0F98" w:rsidRDefault="004D0F98" w:rsidP="004D0F98">
      <w:pPr>
        <w:spacing w:line="360" w:lineRule="auto"/>
        <w:jc w:val="both"/>
        <w:rPr>
          <w:rFonts w:ascii="Arial" w:hAnsi="Arial" w:cs="Arial"/>
        </w:rPr>
      </w:pPr>
      <w:r w:rsidRPr="004D0F98">
        <w:rPr>
          <w:rFonts w:ascii="Arial" w:hAnsi="Arial" w:cs="Arial"/>
        </w:rPr>
        <w:t>PESTEL analysis provides a useful framework for understanding the macro-environmental factors influencing marketing strategy. Although the framework effectively identifies external influences, it is often criticised for providing a static assessment of rapidly changing environments (Johnson et al., 2020).</w:t>
      </w:r>
    </w:p>
    <w:p w14:paraId="2766473F"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Political Factors</w:t>
      </w:r>
    </w:p>
    <w:p w14:paraId="19C8120F" w14:textId="77777777" w:rsidR="004D0F98" w:rsidRPr="004D0F98" w:rsidRDefault="004D0F98" w:rsidP="004D0F98">
      <w:pPr>
        <w:spacing w:line="360" w:lineRule="auto"/>
        <w:jc w:val="both"/>
        <w:rPr>
          <w:rFonts w:ascii="Arial" w:hAnsi="Arial" w:cs="Arial"/>
        </w:rPr>
      </w:pPr>
      <w:r w:rsidRPr="004D0F98">
        <w:rPr>
          <w:rFonts w:ascii="Arial" w:hAnsi="Arial" w:cs="Arial"/>
        </w:rPr>
        <w:t>Celebrity Cruises operates within a highly regulated international environment. Increasing environmental legislation relating to emissions, waste management, and maritime sustainability affects both operational practices and marketing communications. While compliance can strengthen brand reputation, it also increases operating costs.</w:t>
      </w:r>
    </w:p>
    <w:p w14:paraId="2B697895"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Economic Factors</w:t>
      </w:r>
    </w:p>
    <w:p w14:paraId="0843A946" w14:textId="77777777" w:rsidR="004D0F98" w:rsidRPr="004D0F98" w:rsidRDefault="004D0F98" w:rsidP="004D0F98">
      <w:pPr>
        <w:spacing w:line="360" w:lineRule="auto"/>
        <w:jc w:val="both"/>
        <w:rPr>
          <w:rFonts w:ascii="Arial" w:hAnsi="Arial" w:cs="Arial"/>
        </w:rPr>
      </w:pPr>
      <w:r w:rsidRPr="004D0F98">
        <w:rPr>
          <w:rFonts w:ascii="Arial" w:hAnsi="Arial" w:cs="Arial"/>
        </w:rPr>
        <w:t>Economic uncertainty, inflation, and rising travel costs influence consumer spending on discretionary products such as cruise holidays. Although Celebrity Cruises benefits from targeting affluent consumers, prolonged economic pressures may increase customer sensitivity to value and pricing.</w:t>
      </w:r>
    </w:p>
    <w:p w14:paraId="26C19E4D"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Social Factors</w:t>
      </w:r>
    </w:p>
    <w:p w14:paraId="6CE2A877" w14:textId="77777777" w:rsidR="004D0F98" w:rsidRPr="004D0F98" w:rsidRDefault="004D0F98" w:rsidP="004D0F98">
      <w:pPr>
        <w:spacing w:line="360" w:lineRule="auto"/>
        <w:jc w:val="both"/>
        <w:rPr>
          <w:rFonts w:ascii="Arial" w:hAnsi="Arial" w:cs="Arial"/>
        </w:rPr>
      </w:pPr>
      <w:r w:rsidRPr="004D0F98">
        <w:rPr>
          <w:rFonts w:ascii="Arial" w:hAnsi="Arial" w:cs="Arial"/>
        </w:rPr>
        <w:t>Contemporary consumers increasingly seek authentic experiences, personal enrichment, wellness, and sustainability. Celebrity Cruises has responded through destination immersion, luxury experiences, and wellness-focused offerings. However, younger consumers increasingly favour brands that demonstrate strong environmental and social commitments.</w:t>
      </w:r>
    </w:p>
    <w:p w14:paraId="4E65DBC9"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Technological Factors</w:t>
      </w:r>
    </w:p>
    <w:p w14:paraId="34AD7FEB" w14:textId="77777777" w:rsidR="004D0F98" w:rsidRPr="004D0F98" w:rsidRDefault="004D0F98" w:rsidP="004D0F98">
      <w:pPr>
        <w:spacing w:line="360" w:lineRule="auto"/>
        <w:jc w:val="both"/>
        <w:rPr>
          <w:rFonts w:ascii="Arial" w:hAnsi="Arial" w:cs="Arial"/>
        </w:rPr>
      </w:pPr>
      <w:r w:rsidRPr="004D0F98">
        <w:rPr>
          <w:rFonts w:ascii="Arial" w:hAnsi="Arial" w:cs="Arial"/>
        </w:rPr>
        <w:t>Technology continues to transform marketing activities. AI, predictive analytics, mobile applications, and customer relationship management systems enable Celebrity Cruises to personalise customer experiences and improve engagement. However, competitors have access to similar technologies, reducing their potential as a long-term source of differentiation.</w:t>
      </w:r>
    </w:p>
    <w:p w14:paraId="7F11224C"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Environmental Factors</w:t>
      </w:r>
    </w:p>
    <w:p w14:paraId="4F5DCC33" w14:textId="77777777" w:rsidR="004D0F98" w:rsidRPr="004D0F98" w:rsidRDefault="004D0F98" w:rsidP="004D0F98">
      <w:pPr>
        <w:spacing w:line="360" w:lineRule="auto"/>
        <w:jc w:val="both"/>
        <w:rPr>
          <w:rFonts w:ascii="Arial" w:hAnsi="Arial" w:cs="Arial"/>
        </w:rPr>
      </w:pPr>
      <w:r w:rsidRPr="004D0F98">
        <w:rPr>
          <w:rFonts w:ascii="Arial" w:hAnsi="Arial" w:cs="Arial"/>
        </w:rPr>
        <w:lastRenderedPageBreak/>
        <w:t>Environmental concerns represent one of the most significant challenges facing the cruise industry. Consumers and regulators increasingly scrutinise emissions, waste management, and sustainability performance. Celebrity Cruises promotes sustainability through Royal Caribbean Group's "SEA the Future" framework; however, concerns regarding greenwashing remain a reputational risk if marketing claims are not supported by measurable outcomes.</w:t>
      </w:r>
    </w:p>
    <w:p w14:paraId="5C6F8D7A"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Legal Factors</w:t>
      </w:r>
    </w:p>
    <w:p w14:paraId="3E937011" w14:textId="77777777" w:rsidR="004D0F98" w:rsidRPr="004D0F98" w:rsidRDefault="004D0F98" w:rsidP="004D0F98">
      <w:pPr>
        <w:spacing w:line="360" w:lineRule="auto"/>
        <w:jc w:val="both"/>
        <w:rPr>
          <w:rFonts w:ascii="Arial" w:hAnsi="Arial" w:cs="Arial"/>
        </w:rPr>
      </w:pPr>
      <w:r w:rsidRPr="004D0F98">
        <w:rPr>
          <w:rFonts w:ascii="Arial" w:hAnsi="Arial" w:cs="Arial"/>
        </w:rPr>
        <w:t>Data privacy regulations such as GDPR significantly influence marketing activities. While personalisation enhances customer experiences, organisations must balance data utilisation with ethical responsibilities and legal compliance.</w:t>
      </w:r>
    </w:p>
    <w:p w14:paraId="393F017C"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Critical Evaluation of PESTEL</w:t>
      </w:r>
    </w:p>
    <w:p w14:paraId="4128CC8F" w14:textId="77777777" w:rsidR="004D0F98" w:rsidRPr="004D0F98" w:rsidRDefault="004D0F98" w:rsidP="004D0F98">
      <w:pPr>
        <w:spacing w:line="360" w:lineRule="auto"/>
        <w:jc w:val="both"/>
        <w:rPr>
          <w:rFonts w:ascii="Arial" w:hAnsi="Arial" w:cs="Arial"/>
        </w:rPr>
      </w:pPr>
      <w:r w:rsidRPr="004D0F98">
        <w:rPr>
          <w:rFonts w:ascii="Arial" w:hAnsi="Arial" w:cs="Arial"/>
        </w:rPr>
        <w:t>The PESTEL analysis demonstrates that Celebrity Cruises operates within a complex environment shaped by technological innovation, environmental scrutiny, and changing consumer expectations. While the framework identifies key external influences, it does not fully explain how these factors interact. Consequently, continuous environmental monitoring and strategic agility are required to respond effectively to emerging opportunities and threats.</w:t>
      </w:r>
    </w:p>
    <w:p w14:paraId="553C73F9" w14:textId="787A6A3D" w:rsidR="004D0F98" w:rsidRPr="005A29F8" w:rsidRDefault="004D0F98" w:rsidP="004D0F98">
      <w:pPr>
        <w:spacing w:line="360" w:lineRule="auto"/>
        <w:jc w:val="both"/>
        <w:rPr>
          <w:rFonts w:ascii="Arial" w:hAnsi="Arial" w:cs="Arial"/>
          <w:sz w:val="28"/>
          <w:szCs w:val="28"/>
        </w:rPr>
      </w:pPr>
    </w:p>
    <w:p w14:paraId="0B39F220" w14:textId="77777777" w:rsidR="004D0F98" w:rsidRPr="005A29F8" w:rsidRDefault="004D0F98" w:rsidP="004D0F98">
      <w:pPr>
        <w:spacing w:line="360" w:lineRule="auto"/>
        <w:jc w:val="both"/>
        <w:rPr>
          <w:rFonts w:ascii="Arial" w:hAnsi="Arial" w:cs="Arial"/>
          <w:b/>
          <w:bCs/>
          <w:sz w:val="28"/>
          <w:szCs w:val="28"/>
        </w:rPr>
      </w:pPr>
      <w:r w:rsidRPr="005A29F8">
        <w:rPr>
          <w:rFonts w:ascii="Arial" w:hAnsi="Arial" w:cs="Arial"/>
          <w:b/>
          <w:bCs/>
          <w:sz w:val="28"/>
          <w:szCs w:val="28"/>
        </w:rPr>
        <w:t>2.3 SWOT Analysis</w:t>
      </w:r>
    </w:p>
    <w:p w14:paraId="490A60DC" w14:textId="66017AB3" w:rsidR="004D0F98" w:rsidRPr="004D0F98" w:rsidRDefault="004D0F98" w:rsidP="004D0F98">
      <w:pPr>
        <w:spacing w:line="360" w:lineRule="auto"/>
        <w:jc w:val="both"/>
        <w:rPr>
          <w:rFonts w:ascii="Arial" w:hAnsi="Arial" w:cs="Arial"/>
        </w:rPr>
      </w:pPr>
      <w:r w:rsidRPr="004D0F98">
        <w:rPr>
          <w:rFonts w:ascii="Arial" w:hAnsi="Arial" w:cs="Arial"/>
        </w:rPr>
        <w:t>SWOT analysis provides an overview of internal strengths and weaknesses alongside external opportunities and threats. When combined with the Resource</w:t>
      </w:r>
      <w:r w:rsidR="00D2172E">
        <w:rPr>
          <w:rFonts w:ascii="Arial" w:hAnsi="Arial" w:cs="Arial"/>
        </w:rPr>
        <w:t xml:space="preserve"> </w:t>
      </w:r>
      <w:r w:rsidRPr="004D0F98">
        <w:rPr>
          <w:rFonts w:ascii="Arial" w:hAnsi="Arial" w:cs="Arial"/>
        </w:rPr>
        <w:t>Based View, the framework offers insights into how organisational resources contribute to competitive advantage.</w:t>
      </w:r>
    </w:p>
    <w:p w14:paraId="2E32AA58"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Strengths</w:t>
      </w:r>
    </w:p>
    <w:p w14:paraId="68BDC450" w14:textId="77777777" w:rsidR="004D0F98" w:rsidRPr="004D0F98" w:rsidRDefault="004D0F98" w:rsidP="004D0F98">
      <w:pPr>
        <w:numPr>
          <w:ilvl w:val="0"/>
          <w:numId w:val="8"/>
        </w:numPr>
        <w:spacing w:line="360" w:lineRule="auto"/>
        <w:jc w:val="both"/>
        <w:rPr>
          <w:rFonts w:ascii="Arial" w:hAnsi="Arial" w:cs="Arial"/>
        </w:rPr>
      </w:pPr>
      <w:r w:rsidRPr="004D0F98">
        <w:rPr>
          <w:rFonts w:ascii="Arial" w:hAnsi="Arial" w:cs="Arial"/>
        </w:rPr>
        <w:t>Strong premium brand equity and reputation.</w:t>
      </w:r>
    </w:p>
    <w:p w14:paraId="532122CE" w14:textId="77777777" w:rsidR="004D0F98" w:rsidRPr="004D0F98" w:rsidRDefault="004D0F98" w:rsidP="004D0F98">
      <w:pPr>
        <w:numPr>
          <w:ilvl w:val="0"/>
          <w:numId w:val="8"/>
        </w:numPr>
        <w:spacing w:line="360" w:lineRule="auto"/>
        <w:jc w:val="both"/>
        <w:rPr>
          <w:rFonts w:ascii="Arial" w:hAnsi="Arial" w:cs="Arial"/>
        </w:rPr>
      </w:pPr>
      <w:r w:rsidRPr="004D0F98">
        <w:rPr>
          <w:rFonts w:ascii="Arial" w:hAnsi="Arial" w:cs="Arial"/>
        </w:rPr>
        <w:t>Support from Royal Caribbean Group.</w:t>
      </w:r>
    </w:p>
    <w:p w14:paraId="39410856" w14:textId="77777777" w:rsidR="004D0F98" w:rsidRPr="004D0F98" w:rsidRDefault="004D0F98" w:rsidP="004D0F98">
      <w:pPr>
        <w:numPr>
          <w:ilvl w:val="0"/>
          <w:numId w:val="8"/>
        </w:numPr>
        <w:spacing w:line="360" w:lineRule="auto"/>
        <w:jc w:val="both"/>
        <w:rPr>
          <w:rFonts w:ascii="Arial" w:hAnsi="Arial" w:cs="Arial"/>
        </w:rPr>
      </w:pPr>
      <w:r w:rsidRPr="004D0F98">
        <w:rPr>
          <w:rFonts w:ascii="Arial" w:hAnsi="Arial" w:cs="Arial"/>
        </w:rPr>
        <w:t>Effective digital marketing and customer engagement capabilities.</w:t>
      </w:r>
    </w:p>
    <w:p w14:paraId="0EE99A5F" w14:textId="77777777" w:rsidR="004D0F98" w:rsidRPr="004D0F98" w:rsidRDefault="004D0F98" w:rsidP="004D0F98">
      <w:pPr>
        <w:numPr>
          <w:ilvl w:val="0"/>
          <w:numId w:val="8"/>
        </w:numPr>
        <w:spacing w:line="360" w:lineRule="auto"/>
        <w:jc w:val="both"/>
        <w:rPr>
          <w:rFonts w:ascii="Arial" w:hAnsi="Arial" w:cs="Arial"/>
        </w:rPr>
      </w:pPr>
      <w:r w:rsidRPr="004D0F98">
        <w:rPr>
          <w:rFonts w:ascii="Arial" w:hAnsi="Arial" w:cs="Arial"/>
        </w:rPr>
        <w:t>High levels of customer satisfaction and loyalty.</w:t>
      </w:r>
    </w:p>
    <w:p w14:paraId="32D3DACC" w14:textId="77777777" w:rsidR="004D0F98" w:rsidRPr="004D0F98" w:rsidRDefault="004D0F98" w:rsidP="004D0F98">
      <w:pPr>
        <w:numPr>
          <w:ilvl w:val="0"/>
          <w:numId w:val="8"/>
        </w:numPr>
        <w:spacing w:line="360" w:lineRule="auto"/>
        <w:jc w:val="both"/>
        <w:rPr>
          <w:rFonts w:ascii="Arial" w:hAnsi="Arial" w:cs="Arial"/>
        </w:rPr>
      </w:pPr>
      <w:r w:rsidRPr="004D0F98">
        <w:rPr>
          <w:rFonts w:ascii="Arial" w:hAnsi="Arial" w:cs="Arial"/>
        </w:rPr>
        <w:lastRenderedPageBreak/>
        <w:t>Modern fleet and innovative onboard experiences.</w:t>
      </w:r>
    </w:p>
    <w:p w14:paraId="047D8500"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Weaknesses</w:t>
      </w:r>
    </w:p>
    <w:p w14:paraId="5E641003" w14:textId="77777777" w:rsidR="004D0F98" w:rsidRPr="004D0F98" w:rsidRDefault="004D0F98" w:rsidP="004D0F98">
      <w:pPr>
        <w:numPr>
          <w:ilvl w:val="0"/>
          <w:numId w:val="9"/>
        </w:numPr>
        <w:spacing w:line="360" w:lineRule="auto"/>
        <w:jc w:val="both"/>
        <w:rPr>
          <w:rFonts w:ascii="Arial" w:hAnsi="Arial" w:cs="Arial"/>
        </w:rPr>
      </w:pPr>
      <w:r w:rsidRPr="004D0F98">
        <w:rPr>
          <w:rFonts w:ascii="Arial" w:hAnsi="Arial" w:cs="Arial"/>
        </w:rPr>
        <w:t>Environmental criticisms associated with cruise tourism.</w:t>
      </w:r>
    </w:p>
    <w:p w14:paraId="3FC73A14" w14:textId="77777777" w:rsidR="004D0F98" w:rsidRPr="004D0F98" w:rsidRDefault="004D0F98" w:rsidP="004D0F98">
      <w:pPr>
        <w:numPr>
          <w:ilvl w:val="0"/>
          <w:numId w:val="9"/>
        </w:numPr>
        <w:spacing w:line="360" w:lineRule="auto"/>
        <w:jc w:val="both"/>
        <w:rPr>
          <w:rFonts w:ascii="Arial" w:hAnsi="Arial" w:cs="Arial"/>
        </w:rPr>
      </w:pPr>
      <w:r w:rsidRPr="004D0F98">
        <w:rPr>
          <w:rFonts w:ascii="Arial" w:hAnsi="Arial" w:cs="Arial"/>
        </w:rPr>
        <w:t>Dependence on affluent consumer segments.</w:t>
      </w:r>
    </w:p>
    <w:p w14:paraId="590BD5D3" w14:textId="77777777" w:rsidR="004D0F98" w:rsidRPr="004D0F98" w:rsidRDefault="004D0F98" w:rsidP="004D0F98">
      <w:pPr>
        <w:numPr>
          <w:ilvl w:val="0"/>
          <w:numId w:val="9"/>
        </w:numPr>
        <w:spacing w:line="360" w:lineRule="auto"/>
        <w:jc w:val="both"/>
        <w:rPr>
          <w:rFonts w:ascii="Arial" w:hAnsi="Arial" w:cs="Arial"/>
        </w:rPr>
      </w:pPr>
      <w:r w:rsidRPr="004D0F98">
        <w:rPr>
          <w:rFonts w:ascii="Arial" w:hAnsi="Arial" w:cs="Arial"/>
        </w:rPr>
        <w:t>High operational costs.</w:t>
      </w:r>
    </w:p>
    <w:p w14:paraId="3616E136" w14:textId="77777777" w:rsidR="004D0F98" w:rsidRPr="004D0F98" w:rsidRDefault="004D0F98" w:rsidP="004D0F98">
      <w:pPr>
        <w:numPr>
          <w:ilvl w:val="0"/>
          <w:numId w:val="9"/>
        </w:numPr>
        <w:spacing w:line="360" w:lineRule="auto"/>
        <w:jc w:val="both"/>
        <w:rPr>
          <w:rFonts w:ascii="Arial" w:hAnsi="Arial" w:cs="Arial"/>
        </w:rPr>
      </w:pPr>
      <w:r w:rsidRPr="004D0F98">
        <w:rPr>
          <w:rFonts w:ascii="Arial" w:hAnsi="Arial" w:cs="Arial"/>
        </w:rPr>
        <w:t>Less appeal among younger consumers compared with Virgin Voyages.</w:t>
      </w:r>
    </w:p>
    <w:p w14:paraId="26CA9B20"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Opportunities</w:t>
      </w:r>
    </w:p>
    <w:p w14:paraId="45ADF18B" w14:textId="77777777" w:rsidR="004D0F98" w:rsidRPr="004D0F98" w:rsidRDefault="004D0F98" w:rsidP="004D0F98">
      <w:pPr>
        <w:numPr>
          <w:ilvl w:val="0"/>
          <w:numId w:val="10"/>
        </w:numPr>
        <w:spacing w:line="360" w:lineRule="auto"/>
        <w:jc w:val="both"/>
        <w:rPr>
          <w:rFonts w:ascii="Arial" w:hAnsi="Arial" w:cs="Arial"/>
        </w:rPr>
      </w:pPr>
      <w:r w:rsidRPr="004D0F98">
        <w:rPr>
          <w:rFonts w:ascii="Arial" w:hAnsi="Arial" w:cs="Arial"/>
        </w:rPr>
        <w:t>AI-driven personalisation and customer analytics.</w:t>
      </w:r>
    </w:p>
    <w:p w14:paraId="3D182FF2" w14:textId="77777777" w:rsidR="004D0F98" w:rsidRPr="004D0F98" w:rsidRDefault="004D0F98" w:rsidP="004D0F98">
      <w:pPr>
        <w:numPr>
          <w:ilvl w:val="0"/>
          <w:numId w:val="10"/>
        </w:numPr>
        <w:spacing w:line="360" w:lineRule="auto"/>
        <w:jc w:val="both"/>
        <w:rPr>
          <w:rFonts w:ascii="Arial" w:hAnsi="Arial" w:cs="Arial"/>
        </w:rPr>
      </w:pPr>
      <w:r w:rsidRPr="004D0F98">
        <w:rPr>
          <w:rFonts w:ascii="Arial" w:hAnsi="Arial" w:cs="Arial"/>
        </w:rPr>
        <w:t>Growth in sustainable tourism demand.</w:t>
      </w:r>
    </w:p>
    <w:p w14:paraId="63F43792" w14:textId="77777777" w:rsidR="004D0F98" w:rsidRPr="004D0F98" w:rsidRDefault="004D0F98" w:rsidP="004D0F98">
      <w:pPr>
        <w:numPr>
          <w:ilvl w:val="0"/>
          <w:numId w:val="10"/>
        </w:numPr>
        <w:spacing w:line="360" w:lineRule="auto"/>
        <w:jc w:val="both"/>
        <w:rPr>
          <w:rFonts w:ascii="Arial" w:hAnsi="Arial" w:cs="Arial"/>
        </w:rPr>
      </w:pPr>
      <w:r w:rsidRPr="004D0F98">
        <w:rPr>
          <w:rFonts w:ascii="Arial" w:hAnsi="Arial" w:cs="Arial"/>
        </w:rPr>
        <w:t>Expansion into emerging international markets.</w:t>
      </w:r>
    </w:p>
    <w:p w14:paraId="2B04C205" w14:textId="77777777" w:rsidR="004D0F98" w:rsidRPr="004D0F98" w:rsidRDefault="004D0F98" w:rsidP="004D0F98">
      <w:pPr>
        <w:numPr>
          <w:ilvl w:val="0"/>
          <w:numId w:val="10"/>
        </w:numPr>
        <w:spacing w:line="360" w:lineRule="auto"/>
        <w:jc w:val="both"/>
        <w:rPr>
          <w:rFonts w:ascii="Arial" w:hAnsi="Arial" w:cs="Arial"/>
        </w:rPr>
      </w:pPr>
      <w:r w:rsidRPr="004D0F98">
        <w:rPr>
          <w:rFonts w:ascii="Arial" w:hAnsi="Arial" w:cs="Arial"/>
        </w:rPr>
        <w:t>Development of immersive digital experiences.</w:t>
      </w:r>
    </w:p>
    <w:p w14:paraId="7093F575" w14:textId="77777777" w:rsidR="004D0F98" w:rsidRPr="004D0F98" w:rsidRDefault="004D0F98" w:rsidP="004D0F98">
      <w:pPr>
        <w:numPr>
          <w:ilvl w:val="0"/>
          <w:numId w:val="10"/>
        </w:numPr>
        <w:spacing w:line="360" w:lineRule="auto"/>
        <w:jc w:val="both"/>
        <w:rPr>
          <w:rFonts w:ascii="Arial" w:hAnsi="Arial" w:cs="Arial"/>
        </w:rPr>
      </w:pPr>
      <w:r w:rsidRPr="004D0F98">
        <w:rPr>
          <w:rFonts w:ascii="Arial" w:hAnsi="Arial" w:cs="Arial"/>
        </w:rPr>
        <w:t>Enhanced ESG-focused branding.</w:t>
      </w:r>
    </w:p>
    <w:p w14:paraId="773C79D2"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Threats</w:t>
      </w:r>
    </w:p>
    <w:p w14:paraId="661A51EA" w14:textId="77777777" w:rsidR="004D0F98" w:rsidRPr="004D0F98" w:rsidRDefault="004D0F98" w:rsidP="004D0F98">
      <w:pPr>
        <w:numPr>
          <w:ilvl w:val="0"/>
          <w:numId w:val="11"/>
        </w:numPr>
        <w:spacing w:line="360" w:lineRule="auto"/>
        <w:jc w:val="both"/>
        <w:rPr>
          <w:rFonts w:ascii="Arial" w:hAnsi="Arial" w:cs="Arial"/>
        </w:rPr>
      </w:pPr>
      <w:r w:rsidRPr="004D0F98">
        <w:rPr>
          <w:rFonts w:ascii="Arial" w:hAnsi="Arial" w:cs="Arial"/>
        </w:rPr>
        <w:t>Increasing competition from Norwegian Cruise Line, MSC Cruises, and Virgin Voyages.</w:t>
      </w:r>
    </w:p>
    <w:p w14:paraId="1AC57C1D" w14:textId="77777777" w:rsidR="004D0F98" w:rsidRPr="004D0F98" w:rsidRDefault="004D0F98" w:rsidP="004D0F98">
      <w:pPr>
        <w:numPr>
          <w:ilvl w:val="0"/>
          <w:numId w:val="11"/>
        </w:numPr>
        <w:spacing w:line="360" w:lineRule="auto"/>
        <w:jc w:val="both"/>
        <w:rPr>
          <w:rFonts w:ascii="Arial" w:hAnsi="Arial" w:cs="Arial"/>
        </w:rPr>
      </w:pPr>
      <w:r w:rsidRPr="004D0F98">
        <w:rPr>
          <w:rFonts w:ascii="Arial" w:hAnsi="Arial" w:cs="Arial"/>
        </w:rPr>
        <w:t>Economic uncertainty affecting discretionary spending.</w:t>
      </w:r>
    </w:p>
    <w:p w14:paraId="253732EA" w14:textId="77777777" w:rsidR="004D0F98" w:rsidRPr="004D0F98" w:rsidRDefault="004D0F98" w:rsidP="004D0F98">
      <w:pPr>
        <w:numPr>
          <w:ilvl w:val="0"/>
          <w:numId w:val="11"/>
        </w:numPr>
        <w:spacing w:line="360" w:lineRule="auto"/>
        <w:jc w:val="both"/>
        <w:rPr>
          <w:rFonts w:ascii="Arial" w:hAnsi="Arial" w:cs="Arial"/>
        </w:rPr>
      </w:pPr>
      <w:r w:rsidRPr="004D0F98">
        <w:rPr>
          <w:rFonts w:ascii="Arial" w:hAnsi="Arial" w:cs="Arial"/>
        </w:rPr>
        <w:t>Stricter environmental regulations.</w:t>
      </w:r>
    </w:p>
    <w:p w14:paraId="51A8EE55" w14:textId="77777777" w:rsidR="004D0F98" w:rsidRPr="004D0F98" w:rsidRDefault="004D0F98" w:rsidP="004D0F98">
      <w:pPr>
        <w:numPr>
          <w:ilvl w:val="0"/>
          <w:numId w:val="11"/>
        </w:numPr>
        <w:spacing w:line="360" w:lineRule="auto"/>
        <w:jc w:val="both"/>
        <w:rPr>
          <w:rFonts w:ascii="Arial" w:hAnsi="Arial" w:cs="Arial"/>
        </w:rPr>
      </w:pPr>
      <w:r w:rsidRPr="004D0F98">
        <w:rPr>
          <w:rFonts w:ascii="Arial" w:hAnsi="Arial" w:cs="Arial"/>
        </w:rPr>
        <w:t>Data privacy and cybersecurity risks.</w:t>
      </w:r>
    </w:p>
    <w:p w14:paraId="58CC1CFA" w14:textId="77777777" w:rsidR="004D0F98" w:rsidRPr="004D0F98" w:rsidRDefault="004D0F98" w:rsidP="004D0F98">
      <w:pPr>
        <w:numPr>
          <w:ilvl w:val="0"/>
          <w:numId w:val="11"/>
        </w:numPr>
        <w:spacing w:line="360" w:lineRule="auto"/>
        <w:jc w:val="both"/>
        <w:rPr>
          <w:rFonts w:ascii="Arial" w:hAnsi="Arial" w:cs="Arial"/>
        </w:rPr>
      </w:pPr>
      <w:r w:rsidRPr="004D0F98">
        <w:rPr>
          <w:rFonts w:ascii="Arial" w:hAnsi="Arial" w:cs="Arial"/>
        </w:rPr>
        <w:t>Negative publicity associated with environmental performance.</w:t>
      </w:r>
    </w:p>
    <w:p w14:paraId="29808474"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Critical Evaluation of SWOT</w:t>
      </w:r>
    </w:p>
    <w:p w14:paraId="4266239E" w14:textId="77777777" w:rsidR="004D0F98" w:rsidRPr="004D0F98" w:rsidRDefault="004D0F98" w:rsidP="004D0F98">
      <w:pPr>
        <w:spacing w:line="360" w:lineRule="auto"/>
        <w:jc w:val="both"/>
        <w:rPr>
          <w:rFonts w:ascii="Arial" w:hAnsi="Arial" w:cs="Arial"/>
        </w:rPr>
      </w:pPr>
      <w:r w:rsidRPr="004D0F98">
        <w:rPr>
          <w:rFonts w:ascii="Arial" w:hAnsi="Arial" w:cs="Arial"/>
        </w:rPr>
        <w:t>Celebrity Cruises possesses strong resources including brand equity, customer loyalty, and digital marketing capabilities. From an RBV perspective, these assets support competitive differentiation. However, Dynamic Capabilities Theory suggests that future competitiveness will depend upon the organisation's ability to continuously adapt these resources in response to technological disruption and evolving consumer expectations (Teece, 2018).</w:t>
      </w:r>
    </w:p>
    <w:p w14:paraId="63713731" w14:textId="77777777" w:rsidR="004D0F98" w:rsidRDefault="004D0F98" w:rsidP="004D0F98">
      <w:pPr>
        <w:spacing w:line="360" w:lineRule="auto"/>
        <w:jc w:val="both"/>
        <w:rPr>
          <w:rFonts w:ascii="Arial" w:hAnsi="Arial" w:cs="Arial"/>
        </w:rPr>
      </w:pPr>
      <w:r w:rsidRPr="004D0F98">
        <w:rPr>
          <w:rFonts w:ascii="Arial" w:hAnsi="Arial" w:cs="Arial"/>
        </w:rPr>
        <w:lastRenderedPageBreak/>
        <w:t>Moreover, environmental criticisms represent both a weakness and a strategic challenge. As sustainability becomes increasingly important to consumers, organisations that fail to demonstrate authentic environmental responsibility may experience reputational decline. Consequently, Celebrity Cruises must leverage existing strengths while addressing sustainability concerns and adapting to changing market conditions.</w:t>
      </w:r>
    </w:p>
    <w:p w14:paraId="18FE0F54" w14:textId="77777777" w:rsidR="004D0F98" w:rsidRPr="005A29F8" w:rsidRDefault="004D0F98" w:rsidP="004D0F98">
      <w:pPr>
        <w:spacing w:line="360" w:lineRule="auto"/>
        <w:jc w:val="both"/>
        <w:rPr>
          <w:rFonts w:ascii="Arial" w:hAnsi="Arial" w:cs="Arial"/>
          <w:b/>
          <w:bCs/>
          <w:sz w:val="28"/>
          <w:szCs w:val="28"/>
        </w:rPr>
      </w:pPr>
      <w:r w:rsidRPr="005A29F8">
        <w:rPr>
          <w:rFonts w:ascii="Arial" w:hAnsi="Arial" w:cs="Arial"/>
          <w:b/>
          <w:bCs/>
          <w:sz w:val="28"/>
          <w:szCs w:val="28"/>
        </w:rPr>
        <w:t>2.4 Segmentation, Targeting and Positioning (STP)</w:t>
      </w:r>
    </w:p>
    <w:p w14:paraId="659EBBCA" w14:textId="77777777" w:rsidR="004D0F98" w:rsidRPr="004D0F98" w:rsidRDefault="004D0F98" w:rsidP="004D0F98">
      <w:pPr>
        <w:spacing w:line="360" w:lineRule="auto"/>
        <w:jc w:val="both"/>
        <w:rPr>
          <w:rFonts w:ascii="Arial" w:hAnsi="Arial" w:cs="Arial"/>
        </w:rPr>
      </w:pPr>
      <w:r w:rsidRPr="004D0F98">
        <w:rPr>
          <w:rFonts w:ascii="Arial" w:hAnsi="Arial" w:cs="Arial"/>
        </w:rPr>
        <w:t>Segmentation, Targeting and Positioning (STP) enables organisations to identify attractive customer groups and develop differentiated value propositions (Kotler, Keller and Chernev, 2023). Celebrity Cruises uses demographic, psychographic, geographic, and behavioural segmentation to target affluent consumers seeking premium travel experiences.</w:t>
      </w:r>
    </w:p>
    <w:p w14:paraId="15973004"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Segmentation</w:t>
      </w:r>
    </w:p>
    <w:p w14:paraId="6419D80D" w14:textId="77777777" w:rsidR="004D0F98" w:rsidRPr="004D0F98" w:rsidRDefault="004D0F98" w:rsidP="004D0F98">
      <w:pPr>
        <w:spacing w:line="360" w:lineRule="auto"/>
        <w:jc w:val="both"/>
        <w:rPr>
          <w:rFonts w:ascii="Arial" w:hAnsi="Arial" w:cs="Arial"/>
        </w:rPr>
      </w:pPr>
      <w:r w:rsidRPr="004D0F98">
        <w:rPr>
          <w:rFonts w:ascii="Arial" w:hAnsi="Arial" w:cs="Arial"/>
        </w:rPr>
        <w:t>Celebrity Cruises primarily targets:</w:t>
      </w:r>
    </w:p>
    <w:p w14:paraId="4E825951" w14:textId="77777777" w:rsidR="004D0F98" w:rsidRPr="004D0F98" w:rsidRDefault="004D0F98" w:rsidP="004D0F98">
      <w:pPr>
        <w:numPr>
          <w:ilvl w:val="0"/>
          <w:numId w:val="12"/>
        </w:numPr>
        <w:spacing w:line="360" w:lineRule="auto"/>
        <w:jc w:val="both"/>
        <w:rPr>
          <w:rFonts w:ascii="Arial" w:hAnsi="Arial" w:cs="Arial"/>
        </w:rPr>
      </w:pPr>
      <w:r w:rsidRPr="004D0F98">
        <w:rPr>
          <w:rFonts w:ascii="Arial" w:hAnsi="Arial" w:cs="Arial"/>
        </w:rPr>
        <w:t>Affluent professionals and executives.</w:t>
      </w:r>
    </w:p>
    <w:p w14:paraId="79A95628" w14:textId="77777777" w:rsidR="004D0F98" w:rsidRPr="004D0F98" w:rsidRDefault="004D0F98" w:rsidP="004D0F98">
      <w:pPr>
        <w:numPr>
          <w:ilvl w:val="0"/>
          <w:numId w:val="12"/>
        </w:numPr>
        <w:spacing w:line="360" w:lineRule="auto"/>
        <w:jc w:val="both"/>
        <w:rPr>
          <w:rFonts w:ascii="Arial" w:hAnsi="Arial" w:cs="Arial"/>
        </w:rPr>
      </w:pPr>
      <w:r w:rsidRPr="004D0F98">
        <w:rPr>
          <w:rFonts w:ascii="Arial" w:hAnsi="Arial" w:cs="Arial"/>
        </w:rPr>
        <w:t>Retirees with high disposable income.</w:t>
      </w:r>
    </w:p>
    <w:p w14:paraId="705B45A6" w14:textId="77777777" w:rsidR="004D0F98" w:rsidRPr="004D0F98" w:rsidRDefault="004D0F98" w:rsidP="004D0F98">
      <w:pPr>
        <w:numPr>
          <w:ilvl w:val="0"/>
          <w:numId w:val="12"/>
        </w:numPr>
        <w:spacing w:line="360" w:lineRule="auto"/>
        <w:jc w:val="both"/>
        <w:rPr>
          <w:rFonts w:ascii="Arial" w:hAnsi="Arial" w:cs="Arial"/>
        </w:rPr>
      </w:pPr>
      <w:r w:rsidRPr="004D0F98">
        <w:rPr>
          <w:rFonts w:ascii="Arial" w:hAnsi="Arial" w:cs="Arial"/>
        </w:rPr>
        <w:t>Luxury and experience-seeking travellers.</w:t>
      </w:r>
    </w:p>
    <w:p w14:paraId="788BDABA" w14:textId="77777777" w:rsidR="004D0F98" w:rsidRPr="004D0F98" w:rsidRDefault="004D0F98" w:rsidP="004D0F98">
      <w:pPr>
        <w:numPr>
          <w:ilvl w:val="0"/>
          <w:numId w:val="12"/>
        </w:numPr>
        <w:spacing w:line="360" w:lineRule="auto"/>
        <w:jc w:val="both"/>
        <w:rPr>
          <w:rFonts w:ascii="Arial" w:hAnsi="Arial" w:cs="Arial"/>
        </w:rPr>
      </w:pPr>
      <w:r w:rsidRPr="004D0F98">
        <w:rPr>
          <w:rFonts w:ascii="Arial" w:hAnsi="Arial" w:cs="Arial"/>
        </w:rPr>
        <w:t>Repeat cruise customers and loyalty programme members.</w:t>
      </w:r>
    </w:p>
    <w:p w14:paraId="2853014A" w14:textId="77777777" w:rsidR="004D0F98" w:rsidRPr="004D0F98" w:rsidRDefault="004D0F98" w:rsidP="004D0F98">
      <w:pPr>
        <w:numPr>
          <w:ilvl w:val="0"/>
          <w:numId w:val="12"/>
        </w:numPr>
        <w:spacing w:line="360" w:lineRule="auto"/>
        <w:jc w:val="both"/>
        <w:rPr>
          <w:rFonts w:ascii="Arial" w:hAnsi="Arial" w:cs="Arial"/>
        </w:rPr>
      </w:pPr>
      <w:r w:rsidRPr="004D0F98">
        <w:rPr>
          <w:rFonts w:ascii="Arial" w:hAnsi="Arial" w:cs="Arial"/>
        </w:rPr>
        <w:t>Wellness and destination-focused tourists.</w:t>
      </w:r>
    </w:p>
    <w:p w14:paraId="13654722" w14:textId="77777777" w:rsidR="004D0F98" w:rsidRPr="004D0F98" w:rsidRDefault="004D0F98" w:rsidP="004D0F98">
      <w:pPr>
        <w:spacing w:line="360" w:lineRule="auto"/>
        <w:jc w:val="both"/>
        <w:rPr>
          <w:rFonts w:ascii="Arial" w:hAnsi="Arial" w:cs="Arial"/>
        </w:rPr>
      </w:pPr>
      <w:r w:rsidRPr="004D0F98">
        <w:rPr>
          <w:rFonts w:ascii="Arial" w:hAnsi="Arial" w:cs="Arial"/>
        </w:rPr>
        <w:t>Psychographic and behavioural segmentation are particularly important because modern consumers increasingly value experiences, personalisation, and emotional benefits rather than simply purchasing travel products (Pine and Gilmore, 2019).</w:t>
      </w:r>
    </w:p>
    <w:p w14:paraId="2F668F43"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Targeting</w:t>
      </w:r>
    </w:p>
    <w:p w14:paraId="0C92C1C1" w14:textId="77777777" w:rsidR="004D0F98" w:rsidRPr="004D0F98" w:rsidRDefault="004D0F98" w:rsidP="004D0F98">
      <w:pPr>
        <w:spacing w:line="360" w:lineRule="auto"/>
        <w:jc w:val="both"/>
        <w:rPr>
          <w:rFonts w:ascii="Arial" w:hAnsi="Arial" w:cs="Arial"/>
        </w:rPr>
      </w:pPr>
      <w:r w:rsidRPr="004D0F98">
        <w:rPr>
          <w:rFonts w:ascii="Arial" w:hAnsi="Arial" w:cs="Arial"/>
        </w:rPr>
        <w:t>The organisation adopts a differentiated targeting strategy, focusing on multiple premium segments while maintaining a consistent luxury brand identity. This approach allows Celebrity Cruises to maximise customer relevance and profitability without diluting its positioning.</w:t>
      </w:r>
    </w:p>
    <w:p w14:paraId="751FB65E" w14:textId="77777777" w:rsidR="004D0F98" w:rsidRPr="004D0F98" w:rsidRDefault="004D0F98" w:rsidP="004D0F98">
      <w:pPr>
        <w:spacing w:line="360" w:lineRule="auto"/>
        <w:jc w:val="both"/>
        <w:rPr>
          <w:rFonts w:ascii="Arial" w:hAnsi="Arial" w:cs="Arial"/>
        </w:rPr>
      </w:pPr>
      <w:r w:rsidRPr="004D0F98">
        <w:rPr>
          <w:rFonts w:ascii="Arial" w:hAnsi="Arial" w:cs="Arial"/>
        </w:rPr>
        <w:lastRenderedPageBreak/>
        <w:t>Unlike Norwegian Cruise Line, which emphasises flexibility and affordability, Celebrity Cruises targets consumers willing to pay premium prices for enhanced service quality and destination immersion.</w:t>
      </w:r>
    </w:p>
    <w:p w14:paraId="5CA42943"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Positioning</w:t>
      </w:r>
    </w:p>
    <w:p w14:paraId="20CFC596" w14:textId="77777777" w:rsidR="004D0F98" w:rsidRPr="004D0F98" w:rsidRDefault="004D0F98" w:rsidP="004D0F98">
      <w:pPr>
        <w:spacing w:line="360" w:lineRule="auto"/>
        <w:jc w:val="both"/>
        <w:rPr>
          <w:rFonts w:ascii="Arial" w:hAnsi="Arial" w:cs="Arial"/>
        </w:rPr>
      </w:pPr>
      <w:r w:rsidRPr="004D0F98">
        <w:rPr>
          <w:rFonts w:ascii="Arial" w:hAnsi="Arial" w:cs="Arial"/>
        </w:rPr>
        <w:t>Celebrity Cruises positions itself as a provider of "Modern Luxury" experiences that combine:</w:t>
      </w:r>
    </w:p>
    <w:p w14:paraId="5DDBC197" w14:textId="77777777" w:rsidR="004D0F98" w:rsidRPr="004D0F98" w:rsidRDefault="004D0F98" w:rsidP="004D0F98">
      <w:pPr>
        <w:numPr>
          <w:ilvl w:val="0"/>
          <w:numId w:val="13"/>
        </w:numPr>
        <w:spacing w:line="360" w:lineRule="auto"/>
        <w:jc w:val="both"/>
        <w:rPr>
          <w:rFonts w:ascii="Arial" w:hAnsi="Arial" w:cs="Arial"/>
        </w:rPr>
      </w:pPr>
      <w:r w:rsidRPr="004D0F98">
        <w:rPr>
          <w:rFonts w:ascii="Arial" w:hAnsi="Arial" w:cs="Arial"/>
        </w:rPr>
        <w:t>Premium service.</w:t>
      </w:r>
    </w:p>
    <w:p w14:paraId="529E9D3D" w14:textId="77777777" w:rsidR="004D0F98" w:rsidRPr="004D0F98" w:rsidRDefault="004D0F98" w:rsidP="004D0F98">
      <w:pPr>
        <w:numPr>
          <w:ilvl w:val="0"/>
          <w:numId w:val="13"/>
        </w:numPr>
        <w:spacing w:line="360" w:lineRule="auto"/>
        <w:jc w:val="both"/>
        <w:rPr>
          <w:rFonts w:ascii="Arial" w:hAnsi="Arial" w:cs="Arial"/>
        </w:rPr>
      </w:pPr>
      <w:r w:rsidRPr="004D0F98">
        <w:rPr>
          <w:rFonts w:ascii="Arial" w:hAnsi="Arial" w:cs="Arial"/>
        </w:rPr>
        <w:t>Contemporary ship design.</w:t>
      </w:r>
    </w:p>
    <w:p w14:paraId="2A030FC4" w14:textId="77777777" w:rsidR="004D0F98" w:rsidRPr="004D0F98" w:rsidRDefault="004D0F98" w:rsidP="004D0F98">
      <w:pPr>
        <w:numPr>
          <w:ilvl w:val="0"/>
          <w:numId w:val="13"/>
        </w:numPr>
        <w:spacing w:line="360" w:lineRule="auto"/>
        <w:jc w:val="both"/>
        <w:rPr>
          <w:rFonts w:ascii="Arial" w:hAnsi="Arial" w:cs="Arial"/>
        </w:rPr>
      </w:pPr>
      <w:r w:rsidRPr="004D0F98">
        <w:rPr>
          <w:rFonts w:ascii="Arial" w:hAnsi="Arial" w:cs="Arial"/>
        </w:rPr>
        <w:t>Culinary excellence.</w:t>
      </w:r>
    </w:p>
    <w:p w14:paraId="5280AD8A" w14:textId="77777777" w:rsidR="004D0F98" w:rsidRPr="004D0F98" w:rsidRDefault="004D0F98" w:rsidP="004D0F98">
      <w:pPr>
        <w:numPr>
          <w:ilvl w:val="0"/>
          <w:numId w:val="13"/>
        </w:numPr>
        <w:spacing w:line="360" w:lineRule="auto"/>
        <w:jc w:val="both"/>
        <w:rPr>
          <w:rFonts w:ascii="Arial" w:hAnsi="Arial" w:cs="Arial"/>
        </w:rPr>
      </w:pPr>
      <w:r w:rsidRPr="004D0F98">
        <w:rPr>
          <w:rFonts w:ascii="Arial" w:hAnsi="Arial" w:cs="Arial"/>
        </w:rPr>
        <w:t>Destination immersion.</w:t>
      </w:r>
    </w:p>
    <w:p w14:paraId="2D8E7115" w14:textId="77777777" w:rsidR="004D0F98" w:rsidRPr="004D0F98" w:rsidRDefault="004D0F98" w:rsidP="004D0F98">
      <w:pPr>
        <w:numPr>
          <w:ilvl w:val="0"/>
          <w:numId w:val="13"/>
        </w:numPr>
        <w:spacing w:line="360" w:lineRule="auto"/>
        <w:jc w:val="both"/>
        <w:rPr>
          <w:rFonts w:ascii="Arial" w:hAnsi="Arial" w:cs="Arial"/>
        </w:rPr>
      </w:pPr>
      <w:r w:rsidRPr="004D0F98">
        <w:rPr>
          <w:rFonts w:ascii="Arial" w:hAnsi="Arial" w:cs="Arial"/>
        </w:rPr>
        <w:t>Personalised customer experiences.</w:t>
      </w:r>
    </w:p>
    <w:p w14:paraId="4C950653" w14:textId="77777777" w:rsidR="004D0F98" w:rsidRPr="004D0F98" w:rsidRDefault="004D0F98" w:rsidP="004D0F98">
      <w:pPr>
        <w:spacing w:line="360" w:lineRule="auto"/>
        <w:jc w:val="both"/>
        <w:rPr>
          <w:rFonts w:ascii="Arial" w:hAnsi="Arial" w:cs="Arial"/>
        </w:rPr>
      </w:pPr>
      <w:r w:rsidRPr="004D0F98">
        <w:rPr>
          <w:rFonts w:ascii="Arial" w:hAnsi="Arial" w:cs="Arial"/>
        </w:rPr>
        <w:t>The "Nothing Comes Close" campaign reinforces this positioning by focusing on emotional and experiential benefits rather than functional attributes alone.</w:t>
      </w:r>
    </w:p>
    <w:p w14:paraId="0C2073E0" w14:textId="77777777" w:rsidR="004D0F98" w:rsidRPr="004D0F98" w:rsidRDefault="004D0F98" w:rsidP="004D0F98">
      <w:pPr>
        <w:spacing w:line="360" w:lineRule="auto"/>
        <w:jc w:val="both"/>
        <w:rPr>
          <w:rFonts w:ascii="Arial" w:hAnsi="Arial" w:cs="Arial"/>
        </w:rPr>
      </w:pPr>
      <w:r w:rsidRPr="004D0F98">
        <w:rPr>
          <w:rFonts w:ascii="Arial" w:hAnsi="Arial" w:cs="Arial"/>
        </w:rPr>
        <w:t>Compared with MSC Cruises, which emphasises European heritage and family-oriented travel, Celebrity Cruises focuses more heavily on contemporary luxury. Compared with Virgin Voyages, Celebrity Cruises appeals to a broader age demographic but may face challenges attracting younger travellers seeking disruptive experiences and digital engagement.</w:t>
      </w:r>
    </w:p>
    <w:p w14:paraId="540A040F"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Critical Evaluation</w:t>
      </w:r>
    </w:p>
    <w:p w14:paraId="1F4A8952" w14:textId="77777777" w:rsidR="004D0F98" w:rsidRPr="004D0F98" w:rsidRDefault="004D0F98" w:rsidP="004D0F98">
      <w:pPr>
        <w:spacing w:line="360" w:lineRule="auto"/>
        <w:jc w:val="both"/>
        <w:rPr>
          <w:rFonts w:ascii="Arial" w:hAnsi="Arial" w:cs="Arial"/>
        </w:rPr>
      </w:pPr>
      <w:r w:rsidRPr="004D0F98">
        <w:rPr>
          <w:rFonts w:ascii="Arial" w:hAnsi="Arial" w:cs="Arial"/>
        </w:rPr>
        <w:t>The STP strategy effectively supports customer value creation and premium brand equity. However, traditional segmentation approaches are becoming less effective as artificial intelligence enables dynamic, behaviour-based targeting. Consequently, Celebrity Cruises should increasingly utilise predictive analytics and customer data platforms to support real-time personalisation and market responsiveness.</w:t>
      </w:r>
    </w:p>
    <w:p w14:paraId="0982C86A" w14:textId="0B4A95E2" w:rsidR="004D0F98" w:rsidRPr="004D0F98" w:rsidRDefault="004D0F98" w:rsidP="004D0F98">
      <w:pPr>
        <w:spacing w:line="360" w:lineRule="auto"/>
        <w:jc w:val="both"/>
        <w:rPr>
          <w:rFonts w:ascii="Arial" w:hAnsi="Arial" w:cs="Arial"/>
        </w:rPr>
      </w:pPr>
    </w:p>
    <w:p w14:paraId="794F31C4" w14:textId="77777777" w:rsidR="004D0F98" w:rsidRPr="005A29F8" w:rsidRDefault="004D0F98" w:rsidP="004D0F98">
      <w:pPr>
        <w:spacing w:line="360" w:lineRule="auto"/>
        <w:jc w:val="both"/>
        <w:rPr>
          <w:rFonts w:ascii="Arial" w:hAnsi="Arial" w:cs="Arial"/>
          <w:b/>
          <w:bCs/>
          <w:sz w:val="28"/>
          <w:szCs w:val="28"/>
        </w:rPr>
      </w:pPr>
      <w:r w:rsidRPr="005A29F8">
        <w:rPr>
          <w:rFonts w:ascii="Arial" w:hAnsi="Arial" w:cs="Arial"/>
          <w:b/>
          <w:bCs/>
          <w:sz w:val="28"/>
          <w:szCs w:val="28"/>
        </w:rPr>
        <w:t>2.5 Evaluation of the Extended Marketing Mix (7Ps)</w:t>
      </w:r>
    </w:p>
    <w:p w14:paraId="6E35334C" w14:textId="77777777" w:rsidR="004D0F98" w:rsidRPr="004D0F98" w:rsidRDefault="004D0F98" w:rsidP="004D0F98">
      <w:pPr>
        <w:spacing w:line="360" w:lineRule="auto"/>
        <w:jc w:val="both"/>
        <w:rPr>
          <w:rFonts w:ascii="Arial" w:hAnsi="Arial" w:cs="Arial"/>
        </w:rPr>
      </w:pPr>
      <w:r w:rsidRPr="004D0F98">
        <w:rPr>
          <w:rFonts w:ascii="Arial" w:hAnsi="Arial" w:cs="Arial"/>
        </w:rPr>
        <w:lastRenderedPageBreak/>
        <w:t>The extended marketing mix provides a framework for evaluating how Celebrity Cruises delivers customer value and supports brand positioning (Booms and Bitner, 1981).</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44"/>
        <w:gridCol w:w="7382"/>
      </w:tblGrid>
      <w:tr w:rsidR="004D0F98" w:rsidRPr="004D0F98" w14:paraId="1F56760D" w14:textId="77777777">
        <w:trPr>
          <w:tblHeader/>
          <w:tblCellSpacing w:w="15" w:type="dxa"/>
        </w:trPr>
        <w:tc>
          <w:tcPr>
            <w:tcW w:w="0" w:type="auto"/>
            <w:vAlign w:val="center"/>
            <w:hideMark/>
          </w:tcPr>
          <w:p w14:paraId="09FDD7A2"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Marketing Mix Element</w:t>
            </w:r>
          </w:p>
        </w:tc>
        <w:tc>
          <w:tcPr>
            <w:tcW w:w="0" w:type="auto"/>
            <w:vAlign w:val="center"/>
            <w:hideMark/>
          </w:tcPr>
          <w:p w14:paraId="6A46206A"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Critical Evaluation</w:t>
            </w:r>
          </w:p>
        </w:tc>
      </w:tr>
      <w:tr w:rsidR="004D0F98" w:rsidRPr="004D0F98" w14:paraId="1F9D06E4" w14:textId="77777777">
        <w:trPr>
          <w:tblCellSpacing w:w="15" w:type="dxa"/>
        </w:trPr>
        <w:tc>
          <w:tcPr>
            <w:tcW w:w="0" w:type="auto"/>
            <w:vAlign w:val="center"/>
            <w:hideMark/>
          </w:tcPr>
          <w:p w14:paraId="52FB87A5" w14:textId="77777777" w:rsidR="004D0F98" w:rsidRPr="004D0F98" w:rsidRDefault="004D0F98" w:rsidP="004D0F98">
            <w:pPr>
              <w:spacing w:line="360" w:lineRule="auto"/>
              <w:jc w:val="both"/>
              <w:rPr>
                <w:rFonts w:ascii="Arial" w:hAnsi="Arial" w:cs="Arial"/>
              </w:rPr>
            </w:pPr>
            <w:r w:rsidRPr="004D0F98">
              <w:rPr>
                <w:rFonts w:ascii="Arial" w:hAnsi="Arial" w:cs="Arial"/>
                <w:b/>
                <w:bCs/>
              </w:rPr>
              <w:t>Product</w:t>
            </w:r>
          </w:p>
        </w:tc>
        <w:tc>
          <w:tcPr>
            <w:tcW w:w="0" w:type="auto"/>
            <w:vAlign w:val="center"/>
            <w:hideMark/>
          </w:tcPr>
          <w:p w14:paraId="168FA441" w14:textId="77777777" w:rsidR="004D0F98" w:rsidRPr="004D0F98" w:rsidRDefault="004D0F98" w:rsidP="004D0F98">
            <w:pPr>
              <w:spacing w:line="360" w:lineRule="auto"/>
              <w:jc w:val="both"/>
              <w:rPr>
                <w:rFonts w:ascii="Arial" w:hAnsi="Arial" w:cs="Arial"/>
              </w:rPr>
            </w:pPr>
            <w:r w:rsidRPr="004D0F98">
              <w:rPr>
                <w:rFonts w:ascii="Arial" w:hAnsi="Arial" w:cs="Arial"/>
              </w:rPr>
              <w:t>Premium cruise experiences, luxury accommodation, destination immersion and personalised service support differentiation. However, competitors increasingly offer similar experiences, reducing product uniqueness.</w:t>
            </w:r>
          </w:p>
        </w:tc>
      </w:tr>
      <w:tr w:rsidR="004D0F98" w:rsidRPr="004D0F98" w14:paraId="3554D1EB" w14:textId="77777777">
        <w:trPr>
          <w:tblCellSpacing w:w="15" w:type="dxa"/>
        </w:trPr>
        <w:tc>
          <w:tcPr>
            <w:tcW w:w="0" w:type="auto"/>
            <w:vAlign w:val="center"/>
            <w:hideMark/>
          </w:tcPr>
          <w:p w14:paraId="661E11EC" w14:textId="77777777" w:rsidR="004D0F98" w:rsidRPr="004D0F98" w:rsidRDefault="004D0F98" w:rsidP="004D0F98">
            <w:pPr>
              <w:spacing w:line="360" w:lineRule="auto"/>
              <w:jc w:val="both"/>
              <w:rPr>
                <w:rFonts w:ascii="Arial" w:hAnsi="Arial" w:cs="Arial"/>
              </w:rPr>
            </w:pPr>
            <w:r w:rsidRPr="004D0F98">
              <w:rPr>
                <w:rFonts w:ascii="Arial" w:hAnsi="Arial" w:cs="Arial"/>
                <w:b/>
                <w:bCs/>
              </w:rPr>
              <w:t>Price</w:t>
            </w:r>
          </w:p>
        </w:tc>
        <w:tc>
          <w:tcPr>
            <w:tcW w:w="0" w:type="auto"/>
            <w:vAlign w:val="center"/>
            <w:hideMark/>
          </w:tcPr>
          <w:p w14:paraId="2AA2744F" w14:textId="77777777" w:rsidR="004D0F98" w:rsidRPr="004D0F98" w:rsidRDefault="004D0F98" w:rsidP="004D0F98">
            <w:pPr>
              <w:spacing w:line="360" w:lineRule="auto"/>
              <w:jc w:val="both"/>
              <w:rPr>
                <w:rFonts w:ascii="Arial" w:hAnsi="Arial" w:cs="Arial"/>
              </w:rPr>
            </w:pPr>
            <w:r w:rsidRPr="004D0F98">
              <w:rPr>
                <w:rFonts w:ascii="Arial" w:hAnsi="Arial" w:cs="Arial"/>
              </w:rPr>
              <w:t>Premium pricing reinforces luxury positioning and perceived quality. However, economic uncertainty may increase consumer sensitivity to value.</w:t>
            </w:r>
          </w:p>
        </w:tc>
      </w:tr>
      <w:tr w:rsidR="004D0F98" w:rsidRPr="004D0F98" w14:paraId="59303B33" w14:textId="77777777">
        <w:trPr>
          <w:tblCellSpacing w:w="15" w:type="dxa"/>
        </w:trPr>
        <w:tc>
          <w:tcPr>
            <w:tcW w:w="0" w:type="auto"/>
            <w:vAlign w:val="center"/>
            <w:hideMark/>
          </w:tcPr>
          <w:p w14:paraId="1205E856" w14:textId="77777777" w:rsidR="004D0F98" w:rsidRPr="004D0F98" w:rsidRDefault="004D0F98" w:rsidP="004D0F98">
            <w:pPr>
              <w:spacing w:line="360" w:lineRule="auto"/>
              <w:jc w:val="both"/>
              <w:rPr>
                <w:rFonts w:ascii="Arial" w:hAnsi="Arial" w:cs="Arial"/>
              </w:rPr>
            </w:pPr>
            <w:r w:rsidRPr="004D0F98">
              <w:rPr>
                <w:rFonts w:ascii="Arial" w:hAnsi="Arial" w:cs="Arial"/>
                <w:b/>
                <w:bCs/>
              </w:rPr>
              <w:t>Place</w:t>
            </w:r>
          </w:p>
        </w:tc>
        <w:tc>
          <w:tcPr>
            <w:tcW w:w="0" w:type="auto"/>
            <w:vAlign w:val="center"/>
            <w:hideMark/>
          </w:tcPr>
          <w:p w14:paraId="07AED50E" w14:textId="77777777" w:rsidR="004D0F98" w:rsidRPr="004D0F98" w:rsidRDefault="004D0F98" w:rsidP="004D0F98">
            <w:pPr>
              <w:spacing w:line="360" w:lineRule="auto"/>
              <w:jc w:val="both"/>
              <w:rPr>
                <w:rFonts w:ascii="Arial" w:hAnsi="Arial" w:cs="Arial"/>
              </w:rPr>
            </w:pPr>
            <w:r w:rsidRPr="004D0F98">
              <w:rPr>
                <w:rFonts w:ascii="Arial" w:hAnsi="Arial" w:cs="Arial"/>
              </w:rPr>
              <w:t>Distribution through websites, mobile applications, travel agents and online travel agencies supports global accessibility and omnichannel engagement.</w:t>
            </w:r>
          </w:p>
        </w:tc>
      </w:tr>
      <w:tr w:rsidR="004D0F98" w:rsidRPr="004D0F98" w14:paraId="5DA7A451" w14:textId="77777777">
        <w:trPr>
          <w:tblCellSpacing w:w="15" w:type="dxa"/>
        </w:trPr>
        <w:tc>
          <w:tcPr>
            <w:tcW w:w="0" w:type="auto"/>
            <w:vAlign w:val="center"/>
            <w:hideMark/>
          </w:tcPr>
          <w:p w14:paraId="2A5BE773" w14:textId="77777777" w:rsidR="004D0F98" w:rsidRPr="004D0F98" w:rsidRDefault="004D0F98" w:rsidP="004D0F98">
            <w:pPr>
              <w:spacing w:line="360" w:lineRule="auto"/>
              <w:jc w:val="both"/>
              <w:rPr>
                <w:rFonts w:ascii="Arial" w:hAnsi="Arial" w:cs="Arial"/>
              </w:rPr>
            </w:pPr>
            <w:r w:rsidRPr="004D0F98">
              <w:rPr>
                <w:rFonts w:ascii="Arial" w:hAnsi="Arial" w:cs="Arial"/>
                <w:b/>
                <w:bCs/>
              </w:rPr>
              <w:t>Promotion</w:t>
            </w:r>
          </w:p>
        </w:tc>
        <w:tc>
          <w:tcPr>
            <w:tcW w:w="0" w:type="auto"/>
            <w:vAlign w:val="center"/>
            <w:hideMark/>
          </w:tcPr>
          <w:p w14:paraId="22CAEB0A" w14:textId="77777777" w:rsidR="004D0F98" w:rsidRPr="004D0F98" w:rsidRDefault="004D0F98" w:rsidP="004D0F98">
            <w:pPr>
              <w:spacing w:line="360" w:lineRule="auto"/>
              <w:jc w:val="both"/>
              <w:rPr>
                <w:rFonts w:ascii="Arial" w:hAnsi="Arial" w:cs="Arial"/>
              </w:rPr>
            </w:pPr>
            <w:r w:rsidRPr="004D0F98">
              <w:rPr>
                <w:rFonts w:ascii="Arial" w:hAnsi="Arial" w:cs="Arial"/>
              </w:rPr>
              <w:t>Strong use of digital marketing, influencer partnerships, social media, public relations and experiential campaigns strengthens brand visibility and engagement.</w:t>
            </w:r>
          </w:p>
        </w:tc>
      </w:tr>
      <w:tr w:rsidR="004D0F98" w:rsidRPr="004D0F98" w14:paraId="731D176B" w14:textId="77777777">
        <w:trPr>
          <w:tblCellSpacing w:w="15" w:type="dxa"/>
        </w:trPr>
        <w:tc>
          <w:tcPr>
            <w:tcW w:w="0" w:type="auto"/>
            <w:vAlign w:val="center"/>
            <w:hideMark/>
          </w:tcPr>
          <w:p w14:paraId="03578E6C" w14:textId="77777777" w:rsidR="004D0F98" w:rsidRPr="004D0F98" w:rsidRDefault="004D0F98" w:rsidP="004D0F98">
            <w:pPr>
              <w:spacing w:line="360" w:lineRule="auto"/>
              <w:jc w:val="both"/>
              <w:rPr>
                <w:rFonts w:ascii="Arial" w:hAnsi="Arial" w:cs="Arial"/>
              </w:rPr>
            </w:pPr>
            <w:r w:rsidRPr="004D0F98">
              <w:rPr>
                <w:rFonts w:ascii="Arial" w:hAnsi="Arial" w:cs="Arial"/>
                <w:b/>
                <w:bCs/>
              </w:rPr>
              <w:t>People</w:t>
            </w:r>
          </w:p>
        </w:tc>
        <w:tc>
          <w:tcPr>
            <w:tcW w:w="0" w:type="auto"/>
            <w:vAlign w:val="center"/>
            <w:hideMark/>
          </w:tcPr>
          <w:p w14:paraId="50FF744A" w14:textId="77777777" w:rsidR="004D0F98" w:rsidRPr="004D0F98" w:rsidRDefault="004D0F98" w:rsidP="004D0F98">
            <w:pPr>
              <w:spacing w:line="360" w:lineRule="auto"/>
              <w:jc w:val="both"/>
              <w:rPr>
                <w:rFonts w:ascii="Arial" w:hAnsi="Arial" w:cs="Arial"/>
              </w:rPr>
            </w:pPr>
            <w:r w:rsidRPr="004D0F98">
              <w:rPr>
                <w:rFonts w:ascii="Arial" w:hAnsi="Arial" w:cs="Arial"/>
              </w:rPr>
              <w:t>Service quality remains a key source of competitive advantage. Employee performance directly influences customer satisfaction and loyalty.</w:t>
            </w:r>
          </w:p>
        </w:tc>
      </w:tr>
      <w:tr w:rsidR="004D0F98" w:rsidRPr="004D0F98" w14:paraId="052B3242" w14:textId="77777777">
        <w:trPr>
          <w:tblCellSpacing w:w="15" w:type="dxa"/>
        </w:trPr>
        <w:tc>
          <w:tcPr>
            <w:tcW w:w="0" w:type="auto"/>
            <w:vAlign w:val="center"/>
            <w:hideMark/>
          </w:tcPr>
          <w:p w14:paraId="3E184A39" w14:textId="77777777" w:rsidR="004D0F98" w:rsidRPr="004D0F98" w:rsidRDefault="004D0F98" w:rsidP="004D0F98">
            <w:pPr>
              <w:spacing w:line="360" w:lineRule="auto"/>
              <w:jc w:val="both"/>
              <w:rPr>
                <w:rFonts w:ascii="Arial" w:hAnsi="Arial" w:cs="Arial"/>
              </w:rPr>
            </w:pPr>
            <w:r w:rsidRPr="004D0F98">
              <w:rPr>
                <w:rFonts w:ascii="Arial" w:hAnsi="Arial" w:cs="Arial"/>
                <w:b/>
                <w:bCs/>
              </w:rPr>
              <w:t>Process</w:t>
            </w:r>
          </w:p>
        </w:tc>
        <w:tc>
          <w:tcPr>
            <w:tcW w:w="0" w:type="auto"/>
            <w:vAlign w:val="center"/>
            <w:hideMark/>
          </w:tcPr>
          <w:p w14:paraId="44E44B57" w14:textId="77777777" w:rsidR="004D0F98" w:rsidRPr="004D0F98" w:rsidRDefault="004D0F98" w:rsidP="004D0F98">
            <w:pPr>
              <w:spacing w:line="360" w:lineRule="auto"/>
              <w:jc w:val="both"/>
              <w:rPr>
                <w:rFonts w:ascii="Arial" w:hAnsi="Arial" w:cs="Arial"/>
              </w:rPr>
            </w:pPr>
            <w:r w:rsidRPr="004D0F98">
              <w:rPr>
                <w:rFonts w:ascii="Arial" w:hAnsi="Arial" w:cs="Arial"/>
              </w:rPr>
              <w:t>Digital booking systems, CRM platforms and mobile applications improve convenience and personalisation throughout the customer journey.</w:t>
            </w:r>
          </w:p>
        </w:tc>
      </w:tr>
      <w:tr w:rsidR="004D0F98" w:rsidRPr="004D0F98" w14:paraId="16CA129D" w14:textId="77777777">
        <w:trPr>
          <w:tblCellSpacing w:w="15" w:type="dxa"/>
        </w:trPr>
        <w:tc>
          <w:tcPr>
            <w:tcW w:w="0" w:type="auto"/>
            <w:vAlign w:val="center"/>
            <w:hideMark/>
          </w:tcPr>
          <w:p w14:paraId="6533C5CC" w14:textId="77777777" w:rsidR="004D0F98" w:rsidRPr="004D0F98" w:rsidRDefault="004D0F98" w:rsidP="004D0F98">
            <w:pPr>
              <w:spacing w:line="360" w:lineRule="auto"/>
              <w:jc w:val="both"/>
              <w:rPr>
                <w:rFonts w:ascii="Arial" w:hAnsi="Arial" w:cs="Arial"/>
              </w:rPr>
            </w:pPr>
            <w:r w:rsidRPr="004D0F98">
              <w:rPr>
                <w:rFonts w:ascii="Arial" w:hAnsi="Arial" w:cs="Arial"/>
                <w:b/>
                <w:bCs/>
              </w:rPr>
              <w:t>Physical Evidence</w:t>
            </w:r>
          </w:p>
        </w:tc>
        <w:tc>
          <w:tcPr>
            <w:tcW w:w="0" w:type="auto"/>
            <w:vAlign w:val="center"/>
            <w:hideMark/>
          </w:tcPr>
          <w:p w14:paraId="0E380951" w14:textId="77777777" w:rsidR="004D0F98" w:rsidRPr="004D0F98" w:rsidRDefault="004D0F98" w:rsidP="004D0F98">
            <w:pPr>
              <w:spacing w:line="360" w:lineRule="auto"/>
              <w:jc w:val="both"/>
              <w:rPr>
                <w:rFonts w:ascii="Arial" w:hAnsi="Arial" w:cs="Arial"/>
              </w:rPr>
            </w:pPr>
            <w:r w:rsidRPr="004D0F98">
              <w:rPr>
                <w:rFonts w:ascii="Arial" w:hAnsi="Arial" w:cs="Arial"/>
              </w:rPr>
              <w:t>Modern ships, premium interiors and strong visual branding reinforce perceptions of quality and luxury.</w:t>
            </w:r>
          </w:p>
        </w:tc>
      </w:tr>
    </w:tbl>
    <w:p w14:paraId="6138CEA0"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Critical Evaluation of the 7Ps</w:t>
      </w:r>
    </w:p>
    <w:p w14:paraId="5B5BB5CD" w14:textId="77777777" w:rsidR="004D0F98" w:rsidRPr="004D0F98" w:rsidRDefault="004D0F98" w:rsidP="004D0F98">
      <w:pPr>
        <w:spacing w:line="360" w:lineRule="auto"/>
        <w:jc w:val="both"/>
        <w:rPr>
          <w:rFonts w:ascii="Arial" w:hAnsi="Arial" w:cs="Arial"/>
        </w:rPr>
      </w:pPr>
      <w:r w:rsidRPr="004D0F98">
        <w:rPr>
          <w:rFonts w:ascii="Arial" w:hAnsi="Arial" w:cs="Arial"/>
        </w:rPr>
        <w:lastRenderedPageBreak/>
        <w:t>The marketing mix is effectively aligned with Celebrity Cruises' premium positioning. However, the traditional 7Ps framework does not fully account for customer co-creation, AI-driven personalisation, or digital ecosystems. Therefore, contemporary marketing effectiveness increasingly depends upon integrating technology and customer experience management alongside traditional marketing mix elements.</w:t>
      </w:r>
    </w:p>
    <w:p w14:paraId="685A65F7" w14:textId="4764ABFC" w:rsidR="004D0F98" w:rsidRPr="004D0F98" w:rsidRDefault="004D0F98" w:rsidP="004D0F98">
      <w:pPr>
        <w:spacing w:line="360" w:lineRule="auto"/>
        <w:jc w:val="both"/>
        <w:rPr>
          <w:rFonts w:ascii="Arial" w:hAnsi="Arial" w:cs="Arial"/>
        </w:rPr>
      </w:pPr>
    </w:p>
    <w:p w14:paraId="6F06B588" w14:textId="77777777" w:rsidR="004D0F98" w:rsidRPr="006E28F7" w:rsidRDefault="004D0F98" w:rsidP="004D0F98">
      <w:pPr>
        <w:spacing w:line="360" w:lineRule="auto"/>
        <w:jc w:val="both"/>
        <w:rPr>
          <w:rFonts w:ascii="Arial" w:hAnsi="Arial" w:cs="Arial"/>
          <w:b/>
          <w:bCs/>
          <w:sz w:val="28"/>
          <w:szCs w:val="28"/>
        </w:rPr>
      </w:pPr>
      <w:r w:rsidRPr="006E28F7">
        <w:rPr>
          <w:rFonts w:ascii="Arial" w:hAnsi="Arial" w:cs="Arial"/>
          <w:b/>
          <w:bCs/>
          <w:sz w:val="28"/>
          <w:szCs w:val="28"/>
        </w:rPr>
        <w:t>2.6 Customer Value, Brand Equity and Digital Metrics</w:t>
      </w:r>
    </w:p>
    <w:p w14:paraId="6F6F0575" w14:textId="77777777" w:rsidR="004D0F98" w:rsidRPr="004D0F98" w:rsidRDefault="004D0F98" w:rsidP="004D0F98">
      <w:pPr>
        <w:spacing w:line="360" w:lineRule="auto"/>
        <w:jc w:val="both"/>
        <w:rPr>
          <w:rFonts w:ascii="Arial" w:hAnsi="Arial" w:cs="Arial"/>
        </w:rPr>
      </w:pPr>
      <w:r w:rsidRPr="004D0F98">
        <w:rPr>
          <w:rFonts w:ascii="Arial" w:hAnsi="Arial" w:cs="Arial"/>
        </w:rPr>
        <w:t>Customer value refers to the perceived benefits received relative to the costs incurred by consumers (Kotler, Keller and Chernev, 2023). Celebrity Cruises creates value through luxury experiences, destination immersion, personalised service, and strong brand reputation.</w:t>
      </w:r>
    </w:p>
    <w:p w14:paraId="11315ECE" w14:textId="77777777" w:rsidR="004D0F98" w:rsidRPr="004D0F98" w:rsidRDefault="004D0F98" w:rsidP="004D0F98">
      <w:pPr>
        <w:spacing w:line="360" w:lineRule="auto"/>
        <w:jc w:val="both"/>
        <w:rPr>
          <w:rFonts w:ascii="Arial" w:hAnsi="Arial" w:cs="Arial"/>
        </w:rPr>
      </w:pPr>
      <w:r w:rsidRPr="004D0F98">
        <w:rPr>
          <w:rFonts w:ascii="Arial" w:hAnsi="Arial" w:cs="Arial"/>
        </w:rPr>
        <w:t>According to Keller's (2020) Customer-Based Brand Equity (CBBE) model, strong brands generate:</w:t>
      </w:r>
    </w:p>
    <w:p w14:paraId="2E0EBDB5" w14:textId="77777777" w:rsidR="004D0F98" w:rsidRPr="004D0F98" w:rsidRDefault="004D0F98" w:rsidP="004D0F98">
      <w:pPr>
        <w:numPr>
          <w:ilvl w:val="0"/>
          <w:numId w:val="14"/>
        </w:numPr>
        <w:spacing w:line="360" w:lineRule="auto"/>
        <w:jc w:val="both"/>
        <w:rPr>
          <w:rFonts w:ascii="Arial" w:hAnsi="Arial" w:cs="Arial"/>
        </w:rPr>
      </w:pPr>
      <w:r w:rsidRPr="004D0F98">
        <w:rPr>
          <w:rFonts w:ascii="Arial" w:hAnsi="Arial" w:cs="Arial"/>
        </w:rPr>
        <w:t>Brand awareness.</w:t>
      </w:r>
    </w:p>
    <w:p w14:paraId="06909D6D" w14:textId="77777777" w:rsidR="004D0F98" w:rsidRPr="004D0F98" w:rsidRDefault="004D0F98" w:rsidP="004D0F98">
      <w:pPr>
        <w:numPr>
          <w:ilvl w:val="0"/>
          <w:numId w:val="14"/>
        </w:numPr>
        <w:spacing w:line="360" w:lineRule="auto"/>
        <w:jc w:val="both"/>
        <w:rPr>
          <w:rFonts w:ascii="Arial" w:hAnsi="Arial" w:cs="Arial"/>
        </w:rPr>
      </w:pPr>
      <w:r w:rsidRPr="004D0F98">
        <w:rPr>
          <w:rFonts w:ascii="Arial" w:hAnsi="Arial" w:cs="Arial"/>
        </w:rPr>
        <w:t>Positive brand associations.</w:t>
      </w:r>
    </w:p>
    <w:p w14:paraId="74F41BD0" w14:textId="77777777" w:rsidR="004D0F98" w:rsidRPr="004D0F98" w:rsidRDefault="004D0F98" w:rsidP="004D0F98">
      <w:pPr>
        <w:numPr>
          <w:ilvl w:val="0"/>
          <w:numId w:val="14"/>
        </w:numPr>
        <w:spacing w:line="360" w:lineRule="auto"/>
        <w:jc w:val="both"/>
        <w:rPr>
          <w:rFonts w:ascii="Arial" w:hAnsi="Arial" w:cs="Arial"/>
        </w:rPr>
      </w:pPr>
      <w:r w:rsidRPr="004D0F98">
        <w:rPr>
          <w:rFonts w:ascii="Arial" w:hAnsi="Arial" w:cs="Arial"/>
        </w:rPr>
        <w:t>Customer loyalty.</w:t>
      </w:r>
    </w:p>
    <w:p w14:paraId="53DBE3C3" w14:textId="77777777" w:rsidR="004D0F98" w:rsidRPr="004D0F98" w:rsidRDefault="004D0F98" w:rsidP="004D0F98">
      <w:pPr>
        <w:numPr>
          <w:ilvl w:val="0"/>
          <w:numId w:val="14"/>
        </w:numPr>
        <w:spacing w:line="360" w:lineRule="auto"/>
        <w:jc w:val="both"/>
        <w:rPr>
          <w:rFonts w:ascii="Arial" w:hAnsi="Arial" w:cs="Arial"/>
        </w:rPr>
      </w:pPr>
      <w:r w:rsidRPr="004D0F98">
        <w:rPr>
          <w:rFonts w:ascii="Arial" w:hAnsi="Arial" w:cs="Arial"/>
        </w:rPr>
        <w:t>Customer advocacy.</w:t>
      </w:r>
    </w:p>
    <w:p w14:paraId="35BD8A94" w14:textId="77777777" w:rsidR="004D0F98" w:rsidRPr="004D0F98" w:rsidRDefault="004D0F98" w:rsidP="004D0F98">
      <w:pPr>
        <w:spacing w:line="360" w:lineRule="auto"/>
        <w:jc w:val="both"/>
        <w:rPr>
          <w:rFonts w:ascii="Arial" w:hAnsi="Arial" w:cs="Arial"/>
        </w:rPr>
      </w:pPr>
      <w:r w:rsidRPr="004D0F98">
        <w:rPr>
          <w:rFonts w:ascii="Arial" w:hAnsi="Arial" w:cs="Arial"/>
        </w:rPr>
        <w:t>Celebrity Cruises has developed substantial brand equity through consistent luxury positioning and customer experience delivery. High levels of customer satisfaction contribute to repeat purchases and loyalty programme participation.</w:t>
      </w:r>
    </w:p>
    <w:p w14:paraId="437A2855" w14:textId="77777777" w:rsidR="004D0F98" w:rsidRPr="004D0F98" w:rsidRDefault="004D0F98" w:rsidP="004D0F98">
      <w:pPr>
        <w:spacing w:line="360" w:lineRule="auto"/>
        <w:jc w:val="both"/>
        <w:rPr>
          <w:rFonts w:ascii="Arial" w:hAnsi="Arial" w:cs="Arial"/>
        </w:rPr>
      </w:pPr>
      <w:r w:rsidRPr="004D0F98">
        <w:rPr>
          <w:rFonts w:ascii="Arial" w:hAnsi="Arial" w:cs="Arial"/>
        </w:rPr>
        <w:t>Marketing effectiveness can also be assessed through digital metrics including:</w:t>
      </w:r>
    </w:p>
    <w:p w14:paraId="406A132E" w14:textId="77777777" w:rsidR="004D0F98" w:rsidRPr="004D0F98" w:rsidRDefault="004D0F98" w:rsidP="004D0F98">
      <w:pPr>
        <w:numPr>
          <w:ilvl w:val="0"/>
          <w:numId w:val="15"/>
        </w:numPr>
        <w:spacing w:line="360" w:lineRule="auto"/>
        <w:jc w:val="both"/>
        <w:rPr>
          <w:rFonts w:ascii="Arial" w:hAnsi="Arial" w:cs="Arial"/>
        </w:rPr>
      </w:pPr>
      <w:r w:rsidRPr="004D0F98">
        <w:rPr>
          <w:rFonts w:ascii="Arial" w:hAnsi="Arial" w:cs="Arial"/>
        </w:rPr>
        <w:t>Website traffic.</w:t>
      </w:r>
    </w:p>
    <w:p w14:paraId="406E9E6F" w14:textId="77777777" w:rsidR="004D0F98" w:rsidRPr="004D0F98" w:rsidRDefault="004D0F98" w:rsidP="004D0F98">
      <w:pPr>
        <w:numPr>
          <w:ilvl w:val="0"/>
          <w:numId w:val="15"/>
        </w:numPr>
        <w:spacing w:line="360" w:lineRule="auto"/>
        <w:jc w:val="both"/>
        <w:rPr>
          <w:rFonts w:ascii="Arial" w:hAnsi="Arial" w:cs="Arial"/>
        </w:rPr>
      </w:pPr>
      <w:r w:rsidRPr="004D0F98">
        <w:rPr>
          <w:rFonts w:ascii="Arial" w:hAnsi="Arial" w:cs="Arial"/>
        </w:rPr>
        <w:t>Conversion rates.</w:t>
      </w:r>
    </w:p>
    <w:p w14:paraId="6EC0D02E" w14:textId="77777777" w:rsidR="004D0F98" w:rsidRPr="004D0F98" w:rsidRDefault="004D0F98" w:rsidP="004D0F98">
      <w:pPr>
        <w:numPr>
          <w:ilvl w:val="0"/>
          <w:numId w:val="15"/>
        </w:numPr>
        <w:spacing w:line="360" w:lineRule="auto"/>
        <w:jc w:val="both"/>
        <w:rPr>
          <w:rFonts w:ascii="Arial" w:hAnsi="Arial" w:cs="Arial"/>
        </w:rPr>
      </w:pPr>
      <w:r w:rsidRPr="004D0F98">
        <w:rPr>
          <w:rFonts w:ascii="Arial" w:hAnsi="Arial" w:cs="Arial"/>
        </w:rPr>
        <w:t>Customer acquisition costs.</w:t>
      </w:r>
    </w:p>
    <w:p w14:paraId="75FF55F7" w14:textId="77777777" w:rsidR="004D0F98" w:rsidRPr="004D0F98" w:rsidRDefault="004D0F98" w:rsidP="004D0F98">
      <w:pPr>
        <w:numPr>
          <w:ilvl w:val="0"/>
          <w:numId w:val="15"/>
        </w:numPr>
        <w:spacing w:line="360" w:lineRule="auto"/>
        <w:jc w:val="both"/>
        <w:rPr>
          <w:rFonts w:ascii="Arial" w:hAnsi="Arial" w:cs="Arial"/>
        </w:rPr>
      </w:pPr>
      <w:r w:rsidRPr="004D0F98">
        <w:rPr>
          <w:rFonts w:ascii="Arial" w:hAnsi="Arial" w:cs="Arial"/>
        </w:rPr>
        <w:t>Social media engagement.</w:t>
      </w:r>
    </w:p>
    <w:p w14:paraId="5F91DC3D" w14:textId="77777777" w:rsidR="004D0F98" w:rsidRPr="004D0F98" w:rsidRDefault="004D0F98" w:rsidP="004D0F98">
      <w:pPr>
        <w:numPr>
          <w:ilvl w:val="0"/>
          <w:numId w:val="15"/>
        </w:numPr>
        <w:spacing w:line="360" w:lineRule="auto"/>
        <w:jc w:val="both"/>
        <w:rPr>
          <w:rFonts w:ascii="Arial" w:hAnsi="Arial" w:cs="Arial"/>
        </w:rPr>
      </w:pPr>
      <w:r w:rsidRPr="004D0F98">
        <w:rPr>
          <w:rFonts w:ascii="Arial" w:hAnsi="Arial" w:cs="Arial"/>
        </w:rPr>
        <w:t>Customer lifetime value (CLV).</w:t>
      </w:r>
    </w:p>
    <w:p w14:paraId="79BB0592" w14:textId="77777777" w:rsidR="004D0F98" w:rsidRPr="004D0F98" w:rsidRDefault="004D0F98" w:rsidP="004D0F98">
      <w:pPr>
        <w:numPr>
          <w:ilvl w:val="0"/>
          <w:numId w:val="15"/>
        </w:numPr>
        <w:spacing w:line="360" w:lineRule="auto"/>
        <w:jc w:val="both"/>
        <w:rPr>
          <w:rFonts w:ascii="Arial" w:hAnsi="Arial" w:cs="Arial"/>
        </w:rPr>
      </w:pPr>
      <w:r w:rsidRPr="004D0F98">
        <w:rPr>
          <w:rFonts w:ascii="Arial" w:hAnsi="Arial" w:cs="Arial"/>
        </w:rPr>
        <w:t>Net Promoter Scores (NPS).</w:t>
      </w:r>
    </w:p>
    <w:p w14:paraId="16D1A415" w14:textId="77777777" w:rsidR="004D0F98" w:rsidRPr="004D0F98" w:rsidRDefault="004D0F98" w:rsidP="004D0F98">
      <w:pPr>
        <w:spacing w:line="360" w:lineRule="auto"/>
        <w:jc w:val="both"/>
        <w:rPr>
          <w:rFonts w:ascii="Arial" w:hAnsi="Arial" w:cs="Arial"/>
        </w:rPr>
      </w:pPr>
      <w:r w:rsidRPr="004D0F98">
        <w:rPr>
          <w:rFonts w:ascii="Arial" w:hAnsi="Arial" w:cs="Arial"/>
        </w:rPr>
        <w:lastRenderedPageBreak/>
        <w:t>These metrics provide valuable insights into marketing performance and customer engagement. However, an excessive focus on short-term digital metrics may undermine long-term brand-building activities. Therefore, marketing success should be evaluated using both financial and non-financial performance indicators.</w:t>
      </w:r>
    </w:p>
    <w:p w14:paraId="03907ECB"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Critical Evaluation</w:t>
      </w:r>
    </w:p>
    <w:p w14:paraId="595CD7F5" w14:textId="77777777" w:rsidR="004D0F98" w:rsidRPr="004D0F98" w:rsidRDefault="004D0F98" w:rsidP="004D0F98">
      <w:pPr>
        <w:spacing w:line="360" w:lineRule="auto"/>
        <w:jc w:val="both"/>
        <w:rPr>
          <w:rFonts w:ascii="Arial" w:hAnsi="Arial" w:cs="Arial"/>
        </w:rPr>
      </w:pPr>
      <w:r w:rsidRPr="004D0F98">
        <w:rPr>
          <w:rFonts w:ascii="Arial" w:hAnsi="Arial" w:cs="Arial"/>
        </w:rPr>
        <w:t>From a Service-Dominant Logic perspective, customer value is co-created through interactions between customers and the organisation (Vargo and Lusch, 2016). Consequently, Celebrity Cruises' competitive advantage depends not only on service delivery but also on its ability to facilitate meaningful customer experiences before, during, and after travel.</w:t>
      </w:r>
    </w:p>
    <w:p w14:paraId="59D5C445" w14:textId="7C26B4D1" w:rsidR="004D0F98" w:rsidRPr="004D0F98" w:rsidRDefault="004D0F98" w:rsidP="004D0F98">
      <w:pPr>
        <w:spacing w:line="360" w:lineRule="auto"/>
        <w:jc w:val="both"/>
        <w:rPr>
          <w:rFonts w:ascii="Arial" w:hAnsi="Arial" w:cs="Arial"/>
        </w:rPr>
      </w:pPr>
    </w:p>
    <w:p w14:paraId="78D764FA" w14:textId="77777777" w:rsidR="004D0F98" w:rsidRPr="004639CB" w:rsidRDefault="004D0F98" w:rsidP="004D0F98">
      <w:pPr>
        <w:spacing w:line="360" w:lineRule="auto"/>
        <w:jc w:val="both"/>
        <w:rPr>
          <w:rFonts w:ascii="Arial" w:hAnsi="Arial" w:cs="Arial"/>
          <w:b/>
          <w:bCs/>
          <w:sz w:val="28"/>
          <w:szCs w:val="28"/>
        </w:rPr>
      </w:pPr>
      <w:r w:rsidRPr="004639CB">
        <w:rPr>
          <w:rFonts w:ascii="Arial" w:hAnsi="Arial" w:cs="Arial"/>
          <w:b/>
          <w:bCs/>
          <w:sz w:val="28"/>
          <w:szCs w:val="28"/>
        </w:rPr>
        <w:t>2.7 Ethical, Cultural and Sustainability Considerations</w:t>
      </w:r>
    </w:p>
    <w:p w14:paraId="7A49C9D2" w14:textId="77777777" w:rsidR="004D0F98" w:rsidRPr="004D0F98" w:rsidRDefault="004D0F98" w:rsidP="004D0F98">
      <w:pPr>
        <w:spacing w:line="360" w:lineRule="auto"/>
        <w:jc w:val="both"/>
        <w:rPr>
          <w:rFonts w:ascii="Arial" w:hAnsi="Arial" w:cs="Arial"/>
        </w:rPr>
      </w:pPr>
      <w:r w:rsidRPr="004D0F98">
        <w:rPr>
          <w:rFonts w:ascii="Arial" w:hAnsi="Arial" w:cs="Arial"/>
        </w:rPr>
        <w:t>Ethical marketing practices have become increasingly important as consumers demand greater transparency, diversity, and corporate responsibility.</w:t>
      </w:r>
    </w:p>
    <w:p w14:paraId="7BD078FE" w14:textId="77777777" w:rsidR="004D0F98" w:rsidRPr="004D0F98" w:rsidRDefault="004D0F98" w:rsidP="004D0F98">
      <w:pPr>
        <w:spacing w:line="360" w:lineRule="auto"/>
        <w:jc w:val="both"/>
        <w:rPr>
          <w:rFonts w:ascii="Arial" w:hAnsi="Arial" w:cs="Arial"/>
        </w:rPr>
      </w:pPr>
      <w:r w:rsidRPr="004D0F98">
        <w:rPr>
          <w:rFonts w:ascii="Arial" w:hAnsi="Arial" w:cs="Arial"/>
        </w:rPr>
        <w:t>Celebrity Cruises operates globally and therefore serves customers from diverse cultural backgrounds. Marketing communications must remain culturally sensitive and inclusive to avoid alienating customer segments and damaging brand reputation.</w:t>
      </w:r>
    </w:p>
    <w:p w14:paraId="07BEA449" w14:textId="77777777" w:rsidR="004D0F98" w:rsidRPr="004D0F98" w:rsidRDefault="004D0F98" w:rsidP="004D0F98">
      <w:pPr>
        <w:spacing w:line="360" w:lineRule="auto"/>
        <w:jc w:val="both"/>
        <w:rPr>
          <w:rFonts w:ascii="Arial" w:hAnsi="Arial" w:cs="Arial"/>
        </w:rPr>
      </w:pPr>
      <w:r w:rsidRPr="004D0F98">
        <w:rPr>
          <w:rFonts w:ascii="Arial" w:hAnsi="Arial" w:cs="Arial"/>
        </w:rPr>
        <w:t>The organisation has also promoted diversity and inclusion initiatives through leadership development and inclusive advertising campaigns. Such activities align with stakeholder expectations and support positive brand perceptions.</w:t>
      </w:r>
    </w:p>
    <w:p w14:paraId="37B1294F" w14:textId="77777777" w:rsidR="004D0F98" w:rsidRPr="004D0F98" w:rsidRDefault="004D0F98" w:rsidP="004D0F98">
      <w:pPr>
        <w:spacing w:line="360" w:lineRule="auto"/>
        <w:jc w:val="both"/>
        <w:rPr>
          <w:rFonts w:ascii="Arial" w:hAnsi="Arial" w:cs="Arial"/>
        </w:rPr>
      </w:pPr>
      <w:r w:rsidRPr="004D0F98">
        <w:rPr>
          <w:rFonts w:ascii="Arial" w:hAnsi="Arial" w:cs="Arial"/>
        </w:rPr>
        <w:t>Sustainability remains one of the most important ethical challenges facing the cruise industry. Celebrity Cruises promotes environmental initiatives through Royal Caribbean Group's sustainability strategy, including commitments relating to emissions reduction, waste management, and long-term net-zero ambitions.</w:t>
      </w:r>
    </w:p>
    <w:p w14:paraId="228A9CA9" w14:textId="77777777" w:rsidR="004D0F98" w:rsidRPr="004D0F98" w:rsidRDefault="004D0F98" w:rsidP="004D0F98">
      <w:pPr>
        <w:spacing w:line="360" w:lineRule="auto"/>
        <w:jc w:val="both"/>
        <w:rPr>
          <w:rFonts w:ascii="Arial" w:hAnsi="Arial" w:cs="Arial"/>
        </w:rPr>
      </w:pPr>
      <w:r w:rsidRPr="004D0F98">
        <w:rPr>
          <w:rFonts w:ascii="Arial" w:hAnsi="Arial" w:cs="Arial"/>
        </w:rPr>
        <w:t>However, critics continue to question whether cruise tourism can ever become fully sustainable due to its environmental impacts (Font and McCabe, 2022). This creates reputational risks if sustainability communications are perceived as greenwashing.</w:t>
      </w:r>
    </w:p>
    <w:p w14:paraId="3AA8B485"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Critical Evaluation</w:t>
      </w:r>
    </w:p>
    <w:p w14:paraId="752223D6" w14:textId="77777777" w:rsidR="004D0F98" w:rsidRPr="004D0F98" w:rsidRDefault="004D0F98" w:rsidP="004D0F98">
      <w:pPr>
        <w:spacing w:line="360" w:lineRule="auto"/>
        <w:jc w:val="both"/>
        <w:rPr>
          <w:rFonts w:ascii="Arial" w:hAnsi="Arial" w:cs="Arial"/>
        </w:rPr>
      </w:pPr>
      <w:r w:rsidRPr="004D0F98">
        <w:rPr>
          <w:rFonts w:ascii="Arial" w:hAnsi="Arial" w:cs="Arial"/>
        </w:rPr>
        <w:lastRenderedPageBreak/>
        <w:t>Stakeholder Theory suggests that organisations must balance the interests of customers, employees, investors, regulators, and communities rather than focusing exclusively on profitability (Freeman, 2010). Consequently, future marketing effectiveness will increasingly depend upon Celebrity Cruises' ability to demonstrate authentic commitments to sustainability and ethical business practices.</w:t>
      </w:r>
    </w:p>
    <w:p w14:paraId="39C5BA8F" w14:textId="73F3A0B2" w:rsidR="004D0F98" w:rsidRPr="004D0F98" w:rsidRDefault="004D0F98" w:rsidP="004D0F98">
      <w:pPr>
        <w:spacing w:line="360" w:lineRule="auto"/>
        <w:jc w:val="both"/>
        <w:rPr>
          <w:rFonts w:ascii="Arial" w:hAnsi="Arial" w:cs="Arial"/>
        </w:rPr>
      </w:pPr>
    </w:p>
    <w:p w14:paraId="7192D67D" w14:textId="77777777" w:rsidR="004D0F98" w:rsidRPr="00E4073F" w:rsidRDefault="004D0F98" w:rsidP="004D0F98">
      <w:pPr>
        <w:spacing w:line="360" w:lineRule="auto"/>
        <w:jc w:val="both"/>
        <w:rPr>
          <w:rFonts w:ascii="Arial" w:hAnsi="Arial" w:cs="Arial"/>
          <w:b/>
          <w:bCs/>
          <w:sz w:val="28"/>
          <w:szCs w:val="28"/>
        </w:rPr>
      </w:pPr>
      <w:r w:rsidRPr="00E4073F">
        <w:rPr>
          <w:rFonts w:ascii="Arial" w:hAnsi="Arial" w:cs="Arial"/>
          <w:b/>
          <w:bCs/>
          <w:sz w:val="28"/>
          <w:szCs w:val="28"/>
        </w:rPr>
        <w:t>3. Analysis of Internal and External Forces Driving Marketing Change</w:t>
      </w:r>
    </w:p>
    <w:p w14:paraId="293B71BF" w14:textId="77777777" w:rsidR="004D0F98" w:rsidRPr="004D0F98" w:rsidRDefault="004D0F98" w:rsidP="004D0F98">
      <w:pPr>
        <w:spacing w:line="360" w:lineRule="auto"/>
        <w:jc w:val="both"/>
        <w:rPr>
          <w:rFonts w:ascii="Arial" w:hAnsi="Arial" w:cs="Arial"/>
        </w:rPr>
      </w:pPr>
      <w:r w:rsidRPr="004D0F98">
        <w:rPr>
          <w:rFonts w:ascii="Arial" w:hAnsi="Arial" w:cs="Arial"/>
        </w:rPr>
        <w:t>Marketing change within Celebrity Cruises is driven by a combination of technological, social, environmental, regulatory, and organisational factors.</w:t>
      </w:r>
    </w:p>
    <w:p w14:paraId="68877B6F" w14:textId="77777777" w:rsidR="004D0F98" w:rsidRPr="00E4073F" w:rsidRDefault="004D0F98" w:rsidP="004D0F98">
      <w:pPr>
        <w:spacing w:line="360" w:lineRule="auto"/>
        <w:jc w:val="both"/>
        <w:rPr>
          <w:rFonts w:ascii="Arial" w:hAnsi="Arial" w:cs="Arial"/>
          <w:b/>
          <w:bCs/>
          <w:sz w:val="28"/>
          <w:szCs w:val="28"/>
        </w:rPr>
      </w:pPr>
      <w:r w:rsidRPr="00E4073F">
        <w:rPr>
          <w:rFonts w:ascii="Arial" w:hAnsi="Arial" w:cs="Arial"/>
          <w:b/>
          <w:bCs/>
          <w:sz w:val="28"/>
          <w:szCs w:val="28"/>
        </w:rPr>
        <w:t>External Forces</w:t>
      </w:r>
    </w:p>
    <w:p w14:paraId="3097435E"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Technological Innovation</w:t>
      </w:r>
    </w:p>
    <w:p w14:paraId="36003229" w14:textId="77777777" w:rsidR="004D0F98" w:rsidRPr="004D0F98" w:rsidRDefault="004D0F98" w:rsidP="004D0F98">
      <w:pPr>
        <w:spacing w:line="360" w:lineRule="auto"/>
        <w:jc w:val="both"/>
        <w:rPr>
          <w:rFonts w:ascii="Arial" w:hAnsi="Arial" w:cs="Arial"/>
        </w:rPr>
      </w:pPr>
      <w:r w:rsidRPr="004D0F98">
        <w:rPr>
          <w:rFonts w:ascii="Arial" w:hAnsi="Arial" w:cs="Arial"/>
        </w:rPr>
        <w:t>Artificial intelligence, predictive analytics, automation, and customer data platforms are transforming how organisations understand and engage consumers. AI enables personalised communications, dynamic pricing, and predictive customer retention strategies (Dwivedi et al., 2023).</w:t>
      </w:r>
    </w:p>
    <w:p w14:paraId="40910D89" w14:textId="77777777" w:rsidR="004D0F98" w:rsidRPr="004D0F98" w:rsidRDefault="004D0F98" w:rsidP="004D0F98">
      <w:pPr>
        <w:spacing w:line="360" w:lineRule="auto"/>
        <w:jc w:val="both"/>
        <w:rPr>
          <w:rFonts w:ascii="Arial" w:hAnsi="Arial" w:cs="Arial"/>
        </w:rPr>
      </w:pPr>
      <w:r w:rsidRPr="004D0F98">
        <w:rPr>
          <w:rFonts w:ascii="Arial" w:hAnsi="Arial" w:cs="Arial"/>
        </w:rPr>
        <w:t>However, competitors increasingly possess access to similar technologies, meaning competitive advantage depends upon implementation rather than adoption alone.</w:t>
      </w:r>
    </w:p>
    <w:p w14:paraId="17C114EB"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Social Media and Consumer Behaviour</w:t>
      </w:r>
    </w:p>
    <w:p w14:paraId="654C2E2C" w14:textId="77777777" w:rsidR="004D0F98" w:rsidRPr="004D0F98" w:rsidRDefault="004D0F98" w:rsidP="004D0F98">
      <w:pPr>
        <w:spacing w:line="360" w:lineRule="auto"/>
        <w:jc w:val="both"/>
        <w:rPr>
          <w:rFonts w:ascii="Arial" w:hAnsi="Arial" w:cs="Arial"/>
        </w:rPr>
      </w:pPr>
      <w:r w:rsidRPr="004D0F98">
        <w:rPr>
          <w:rFonts w:ascii="Arial" w:hAnsi="Arial" w:cs="Arial"/>
        </w:rPr>
        <w:t>Social media platforms such as Instagram, TikTok, and YouTube have fundamentally altered travel decision-making processes. Consumers increasingly rely on online reviews, influencer recommendations, and user-generated content when evaluating travel experiences.</w:t>
      </w:r>
    </w:p>
    <w:p w14:paraId="36942DAB" w14:textId="77777777" w:rsidR="004D0F98" w:rsidRPr="004D0F98" w:rsidRDefault="004D0F98" w:rsidP="004D0F98">
      <w:pPr>
        <w:spacing w:line="360" w:lineRule="auto"/>
        <w:jc w:val="both"/>
        <w:rPr>
          <w:rFonts w:ascii="Arial" w:hAnsi="Arial" w:cs="Arial"/>
        </w:rPr>
      </w:pPr>
      <w:r w:rsidRPr="004D0F98">
        <w:rPr>
          <w:rFonts w:ascii="Arial" w:hAnsi="Arial" w:cs="Arial"/>
        </w:rPr>
        <w:t>Consequently, brand reputation is increasingly influenced by customer-generated communications rather than traditional advertising alone.</w:t>
      </w:r>
    </w:p>
    <w:p w14:paraId="6DA8D13C"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Sustainability Pressures</w:t>
      </w:r>
    </w:p>
    <w:p w14:paraId="006FDC05" w14:textId="77777777" w:rsidR="004D0F98" w:rsidRPr="004D0F98" w:rsidRDefault="004D0F98" w:rsidP="004D0F98">
      <w:pPr>
        <w:spacing w:line="360" w:lineRule="auto"/>
        <w:jc w:val="both"/>
        <w:rPr>
          <w:rFonts w:ascii="Arial" w:hAnsi="Arial" w:cs="Arial"/>
        </w:rPr>
      </w:pPr>
      <w:r w:rsidRPr="004D0F98">
        <w:rPr>
          <w:rFonts w:ascii="Arial" w:hAnsi="Arial" w:cs="Arial"/>
        </w:rPr>
        <w:t>Growing environmental awareness among consumers, investors, and regulators has increased pressure on cruise operators to demonstrate sustainability leadership. Organisations that fail to meet stakeholder expectations risk reputational damage and reduced customer trust.</w:t>
      </w:r>
    </w:p>
    <w:p w14:paraId="5E584A9C"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lastRenderedPageBreak/>
        <w:t>Regulatory Change</w:t>
      </w:r>
    </w:p>
    <w:p w14:paraId="7C33359C" w14:textId="77777777" w:rsidR="004D0F98" w:rsidRPr="004D0F98" w:rsidRDefault="004D0F98" w:rsidP="004D0F98">
      <w:pPr>
        <w:spacing w:line="360" w:lineRule="auto"/>
        <w:jc w:val="both"/>
        <w:rPr>
          <w:rFonts w:ascii="Arial" w:hAnsi="Arial" w:cs="Arial"/>
        </w:rPr>
      </w:pPr>
      <w:r w:rsidRPr="004D0F98">
        <w:rPr>
          <w:rFonts w:ascii="Arial" w:hAnsi="Arial" w:cs="Arial"/>
        </w:rPr>
        <w:t>Data privacy legislation and environmental regulations continue to shape marketing activities. Organisations must balance customer expectations for personalisation with increasing demands for transparency and responsible data governance.</w:t>
      </w:r>
    </w:p>
    <w:p w14:paraId="539C9F67" w14:textId="6468C6B8" w:rsidR="004D0F98" w:rsidRPr="004D0F98" w:rsidRDefault="004D0F98" w:rsidP="004D0F98">
      <w:pPr>
        <w:spacing w:line="360" w:lineRule="auto"/>
        <w:jc w:val="both"/>
        <w:rPr>
          <w:rFonts w:ascii="Arial" w:hAnsi="Arial" w:cs="Arial"/>
        </w:rPr>
      </w:pPr>
    </w:p>
    <w:p w14:paraId="3A9C0477" w14:textId="77777777" w:rsidR="004D0F98" w:rsidRPr="00E4073F" w:rsidRDefault="004D0F98" w:rsidP="004D0F98">
      <w:pPr>
        <w:spacing w:line="360" w:lineRule="auto"/>
        <w:jc w:val="both"/>
        <w:rPr>
          <w:rFonts w:ascii="Arial" w:hAnsi="Arial" w:cs="Arial"/>
          <w:b/>
          <w:bCs/>
          <w:sz w:val="28"/>
          <w:szCs w:val="28"/>
        </w:rPr>
      </w:pPr>
      <w:r w:rsidRPr="00E4073F">
        <w:rPr>
          <w:rFonts w:ascii="Arial" w:hAnsi="Arial" w:cs="Arial"/>
          <w:b/>
          <w:bCs/>
          <w:sz w:val="28"/>
          <w:szCs w:val="28"/>
        </w:rPr>
        <w:t>Internal Forces</w:t>
      </w:r>
    </w:p>
    <w:p w14:paraId="0E641F1A"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Customer-Centric Transformation</w:t>
      </w:r>
    </w:p>
    <w:p w14:paraId="3209E211" w14:textId="77777777" w:rsidR="004D0F98" w:rsidRPr="004D0F98" w:rsidRDefault="004D0F98" w:rsidP="004D0F98">
      <w:pPr>
        <w:spacing w:line="360" w:lineRule="auto"/>
        <w:jc w:val="both"/>
        <w:rPr>
          <w:rFonts w:ascii="Arial" w:hAnsi="Arial" w:cs="Arial"/>
        </w:rPr>
      </w:pPr>
      <w:r w:rsidRPr="004D0F98">
        <w:rPr>
          <w:rFonts w:ascii="Arial" w:hAnsi="Arial" w:cs="Arial"/>
        </w:rPr>
        <w:t>Celebrity Cruises increasingly utilises customer data and behavioural insights to enhance personalisation and customer experience management. This reflects a broader shift towards customer-centric marketing strategies.</w:t>
      </w:r>
    </w:p>
    <w:p w14:paraId="403273CD"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Digital Transformation</w:t>
      </w:r>
    </w:p>
    <w:p w14:paraId="6A916034" w14:textId="77777777" w:rsidR="004D0F98" w:rsidRPr="004D0F98" w:rsidRDefault="004D0F98" w:rsidP="004D0F98">
      <w:pPr>
        <w:spacing w:line="360" w:lineRule="auto"/>
        <w:jc w:val="both"/>
        <w:rPr>
          <w:rFonts w:ascii="Arial" w:hAnsi="Arial" w:cs="Arial"/>
        </w:rPr>
      </w:pPr>
      <w:r w:rsidRPr="004D0F98">
        <w:rPr>
          <w:rFonts w:ascii="Arial" w:hAnsi="Arial" w:cs="Arial"/>
        </w:rPr>
        <w:t>The organisation has invested significantly in digital technologies including mobile applications, online booking systems, customer relationship management platforms, and data analytics capabilities. These investments support customer engagement and operational efficiency.</w:t>
      </w:r>
    </w:p>
    <w:p w14:paraId="662497D6"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Innovation and Competitive Positioning</w:t>
      </w:r>
    </w:p>
    <w:p w14:paraId="24E1CAA1" w14:textId="77777777" w:rsidR="004D0F98" w:rsidRPr="004D0F98" w:rsidRDefault="004D0F98" w:rsidP="004D0F98">
      <w:pPr>
        <w:spacing w:line="360" w:lineRule="auto"/>
        <w:jc w:val="both"/>
        <w:rPr>
          <w:rFonts w:ascii="Arial" w:hAnsi="Arial" w:cs="Arial"/>
        </w:rPr>
      </w:pPr>
      <w:r w:rsidRPr="004D0F98">
        <w:rPr>
          <w:rFonts w:ascii="Arial" w:hAnsi="Arial" w:cs="Arial"/>
        </w:rPr>
        <w:t>Innovation remains essential for maintaining premium positioning within an increasingly competitive market. Celebrity Cruises must continuously enhance customer experiences, service quality, and digital engagement capabilities to sustain differentiation.</w:t>
      </w:r>
    </w:p>
    <w:p w14:paraId="05274CD2"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Critical Evaluation</w:t>
      </w:r>
    </w:p>
    <w:p w14:paraId="4FBACEF5" w14:textId="77777777" w:rsidR="004D0F98" w:rsidRDefault="004D0F98" w:rsidP="004D0F98">
      <w:pPr>
        <w:spacing w:line="360" w:lineRule="auto"/>
        <w:jc w:val="both"/>
        <w:rPr>
          <w:rFonts w:ascii="Arial" w:hAnsi="Arial" w:cs="Arial"/>
        </w:rPr>
      </w:pPr>
      <w:r w:rsidRPr="004D0F98">
        <w:rPr>
          <w:rFonts w:ascii="Arial" w:hAnsi="Arial" w:cs="Arial"/>
        </w:rPr>
        <w:t>The interaction of these internal and external forces demonstrates that marketing change is no longer optional but essential. Dynamic Capabilities Theory suggests that long-term competitiveness depends upon an organisation's ability to adapt resources and capabilities in response to environmental change (Teece, 2018). Consequently, Celebrity Cruises must continuously innovate while balancing customer expectations, technological opportunities, and sustainability responsibilities.</w:t>
      </w:r>
    </w:p>
    <w:p w14:paraId="5F9338A6" w14:textId="77777777" w:rsidR="004D0F98" w:rsidRPr="00E4073F" w:rsidRDefault="004D0F98" w:rsidP="004D0F98">
      <w:pPr>
        <w:spacing w:line="360" w:lineRule="auto"/>
        <w:jc w:val="both"/>
        <w:rPr>
          <w:rFonts w:ascii="Arial" w:hAnsi="Arial" w:cs="Arial"/>
          <w:b/>
          <w:bCs/>
          <w:sz w:val="28"/>
          <w:szCs w:val="28"/>
        </w:rPr>
      </w:pPr>
      <w:r w:rsidRPr="00E4073F">
        <w:rPr>
          <w:rFonts w:ascii="Arial" w:hAnsi="Arial" w:cs="Arial"/>
          <w:b/>
          <w:bCs/>
          <w:sz w:val="28"/>
          <w:szCs w:val="28"/>
        </w:rPr>
        <w:t>4. Future Developments in Marketing</w:t>
      </w:r>
    </w:p>
    <w:p w14:paraId="2DF120D5" w14:textId="77777777" w:rsidR="004D0F98" w:rsidRPr="004D0F98" w:rsidRDefault="004D0F98" w:rsidP="004D0F98">
      <w:pPr>
        <w:spacing w:line="360" w:lineRule="auto"/>
        <w:jc w:val="both"/>
        <w:rPr>
          <w:rFonts w:ascii="Arial" w:hAnsi="Arial" w:cs="Arial"/>
        </w:rPr>
      </w:pPr>
      <w:r w:rsidRPr="004D0F98">
        <w:rPr>
          <w:rFonts w:ascii="Arial" w:hAnsi="Arial" w:cs="Arial"/>
        </w:rPr>
        <w:lastRenderedPageBreak/>
        <w:t>The future of marketing within the cruise industry will be shaped by technological innovation, changing consumer expectations, sustainability pressures, and evolving regulatory frameworks. Organisations that successfully anticipate these developments are more likely to maintain competitiveness and strengthen customer relationships.</w:t>
      </w:r>
    </w:p>
    <w:p w14:paraId="16854DC5" w14:textId="77777777" w:rsidR="004D0F98" w:rsidRPr="00E4073F" w:rsidRDefault="004D0F98" w:rsidP="004D0F98">
      <w:pPr>
        <w:spacing w:line="360" w:lineRule="auto"/>
        <w:jc w:val="both"/>
        <w:rPr>
          <w:rFonts w:ascii="Arial" w:hAnsi="Arial" w:cs="Arial"/>
          <w:b/>
          <w:bCs/>
          <w:sz w:val="28"/>
          <w:szCs w:val="28"/>
        </w:rPr>
      </w:pPr>
      <w:r w:rsidRPr="00E4073F">
        <w:rPr>
          <w:rFonts w:ascii="Arial" w:hAnsi="Arial" w:cs="Arial"/>
          <w:b/>
          <w:bCs/>
          <w:sz w:val="28"/>
          <w:szCs w:val="28"/>
        </w:rPr>
        <w:t>4.1 AI-Driven Personalisation</w:t>
      </w:r>
    </w:p>
    <w:p w14:paraId="13052F7F" w14:textId="77777777" w:rsidR="004D0F98" w:rsidRPr="004D0F98" w:rsidRDefault="004D0F98" w:rsidP="004D0F98">
      <w:pPr>
        <w:spacing w:line="360" w:lineRule="auto"/>
        <w:jc w:val="both"/>
        <w:rPr>
          <w:rFonts w:ascii="Arial" w:hAnsi="Arial" w:cs="Arial"/>
        </w:rPr>
      </w:pPr>
      <w:r w:rsidRPr="004D0F98">
        <w:rPr>
          <w:rFonts w:ascii="Arial" w:hAnsi="Arial" w:cs="Arial"/>
        </w:rPr>
        <w:t>Artificial intelligence is expected to become increasingly influential within tourism marketing. AI technologies enable organisations to analyse customer behaviour, automate marketing processes, optimise pricing strategies, and deliver highly personalised experiences (Dwivedi et al., 2023).</w:t>
      </w:r>
    </w:p>
    <w:p w14:paraId="48FBE611" w14:textId="77777777" w:rsidR="004D0F98" w:rsidRPr="004D0F98" w:rsidRDefault="004D0F98" w:rsidP="004D0F98">
      <w:pPr>
        <w:spacing w:line="360" w:lineRule="auto"/>
        <w:jc w:val="both"/>
        <w:rPr>
          <w:rFonts w:ascii="Arial" w:hAnsi="Arial" w:cs="Arial"/>
        </w:rPr>
      </w:pPr>
      <w:r w:rsidRPr="004D0F98">
        <w:rPr>
          <w:rFonts w:ascii="Arial" w:hAnsi="Arial" w:cs="Arial"/>
        </w:rPr>
        <w:t>For Celebrity Cruises, AI offers opportunities to improve customer engagement through personalised recommendations, predictive loyalty programmes, and tailored marketing communications. Research suggests that personalisation increases customer satisfaction, purchasing intentions, and long-term loyalty (Huang and Rust, 2021).</w:t>
      </w:r>
    </w:p>
    <w:p w14:paraId="02B5E63B" w14:textId="77777777" w:rsidR="004D0F98" w:rsidRPr="004D0F98" w:rsidRDefault="004D0F98" w:rsidP="004D0F98">
      <w:pPr>
        <w:spacing w:line="360" w:lineRule="auto"/>
        <w:jc w:val="both"/>
        <w:rPr>
          <w:rFonts w:ascii="Arial" w:hAnsi="Arial" w:cs="Arial"/>
        </w:rPr>
      </w:pPr>
      <w:r w:rsidRPr="004D0F98">
        <w:rPr>
          <w:rFonts w:ascii="Arial" w:hAnsi="Arial" w:cs="Arial"/>
        </w:rPr>
        <w:t>However, organisations must balance personalisation with privacy concerns. Excessive data collection or a lack of transparency may reduce consumer trust and undermine marketing effectiveness.</w:t>
      </w:r>
    </w:p>
    <w:p w14:paraId="174E26EC" w14:textId="77777777" w:rsidR="004D0F98" w:rsidRPr="008B6C38" w:rsidRDefault="004D0F98" w:rsidP="004D0F98">
      <w:pPr>
        <w:spacing w:line="360" w:lineRule="auto"/>
        <w:jc w:val="both"/>
        <w:rPr>
          <w:rFonts w:ascii="Arial" w:hAnsi="Arial" w:cs="Arial"/>
          <w:b/>
          <w:bCs/>
          <w:sz w:val="28"/>
          <w:szCs w:val="28"/>
        </w:rPr>
      </w:pPr>
      <w:r w:rsidRPr="008B6C38">
        <w:rPr>
          <w:rFonts w:ascii="Arial" w:hAnsi="Arial" w:cs="Arial"/>
          <w:b/>
          <w:bCs/>
          <w:sz w:val="28"/>
          <w:szCs w:val="28"/>
        </w:rPr>
        <w:t>4.2 ESG-Driven Branding</w:t>
      </w:r>
    </w:p>
    <w:p w14:paraId="2C37FC23" w14:textId="77777777" w:rsidR="004D0F98" w:rsidRPr="004D0F98" w:rsidRDefault="004D0F98" w:rsidP="004D0F98">
      <w:pPr>
        <w:spacing w:line="360" w:lineRule="auto"/>
        <w:jc w:val="both"/>
        <w:rPr>
          <w:rFonts w:ascii="Arial" w:hAnsi="Arial" w:cs="Arial"/>
        </w:rPr>
      </w:pPr>
      <w:r w:rsidRPr="004D0F98">
        <w:rPr>
          <w:rFonts w:ascii="Arial" w:hAnsi="Arial" w:cs="Arial"/>
        </w:rPr>
        <w:t>Environmental, Social and Governance (ESG) considerations are becoming increasingly important within strategic marketing. Consumers, investors, and regulators increasingly expect organisations to demonstrate authentic commitments to sustainability and ethical business practices (Jones, Hillier and Comfort, 2022).</w:t>
      </w:r>
    </w:p>
    <w:p w14:paraId="7AD0915E" w14:textId="77777777" w:rsidR="004D0F98" w:rsidRPr="004D0F98" w:rsidRDefault="004D0F98" w:rsidP="004D0F98">
      <w:pPr>
        <w:spacing w:line="360" w:lineRule="auto"/>
        <w:jc w:val="both"/>
        <w:rPr>
          <w:rFonts w:ascii="Arial" w:hAnsi="Arial" w:cs="Arial"/>
        </w:rPr>
      </w:pPr>
      <w:r w:rsidRPr="004D0F98">
        <w:rPr>
          <w:rFonts w:ascii="Arial" w:hAnsi="Arial" w:cs="Arial"/>
        </w:rPr>
        <w:t>For Celebrity Cruises, ESG branding represents both a challenge and an opportunity. While the cruise industry faces environmental criticism, organisations that demonstrate measurable sustainability progress may strengthen brand equity and stakeholder trust.</w:t>
      </w:r>
    </w:p>
    <w:p w14:paraId="2E65CE5E" w14:textId="77777777" w:rsidR="004D0F98" w:rsidRPr="004D0F98" w:rsidRDefault="004D0F98" w:rsidP="004D0F98">
      <w:pPr>
        <w:spacing w:line="360" w:lineRule="auto"/>
        <w:jc w:val="both"/>
        <w:rPr>
          <w:rFonts w:ascii="Arial" w:hAnsi="Arial" w:cs="Arial"/>
        </w:rPr>
      </w:pPr>
      <w:r w:rsidRPr="004D0F98">
        <w:rPr>
          <w:rFonts w:ascii="Arial" w:hAnsi="Arial" w:cs="Arial"/>
        </w:rPr>
        <w:t>Future marketing strategies are therefore likely to place greater emphasis on sustainability reporting, environmental transparency, and responsible tourism initiatives.</w:t>
      </w:r>
    </w:p>
    <w:p w14:paraId="12AAB282" w14:textId="77777777" w:rsidR="004D0F98" w:rsidRPr="0054790A" w:rsidRDefault="004D0F98" w:rsidP="004D0F98">
      <w:pPr>
        <w:spacing w:line="360" w:lineRule="auto"/>
        <w:jc w:val="both"/>
        <w:rPr>
          <w:rFonts w:ascii="Arial" w:hAnsi="Arial" w:cs="Arial"/>
          <w:b/>
          <w:bCs/>
          <w:sz w:val="28"/>
          <w:szCs w:val="28"/>
        </w:rPr>
      </w:pPr>
      <w:r w:rsidRPr="0054790A">
        <w:rPr>
          <w:rFonts w:ascii="Arial" w:hAnsi="Arial" w:cs="Arial"/>
          <w:b/>
          <w:bCs/>
          <w:sz w:val="28"/>
          <w:szCs w:val="28"/>
        </w:rPr>
        <w:t>4.3 Immersive Digital Experiences</w:t>
      </w:r>
    </w:p>
    <w:p w14:paraId="398EEE35" w14:textId="77777777" w:rsidR="004D0F98" w:rsidRPr="004D0F98" w:rsidRDefault="004D0F98" w:rsidP="004D0F98">
      <w:pPr>
        <w:spacing w:line="360" w:lineRule="auto"/>
        <w:jc w:val="both"/>
        <w:rPr>
          <w:rFonts w:ascii="Arial" w:hAnsi="Arial" w:cs="Arial"/>
        </w:rPr>
      </w:pPr>
      <w:r w:rsidRPr="004D0F98">
        <w:rPr>
          <w:rFonts w:ascii="Arial" w:hAnsi="Arial" w:cs="Arial"/>
        </w:rPr>
        <w:lastRenderedPageBreak/>
        <w:t>Emerging technologies such as virtual reality (VR), augmented reality (AR), and metaverse applications may significantly influence future customer engagement.</w:t>
      </w:r>
    </w:p>
    <w:p w14:paraId="3B553DF2" w14:textId="77777777" w:rsidR="004D0F98" w:rsidRPr="004D0F98" w:rsidRDefault="004D0F98" w:rsidP="004D0F98">
      <w:pPr>
        <w:spacing w:line="360" w:lineRule="auto"/>
        <w:jc w:val="both"/>
        <w:rPr>
          <w:rFonts w:ascii="Arial" w:hAnsi="Arial" w:cs="Arial"/>
        </w:rPr>
      </w:pPr>
      <w:r w:rsidRPr="004D0F98">
        <w:rPr>
          <w:rFonts w:ascii="Arial" w:hAnsi="Arial" w:cs="Arial"/>
        </w:rPr>
        <w:t>Virtual ship tours, destination previews, and interactive travel planning tools could enhance customer experiences before purchase while reducing perceived risk. Such technologies align with experiential marketing principles and may strengthen emotional connections between customers and brands.</w:t>
      </w:r>
    </w:p>
    <w:p w14:paraId="50364CD2" w14:textId="77777777" w:rsidR="004D0F98" w:rsidRPr="004D0F98" w:rsidRDefault="004D0F98" w:rsidP="004D0F98">
      <w:pPr>
        <w:spacing w:line="360" w:lineRule="auto"/>
        <w:jc w:val="both"/>
        <w:rPr>
          <w:rFonts w:ascii="Arial" w:hAnsi="Arial" w:cs="Arial"/>
        </w:rPr>
      </w:pPr>
      <w:r w:rsidRPr="004D0F98">
        <w:rPr>
          <w:rFonts w:ascii="Arial" w:hAnsi="Arial" w:cs="Arial"/>
        </w:rPr>
        <w:t>However, widespread adoption remains uncertain due to technological limitations, implementation costs, and varying levels of consumer acceptance.</w:t>
      </w:r>
    </w:p>
    <w:p w14:paraId="4E2E014F" w14:textId="77777777" w:rsidR="004D0F98" w:rsidRPr="0054790A" w:rsidRDefault="004D0F98" w:rsidP="004D0F98">
      <w:pPr>
        <w:spacing w:line="360" w:lineRule="auto"/>
        <w:jc w:val="both"/>
        <w:rPr>
          <w:rFonts w:ascii="Arial" w:hAnsi="Arial" w:cs="Arial"/>
          <w:b/>
          <w:bCs/>
          <w:sz w:val="28"/>
          <w:szCs w:val="28"/>
        </w:rPr>
      </w:pPr>
      <w:r w:rsidRPr="0054790A">
        <w:rPr>
          <w:rFonts w:ascii="Arial" w:hAnsi="Arial" w:cs="Arial"/>
          <w:b/>
          <w:bCs/>
          <w:sz w:val="28"/>
          <w:szCs w:val="28"/>
        </w:rPr>
        <w:t>4.4 Ethical Marketing and Data Governance</w:t>
      </w:r>
    </w:p>
    <w:p w14:paraId="55F5188D" w14:textId="77777777" w:rsidR="004D0F98" w:rsidRPr="004D0F98" w:rsidRDefault="004D0F98" w:rsidP="004D0F98">
      <w:pPr>
        <w:spacing w:line="360" w:lineRule="auto"/>
        <w:jc w:val="both"/>
        <w:rPr>
          <w:rFonts w:ascii="Arial" w:hAnsi="Arial" w:cs="Arial"/>
        </w:rPr>
      </w:pPr>
      <w:r w:rsidRPr="004D0F98">
        <w:rPr>
          <w:rFonts w:ascii="Arial" w:hAnsi="Arial" w:cs="Arial"/>
        </w:rPr>
        <w:t>The future marketing environment is likely to involve greater scrutiny regarding data privacy, artificial intelligence, and ethical marketing practices.</w:t>
      </w:r>
    </w:p>
    <w:p w14:paraId="36BBC5CB" w14:textId="77777777" w:rsidR="004D0F98" w:rsidRPr="004D0F98" w:rsidRDefault="004D0F98" w:rsidP="004D0F98">
      <w:pPr>
        <w:spacing w:line="360" w:lineRule="auto"/>
        <w:jc w:val="both"/>
        <w:rPr>
          <w:rFonts w:ascii="Arial" w:hAnsi="Arial" w:cs="Arial"/>
        </w:rPr>
      </w:pPr>
      <w:r w:rsidRPr="004D0F98">
        <w:rPr>
          <w:rFonts w:ascii="Arial" w:hAnsi="Arial" w:cs="Arial"/>
        </w:rPr>
        <w:t>Consumers increasingly expect organisations to use personal data responsibly and transparently. Consequently, effective data governance will become an important source of trust and competitive advantage.</w:t>
      </w:r>
    </w:p>
    <w:p w14:paraId="5C9FDE27"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Critical Evaluation</w:t>
      </w:r>
    </w:p>
    <w:p w14:paraId="7C1A5D19" w14:textId="77777777" w:rsidR="004D0F98" w:rsidRPr="004D0F98" w:rsidRDefault="004D0F98" w:rsidP="004D0F98">
      <w:pPr>
        <w:spacing w:line="360" w:lineRule="auto"/>
        <w:jc w:val="both"/>
        <w:rPr>
          <w:rFonts w:ascii="Arial" w:hAnsi="Arial" w:cs="Arial"/>
        </w:rPr>
      </w:pPr>
      <w:r w:rsidRPr="004D0F98">
        <w:rPr>
          <w:rFonts w:ascii="Arial" w:hAnsi="Arial" w:cs="Arial"/>
        </w:rPr>
        <w:t>Collectively, these developments suggest that marketing managers must balance technological innovation with ethical responsibility. Future competitiveness will depend not only on adopting new technologies but also on integrating them into customer-centric and socially responsible marketing strategies.</w:t>
      </w:r>
    </w:p>
    <w:p w14:paraId="1A728D9B" w14:textId="229C7D01" w:rsidR="004D0F98" w:rsidRPr="00077FAD" w:rsidRDefault="004D0F98" w:rsidP="004D0F98">
      <w:pPr>
        <w:spacing w:line="360" w:lineRule="auto"/>
        <w:jc w:val="both"/>
        <w:rPr>
          <w:rFonts w:ascii="Arial" w:hAnsi="Arial" w:cs="Arial"/>
          <w:sz w:val="28"/>
          <w:szCs w:val="28"/>
        </w:rPr>
      </w:pPr>
    </w:p>
    <w:p w14:paraId="37AF4129" w14:textId="77777777" w:rsidR="004D0F98" w:rsidRPr="00077FAD" w:rsidRDefault="004D0F98" w:rsidP="004D0F98">
      <w:pPr>
        <w:spacing w:line="360" w:lineRule="auto"/>
        <w:jc w:val="both"/>
        <w:rPr>
          <w:rFonts w:ascii="Arial" w:hAnsi="Arial" w:cs="Arial"/>
          <w:b/>
          <w:bCs/>
          <w:sz w:val="28"/>
          <w:szCs w:val="28"/>
        </w:rPr>
      </w:pPr>
      <w:r w:rsidRPr="00077FAD">
        <w:rPr>
          <w:rFonts w:ascii="Arial" w:hAnsi="Arial" w:cs="Arial"/>
          <w:b/>
          <w:bCs/>
          <w:sz w:val="28"/>
          <w:szCs w:val="28"/>
        </w:rPr>
        <w:t>5. Recommendations</w:t>
      </w:r>
    </w:p>
    <w:p w14:paraId="5963912B" w14:textId="77777777" w:rsidR="004D0F98" w:rsidRPr="004D0F98" w:rsidRDefault="004D0F98" w:rsidP="004D0F98">
      <w:pPr>
        <w:spacing w:line="360" w:lineRule="auto"/>
        <w:jc w:val="both"/>
        <w:rPr>
          <w:rFonts w:ascii="Arial" w:hAnsi="Arial" w:cs="Arial"/>
        </w:rPr>
      </w:pPr>
      <w:r w:rsidRPr="004D0F98">
        <w:rPr>
          <w:rFonts w:ascii="Arial" w:hAnsi="Arial" w:cs="Arial"/>
        </w:rPr>
        <w:t>Based on the findings of this report, the following recommendations are proposed to enhance the long-term effectiveness and sustainability of Celebrity Cruises' marketing activities.</w:t>
      </w:r>
    </w:p>
    <w:p w14:paraId="5BC4FF34"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Recommendation 1: Expand AI-Driven Personalisation</w:t>
      </w:r>
    </w:p>
    <w:p w14:paraId="2F7F4CE7" w14:textId="77777777" w:rsidR="004D0F98" w:rsidRPr="004D0F98" w:rsidRDefault="004D0F98" w:rsidP="004D0F98">
      <w:pPr>
        <w:spacing w:line="360" w:lineRule="auto"/>
        <w:jc w:val="both"/>
        <w:rPr>
          <w:rFonts w:ascii="Arial" w:hAnsi="Arial" w:cs="Arial"/>
        </w:rPr>
      </w:pPr>
      <w:r w:rsidRPr="004D0F98">
        <w:rPr>
          <w:rFonts w:ascii="Arial" w:hAnsi="Arial" w:cs="Arial"/>
        </w:rPr>
        <w:t>Celebrity Cruises should increase its use of artificial intelligence and predictive analytics to deliver personalised customer experiences throughout the customer journey.</w:t>
      </w:r>
    </w:p>
    <w:p w14:paraId="41B5F9AF" w14:textId="77777777" w:rsidR="004D0F98" w:rsidRPr="004D0F98" w:rsidRDefault="004D0F98" w:rsidP="004D0F98">
      <w:pPr>
        <w:spacing w:line="360" w:lineRule="auto"/>
        <w:jc w:val="both"/>
        <w:rPr>
          <w:rFonts w:ascii="Arial" w:hAnsi="Arial" w:cs="Arial"/>
        </w:rPr>
      </w:pPr>
      <w:r w:rsidRPr="004D0F98">
        <w:rPr>
          <w:rFonts w:ascii="Arial" w:hAnsi="Arial" w:cs="Arial"/>
        </w:rPr>
        <w:lastRenderedPageBreak/>
        <w:t>This recommendation is supported by Customer Relationship Management theory and research demonstrating that personalised communications improve customer engagement and loyalty (Leung, Torres and Fan, 2023).</w:t>
      </w:r>
    </w:p>
    <w:p w14:paraId="7D387827" w14:textId="77777777" w:rsidR="004D0F98" w:rsidRPr="004D0F98" w:rsidRDefault="004D0F98" w:rsidP="004D0F98">
      <w:pPr>
        <w:spacing w:line="360" w:lineRule="auto"/>
        <w:jc w:val="both"/>
        <w:rPr>
          <w:rFonts w:ascii="Arial" w:hAnsi="Arial" w:cs="Arial"/>
        </w:rPr>
      </w:pPr>
      <w:r w:rsidRPr="004D0F98">
        <w:rPr>
          <w:rFonts w:ascii="Arial" w:hAnsi="Arial" w:cs="Arial"/>
          <w:b/>
          <w:bCs/>
        </w:rPr>
        <w:t>Expected Outcome:</w:t>
      </w:r>
      <w:r w:rsidRPr="004D0F98">
        <w:rPr>
          <w:rFonts w:ascii="Arial" w:hAnsi="Arial" w:cs="Arial"/>
        </w:rPr>
        <w:t xml:space="preserve"> Improved customer satisfaction, increased retention rates, and enhanced customer lifetime value.</w:t>
      </w:r>
    </w:p>
    <w:p w14:paraId="7A66583D" w14:textId="68744203" w:rsidR="004D0F98" w:rsidRPr="004D0F98" w:rsidRDefault="004D0F98" w:rsidP="004D0F98">
      <w:pPr>
        <w:spacing w:line="360" w:lineRule="auto"/>
        <w:jc w:val="both"/>
        <w:rPr>
          <w:rFonts w:ascii="Arial" w:hAnsi="Arial" w:cs="Arial"/>
        </w:rPr>
      </w:pPr>
    </w:p>
    <w:p w14:paraId="435427E7"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Recommendation 2: Strengthen Sustainability Transparency</w:t>
      </w:r>
    </w:p>
    <w:p w14:paraId="0E8B999E" w14:textId="77777777" w:rsidR="004D0F98" w:rsidRPr="004D0F98" w:rsidRDefault="004D0F98" w:rsidP="004D0F98">
      <w:pPr>
        <w:spacing w:line="360" w:lineRule="auto"/>
        <w:jc w:val="both"/>
        <w:rPr>
          <w:rFonts w:ascii="Arial" w:hAnsi="Arial" w:cs="Arial"/>
        </w:rPr>
      </w:pPr>
      <w:r w:rsidRPr="004D0F98">
        <w:rPr>
          <w:rFonts w:ascii="Arial" w:hAnsi="Arial" w:cs="Arial"/>
        </w:rPr>
        <w:t>The organisation should publish measurable sustainability performance indicators and integrate them into marketing communications.</w:t>
      </w:r>
    </w:p>
    <w:p w14:paraId="1C910DEE" w14:textId="77777777" w:rsidR="004D0F98" w:rsidRPr="004D0F98" w:rsidRDefault="004D0F98" w:rsidP="004D0F98">
      <w:pPr>
        <w:spacing w:line="360" w:lineRule="auto"/>
        <w:jc w:val="both"/>
        <w:rPr>
          <w:rFonts w:ascii="Arial" w:hAnsi="Arial" w:cs="Arial"/>
        </w:rPr>
      </w:pPr>
      <w:r w:rsidRPr="004D0F98">
        <w:rPr>
          <w:rFonts w:ascii="Arial" w:hAnsi="Arial" w:cs="Arial"/>
        </w:rPr>
        <w:t>This recommendation aligns with Stakeholder Theory, which emphasises transparency and accountability in organisational decision-making (Freeman, 2010).</w:t>
      </w:r>
    </w:p>
    <w:p w14:paraId="03D01A8A" w14:textId="77777777" w:rsidR="004D0F98" w:rsidRPr="004D0F98" w:rsidRDefault="004D0F98" w:rsidP="004D0F98">
      <w:pPr>
        <w:spacing w:line="360" w:lineRule="auto"/>
        <w:jc w:val="both"/>
        <w:rPr>
          <w:rFonts w:ascii="Arial" w:hAnsi="Arial" w:cs="Arial"/>
        </w:rPr>
      </w:pPr>
      <w:r w:rsidRPr="004D0F98">
        <w:rPr>
          <w:rFonts w:ascii="Arial" w:hAnsi="Arial" w:cs="Arial"/>
          <w:b/>
          <w:bCs/>
        </w:rPr>
        <w:t>Expected Outcome:</w:t>
      </w:r>
      <w:r w:rsidRPr="004D0F98">
        <w:rPr>
          <w:rFonts w:ascii="Arial" w:hAnsi="Arial" w:cs="Arial"/>
        </w:rPr>
        <w:t xml:space="preserve"> Increased consumer trust, stronger ESG credentials, and reduced reputational risk.</w:t>
      </w:r>
    </w:p>
    <w:p w14:paraId="6196C0A6" w14:textId="4F156533" w:rsidR="004D0F98" w:rsidRPr="004D0F98" w:rsidRDefault="004D0F98" w:rsidP="004D0F98">
      <w:pPr>
        <w:spacing w:line="360" w:lineRule="auto"/>
        <w:jc w:val="both"/>
        <w:rPr>
          <w:rFonts w:ascii="Arial" w:hAnsi="Arial" w:cs="Arial"/>
        </w:rPr>
      </w:pPr>
    </w:p>
    <w:p w14:paraId="6F699A10"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Recommendation 3: Develop Immersive Digital Experiences</w:t>
      </w:r>
    </w:p>
    <w:p w14:paraId="41483805" w14:textId="77777777" w:rsidR="004D0F98" w:rsidRPr="004D0F98" w:rsidRDefault="004D0F98" w:rsidP="004D0F98">
      <w:pPr>
        <w:spacing w:line="360" w:lineRule="auto"/>
        <w:jc w:val="both"/>
        <w:rPr>
          <w:rFonts w:ascii="Arial" w:hAnsi="Arial" w:cs="Arial"/>
        </w:rPr>
      </w:pPr>
      <w:r w:rsidRPr="004D0F98">
        <w:rPr>
          <w:rFonts w:ascii="Arial" w:hAnsi="Arial" w:cs="Arial"/>
        </w:rPr>
        <w:t>Celebrity Cruises should invest in virtual reality and augmented reality technologies to enhance customer engagement and support purchase decisions.</w:t>
      </w:r>
    </w:p>
    <w:p w14:paraId="0A99FA5A" w14:textId="77777777" w:rsidR="004D0F98" w:rsidRPr="004D0F98" w:rsidRDefault="004D0F98" w:rsidP="004D0F98">
      <w:pPr>
        <w:spacing w:line="360" w:lineRule="auto"/>
        <w:jc w:val="both"/>
        <w:rPr>
          <w:rFonts w:ascii="Arial" w:hAnsi="Arial" w:cs="Arial"/>
        </w:rPr>
      </w:pPr>
      <w:r w:rsidRPr="004D0F98">
        <w:rPr>
          <w:rFonts w:ascii="Arial" w:hAnsi="Arial" w:cs="Arial"/>
        </w:rPr>
        <w:t>Experiential Marketing Theory suggests that immersive experiences strengthen emotional connections and influence consumer behaviour (Pine and Gilmore, 2019).</w:t>
      </w:r>
    </w:p>
    <w:p w14:paraId="5025FCB3" w14:textId="77777777" w:rsidR="004D0F98" w:rsidRPr="004D0F98" w:rsidRDefault="004D0F98" w:rsidP="004D0F98">
      <w:pPr>
        <w:spacing w:line="360" w:lineRule="auto"/>
        <w:jc w:val="both"/>
        <w:rPr>
          <w:rFonts w:ascii="Arial" w:hAnsi="Arial" w:cs="Arial"/>
        </w:rPr>
      </w:pPr>
      <w:r w:rsidRPr="004D0F98">
        <w:rPr>
          <w:rFonts w:ascii="Arial" w:hAnsi="Arial" w:cs="Arial"/>
          <w:b/>
          <w:bCs/>
        </w:rPr>
        <w:t>Expected Outcome:</w:t>
      </w:r>
      <w:r w:rsidRPr="004D0F98">
        <w:rPr>
          <w:rFonts w:ascii="Arial" w:hAnsi="Arial" w:cs="Arial"/>
        </w:rPr>
        <w:t xml:space="preserve"> Higher engagement levels, improved conversion rates, and stronger brand differentiation.</w:t>
      </w:r>
    </w:p>
    <w:p w14:paraId="5C5C4D18" w14:textId="02D835E4" w:rsidR="004D0F98" w:rsidRPr="004D0F98" w:rsidRDefault="004D0F98" w:rsidP="004D0F98">
      <w:pPr>
        <w:spacing w:line="360" w:lineRule="auto"/>
        <w:jc w:val="both"/>
        <w:rPr>
          <w:rFonts w:ascii="Arial" w:hAnsi="Arial" w:cs="Arial"/>
        </w:rPr>
      </w:pPr>
    </w:p>
    <w:p w14:paraId="5C068B67"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Recommendation 4: Enhance Omnichannel Integration</w:t>
      </w:r>
    </w:p>
    <w:p w14:paraId="021EC7A9" w14:textId="77777777" w:rsidR="004D0F98" w:rsidRPr="004D0F98" w:rsidRDefault="004D0F98" w:rsidP="004D0F98">
      <w:pPr>
        <w:spacing w:line="360" w:lineRule="auto"/>
        <w:jc w:val="both"/>
        <w:rPr>
          <w:rFonts w:ascii="Arial" w:hAnsi="Arial" w:cs="Arial"/>
        </w:rPr>
      </w:pPr>
      <w:r w:rsidRPr="004D0F98">
        <w:rPr>
          <w:rFonts w:ascii="Arial" w:hAnsi="Arial" w:cs="Arial"/>
        </w:rPr>
        <w:t>The organisation should further integrate customer touchpoints across websites, mobile applications, travel agencies, social media platforms, and onboard experiences.</w:t>
      </w:r>
    </w:p>
    <w:p w14:paraId="71DE5EAE" w14:textId="77777777" w:rsidR="004D0F98" w:rsidRPr="004D0F98" w:rsidRDefault="004D0F98" w:rsidP="004D0F98">
      <w:pPr>
        <w:spacing w:line="360" w:lineRule="auto"/>
        <w:jc w:val="both"/>
        <w:rPr>
          <w:rFonts w:ascii="Arial" w:hAnsi="Arial" w:cs="Arial"/>
        </w:rPr>
      </w:pPr>
      <w:r w:rsidRPr="004D0F98">
        <w:rPr>
          <w:rFonts w:ascii="Arial" w:hAnsi="Arial" w:cs="Arial"/>
        </w:rPr>
        <w:t>According to Chaffey and Ellis-Chadwick (2024), seamless omnichannel experiences improve customer satisfaction and relationship quality.</w:t>
      </w:r>
    </w:p>
    <w:p w14:paraId="7AE33391" w14:textId="77777777" w:rsidR="004D0F98" w:rsidRPr="004D0F98" w:rsidRDefault="004D0F98" w:rsidP="004D0F98">
      <w:pPr>
        <w:spacing w:line="360" w:lineRule="auto"/>
        <w:jc w:val="both"/>
        <w:rPr>
          <w:rFonts w:ascii="Arial" w:hAnsi="Arial" w:cs="Arial"/>
        </w:rPr>
      </w:pPr>
      <w:r w:rsidRPr="004D0F98">
        <w:rPr>
          <w:rFonts w:ascii="Arial" w:hAnsi="Arial" w:cs="Arial"/>
          <w:b/>
          <w:bCs/>
        </w:rPr>
        <w:lastRenderedPageBreak/>
        <w:t>Expected Outcome:</w:t>
      </w:r>
      <w:r w:rsidRPr="004D0F98">
        <w:rPr>
          <w:rFonts w:ascii="Arial" w:hAnsi="Arial" w:cs="Arial"/>
        </w:rPr>
        <w:t xml:space="preserve"> Improved customer journey consistency and stronger customer relationships.</w:t>
      </w:r>
    </w:p>
    <w:p w14:paraId="793E4A44" w14:textId="3B980F92" w:rsidR="004D0F98" w:rsidRPr="004D0F98" w:rsidRDefault="004D0F98" w:rsidP="004D0F98">
      <w:pPr>
        <w:spacing w:line="360" w:lineRule="auto"/>
        <w:jc w:val="both"/>
        <w:rPr>
          <w:rFonts w:ascii="Arial" w:hAnsi="Arial" w:cs="Arial"/>
        </w:rPr>
      </w:pPr>
    </w:p>
    <w:p w14:paraId="65B41800"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Recommendation 5: Attract Younger Premium Travellers</w:t>
      </w:r>
    </w:p>
    <w:p w14:paraId="4909973C" w14:textId="77777777" w:rsidR="004D0F98" w:rsidRPr="004D0F98" w:rsidRDefault="004D0F98" w:rsidP="004D0F98">
      <w:pPr>
        <w:spacing w:line="360" w:lineRule="auto"/>
        <w:jc w:val="both"/>
        <w:rPr>
          <w:rFonts w:ascii="Arial" w:hAnsi="Arial" w:cs="Arial"/>
        </w:rPr>
      </w:pPr>
      <w:r w:rsidRPr="004D0F98">
        <w:rPr>
          <w:rFonts w:ascii="Arial" w:hAnsi="Arial" w:cs="Arial"/>
        </w:rPr>
        <w:t>Celebrity Cruises should develop targeted campaigns aimed at younger affluent consumers through influencer marketing, short-form video content, and social commerce.</w:t>
      </w:r>
    </w:p>
    <w:p w14:paraId="0FFBAD78" w14:textId="77777777" w:rsidR="004D0F98" w:rsidRPr="004D0F98" w:rsidRDefault="004D0F98" w:rsidP="004D0F98">
      <w:pPr>
        <w:spacing w:line="360" w:lineRule="auto"/>
        <w:jc w:val="both"/>
        <w:rPr>
          <w:rFonts w:ascii="Arial" w:hAnsi="Arial" w:cs="Arial"/>
        </w:rPr>
      </w:pPr>
      <w:r w:rsidRPr="004D0F98">
        <w:rPr>
          <w:rFonts w:ascii="Arial" w:hAnsi="Arial" w:cs="Arial"/>
        </w:rPr>
        <w:t>This recommendation addresses increasing competition from Virgin Voyages and changing demographic trends.</w:t>
      </w:r>
    </w:p>
    <w:p w14:paraId="453A91CF" w14:textId="77777777" w:rsidR="004D0F98" w:rsidRPr="004D0F98" w:rsidRDefault="004D0F98" w:rsidP="004D0F98">
      <w:pPr>
        <w:spacing w:line="360" w:lineRule="auto"/>
        <w:jc w:val="both"/>
        <w:rPr>
          <w:rFonts w:ascii="Arial" w:hAnsi="Arial" w:cs="Arial"/>
        </w:rPr>
      </w:pPr>
      <w:r w:rsidRPr="004D0F98">
        <w:rPr>
          <w:rFonts w:ascii="Arial" w:hAnsi="Arial" w:cs="Arial"/>
          <w:b/>
          <w:bCs/>
        </w:rPr>
        <w:t>Expected Outcome:</w:t>
      </w:r>
      <w:r w:rsidRPr="004D0F98">
        <w:rPr>
          <w:rFonts w:ascii="Arial" w:hAnsi="Arial" w:cs="Arial"/>
        </w:rPr>
        <w:t xml:space="preserve"> Expanded market reach and improved long-term customer acquisition.</w:t>
      </w:r>
    </w:p>
    <w:p w14:paraId="72F89B65" w14:textId="539A202B" w:rsidR="004D0F98" w:rsidRPr="004D0F98" w:rsidRDefault="004D0F98" w:rsidP="004D0F98">
      <w:pPr>
        <w:spacing w:line="360" w:lineRule="auto"/>
        <w:jc w:val="both"/>
        <w:rPr>
          <w:rFonts w:ascii="Arial" w:hAnsi="Arial" w:cs="Arial"/>
        </w:rPr>
      </w:pPr>
    </w:p>
    <w:p w14:paraId="466E72CB" w14:textId="77777777" w:rsidR="004D0F98" w:rsidRPr="00077FAD" w:rsidRDefault="004D0F98" w:rsidP="004D0F98">
      <w:pPr>
        <w:spacing w:line="360" w:lineRule="auto"/>
        <w:jc w:val="both"/>
        <w:rPr>
          <w:rFonts w:ascii="Arial" w:hAnsi="Arial" w:cs="Arial"/>
          <w:b/>
          <w:bCs/>
          <w:sz w:val="28"/>
          <w:szCs w:val="28"/>
        </w:rPr>
      </w:pPr>
      <w:r w:rsidRPr="00077FAD">
        <w:rPr>
          <w:rFonts w:ascii="Arial" w:hAnsi="Arial" w:cs="Arial"/>
          <w:b/>
          <w:bCs/>
          <w:sz w:val="28"/>
          <w:szCs w:val="28"/>
        </w:rPr>
        <w:t>6. Conclusion</w:t>
      </w:r>
    </w:p>
    <w:p w14:paraId="1636AE64" w14:textId="77777777" w:rsidR="004D0F98" w:rsidRPr="004D0F98" w:rsidRDefault="004D0F98" w:rsidP="004D0F98">
      <w:pPr>
        <w:spacing w:line="360" w:lineRule="auto"/>
        <w:jc w:val="both"/>
        <w:rPr>
          <w:rFonts w:ascii="Arial" w:hAnsi="Arial" w:cs="Arial"/>
        </w:rPr>
      </w:pPr>
      <w:r w:rsidRPr="004D0F98">
        <w:rPr>
          <w:rFonts w:ascii="Arial" w:hAnsi="Arial" w:cs="Arial"/>
        </w:rPr>
        <w:t>This report critically evaluated the marketing function of Celebrity Cruises within the context of digital transformation, sustainability pressures, and changing consumer behaviour. The analysis demonstrated that the organisation possesses significant strengths relating to premium brand positioning, customer experience management, and digital engagement capabilities.</w:t>
      </w:r>
    </w:p>
    <w:p w14:paraId="4ACCE13C" w14:textId="77777777" w:rsidR="004D0F98" w:rsidRPr="004D0F98" w:rsidRDefault="004D0F98" w:rsidP="004D0F98">
      <w:pPr>
        <w:spacing w:line="360" w:lineRule="auto"/>
        <w:jc w:val="both"/>
        <w:rPr>
          <w:rFonts w:ascii="Arial" w:hAnsi="Arial" w:cs="Arial"/>
        </w:rPr>
      </w:pPr>
      <w:r w:rsidRPr="004D0F98">
        <w:rPr>
          <w:rFonts w:ascii="Arial" w:hAnsi="Arial" w:cs="Arial"/>
        </w:rPr>
        <w:t>The application of PESTEL, SWOT, STP, and the extended marketing mix highlighted the effectiveness of current marketing activities in supporting customer value creation and brand equity development. However, environmental concerns, increasing competition, technological disruption, and evolving customer expectations continue to present significant challenges.</w:t>
      </w:r>
    </w:p>
    <w:p w14:paraId="30E98966" w14:textId="77777777" w:rsidR="004D0F98" w:rsidRPr="004D0F98" w:rsidRDefault="004D0F98" w:rsidP="004D0F98">
      <w:pPr>
        <w:spacing w:line="360" w:lineRule="auto"/>
        <w:jc w:val="both"/>
        <w:rPr>
          <w:rFonts w:ascii="Arial" w:hAnsi="Arial" w:cs="Arial"/>
        </w:rPr>
      </w:pPr>
      <w:r w:rsidRPr="004D0F98">
        <w:rPr>
          <w:rFonts w:ascii="Arial" w:hAnsi="Arial" w:cs="Arial"/>
        </w:rPr>
        <w:t>The report further identified technological innovation, social media influence, sustainability expectations, and regulatory developments as key drivers of marketing change. These forces are reshaping how organisations engage customers and create competitive advantage.</w:t>
      </w:r>
    </w:p>
    <w:p w14:paraId="0A48D64A" w14:textId="77777777" w:rsidR="004D0F98" w:rsidRPr="004D0F98" w:rsidRDefault="004D0F98" w:rsidP="004D0F98">
      <w:pPr>
        <w:spacing w:line="360" w:lineRule="auto"/>
        <w:jc w:val="both"/>
        <w:rPr>
          <w:rFonts w:ascii="Arial" w:hAnsi="Arial" w:cs="Arial"/>
        </w:rPr>
      </w:pPr>
      <w:r w:rsidRPr="004D0F98">
        <w:rPr>
          <w:rFonts w:ascii="Arial" w:hAnsi="Arial" w:cs="Arial"/>
        </w:rPr>
        <w:t xml:space="preserve">Future developments such as AI-driven personalisation, ESG-focused branding, immersive technologies, and ethical data governance are expected to significantly </w:t>
      </w:r>
      <w:r w:rsidRPr="004D0F98">
        <w:rPr>
          <w:rFonts w:ascii="Arial" w:hAnsi="Arial" w:cs="Arial"/>
        </w:rPr>
        <w:lastRenderedPageBreak/>
        <w:t>influence marketing strategy. Consequently, Celebrity Cruises must continue adapting its marketing capabilities to remain competitive within an increasingly dynamic marketplace.</w:t>
      </w:r>
    </w:p>
    <w:p w14:paraId="27518C42" w14:textId="77777777" w:rsidR="004D0F98" w:rsidRPr="004D0F98" w:rsidRDefault="004D0F98" w:rsidP="004D0F98">
      <w:pPr>
        <w:spacing w:line="360" w:lineRule="auto"/>
        <w:jc w:val="both"/>
        <w:rPr>
          <w:rFonts w:ascii="Arial" w:hAnsi="Arial" w:cs="Arial"/>
        </w:rPr>
      </w:pPr>
      <w:r w:rsidRPr="004D0F98">
        <w:rPr>
          <w:rFonts w:ascii="Arial" w:hAnsi="Arial" w:cs="Arial"/>
        </w:rPr>
        <w:t>Ultimately, long-term success will depend upon the organisation's ability to balance innovation, sustainability, customer-centricity, and ethical responsibility. By implementing the recommendations proposed within this report, Celebrity Cruises can strengthen customer relationships, enhance brand equity, and maintain sustainable competitive advantage within the global cruise industry.</w:t>
      </w:r>
    </w:p>
    <w:p w14:paraId="7E7E7C5E" w14:textId="5AD0F114" w:rsidR="004D0F98" w:rsidRDefault="004D0F98" w:rsidP="004D0F98">
      <w:pPr>
        <w:spacing w:line="360" w:lineRule="auto"/>
        <w:jc w:val="both"/>
        <w:rPr>
          <w:rFonts w:ascii="Arial" w:hAnsi="Arial" w:cs="Arial"/>
        </w:rPr>
      </w:pPr>
    </w:p>
    <w:p w14:paraId="2B5E9053" w14:textId="77777777" w:rsidR="001A5E44" w:rsidRDefault="001A5E44" w:rsidP="004D0F98">
      <w:pPr>
        <w:spacing w:line="360" w:lineRule="auto"/>
        <w:jc w:val="both"/>
        <w:rPr>
          <w:rFonts w:ascii="Arial" w:hAnsi="Arial" w:cs="Arial"/>
        </w:rPr>
      </w:pPr>
    </w:p>
    <w:p w14:paraId="7E801CB4" w14:textId="77777777" w:rsidR="001A5E44" w:rsidRDefault="001A5E44" w:rsidP="004D0F98">
      <w:pPr>
        <w:spacing w:line="360" w:lineRule="auto"/>
        <w:jc w:val="both"/>
        <w:rPr>
          <w:rFonts w:ascii="Arial" w:hAnsi="Arial" w:cs="Arial"/>
        </w:rPr>
      </w:pPr>
    </w:p>
    <w:p w14:paraId="34EC326E" w14:textId="77777777" w:rsidR="001A5E44" w:rsidRDefault="001A5E44" w:rsidP="004D0F98">
      <w:pPr>
        <w:spacing w:line="360" w:lineRule="auto"/>
        <w:jc w:val="both"/>
        <w:rPr>
          <w:rFonts w:ascii="Arial" w:hAnsi="Arial" w:cs="Arial"/>
        </w:rPr>
      </w:pPr>
    </w:p>
    <w:p w14:paraId="099E265E" w14:textId="77777777" w:rsidR="001A5E44" w:rsidRDefault="001A5E44" w:rsidP="004D0F98">
      <w:pPr>
        <w:spacing w:line="360" w:lineRule="auto"/>
        <w:jc w:val="both"/>
        <w:rPr>
          <w:rFonts w:ascii="Arial" w:hAnsi="Arial" w:cs="Arial"/>
        </w:rPr>
      </w:pPr>
    </w:p>
    <w:p w14:paraId="1690CB11" w14:textId="77777777" w:rsidR="001A5E44" w:rsidRDefault="001A5E44" w:rsidP="004D0F98">
      <w:pPr>
        <w:spacing w:line="360" w:lineRule="auto"/>
        <w:jc w:val="both"/>
        <w:rPr>
          <w:rFonts w:ascii="Arial" w:hAnsi="Arial" w:cs="Arial"/>
        </w:rPr>
      </w:pPr>
    </w:p>
    <w:p w14:paraId="48A8DB09" w14:textId="77777777" w:rsidR="001A5E44" w:rsidRDefault="001A5E44" w:rsidP="004D0F98">
      <w:pPr>
        <w:spacing w:line="360" w:lineRule="auto"/>
        <w:jc w:val="both"/>
        <w:rPr>
          <w:rFonts w:ascii="Arial" w:hAnsi="Arial" w:cs="Arial"/>
        </w:rPr>
      </w:pPr>
    </w:p>
    <w:p w14:paraId="241D3438" w14:textId="77777777" w:rsidR="001A5E44" w:rsidRDefault="001A5E44" w:rsidP="004D0F98">
      <w:pPr>
        <w:spacing w:line="360" w:lineRule="auto"/>
        <w:jc w:val="both"/>
        <w:rPr>
          <w:rFonts w:ascii="Arial" w:hAnsi="Arial" w:cs="Arial"/>
        </w:rPr>
      </w:pPr>
    </w:p>
    <w:p w14:paraId="4CDBB311" w14:textId="77777777" w:rsidR="001A5E44" w:rsidRDefault="001A5E44" w:rsidP="004D0F98">
      <w:pPr>
        <w:spacing w:line="360" w:lineRule="auto"/>
        <w:jc w:val="both"/>
        <w:rPr>
          <w:rFonts w:ascii="Arial" w:hAnsi="Arial" w:cs="Arial"/>
        </w:rPr>
      </w:pPr>
    </w:p>
    <w:p w14:paraId="5464021D" w14:textId="77777777" w:rsidR="001A5E44" w:rsidRDefault="001A5E44" w:rsidP="004D0F98">
      <w:pPr>
        <w:spacing w:line="360" w:lineRule="auto"/>
        <w:jc w:val="both"/>
        <w:rPr>
          <w:rFonts w:ascii="Arial" w:hAnsi="Arial" w:cs="Arial"/>
        </w:rPr>
      </w:pPr>
    </w:p>
    <w:p w14:paraId="1241E202" w14:textId="77777777" w:rsidR="001A5E44" w:rsidRDefault="001A5E44" w:rsidP="004D0F98">
      <w:pPr>
        <w:spacing w:line="360" w:lineRule="auto"/>
        <w:jc w:val="both"/>
        <w:rPr>
          <w:rFonts w:ascii="Arial" w:hAnsi="Arial" w:cs="Arial"/>
        </w:rPr>
      </w:pPr>
    </w:p>
    <w:p w14:paraId="77338E19" w14:textId="77777777" w:rsidR="001A5E44" w:rsidRDefault="001A5E44" w:rsidP="004D0F98">
      <w:pPr>
        <w:spacing w:line="360" w:lineRule="auto"/>
        <w:jc w:val="both"/>
        <w:rPr>
          <w:rFonts w:ascii="Arial" w:hAnsi="Arial" w:cs="Arial"/>
        </w:rPr>
      </w:pPr>
    </w:p>
    <w:p w14:paraId="05FD0184" w14:textId="77777777" w:rsidR="001A5E44" w:rsidRDefault="001A5E44" w:rsidP="004D0F98">
      <w:pPr>
        <w:spacing w:line="360" w:lineRule="auto"/>
        <w:jc w:val="both"/>
        <w:rPr>
          <w:rFonts w:ascii="Arial" w:hAnsi="Arial" w:cs="Arial"/>
        </w:rPr>
      </w:pPr>
    </w:p>
    <w:p w14:paraId="023600AA" w14:textId="77777777" w:rsidR="001A5E44" w:rsidRDefault="001A5E44" w:rsidP="004D0F98">
      <w:pPr>
        <w:spacing w:line="360" w:lineRule="auto"/>
        <w:jc w:val="both"/>
        <w:rPr>
          <w:rFonts w:ascii="Arial" w:hAnsi="Arial" w:cs="Arial"/>
        </w:rPr>
      </w:pPr>
    </w:p>
    <w:p w14:paraId="3F8EEB60" w14:textId="77777777" w:rsidR="001A5E44" w:rsidRDefault="001A5E44" w:rsidP="004D0F98">
      <w:pPr>
        <w:spacing w:line="360" w:lineRule="auto"/>
        <w:jc w:val="both"/>
        <w:rPr>
          <w:rFonts w:ascii="Arial" w:hAnsi="Arial" w:cs="Arial"/>
        </w:rPr>
      </w:pPr>
    </w:p>
    <w:p w14:paraId="3B51F3B1" w14:textId="77777777" w:rsidR="001A5E44" w:rsidRDefault="001A5E44" w:rsidP="004D0F98">
      <w:pPr>
        <w:spacing w:line="360" w:lineRule="auto"/>
        <w:jc w:val="both"/>
        <w:rPr>
          <w:rFonts w:ascii="Arial" w:hAnsi="Arial" w:cs="Arial"/>
        </w:rPr>
      </w:pPr>
    </w:p>
    <w:p w14:paraId="315EE1C0" w14:textId="77777777" w:rsidR="001A5E44" w:rsidRDefault="001A5E44" w:rsidP="004D0F98">
      <w:pPr>
        <w:spacing w:line="360" w:lineRule="auto"/>
        <w:jc w:val="both"/>
        <w:rPr>
          <w:rFonts w:ascii="Arial" w:hAnsi="Arial" w:cs="Arial"/>
        </w:rPr>
      </w:pPr>
    </w:p>
    <w:p w14:paraId="24E9D0F8" w14:textId="77777777" w:rsidR="001A5E44" w:rsidRDefault="001A5E44" w:rsidP="004D0F98">
      <w:pPr>
        <w:spacing w:line="360" w:lineRule="auto"/>
        <w:jc w:val="both"/>
        <w:rPr>
          <w:rFonts w:ascii="Arial" w:hAnsi="Arial" w:cs="Arial"/>
        </w:rPr>
      </w:pPr>
    </w:p>
    <w:p w14:paraId="6B699F28" w14:textId="77777777" w:rsidR="00CF29C4" w:rsidRDefault="00CF29C4" w:rsidP="002849E6">
      <w:pPr>
        <w:spacing w:line="360" w:lineRule="auto"/>
        <w:jc w:val="both"/>
        <w:rPr>
          <w:rFonts w:ascii="Arial" w:hAnsi="Arial" w:cs="Arial"/>
        </w:rPr>
      </w:pPr>
    </w:p>
    <w:p w14:paraId="50345368" w14:textId="599CB21B" w:rsidR="002849E6" w:rsidRPr="00CF29C4" w:rsidRDefault="002849E6" w:rsidP="002849E6">
      <w:pPr>
        <w:spacing w:line="360" w:lineRule="auto"/>
        <w:jc w:val="both"/>
        <w:rPr>
          <w:rFonts w:ascii="Arial" w:hAnsi="Arial" w:cs="Arial"/>
          <w:b/>
          <w:bCs/>
          <w:sz w:val="28"/>
          <w:szCs w:val="28"/>
        </w:rPr>
      </w:pPr>
      <w:r w:rsidRPr="002849E6">
        <w:rPr>
          <w:rFonts w:ascii="Arial" w:hAnsi="Arial" w:cs="Arial"/>
          <w:b/>
          <w:bCs/>
          <w:sz w:val="28"/>
          <w:szCs w:val="28"/>
        </w:rPr>
        <w:t>Reference</w:t>
      </w:r>
      <w:r w:rsidR="001A5E44" w:rsidRPr="00CF29C4">
        <w:rPr>
          <w:rFonts w:ascii="Arial" w:hAnsi="Arial" w:cs="Arial"/>
          <w:b/>
          <w:bCs/>
          <w:sz w:val="28"/>
          <w:szCs w:val="28"/>
        </w:rPr>
        <w:t>s:</w:t>
      </w:r>
    </w:p>
    <w:p w14:paraId="308D83A7" w14:textId="77777777" w:rsidR="00CF29C4" w:rsidRPr="002849E6" w:rsidRDefault="00CF29C4" w:rsidP="002849E6">
      <w:pPr>
        <w:spacing w:line="360" w:lineRule="auto"/>
        <w:jc w:val="both"/>
        <w:rPr>
          <w:rFonts w:ascii="Arial" w:hAnsi="Arial" w:cs="Arial"/>
          <w:b/>
          <w:bCs/>
        </w:rPr>
      </w:pPr>
    </w:p>
    <w:p w14:paraId="02708C6F" w14:textId="77777777" w:rsidR="002849E6" w:rsidRPr="002849E6" w:rsidRDefault="002849E6" w:rsidP="002849E6">
      <w:pPr>
        <w:spacing w:line="360" w:lineRule="auto"/>
        <w:jc w:val="both"/>
        <w:rPr>
          <w:rFonts w:ascii="Arial" w:hAnsi="Arial" w:cs="Arial"/>
        </w:rPr>
      </w:pPr>
      <w:r w:rsidRPr="002849E6">
        <w:rPr>
          <w:rFonts w:ascii="Arial" w:hAnsi="Arial" w:cs="Arial"/>
        </w:rPr>
        <w:t xml:space="preserve">Armstrong, G., Kotler, P., Harker, M. and Brennan, R. (2023) </w:t>
      </w:r>
      <w:r w:rsidRPr="002849E6">
        <w:rPr>
          <w:rFonts w:ascii="Arial" w:hAnsi="Arial" w:cs="Arial"/>
          <w:i/>
          <w:iCs/>
        </w:rPr>
        <w:t>Marketing: An Introduction</w:t>
      </w:r>
      <w:r w:rsidRPr="002849E6">
        <w:rPr>
          <w:rFonts w:ascii="Arial" w:hAnsi="Arial" w:cs="Arial"/>
        </w:rPr>
        <w:t xml:space="preserve">. 15th </w:t>
      </w:r>
      <w:proofErr w:type="spellStart"/>
      <w:r w:rsidRPr="002849E6">
        <w:rPr>
          <w:rFonts w:ascii="Arial" w:hAnsi="Arial" w:cs="Arial"/>
        </w:rPr>
        <w:t>edn</w:t>
      </w:r>
      <w:proofErr w:type="spellEnd"/>
      <w:r w:rsidRPr="002849E6">
        <w:rPr>
          <w:rFonts w:ascii="Arial" w:hAnsi="Arial" w:cs="Arial"/>
        </w:rPr>
        <w:t>. Harlow: Pearson.</w:t>
      </w:r>
    </w:p>
    <w:p w14:paraId="32C83506" w14:textId="77777777" w:rsidR="002849E6" w:rsidRPr="002849E6" w:rsidRDefault="002849E6" w:rsidP="002849E6">
      <w:pPr>
        <w:spacing w:line="360" w:lineRule="auto"/>
        <w:jc w:val="both"/>
        <w:rPr>
          <w:rFonts w:ascii="Arial" w:hAnsi="Arial" w:cs="Arial"/>
        </w:rPr>
      </w:pPr>
      <w:r w:rsidRPr="002849E6">
        <w:rPr>
          <w:rFonts w:ascii="Arial" w:hAnsi="Arial" w:cs="Arial"/>
        </w:rPr>
        <w:t xml:space="preserve">Barney, J.B. (1991) ‘Firm resources and sustained competitive advantage’, </w:t>
      </w:r>
      <w:r w:rsidRPr="002849E6">
        <w:rPr>
          <w:rFonts w:ascii="Arial" w:hAnsi="Arial" w:cs="Arial"/>
          <w:i/>
          <w:iCs/>
        </w:rPr>
        <w:t>Journal of Management</w:t>
      </w:r>
      <w:r w:rsidRPr="002849E6">
        <w:rPr>
          <w:rFonts w:ascii="Arial" w:hAnsi="Arial" w:cs="Arial"/>
        </w:rPr>
        <w:t xml:space="preserve">, 17(1), pp. 99–120. Available at: </w:t>
      </w:r>
      <w:hyperlink r:id="rId9" w:history="1">
        <w:r w:rsidRPr="002849E6">
          <w:rPr>
            <w:rStyle w:val="Hyperlink"/>
            <w:rFonts w:ascii="Arial" w:hAnsi="Arial" w:cs="Arial"/>
          </w:rPr>
          <w:t>https://doi.org/10.1177/014920639101700108</w:t>
        </w:r>
      </w:hyperlink>
    </w:p>
    <w:p w14:paraId="45A6F196" w14:textId="77777777" w:rsidR="002849E6" w:rsidRPr="002849E6" w:rsidRDefault="002849E6" w:rsidP="002849E6">
      <w:pPr>
        <w:spacing w:line="360" w:lineRule="auto"/>
        <w:jc w:val="both"/>
        <w:rPr>
          <w:rFonts w:ascii="Arial" w:hAnsi="Arial" w:cs="Arial"/>
        </w:rPr>
      </w:pPr>
      <w:r w:rsidRPr="002849E6">
        <w:rPr>
          <w:rFonts w:ascii="Arial" w:hAnsi="Arial" w:cs="Arial"/>
        </w:rPr>
        <w:t xml:space="preserve">Booms, B.H. and Bitner, M.J. (1981) ‘Marketing strategies and organisation structures for service firms’, in Donnelly, J.H. and George, W.R. (eds.) </w:t>
      </w:r>
      <w:r w:rsidRPr="002849E6">
        <w:rPr>
          <w:rFonts w:ascii="Arial" w:hAnsi="Arial" w:cs="Arial"/>
          <w:i/>
          <w:iCs/>
        </w:rPr>
        <w:t>Marketing of Services</w:t>
      </w:r>
      <w:r w:rsidRPr="002849E6">
        <w:rPr>
          <w:rFonts w:ascii="Arial" w:hAnsi="Arial" w:cs="Arial"/>
        </w:rPr>
        <w:t>. Chicago: American Marketing Association, pp. 47–51.</w:t>
      </w:r>
    </w:p>
    <w:p w14:paraId="308EE022" w14:textId="77777777" w:rsidR="002849E6" w:rsidRPr="002849E6" w:rsidRDefault="002849E6" w:rsidP="002849E6">
      <w:pPr>
        <w:spacing w:line="360" w:lineRule="auto"/>
        <w:jc w:val="both"/>
        <w:rPr>
          <w:rFonts w:ascii="Arial" w:hAnsi="Arial" w:cs="Arial"/>
        </w:rPr>
      </w:pPr>
      <w:proofErr w:type="spellStart"/>
      <w:r w:rsidRPr="002849E6">
        <w:rPr>
          <w:rFonts w:ascii="Arial" w:hAnsi="Arial" w:cs="Arial"/>
        </w:rPr>
        <w:t>Buhalis</w:t>
      </w:r>
      <w:proofErr w:type="spellEnd"/>
      <w:r w:rsidRPr="002849E6">
        <w:rPr>
          <w:rFonts w:ascii="Arial" w:hAnsi="Arial" w:cs="Arial"/>
        </w:rPr>
        <w:t xml:space="preserve">, D., Harwood, T., </w:t>
      </w:r>
      <w:proofErr w:type="spellStart"/>
      <w:r w:rsidRPr="002849E6">
        <w:rPr>
          <w:rFonts w:ascii="Arial" w:hAnsi="Arial" w:cs="Arial"/>
        </w:rPr>
        <w:t>Bogicevic</w:t>
      </w:r>
      <w:proofErr w:type="spellEnd"/>
      <w:r w:rsidRPr="002849E6">
        <w:rPr>
          <w:rFonts w:ascii="Arial" w:hAnsi="Arial" w:cs="Arial"/>
        </w:rPr>
        <w:t xml:space="preserve">, V., Viglia, G., </w:t>
      </w:r>
      <w:proofErr w:type="spellStart"/>
      <w:r w:rsidRPr="002849E6">
        <w:rPr>
          <w:rFonts w:ascii="Arial" w:hAnsi="Arial" w:cs="Arial"/>
        </w:rPr>
        <w:t>Beldona</w:t>
      </w:r>
      <w:proofErr w:type="spellEnd"/>
      <w:r w:rsidRPr="002849E6">
        <w:rPr>
          <w:rFonts w:ascii="Arial" w:hAnsi="Arial" w:cs="Arial"/>
        </w:rPr>
        <w:t xml:space="preserve">, S. and Hofacker, C. (2023) ‘Technological disruptions in services: Lessons from tourism and hospitality’, </w:t>
      </w:r>
      <w:r w:rsidRPr="002849E6">
        <w:rPr>
          <w:rFonts w:ascii="Arial" w:hAnsi="Arial" w:cs="Arial"/>
          <w:i/>
          <w:iCs/>
        </w:rPr>
        <w:t>Journal of Service Management</w:t>
      </w:r>
      <w:r w:rsidRPr="002849E6">
        <w:rPr>
          <w:rFonts w:ascii="Arial" w:hAnsi="Arial" w:cs="Arial"/>
        </w:rPr>
        <w:t>, 34(1), pp. 1–23.</w:t>
      </w:r>
    </w:p>
    <w:p w14:paraId="74394D9E" w14:textId="77777777" w:rsidR="002849E6" w:rsidRPr="002849E6" w:rsidRDefault="002849E6" w:rsidP="002849E6">
      <w:pPr>
        <w:spacing w:line="360" w:lineRule="auto"/>
        <w:jc w:val="both"/>
        <w:rPr>
          <w:rFonts w:ascii="Arial" w:hAnsi="Arial" w:cs="Arial"/>
        </w:rPr>
      </w:pPr>
      <w:r w:rsidRPr="002849E6">
        <w:rPr>
          <w:rFonts w:ascii="Arial" w:hAnsi="Arial" w:cs="Arial"/>
        </w:rPr>
        <w:t xml:space="preserve">Celebrity Cruises (2024) </w:t>
      </w:r>
      <w:r w:rsidRPr="002849E6">
        <w:rPr>
          <w:rFonts w:ascii="Arial" w:hAnsi="Arial" w:cs="Arial"/>
          <w:i/>
          <w:iCs/>
        </w:rPr>
        <w:t>Nothing Comes Close Campaign</w:t>
      </w:r>
      <w:r w:rsidRPr="002849E6">
        <w:rPr>
          <w:rFonts w:ascii="Arial" w:hAnsi="Arial" w:cs="Arial"/>
        </w:rPr>
        <w:t xml:space="preserve">. Available at: </w:t>
      </w:r>
      <w:hyperlink r:id="rId10" w:history="1">
        <w:r w:rsidRPr="002849E6">
          <w:rPr>
            <w:rStyle w:val="Hyperlink"/>
            <w:rFonts w:ascii="Arial" w:hAnsi="Arial" w:cs="Arial"/>
          </w:rPr>
          <w:t>https://www.celebritycruises.com</w:t>
        </w:r>
      </w:hyperlink>
      <w:r w:rsidRPr="002849E6">
        <w:rPr>
          <w:rFonts w:ascii="Arial" w:hAnsi="Arial" w:cs="Arial"/>
        </w:rPr>
        <w:t xml:space="preserve"> (Accessed: 1 June 2026).</w:t>
      </w:r>
    </w:p>
    <w:p w14:paraId="55639B5C" w14:textId="77777777" w:rsidR="002849E6" w:rsidRPr="002849E6" w:rsidRDefault="002849E6" w:rsidP="002849E6">
      <w:pPr>
        <w:spacing w:line="360" w:lineRule="auto"/>
        <w:jc w:val="both"/>
        <w:rPr>
          <w:rFonts w:ascii="Arial" w:hAnsi="Arial" w:cs="Arial"/>
        </w:rPr>
      </w:pPr>
      <w:r w:rsidRPr="002849E6">
        <w:rPr>
          <w:rFonts w:ascii="Arial" w:hAnsi="Arial" w:cs="Arial"/>
        </w:rPr>
        <w:t xml:space="preserve">Chaffey, D. and Ellis-Chadwick, F. (2024) </w:t>
      </w:r>
      <w:r w:rsidRPr="002849E6">
        <w:rPr>
          <w:rFonts w:ascii="Arial" w:hAnsi="Arial" w:cs="Arial"/>
          <w:i/>
          <w:iCs/>
        </w:rPr>
        <w:t>Digital Marketing</w:t>
      </w:r>
      <w:r w:rsidRPr="002849E6">
        <w:rPr>
          <w:rFonts w:ascii="Arial" w:hAnsi="Arial" w:cs="Arial"/>
        </w:rPr>
        <w:t xml:space="preserve">. 9th </w:t>
      </w:r>
      <w:proofErr w:type="spellStart"/>
      <w:r w:rsidRPr="002849E6">
        <w:rPr>
          <w:rFonts w:ascii="Arial" w:hAnsi="Arial" w:cs="Arial"/>
        </w:rPr>
        <w:t>edn</w:t>
      </w:r>
      <w:proofErr w:type="spellEnd"/>
      <w:r w:rsidRPr="002849E6">
        <w:rPr>
          <w:rFonts w:ascii="Arial" w:hAnsi="Arial" w:cs="Arial"/>
        </w:rPr>
        <w:t>. Harlow: Pearson.</w:t>
      </w:r>
    </w:p>
    <w:p w14:paraId="694C0717" w14:textId="31D7A318" w:rsidR="002849E6" w:rsidRPr="002849E6" w:rsidRDefault="002849E6" w:rsidP="002849E6">
      <w:pPr>
        <w:spacing w:line="360" w:lineRule="auto"/>
        <w:jc w:val="both"/>
        <w:rPr>
          <w:rFonts w:ascii="Arial" w:hAnsi="Arial" w:cs="Arial"/>
        </w:rPr>
      </w:pPr>
      <w:r w:rsidRPr="002849E6">
        <w:rPr>
          <w:rFonts w:ascii="Arial" w:hAnsi="Arial" w:cs="Arial"/>
        </w:rPr>
        <w:t xml:space="preserve">Deloitte (2024) </w:t>
      </w:r>
      <w:r w:rsidRPr="002849E6">
        <w:rPr>
          <w:rFonts w:ascii="Arial" w:hAnsi="Arial" w:cs="Arial"/>
          <w:i/>
          <w:iCs/>
        </w:rPr>
        <w:t>Sustainable Consumer Report 2024</w:t>
      </w:r>
      <w:r w:rsidRPr="002849E6">
        <w:rPr>
          <w:rFonts w:ascii="Arial" w:hAnsi="Arial" w:cs="Arial"/>
        </w:rPr>
        <w:t xml:space="preserve">. Available at: </w:t>
      </w:r>
      <w:hyperlink r:id="rId11" w:history="1">
        <w:r w:rsidRPr="002849E6">
          <w:rPr>
            <w:rStyle w:val="Hyperlink"/>
            <w:rFonts w:ascii="Arial" w:hAnsi="Arial" w:cs="Arial"/>
          </w:rPr>
          <w:t>https://www.deloitte.com/global/en/insights.html</w:t>
        </w:r>
      </w:hyperlink>
      <w:r w:rsidRPr="002849E6">
        <w:rPr>
          <w:rFonts w:ascii="Arial" w:hAnsi="Arial" w:cs="Arial"/>
        </w:rPr>
        <w:t xml:space="preserve"> (Accessed: </w:t>
      </w:r>
      <w:r w:rsidR="00E5002F">
        <w:rPr>
          <w:rFonts w:ascii="Arial" w:hAnsi="Arial" w:cs="Arial"/>
        </w:rPr>
        <w:t>4</w:t>
      </w:r>
      <w:r w:rsidRPr="002849E6">
        <w:rPr>
          <w:rFonts w:ascii="Arial" w:hAnsi="Arial" w:cs="Arial"/>
        </w:rPr>
        <w:t xml:space="preserve"> June 2026).</w:t>
      </w:r>
    </w:p>
    <w:p w14:paraId="24B8E210" w14:textId="2974AAB7" w:rsidR="002849E6" w:rsidRPr="002849E6" w:rsidRDefault="002849E6" w:rsidP="002849E6">
      <w:pPr>
        <w:spacing w:line="360" w:lineRule="auto"/>
        <w:jc w:val="both"/>
        <w:rPr>
          <w:rFonts w:ascii="Arial" w:hAnsi="Arial" w:cs="Arial"/>
        </w:rPr>
      </w:pPr>
      <w:r w:rsidRPr="002849E6">
        <w:rPr>
          <w:rFonts w:ascii="Arial" w:hAnsi="Arial" w:cs="Arial"/>
        </w:rPr>
        <w:t xml:space="preserve">Dwivedi, Y.K., Hughes, L., </w:t>
      </w:r>
      <w:proofErr w:type="spellStart"/>
      <w:r w:rsidRPr="002849E6">
        <w:rPr>
          <w:rFonts w:ascii="Arial" w:hAnsi="Arial" w:cs="Arial"/>
        </w:rPr>
        <w:t>Ismagilova</w:t>
      </w:r>
      <w:proofErr w:type="spellEnd"/>
      <w:r w:rsidRPr="002849E6">
        <w:rPr>
          <w:rFonts w:ascii="Arial" w:hAnsi="Arial" w:cs="Arial"/>
        </w:rPr>
        <w:t xml:space="preserve">, E., Aarts, G., Coombs, C., Crick, T., Duan, Y., Dwivedi, R., Edwards, J., </w:t>
      </w:r>
      <w:proofErr w:type="spellStart"/>
      <w:r w:rsidRPr="002849E6">
        <w:rPr>
          <w:rFonts w:ascii="Arial" w:hAnsi="Arial" w:cs="Arial"/>
        </w:rPr>
        <w:t>Eirug</w:t>
      </w:r>
      <w:proofErr w:type="spellEnd"/>
      <w:r w:rsidRPr="002849E6">
        <w:rPr>
          <w:rFonts w:ascii="Arial" w:hAnsi="Arial" w:cs="Arial"/>
        </w:rPr>
        <w:t xml:space="preserve">, A., Galanos, V., Ilavarasan, P.V., Janssen, M., Jones, P., Kar, A.K., </w:t>
      </w:r>
      <w:proofErr w:type="spellStart"/>
      <w:r w:rsidRPr="002849E6">
        <w:rPr>
          <w:rFonts w:ascii="Arial" w:hAnsi="Arial" w:cs="Arial"/>
        </w:rPr>
        <w:t>Kizgin</w:t>
      </w:r>
      <w:proofErr w:type="spellEnd"/>
      <w:r w:rsidRPr="002849E6">
        <w:rPr>
          <w:rFonts w:ascii="Arial" w:hAnsi="Arial" w:cs="Arial"/>
        </w:rPr>
        <w:t xml:space="preserve">, H., </w:t>
      </w:r>
      <w:proofErr w:type="spellStart"/>
      <w:r w:rsidRPr="002849E6">
        <w:rPr>
          <w:rFonts w:ascii="Arial" w:hAnsi="Arial" w:cs="Arial"/>
        </w:rPr>
        <w:t>Kronemann</w:t>
      </w:r>
      <w:proofErr w:type="spellEnd"/>
      <w:r w:rsidRPr="002849E6">
        <w:rPr>
          <w:rFonts w:ascii="Arial" w:hAnsi="Arial" w:cs="Arial"/>
        </w:rPr>
        <w:t xml:space="preserve">, B., Lal, B., Lucini, B., Medaglia, R., Leal Filho, W., Pandey, N., Raman, R., </w:t>
      </w:r>
      <w:proofErr w:type="spellStart"/>
      <w:r w:rsidRPr="002849E6">
        <w:rPr>
          <w:rFonts w:ascii="Arial" w:hAnsi="Arial" w:cs="Arial"/>
        </w:rPr>
        <w:t>Rauschnabel</w:t>
      </w:r>
      <w:proofErr w:type="spellEnd"/>
      <w:r w:rsidRPr="002849E6">
        <w:rPr>
          <w:rFonts w:ascii="Arial" w:hAnsi="Arial" w:cs="Arial"/>
        </w:rPr>
        <w:t xml:space="preserve">, P.A., Ribeiro-Navarrete, S., Ryan, M., Sarker, S., Singh, J.B., Smith, M., </w:t>
      </w:r>
      <w:proofErr w:type="spellStart"/>
      <w:r w:rsidRPr="002849E6">
        <w:rPr>
          <w:rFonts w:ascii="Arial" w:hAnsi="Arial" w:cs="Arial"/>
        </w:rPr>
        <w:t>Trocin</w:t>
      </w:r>
      <w:proofErr w:type="spellEnd"/>
      <w:r w:rsidRPr="002849E6">
        <w:rPr>
          <w:rFonts w:ascii="Arial" w:hAnsi="Arial" w:cs="Arial"/>
        </w:rPr>
        <w:t xml:space="preserve">, C., Tzimas, G., </w:t>
      </w:r>
      <w:proofErr w:type="spellStart"/>
      <w:r w:rsidRPr="002849E6">
        <w:rPr>
          <w:rFonts w:ascii="Arial" w:hAnsi="Arial" w:cs="Arial"/>
        </w:rPr>
        <w:t>Viglia</w:t>
      </w:r>
      <w:proofErr w:type="spellEnd"/>
      <w:r w:rsidRPr="002849E6">
        <w:rPr>
          <w:rFonts w:ascii="Arial" w:hAnsi="Arial" w:cs="Arial"/>
        </w:rPr>
        <w:t xml:space="preserve">, G. and Williams, M.D. (2023) ‘Artificial intelligence (AI): Multidisciplinary perspectives on emerging challenges and opportunities’, </w:t>
      </w:r>
      <w:r w:rsidRPr="002849E6">
        <w:rPr>
          <w:rFonts w:ascii="Arial" w:hAnsi="Arial" w:cs="Arial"/>
          <w:i/>
          <w:iCs/>
        </w:rPr>
        <w:t>International Journal of Information Management</w:t>
      </w:r>
      <w:r w:rsidRPr="002849E6">
        <w:rPr>
          <w:rFonts w:ascii="Arial" w:hAnsi="Arial" w:cs="Arial"/>
        </w:rPr>
        <w:t xml:space="preserve">, 71, 102642. </w:t>
      </w:r>
    </w:p>
    <w:p w14:paraId="63C53815" w14:textId="77777777" w:rsidR="002849E6" w:rsidRPr="002849E6" w:rsidRDefault="002849E6" w:rsidP="002849E6">
      <w:pPr>
        <w:spacing w:line="360" w:lineRule="auto"/>
        <w:jc w:val="both"/>
        <w:rPr>
          <w:rFonts w:ascii="Arial" w:hAnsi="Arial" w:cs="Arial"/>
        </w:rPr>
      </w:pPr>
      <w:r w:rsidRPr="002849E6">
        <w:rPr>
          <w:rFonts w:ascii="Arial" w:hAnsi="Arial" w:cs="Arial"/>
        </w:rPr>
        <w:t xml:space="preserve">Fill, C. and Turnbull, S. (2023) </w:t>
      </w:r>
      <w:r w:rsidRPr="002849E6">
        <w:rPr>
          <w:rFonts w:ascii="Arial" w:hAnsi="Arial" w:cs="Arial"/>
          <w:i/>
          <w:iCs/>
        </w:rPr>
        <w:t>Marketing Communications</w:t>
      </w:r>
      <w:r w:rsidRPr="002849E6">
        <w:rPr>
          <w:rFonts w:ascii="Arial" w:hAnsi="Arial" w:cs="Arial"/>
        </w:rPr>
        <w:t xml:space="preserve">. 9th </w:t>
      </w:r>
      <w:proofErr w:type="spellStart"/>
      <w:r w:rsidRPr="002849E6">
        <w:rPr>
          <w:rFonts w:ascii="Arial" w:hAnsi="Arial" w:cs="Arial"/>
        </w:rPr>
        <w:t>edn</w:t>
      </w:r>
      <w:proofErr w:type="spellEnd"/>
      <w:r w:rsidRPr="002849E6">
        <w:rPr>
          <w:rFonts w:ascii="Arial" w:hAnsi="Arial" w:cs="Arial"/>
        </w:rPr>
        <w:t>. Harlow: Pearson.</w:t>
      </w:r>
    </w:p>
    <w:p w14:paraId="20056748" w14:textId="69CCD9EE" w:rsidR="002849E6" w:rsidRPr="002849E6" w:rsidRDefault="002849E6" w:rsidP="002849E6">
      <w:pPr>
        <w:spacing w:line="360" w:lineRule="auto"/>
        <w:jc w:val="both"/>
        <w:rPr>
          <w:rFonts w:ascii="Arial" w:hAnsi="Arial" w:cs="Arial"/>
        </w:rPr>
      </w:pPr>
      <w:r w:rsidRPr="002849E6">
        <w:rPr>
          <w:rFonts w:ascii="Arial" w:hAnsi="Arial" w:cs="Arial"/>
        </w:rPr>
        <w:lastRenderedPageBreak/>
        <w:t xml:space="preserve">Font, X. and McCabe, S. (2022) ‘Sustainability and marketing in tourism: Its contexts, paradoxes and potential’, </w:t>
      </w:r>
      <w:r w:rsidRPr="002849E6">
        <w:rPr>
          <w:rFonts w:ascii="Arial" w:hAnsi="Arial" w:cs="Arial"/>
          <w:i/>
          <w:iCs/>
        </w:rPr>
        <w:t>Journal of Sustainable Tourism</w:t>
      </w:r>
      <w:r w:rsidRPr="002849E6">
        <w:rPr>
          <w:rFonts w:ascii="Arial" w:hAnsi="Arial" w:cs="Arial"/>
        </w:rPr>
        <w:t xml:space="preserve">, 30(1), pp. 1–11. </w:t>
      </w:r>
    </w:p>
    <w:p w14:paraId="0A57ECFB" w14:textId="77777777" w:rsidR="002849E6" w:rsidRPr="002849E6" w:rsidRDefault="002849E6" w:rsidP="002849E6">
      <w:pPr>
        <w:spacing w:line="360" w:lineRule="auto"/>
        <w:jc w:val="both"/>
        <w:rPr>
          <w:rFonts w:ascii="Arial" w:hAnsi="Arial" w:cs="Arial"/>
        </w:rPr>
      </w:pPr>
      <w:r w:rsidRPr="002849E6">
        <w:rPr>
          <w:rFonts w:ascii="Arial" w:hAnsi="Arial" w:cs="Arial"/>
        </w:rPr>
        <w:t xml:space="preserve">Freeman, R.E. (2010) </w:t>
      </w:r>
      <w:r w:rsidRPr="002849E6">
        <w:rPr>
          <w:rFonts w:ascii="Arial" w:hAnsi="Arial" w:cs="Arial"/>
          <w:i/>
          <w:iCs/>
        </w:rPr>
        <w:t>Strategic Management: A Stakeholder Approach</w:t>
      </w:r>
      <w:r w:rsidRPr="002849E6">
        <w:rPr>
          <w:rFonts w:ascii="Arial" w:hAnsi="Arial" w:cs="Arial"/>
        </w:rPr>
        <w:t>. Cambridge: Cambridge University Press.</w:t>
      </w:r>
    </w:p>
    <w:p w14:paraId="6A2B1905" w14:textId="72D170AD" w:rsidR="002849E6" w:rsidRPr="002849E6" w:rsidRDefault="002849E6" w:rsidP="002849E6">
      <w:pPr>
        <w:spacing w:line="360" w:lineRule="auto"/>
        <w:jc w:val="both"/>
        <w:rPr>
          <w:rFonts w:ascii="Arial" w:hAnsi="Arial" w:cs="Arial"/>
        </w:rPr>
      </w:pPr>
      <w:proofErr w:type="spellStart"/>
      <w:r w:rsidRPr="002849E6">
        <w:rPr>
          <w:rFonts w:ascii="Arial" w:hAnsi="Arial" w:cs="Arial"/>
        </w:rPr>
        <w:t>Gössling</w:t>
      </w:r>
      <w:proofErr w:type="spellEnd"/>
      <w:r w:rsidRPr="002849E6">
        <w:rPr>
          <w:rFonts w:ascii="Arial" w:hAnsi="Arial" w:cs="Arial"/>
        </w:rPr>
        <w:t xml:space="preserve">, S., Higham, J., Larsen, J., Cohen, S. and Scott, D. (2021) ‘Desirable tourism futures’, </w:t>
      </w:r>
      <w:r w:rsidRPr="002849E6">
        <w:rPr>
          <w:rFonts w:ascii="Arial" w:hAnsi="Arial" w:cs="Arial"/>
          <w:i/>
          <w:iCs/>
        </w:rPr>
        <w:t>Tourism Geographies</w:t>
      </w:r>
      <w:r w:rsidRPr="002849E6">
        <w:rPr>
          <w:rFonts w:ascii="Arial" w:hAnsi="Arial" w:cs="Arial"/>
        </w:rPr>
        <w:t xml:space="preserve">, 23(3), pp. 530–543. </w:t>
      </w:r>
    </w:p>
    <w:p w14:paraId="126BCBBB" w14:textId="571DBDB2" w:rsidR="002849E6" w:rsidRPr="002849E6" w:rsidRDefault="002849E6" w:rsidP="002849E6">
      <w:pPr>
        <w:spacing w:line="360" w:lineRule="auto"/>
        <w:jc w:val="both"/>
        <w:rPr>
          <w:rFonts w:ascii="Arial" w:hAnsi="Arial" w:cs="Arial"/>
        </w:rPr>
      </w:pPr>
      <w:proofErr w:type="spellStart"/>
      <w:r w:rsidRPr="002849E6">
        <w:rPr>
          <w:rFonts w:ascii="Arial" w:hAnsi="Arial" w:cs="Arial"/>
        </w:rPr>
        <w:t>Gretzel</w:t>
      </w:r>
      <w:proofErr w:type="spellEnd"/>
      <w:r w:rsidRPr="002849E6">
        <w:rPr>
          <w:rFonts w:ascii="Arial" w:hAnsi="Arial" w:cs="Arial"/>
        </w:rPr>
        <w:t xml:space="preserve">, U., Sigala, M., Xiang, Z. and Koo, C. (2022) ‘Smart tourism and tourism management: Emerging technologies and future trends’, </w:t>
      </w:r>
      <w:r w:rsidRPr="002849E6">
        <w:rPr>
          <w:rFonts w:ascii="Arial" w:hAnsi="Arial" w:cs="Arial"/>
          <w:i/>
          <w:iCs/>
        </w:rPr>
        <w:t>Tourism Management Perspectives</w:t>
      </w:r>
      <w:r w:rsidRPr="002849E6">
        <w:rPr>
          <w:rFonts w:ascii="Arial" w:hAnsi="Arial" w:cs="Arial"/>
        </w:rPr>
        <w:t xml:space="preserve">, 43, 100960. </w:t>
      </w:r>
    </w:p>
    <w:p w14:paraId="4C738286" w14:textId="77777777" w:rsidR="002849E6" w:rsidRPr="002849E6" w:rsidRDefault="002849E6" w:rsidP="002849E6">
      <w:pPr>
        <w:spacing w:line="360" w:lineRule="auto"/>
        <w:jc w:val="both"/>
        <w:rPr>
          <w:rFonts w:ascii="Arial" w:hAnsi="Arial" w:cs="Arial"/>
        </w:rPr>
      </w:pPr>
      <w:r w:rsidRPr="002849E6">
        <w:rPr>
          <w:rFonts w:ascii="Arial" w:hAnsi="Arial" w:cs="Arial"/>
        </w:rPr>
        <w:t xml:space="preserve">Hill, T. (2021) </w:t>
      </w:r>
      <w:r w:rsidRPr="002849E6">
        <w:rPr>
          <w:rFonts w:ascii="Arial" w:hAnsi="Arial" w:cs="Arial"/>
          <w:i/>
          <w:iCs/>
        </w:rPr>
        <w:t>Strategic Management Theory</w:t>
      </w:r>
      <w:r w:rsidRPr="002849E6">
        <w:rPr>
          <w:rFonts w:ascii="Arial" w:hAnsi="Arial" w:cs="Arial"/>
        </w:rPr>
        <w:t>. London: Cengage Learning.</w:t>
      </w:r>
    </w:p>
    <w:p w14:paraId="0663345C" w14:textId="77777777" w:rsidR="002849E6" w:rsidRPr="002849E6" w:rsidRDefault="002849E6" w:rsidP="002849E6">
      <w:pPr>
        <w:spacing w:line="360" w:lineRule="auto"/>
        <w:jc w:val="both"/>
        <w:rPr>
          <w:rFonts w:ascii="Arial" w:hAnsi="Arial" w:cs="Arial"/>
        </w:rPr>
      </w:pPr>
      <w:r w:rsidRPr="002849E6">
        <w:rPr>
          <w:rFonts w:ascii="Arial" w:hAnsi="Arial" w:cs="Arial"/>
        </w:rPr>
        <w:t xml:space="preserve">Hollensen, S. (2024) </w:t>
      </w:r>
      <w:r w:rsidRPr="002849E6">
        <w:rPr>
          <w:rFonts w:ascii="Arial" w:hAnsi="Arial" w:cs="Arial"/>
          <w:i/>
          <w:iCs/>
        </w:rPr>
        <w:t>Global Marketing</w:t>
      </w:r>
      <w:r w:rsidRPr="002849E6">
        <w:rPr>
          <w:rFonts w:ascii="Arial" w:hAnsi="Arial" w:cs="Arial"/>
        </w:rPr>
        <w:t xml:space="preserve">. 9th </w:t>
      </w:r>
      <w:proofErr w:type="spellStart"/>
      <w:r w:rsidRPr="002849E6">
        <w:rPr>
          <w:rFonts w:ascii="Arial" w:hAnsi="Arial" w:cs="Arial"/>
        </w:rPr>
        <w:t>edn</w:t>
      </w:r>
      <w:proofErr w:type="spellEnd"/>
      <w:r w:rsidRPr="002849E6">
        <w:rPr>
          <w:rFonts w:ascii="Arial" w:hAnsi="Arial" w:cs="Arial"/>
        </w:rPr>
        <w:t>. Harlow: Pearson.</w:t>
      </w:r>
    </w:p>
    <w:p w14:paraId="26DC738E" w14:textId="77777777" w:rsidR="002849E6" w:rsidRPr="002849E6" w:rsidRDefault="002849E6" w:rsidP="002849E6">
      <w:pPr>
        <w:spacing w:line="360" w:lineRule="auto"/>
        <w:jc w:val="both"/>
        <w:rPr>
          <w:rFonts w:ascii="Arial" w:hAnsi="Arial" w:cs="Arial"/>
        </w:rPr>
      </w:pPr>
      <w:r w:rsidRPr="002849E6">
        <w:rPr>
          <w:rFonts w:ascii="Arial" w:hAnsi="Arial" w:cs="Arial"/>
        </w:rPr>
        <w:t xml:space="preserve">Holloway, J.C. and Humphreys, C. (2022) </w:t>
      </w:r>
      <w:r w:rsidRPr="002849E6">
        <w:rPr>
          <w:rFonts w:ascii="Arial" w:hAnsi="Arial" w:cs="Arial"/>
          <w:i/>
          <w:iCs/>
        </w:rPr>
        <w:t>The Business of Tourism</w:t>
      </w:r>
      <w:r w:rsidRPr="002849E6">
        <w:rPr>
          <w:rFonts w:ascii="Arial" w:hAnsi="Arial" w:cs="Arial"/>
        </w:rPr>
        <w:t xml:space="preserve">. 12th </w:t>
      </w:r>
      <w:proofErr w:type="spellStart"/>
      <w:r w:rsidRPr="002849E6">
        <w:rPr>
          <w:rFonts w:ascii="Arial" w:hAnsi="Arial" w:cs="Arial"/>
        </w:rPr>
        <w:t>edn</w:t>
      </w:r>
      <w:proofErr w:type="spellEnd"/>
      <w:r w:rsidRPr="002849E6">
        <w:rPr>
          <w:rFonts w:ascii="Arial" w:hAnsi="Arial" w:cs="Arial"/>
        </w:rPr>
        <w:t>. Harlow: Pearson.</w:t>
      </w:r>
    </w:p>
    <w:p w14:paraId="7249E906" w14:textId="77777777" w:rsidR="002849E6" w:rsidRPr="002849E6" w:rsidRDefault="002849E6" w:rsidP="002849E6">
      <w:pPr>
        <w:spacing w:line="360" w:lineRule="auto"/>
        <w:jc w:val="both"/>
        <w:rPr>
          <w:rFonts w:ascii="Arial" w:hAnsi="Arial" w:cs="Arial"/>
        </w:rPr>
      </w:pPr>
      <w:r w:rsidRPr="002849E6">
        <w:rPr>
          <w:rFonts w:ascii="Arial" w:hAnsi="Arial" w:cs="Arial"/>
        </w:rPr>
        <w:t xml:space="preserve">Huang, M.H. and Rust, R.T. (2021) ‘A strategic framework for artificial intelligence in marketing’, </w:t>
      </w:r>
      <w:r w:rsidRPr="002849E6">
        <w:rPr>
          <w:rFonts w:ascii="Arial" w:hAnsi="Arial" w:cs="Arial"/>
          <w:i/>
          <w:iCs/>
        </w:rPr>
        <w:t>Journal of the Academy of Marketing Science</w:t>
      </w:r>
      <w:r w:rsidRPr="002849E6">
        <w:rPr>
          <w:rFonts w:ascii="Arial" w:hAnsi="Arial" w:cs="Arial"/>
        </w:rPr>
        <w:t xml:space="preserve">, 49(1), pp. 30–50. Available at: </w:t>
      </w:r>
      <w:hyperlink r:id="rId12" w:history="1">
        <w:r w:rsidRPr="002849E6">
          <w:rPr>
            <w:rStyle w:val="Hyperlink"/>
            <w:rFonts w:ascii="Arial" w:hAnsi="Arial" w:cs="Arial"/>
          </w:rPr>
          <w:t>https://doi.org/10.1007/s11747-020-00749-9</w:t>
        </w:r>
      </w:hyperlink>
    </w:p>
    <w:p w14:paraId="187D6E3D" w14:textId="77777777" w:rsidR="002849E6" w:rsidRPr="002849E6" w:rsidRDefault="002849E6" w:rsidP="002849E6">
      <w:pPr>
        <w:spacing w:line="360" w:lineRule="auto"/>
        <w:jc w:val="both"/>
        <w:rPr>
          <w:rFonts w:ascii="Arial" w:hAnsi="Arial" w:cs="Arial"/>
        </w:rPr>
      </w:pPr>
      <w:r w:rsidRPr="002849E6">
        <w:rPr>
          <w:rFonts w:ascii="Arial" w:hAnsi="Arial" w:cs="Arial"/>
        </w:rPr>
        <w:t xml:space="preserve">Johnson, G., Scholes, K., Whittington, R. and Angwin, D. (2020) </w:t>
      </w:r>
      <w:r w:rsidRPr="002849E6">
        <w:rPr>
          <w:rFonts w:ascii="Arial" w:hAnsi="Arial" w:cs="Arial"/>
          <w:i/>
          <w:iCs/>
        </w:rPr>
        <w:t>Exploring Strategy</w:t>
      </w:r>
      <w:r w:rsidRPr="002849E6">
        <w:rPr>
          <w:rFonts w:ascii="Arial" w:hAnsi="Arial" w:cs="Arial"/>
        </w:rPr>
        <w:t xml:space="preserve">. 12th </w:t>
      </w:r>
      <w:proofErr w:type="spellStart"/>
      <w:r w:rsidRPr="002849E6">
        <w:rPr>
          <w:rFonts w:ascii="Arial" w:hAnsi="Arial" w:cs="Arial"/>
        </w:rPr>
        <w:t>edn</w:t>
      </w:r>
      <w:proofErr w:type="spellEnd"/>
      <w:r w:rsidRPr="002849E6">
        <w:rPr>
          <w:rFonts w:ascii="Arial" w:hAnsi="Arial" w:cs="Arial"/>
        </w:rPr>
        <w:t>. Harlow: Pearson.</w:t>
      </w:r>
    </w:p>
    <w:p w14:paraId="1EFAD2BC" w14:textId="67DC884B" w:rsidR="002849E6" w:rsidRPr="002849E6" w:rsidRDefault="002849E6" w:rsidP="002849E6">
      <w:pPr>
        <w:spacing w:line="360" w:lineRule="auto"/>
        <w:jc w:val="both"/>
        <w:rPr>
          <w:rFonts w:ascii="Arial" w:hAnsi="Arial" w:cs="Arial"/>
        </w:rPr>
      </w:pPr>
      <w:r w:rsidRPr="002849E6">
        <w:rPr>
          <w:rFonts w:ascii="Arial" w:hAnsi="Arial" w:cs="Arial"/>
        </w:rPr>
        <w:t xml:space="preserve">Jones, P., Hillier, D. and Comfort, D. (2022) ‘Sustainability and the tourism industry’, </w:t>
      </w:r>
      <w:r w:rsidRPr="002849E6">
        <w:rPr>
          <w:rFonts w:ascii="Arial" w:hAnsi="Arial" w:cs="Arial"/>
          <w:i/>
          <w:iCs/>
        </w:rPr>
        <w:t>Tourism Review</w:t>
      </w:r>
      <w:r w:rsidRPr="002849E6">
        <w:rPr>
          <w:rFonts w:ascii="Arial" w:hAnsi="Arial" w:cs="Arial"/>
        </w:rPr>
        <w:t xml:space="preserve">, 77(3), pp. 590–602. </w:t>
      </w:r>
    </w:p>
    <w:p w14:paraId="17732F18" w14:textId="77777777" w:rsidR="002849E6" w:rsidRPr="002849E6" w:rsidRDefault="002849E6" w:rsidP="002849E6">
      <w:pPr>
        <w:spacing w:line="360" w:lineRule="auto"/>
        <w:jc w:val="both"/>
        <w:rPr>
          <w:rFonts w:ascii="Arial" w:hAnsi="Arial" w:cs="Arial"/>
        </w:rPr>
      </w:pPr>
      <w:r w:rsidRPr="002849E6">
        <w:rPr>
          <w:rFonts w:ascii="Arial" w:hAnsi="Arial" w:cs="Arial"/>
        </w:rPr>
        <w:t xml:space="preserve">Kaplan, A.M. and Haenlein, M. (2020) ‘Users of the world, unite! The challenges and opportunities of social media’, </w:t>
      </w:r>
      <w:r w:rsidRPr="002849E6">
        <w:rPr>
          <w:rFonts w:ascii="Arial" w:hAnsi="Arial" w:cs="Arial"/>
          <w:i/>
          <w:iCs/>
        </w:rPr>
        <w:t>Business Horizons</w:t>
      </w:r>
      <w:r w:rsidRPr="002849E6">
        <w:rPr>
          <w:rFonts w:ascii="Arial" w:hAnsi="Arial" w:cs="Arial"/>
        </w:rPr>
        <w:t xml:space="preserve">, 63(1), pp. 59–68. Available at: </w:t>
      </w:r>
      <w:hyperlink r:id="rId13" w:history="1">
        <w:r w:rsidRPr="002849E6">
          <w:rPr>
            <w:rStyle w:val="Hyperlink"/>
            <w:rFonts w:ascii="Arial" w:hAnsi="Arial" w:cs="Arial"/>
          </w:rPr>
          <w:t>https://doi.org/10.1016/j.bushor.2009.09.003</w:t>
        </w:r>
      </w:hyperlink>
    </w:p>
    <w:p w14:paraId="38E2796C" w14:textId="77777777" w:rsidR="002849E6" w:rsidRPr="002849E6" w:rsidRDefault="002849E6" w:rsidP="002849E6">
      <w:pPr>
        <w:spacing w:line="360" w:lineRule="auto"/>
        <w:jc w:val="both"/>
        <w:rPr>
          <w:rFonts w:ascii="Arial" w:hAnsi="Arial" w:cs="Arial"/>
        </w:rPr>
      </w:pPr>
      <w:r w:rsidRPr="002849E6">
        <w:rPr>
          <w:rFonts w:ascii="Arial" w:hAnsi="Arial" w:cs="Arial"/>
        </w:rPr>
        <w:t xml:space="preserve">Keller, K.L. (2020) </w:t>
      </w:r>
      <w:r w:rsidRPr="002849E6">
        <w:rPr>
          <w:rFonts w:ascii="Arial" w:hAnsi="Arial" w:cs="Arial"/>
          <w:i/>
          <w:iCs/>
        </w:rPr>
        <w:t>Strategic Brand Management</w:t>
      </w:r>
      <w:r w:rsidRPr="002849E6">
        <w:rPr>
          <w:rFonts w:ascii="Arial" w:hAnsi="Arial" w:cs="Arial"/>
        </w:rPr>
        <w:t xml:space="preserve">. 5th </w:t>
      </w:r>
      <w:proofErr w:type="spellStart"/>
      <w:r w:rsidRPr="002849E6">
        <w:rPr>
          <w:rFonts w:ascii="Arial" w:hAnsi="Arial" w:cs="Arial"/>
        </w:rPr>
        <w:t>edn</w:t>
      </w:r>
      <w:proofErr w:type="spellEnd"/>
      <w:r w:rsidRPr="002849E6">
        <w:rPr>
          <w:rFonts w:ascii="Arial" w:hAnsi="Arial" w:cs="Arial"/>
        </w:rPr>
        <w:t>. Harlow: Pearson.</w:t>
      </w:r>
    </w:p>
    <w:p w14:paraId="6358E592" w14:textId="77777777" w:rsidR="002849E6" w:rsidRPr="002849E6" w:rsidRDefault="002849E6" w:rsidP="002849E6">
      <w:pPr>
        <w:spacing w:line="360" w:lineRule="auto"/>
        <w:jc w:val="both"/>
        <w:rPr>
          <w:rFonts w:ascii="Arial" w:hAnsi="Arial" w:cs="Arial"/>
        </w:rPr>
      </w:pPr>
      <w:r w:rsidRPr="002849E6">
        <w:rPr>
          <w:rFonts w:ascii="Arial" w:hAnsi="Arial" w:cs="Arial"/>
        </w:rPr>
        <w:t xml:space="preserve">Kotler, P., Keller, K.L. and Chernev, A. (2023) </w:t>
      </w:r>
      <w:r w:rsidRPr="002849E6">
        <w:rPr>
          <w:rFonts w:ascii="Arial" w:hAnsi="Arial" w:cs="Arial"/>
          <w:i/>
          <w:iCs/>
        </w:rPr>
        <w:t>Marketing Management</w:t>
      </w:r>
      <w:r w:rsidRPr="002849E6">
        <w:rPr>
          <w:rFonts w:ascii="Arial" w:hAnsi="Arial" w:cs="Arial"/>
        </w:rPr>
        <w:t xml:space="preserve">. 16th </w:t>
      </w:r>
      <w:proofErr w:type="spellStart"/>
      <w:r w:rsidRPr="002849E6">
        <w:rPr>
          <w:rFonts w:ascii="Arial" w:hAnsi="Arial" w:cs="Arial"/>
        </w:rPr>
        <w:t>edn</w:t>
      </w:r>
      <w:proofErr w:type="spellEnd"/>
      <w:r w:rsidRPr="002849E6">
        <w:rPr>
          <w:rFonts w:ascii="Arial" w:hAnsi="Arial" w:cs="Arial"/>
        </w:rPr>
        <w:t>. Harlow: Pearson.</w:t>
      </w:r>
    </w:p>
    <w:p w14:paraId="646BFADD" w14:textId="38E2E487" w:rsidR="002849E6" w:rsidRPr="002849E6" w:rsidRDefault="002849E6" w:rsidP="002849E6">
      <w:pPr>
        <w:spacing w:line="360" w:lineRule="auto"/>
        <w:jc w:val="both"/>
        <w:rPr>
          <w:rFonts w:ascii="Arial" w:hAnsi="Arial" w:cs="Arial"/>
        </w:rPr>
      </w:pPr>
      <w:r w:rsidRPr="002849E6">
        <w:rPr>
          <w:rFonts w:ascii="Arial" w:hAnsi="Arial" w:cs="Arial"/>
        </w:rPr>
        <w:t xml:space="preserve">Leung, X.Y., Torres, E.N. and Fan, D.X.F. (2023) ‘Artificial intelligence and customer engagement in hospitality and tourism: A systematic review and research agenda’, </w:t>
      </w:r>
      <w:r w:rsidRPr="002849E6">
        <w:rPr>
          <w:rFonts w:ascii="Arial" w:hAnsi="Arial" w:cs="Arial"/>
          <w:i/>
          <w:iCs/>
        </w:rPr>
        <w:t>International Journal of Hospitality Management</w:t>
      </w:r>
      <w:r w:rsidRPr="002849E6">
        <w:rPr>
          <w:rFonts w:ascii="Arial" w:hAnsi="Arial" w:cs="Arial"/>
        </w:rPr>
        <w:t xml:space="preserve">, 114, 103575. </w:t>
      </w:r>
    </w:p>
    <w:p w14:paraId="1D83CE8C" w14:textId="18FB2FDC" w:rsidR="002849E6" w:rsidRPr="002849E6" w:rsidRDefault="002849E6" w:rsidP="002849E6">
      <w:pPr>
        <w:spacing w:line="360" w:lineRule="auto"/>
        <w:jc w:val="both"/>
        <w:rPr>
          <w:rFonts w:ascii="Arial" w:hAnsi="Arial" w:cs="Arial"/>
        </w:rPr>
      </w:pPr>
      <w:r w:rsidRPr="002849E6">
        <w:rPr>
          <w:rFonts w:ascii="Arial" w:hAnsi="Arial" w:cs="Arial"/>
        </w:rPr>
        <w:lastRenderedPageBreak/>
        <w:t xml:space="preserve">Mariani, M.M., Perez-Vega, R. and Wirtz, J. (2023) ‘AI in marketing, consumer research and psychology: A systematic literature review and future research agenda’, </w:t>
      </w:r>
      <w:r w:rsidRPr="002849E6">
        <w:rPr>
          <w:rFonts w:ascii="Arial" w:hAnsi="Arial" w:cs="Arial"/>
          <w:i/>
          <w:iCs/>
        </w:rPr>
        <w:t>Psychology &amp; Marketing</w:t>
      </w:r>
      <w:r w:rsidRPr="002849E6">
        <w:rPr>
          <w:rFonts w:ascii="Arial" w:hAnsi="Arial" w:cs="Arial"/>
        </w:rPr>
        <w:t xml:space="preserve">, 40(11), pp. 2161–2184. </w:t>
      </w:r>
    </w:p>
    <w:p w14:paraId="649797AA" w14:textId="77777777" w:rsidR="002849E6" w:rsidRPr="002849E6" w:rsidRDefault="002849E6" w:rsidP="002849E6">
      <w:pPr>
        <w:spacing w:line="360" w:lineRule="auto"/>
        <w:jc w:val="both"/>
        <w:rPr>
          <w:rFonts w:ascii="Arial" w:hAnsi="Arial" w:cs="Arial"/>
        </w:rPr>
      </w:pPr>
      <w:r w:rsidRPr="002849E6">
        <w:rPr>
          <w:rFonts w:ascii="Arial" w:hAnsi="Arial" w:cs="Arial"/>
        </w:rPr>
        <w:t xml:space="preserve">Payne, A. and Frow, P. (2017) </w:t>
      </w:r>
      <w:r w:rsidRPr="002849E6">
        <w:rPr>
          <w:rFonts w:ascii="Arial" w:hAnsi="Arial" w:cs="Arial"/>
          <w:i/>
          <w:iCs/>
        </w:rPr>
        <w:t>Strategic Customer Management</w:t>
      </w:r>
      <w:r w:rsidRPr="002849E6">
        <w:rPr>
          <w:rFonts w:ascii="Arial" w:hAnsi="Arial" w:cs="Arial"/>
        </w:rPr>
        <w:t>. Cambridge: Cambridge University Press.</w:t>
      </w:r>
    </w:p>
    <w:p w14:paraId="26A2478D" w14:textId="77777777" w:rsidR="002849E6" w:rsidRPr="002849E6" w:rsidRDefault="002849E6" w:rsidP="002849E6">
      <w:pPr>
        <w:spacing w:line="360" w:lineRule="auto"/>
        <w:jc w:val="both"/>
        <w:rPr>
          <w:rFonts w:ascii="Arial" w:hAnsi="Arial" w:cs="Arial"/>
        </w:rPr>
      </w:pPr>
      <w:r w:rsidRPr="002849E6">
        <w:rPr>
          <w:rFonts w:ascii="Arial" w:hAnsi="Arial" w:cs="Arial"/>
        </w:rPr>
        <w:t xml:space="preserve">Pine, B.J. and Gilmore, J.H. (2019) </w:t>
      </w:r>
      <w:r w:rsidRPr="002849E6">
        <w:rPr>
          <w:rFonts w:ascii="Arial" w:hAnsi="Arial" w:cs="Arial"/>
          <w:i/>
          <w:iCs/>
        </w:rPr>
        <w:t>The Experience Economy</w:t>
      </w:r>
      <w:r w:rsidRPr="002849E6">
        <w:rPr>
          <w:rFonts w:ascii="Arial" w:hAnsi="Arial" w:cs="Arial"/>
        </w:rPr>
        <w:t xml:space="preserve">. Updated </w:t>
      </w:r>
      <w:proofErr w:type="spellStart"/>
      <w:r w:rsidRPr="002849E6">
        <w:rPr>
          <w:rFonts w:ascii="Arial" w:hAnsi="Arial" w:cs="Arial"/>
        </w:rPr>
        <w:t>edn</w:t>
      </w:r>
      <w:proofErr w:type="spellEnd"/>
      <w:r w:rsidRPr="002849E6">
        <w:rPr>
          <w:rFonts w:ascii="Arial" w:hAnsi="Arial" w:cs="Arial"/>
        </w:rPr>
        <w:t>. Boston: Harvard Business Review Press.</w:t>
      </w:r>
    </w:p>
    <w:p w14:paraId="3A9FAA30" w14:textId="1265915F" w:rsidR="002849E6" w:rsidRPr="002849E6" w:rsidRDefault="002849E6" w:rsidP="002849E6">
      <w:pPr>
        <w:spacing w:line="360" w:lineRule="auto"/>
        <w:jc w:val="both"/>
        <w:rPr>
          <w:rFonts w:ascii="Arial" w:hAnsi="Arial" w:cs="Arial"/>
        </w:rPr>
      </w:pPr>
      <w:r w:rsidRPr="002849E6">
        <w:rPr>
          <w:rFonts w:ascii="Arial" w:hAnsi="Arial" w:cs="Arial"/>
        </w:rPr>
        <w:t xml:space="preserve">Qing, C. and Jin, S. (2023) ‘Consumer responses to AI-enabled personalisation in tourism marketing’, </w:t>
      </w:r>
      <w:r w:rsidRPr="002849E6">
        <w:rPr>
          <w:rFonts w:ascii="Arial" w:hAnsi="Arial" w:cs="Arial"/>
          <w:i/>
          <w:iCs/>
        </w:rPr>
        <w:t>Journal of Travel Research</w:t>
      </w:r>
      <w:r w:rsidRPr="002849E6">
        <w:rPr>
          <w:rFonts w:ascii="Arial" w:hAnsi="Arial" w:cs="Arial"/>
        </w:rPr>
        <w:t xml:space="preserve">, 62(7), pp. 1205–1221. </w:t>
      </w:r>
    </w:p>
    <w:p w14:paraId="1A50D599" w14:textId="77777777" w:rsidR="002849E6" w:rsidRPr="002849E6" w:rsidRDefault="002849E6" w:rsidP="002849E6">
      <w:pPr>
        <w:spacing w:line="360" w:lineRule="auto"/>
        <w:jc w:val="both"/>
        <w:rPr>
          <w:rFonts w:ascii="Arial" w:hAnsi="Arial" w:cs="Arial"/>
        </w:rPr>
      </w:pPr>
      <w:r w:rsidRPr="002849E6">
        <w:rPr>
          <w:rFonts w:ascii="Arial" w:hAnsi="Arial" w:cs="Arial"/>
        </w:rPr>
        <w:t xml:space="preserve">Royal Caribbean Group (2024) </w:t>
      </w:r>
      <w:r w:rsidRPr="002849E6">
        <w:rPr>
          <w:rFonts w:ascii="Arial" w:hAnsi="Arial" w:cs="Arial"/>
          <w:i/>
          <w:iCs/>
        </w:rPr>
        <w:t>SEA the Future Sustainability Report</w:t>
      </w:r>
      <w:r w:rsidRPr="002849E6">
        <w:rPr>
          <w:rFonts w:ascii="Arial" w:hAnsi="Arial" w:cs="Arial"/>
        </w:rPr>
        <w:t xml:space="preserve">. Available at: </w:t>
      </w:r>
      <w:hyperlink r:id="rId14" w:history="1">
        <w:r w:rsidRPr="002849E6">
          <w:rPr>
            <w:rStyle w:val="Hyperlink"/>
            <w:rFonts w:ascii="Arial" w:hAnsi="Arial" w:cs="Arial"/>
          </w:rPr>
          <w:t>https://www.royalcaribbeangroup.com/sustainability/</w:t>
        </w:r>
      </w:hyperlink>
      <w:r w:rsidRPr="002849E6">
        <w:rPr>
          <w:rFonts w:ascii="Arial" w:hAnsi="Arial" w:cs="Arial"/>
        </w:rPr>
        <w:t xml:space="preserve"> (Accessed: 1 June 2026).</w:t>
      </w:r>
    </w:p>
    <w:p w14:paraId="2A1F001C" w14:textId="77777777" w:rsidR="002849E6" w:rsidRPr="002849E6" w:rsidRDefault="002849E6" w:rsidP="002849E6">
      <w:pPr>
        <w:spacing w:line="360" w:lineRule="auto"/>
        <w:jc w:val="both"/>
        <w:rPr>
          <w:rFonts w:ascii="Arial" w:hAnsi="Arial" w:cs="Arial"/>
        </w:rPr>
      </w:pPr>
      <w:r w:rsidRPr="002849E6">
        <w:rPr>
          <w:rFonts w:ascii="Arial" w:hAnsi="Arial" w:cs="Arial"/>
        </w:rPr>
        <w:t xml:space="preserve">Ryan, D. (2024) </w:t>
      </w:r>
      <w:r w:rsidRPr="002849E6">
        <w:rPr>
          <w:rFonts w:ascii="Arial" w:hAnsi="Arial" w:cs="Arial"/>
          <w:i/>
          <w:iCs/>
        </w:rPr>
        <w:t>Understanding Digital Marketing</w:t>
      </w:r>
      <w:r w:rsidRPr="002849E6">
        <w:rPr>
          <w:rFonts w:ascii="Arial" w:hAnsi="Arial" w:cs="Arial"/>
        </w:rPr>
        <w:t xml:space="preserve">. 6th </w:t>
      </w:r>
      <w:proofErr w:type="spellStart"/>
      <w:r w:rsidRPr="002849E6">
        <w:rPr>
          <w:rFonts w:ascii="Arial" w:hAnsi="Arial" w:cs="Arial"/>
        </w:rPr>
        <w:t>edn</w:t>
      </w:r>
      <w:proofErr w:type="spellEnd"/>
      <w:r w:rsidRPr="002849E6">
        <w:rPr>
          <w:rFonts w:ascii="Arial" w:hAnsi="Arial" w:cs="Arial"/>
        </w:rPr>
        <w:t>. London: Kogan Page.</w:t>
      </w:r>
    </w:p>
    <w:p w14:paraId="02540E7D" w14:textId="5D86A11B" w:rsidR="002849E6" w:rsidRPr="002849E6" w:rsidRDefault="002849E6" w:rsidP="002849E6">
      <w:pPr>
        <w:spacing w:line="360" w:lineRule="auto"/>
        <w:jc w:val="both"/>
        <w:rPr>
          <w:rFonts w:ascii="Arial" w:hAnsi="Arial" w:cs="Arial"/>
        </w:rPr>
      </w:pPr>
      <w:r w:rsidRPr="002849E6">
        <w:rPr>
          <w:rFonts w:ascii="Arial" w:hAnsi="Arial" w:cs="Arial"/>
        </w:rPr>
        <w:t xml:space="preserve">Santos, M.C., Veiga, C., Águas, P. and Santos, J.A.C. (2022) ‘Tourism, sustainability and cruise destinations: A systematic literature review’, </w:t>
      </w:r>
      <w:r w:rsidRPr="002849E6">
        <w:rPr>
          <w:rFonts w:ascii="Arial" w:hAnsi="Arial" w:cs="Arial"/>
          <w:i/>
          <w:iCs/>
        </w:rPr>
        <w:t>Journal of Sustainable Tourism</w:t>
      </w:r>
      <w:r w:rsidRPr="002849E6">
        <w:rPr>
          <w:rFonts w:ascii="Arial" w:hAnsi="Arial" w:cs="Arial"/>
        </w:rPr>
        <w:t xml:space="preserve">, 30(9), pp. 2087–2108. </w:t>
      </w:r>
    </w:p>
    <w:p w14:paraId="6DBC7C7E" w14:textId="77777777" w:rsidR="002849E6" w:rsidRPr="002849E6" w:rsidRDefault="002849E6" w:rsidP="002849E6">
      <w:pPr>
        <w:spacing w:line="360" w:lineRule="auto"/>
        <w:jc w:val="both"/>
        <w:rPr>
          <w:rFonts w:ascii="Arial" w:hAnsi="Arial" w:cs="Arial"/>
        </w:rPr>
      </w:pPr>
      <w:r w:rsidRPr="002849E6">
        <w:rPr>
          <w:rFonts w:ascii="Arial" w:hAnsi="Arial" w:cs="Arial"/>
        </w:rPr>
        <w:t xml:space="preserve">Smith, P.R. and Zook, Z. (2024) </w:t>
      </w:r>
      <w:r w:rsidRPr="002849E6">
        <w:rPr>
          <w:rFonts w:ascii="Arial" w:hAnsi="Arial" w:cs="Arial"/>
          <w:i/>
          <w:iCs/>
        </w:rPr>
        <w:t>Marketing Communications: Integrating Offline and Online with Social Media</w:t>
      </w:r>
      <w:r w:rsidRPr="002849E6">
        <w:rPr>
          <w:rFonts w:ascii="Arial" w:hAnsi="Arial" w:cs="Arial"/>
        </w:rPr>
        <w:t xml:space="preserve">. 8th </w:t>
      </w:r>
      <w:proofErr w:type="spellStart"/>
      <w:r w:rsidRPr="002849E6">
        <w:rPr>
          <w:rFonts w:ascii="Arial" w:hAnsi="Arial" w:cs="Arial"/>
        </w:rPr>
        <w:t>edn</w:t>
      </w:r>
      <w:proofErr w:type="spellEnd"/>
      <w:r w:rsidRPr="002849E6">
        <w:rPr>
          <w:rFonts w:ascii="Arial" w:hAnsi="Arial" w:cs="Arial"/>
        </w:rPr>
        <w:t>. London: Kogan Page.</w:t>
      </w:r>
    </w:p>
    <w:p w14:paraId="7300D89F" w14:textId="77777777" w:rsidR="002849E6" w:rsidRPr="002849E6" w:rsidRDefault="002849E6" w:rsidP="002849E6">
      <w:pPr>
        <w:spacing w:line="360" w:lineRule="auto"/>
        <w:jc w:val="both"/>
        <w:rPr>
          <w:rFonts w:ascii="Arial" w:hAnsi="Arial" w:cs="Arial"/>
        </w:rPr>
      </w:pPr>
      <w:r w:rsidRPr="002849E6">
        <w:rPr>
          <w:rFonts w:ascii="Arial" w:hAnsi="Arial" w:cs="Arial"/>
        </w:rPr>
        <w:t xml:space="preserve">Solomon, M.R. (2023) </w:t>
      </w:r>
      <w:r w:rsidRPr="002849E6">
        <w:rPr>
          <w:rFonts w:ascii="Arial" w:hAnsi="Arial" w:cs="Arial"/>
          <w:i/>
          <w:iCs/>
        </w:rPr>
        <w:t>Consumer Behaviour: Buying, Having and Being</w:t>
      </w:r>
      <w:r w:rsidRPr="002849E6">
        <w:rPr>
          <w:rFonts w:ascii="Arial" w:hAnsi="Arial" w:cs="Arial"/>
        </w:rPr>
        <w:t xml:space="preserve">. 14th </w:t>
      </w:r>
      <w:proofErr w:type="spellStart"/>
      <w:r w:rsidRPr="002849E6">
        <w:rPr>
          <w:rFonts w:ascii="Arial" w:hAnsi="Arial" w:cs="Arial"/>
        </w:rPr>
        <w:t>edn</w:t>
      </w:r>
      <w:proofErr w:type="spellEnd"/>
      <w:r w:rsidRPr="002849E6">
        <w:rPr>
          <w:rFonts w:ascii="Arial" w:hAnsi="Arial" w:cs="Arial"/>
        </w:rPr>
        <w:t>. Harlow: Pearson.</w:t>
      </w:r>
    </w:p>
    <w:p w14:paraId="02833D6F" w14:textId="77777777" w:rsidR="002849E6" w:rsidRPr="002849E6" w:rsidRDefault="002849E6" w:rsidP="002849E6">
      <w:pPr>
        <w:spacing w:line="360" w:lineRule="auto"/>
        <w:jc w:val="both"/>
        <w:rPr>
          <w:rFonts w:ascii="Arial" w:hAnsi="Arial" w:cs="Arial"/>
        </w:rPr>
      </w:pPr>
      <w:r w:rsidRPr="002849E6">
        <w:rPr>
          <w:rFonts w:ascii="Arial" w:hAnsi="Arial" w:cs="Arial"/>
        </w:rPr>
        <w:t xml:space="preserve">Teece, D.J. (2018) ‘Business models and dynamic capabilities’, </w:t>
      </w:r>
      <w:r w:rsidRPr="002849E6">
        <w:rPr>
          <w:rFonts w:ascii="Arial" w:hAnsi="Arial" w:cs="Arial"/>
          <w:i/>
          <w:iCs/>
        </w:rPr>
        <w:t>Long Range Planning</w:t>
      </w:r>
      <w:r w:rsidRPr="002849E6">
        <w:rPr>
          <w:rFonts w:ascii="Arial" w:hAnsi="Arial" w:cs="Arial"/>
        </w:rPr>
        <w:t xml:space="preserve">, 51(1), pp. 40–49. Available at: </w:t>
      </w:r>
      <w:hyperlink r:id="rId15" w:history="1">
        <w:r w:rsidRPr="002849E6">
          <w:rPr>
            <w:rStyle w:val="Hyperlink"/>
            <w:rFonts w:ascii="Arial" w:hAnsi="Arial" w:cs="Arial"/>
          </w:rPr>
          <w:t>https://doi.org/10.1016/j.lrp.2017.06.007</w:t>
        </w:r>
      </w:hyperlink>
    </w:p>
    <w:p w14:paraId="7FD86D90" w14:textId="74CFBDA6" w:rsidR="002849E6" w:rsidRPr="002849E6" w:rsidRDefault="002849E6" w:rsidP="002849E6">
      <w:pPr>
        <w:spacing w:line="360" w:lineRule="auto"/>
        <w:jc w:val="both"/>
        <w:rPr>
          <w:rFonts w:ascii="Arial" w:hAnsi="Arial" w:cs="Arial"/>
        </w:rPr>
      </w:pPr>
      <w:r w:rsidRPr="002849E6">
        <w:rPr>
          <w:rFonts w:ascii="Arial" w:hAnsi="Arial" w:cs="Arial"/>
        </w:rPr>
        <w:t xml:space="preserve">UNWTO (2024) </w:t>
      </w:r>
      <w:r w:rsidRPr="002849E6">
        <w:rPr>
          <w:rFonts w:ascii="Arial" w:hAnsi="Arial" w:cs="Arial"/>
          <w:i/>
          <w:iCs/>
        </w:rPr>
        <w:t>Global Tourism Trends Report</w:t>
      </w:r>
      <w:r w:rsidRPr="002849E6">
        <w:rPr>
          <w:rFonts w:ascii="Arial" w:hAnsi="Arial" w:cs="Arial"/>
        </w:rPr>
        <w:t xml:space="preserve">. Available at: </w:t>
      </w:r>
      <w:hyperlink r:id="rId16" w:history="1">
        <w:r w:rsidRPr="002849E6">
          <w:rPr>
            <w:rStyle w:val="Hyperlink"/>
            <w:rFonts w:ascii="Arial" w:hAnsi="Arial" w:cs="Arial"/>
          </w:rPr>
          <w:t>https://www.unwto.org</w:t>
        </w:r>
      </w:hyperlink>
      <w:r w:rsidRPr="002849E6">
        <w:rPr>
          <w:rFonts w:ascii="Arial" w:hAnsi="Arial" w:cs="Arial"/>
        </w:rPr>
        <w:t xml:space="preserve"> (Accessed: </w:t>
      </w:r>
      <w:r w:rsidR="005466AD">
        <w:rPr>
          <w:rFonts w:ascii="Arial" w:hAnsi="Arial" w:cs="Arial"/>
        </w:rPr>
        <w:t>4</w:t>
      </w:r>
      <w:r w:rsidRPr="002849E6">
        <w:rPr>
          <w:rFonts w:ascii="Arial" w:hAnsi="Arial" w:cs="Arial"/>
        </w:rPr>
        <w:t xml:space="preserve"> June 2026).</w:t>
      </w:r>
    </w:p>
    <w:p w14:paraId="2CF02DE5" w14:textId="77777777" w:rsidR="002849E6" w:rsidRPr="002849E6" w:rsidRDefault="002849E6" w:rsidP="002849E6">
      <w:pPr>
        <w:spacing w:line="360" w:lineRule="auto"/>
        <w:jc w:val="both"/>
        <w:rPr>
          <w:rFonts w:ascii="Arial" w:hAnsi="Arial" w:cs="Arial"/>
        </w:rPr>
      </w:pPr>
      <w:r w:rsidRPr="002849E6">
        <w:rPr>
          <w:rFonts w:ascii="Arial" w:hAnsi="Arial" w:cs="Arial"/>
        </w:rPr>
        <w:t xml:space="preserve">Vargo, S.L. and Lusch, R.F. (2016) ‘Institutions and axioms: An extension and update of service-dominant logic’, </w:t>
      </w:r>
      <w:r w:rsidRPr="002849E6">
        <w:rPr>
          <w:rFonts w:ascii="Arial" w:hAnsi="Arial" w:cs="Arial"/>
          <w:i/>
          <w:iCs/>
        </w:rPr>
        <w:t>Journal of the Academy of Marketing Science</w:t>
      </w:r>
      <w:r w:rsidRPr="002849E6">
        <w:rPr>
          <w:rFonts w:ascii="Arial" w:hAnsi="Arial" w:cs="Arial"/>
        </w:rPr>
        <w:t xml:space="preserve">, 44(1), pp. 5–23. Available at: </w:t>
      </w:r>
      <w:hyperlink r:id="rId17" w:history="1">
        <w:r w:rsidRPr="002849E6">
          <w:rPr>
            <w:rStyle w:val="Hyperlink"/>
            <w:rFonts w:ascii="Arial" w:hAnsi="Arial" w:cs="Arial"/>
          </w:rPr>
          <w:t>https://doi.org/10.1007/s11747-015-0456-3</w:t>
        </w:r>
      </w:hyperlink>
    </w:p>
    <w:p w14:paraId="151D690F" w14:textId="77777777" w:rsidR="002849E6" w:rsidRPr="002849E6" w:rsidRDefault="002849E6" w:rsidP="002849E6">
      <w:pPr>
        <w:spacing w:line="360" w:lineRule="auto"/>
        <w:jc w:val="both"/>
        <w:rPr>
          <w:rFonts w:ascii="Arial" w:hAnsi="Arial" w:cs="Arial"/>
        </w:rPr>
      </w:pPr>
      <w:r w:rsidRPr="002849E6">
        <w:rPr>
          <w:rFonts w:ascii="Arial" w:hAnsi="Arial" w:cs="Arial"/>
        </w:rPr>
        <w:t xml:space="preserve">Verhoef, P.C., Broekhuizen, T., Bart, Y., Bhattacharya, A., Dong, J.Q. and Fabian, N. (2021) ‘Digital transformation: A multidisciplinary reflection and research agenda’, </w:t>
      </w:r>
      <w:r w:rsidRPr="002849E6">
        <w:rPr>
          <w:rFonts w:ascii="Arial" w:hAnsi="Arial" w:cs="Arial"/>
          <w:i/>
          <w:iCs/>
        </w:rPr>
        <w:lastRenderedPageBreak/>
        <w:t>Journal of Business Research</w:t>
      </w:r>
      <w:r w:rsidRPr="002849E6">
        <w:rPr>
          <w:rFonts w:ascii="Arial" w:hAnsi="Arial" w:cs="Arial"/>
        </w:rPr>
        <w:t xml:space="preserve">, 122, pp. 889–901. Available at: </w:t>
      </w:r>
      <w:hyperlink r:id="rId18" w:history="1">
        <w:r w:rsidRPr="002849E6">
          <w:rPr>
            <w:rStyle w:val="Hyperlink"/>
            <w:rFonts w:ascii="Arial" w:hAnsi="Arial" w:cs="Arial"/>
          </w:rPr>
          <w:t>https://doi.org/10.1016/j.jbusres.2019.09.022</w:t>
        </w:r>
      </w:hyperlink>
    </w:p>
    <w:p w14:paraId="24542723" w14:textId="7364ED6B" w:rsidR="002849E6" w:rsidRPr="002849E6" w:rsidRDefault="002849E6" w:rsidP="002849E6">
      <w:pPr>
        <w:spacing w:line="360" w:lineRule="auto"/>
        <w:jc w:val="both"/>
        <w:rPr>
          <w:rFonts w:ascii="Arial" w:hAnsi="Arial" w:cs="Arial"/>
        </w:rPr>
      </w:pPr>
      <w:r w:rsidRPr="002849E6">
        <w:rPr>
          <w:rFonts w:ascii="Arial" w:hAnsi="Arial" w:cs="Arial"/>
        </w:rPr>
        <w:t xml:space="preserve">World Travel and Tourism Council (2024) </w:t>
      </w:r>
      <w:r w:rsidRPr="002849E6">
        <w:rPr>
          <w:rFonts w:ascii="Arial" w:hAnsi="Arial" w:cs="Arial"/>
          <w:i/>
          <w:iCs/>
        </w:rPr>
        <w:t>Travel and Tourism Economic Impact Report</w:t>
      </w:r>
      <w:r w:rsidRPr="002849E6">
        <w:rPr>
          <w:rFonts w:ascii="Arial" w:hAnsi="Arial" w:cs="Arial"/>
        </w:rPr>
        <w:t xml:space="preserve">. Available at: </w:t>
      </w:r>
      <w:hyperlink r:id="rId19" w:history="1">
        <w:r w:rsidRPr="002849E6">
          <w:rPr>
            <w:rStyle w:val="Hyperlink"/>
            <w:rFonts w:ascii="Arial" w:hAnsi="Arial" w:cs="Arial"/>
          </w:rPr>
          <w:t>https://wttc.org/research</w:t>
        </w:r>
      </w:hyperlink>
      <w:r w:rsidRPr="002849E6">
        <w:rPr>
          <w:rFonts w:ascii="Arial" w:hAnsi="Arial" w:cs="Arial"/>
        </w:rPr>
        <w:t xml:space="preserve"> (Accessed: </w:t>
      </w:r>
      <w:r w:rsidR="002245CB">
        <w:rPr>
          <w:rFonts w:ascii="Arial" w:hAnsi="Arial" w:cs="Arial"/>
        </w:rPr>
        <w:t>4</w:t>
      </w:r>
      <w:r w:rsidRPr="002849E6">
        <w:rPr>
          <w:rFonts w:ascii="Arial" w:hAnsi="Arial" w:cs="Arial"/>
        </w:rPr>
        <w:t xml:space="preserve"> June 2026).</w:t>
      </w:r>
    </w:p>
    <w:p w14:paraId="4B6E3684" w14:textId="27CB80F7" w:rsidR="002849E6" w:rsidRPr="002849E6" w:rsidRDefault="002849E6" w:rsidP="002849E6">
      <w:pPr>
        <w:spacing w:line="360" w:lineRule="auto"/>
        <w:jc w:val="both"/>
        <w:rPr>
          <w:rFonts w:ascii="Arial" w:hAnsi="Arial" w:cs="Arial"/>
        </w:rPr>
      </w:pPr>
      <w:r w:rsidRPr="002849E6">
        <w:rPr>
          <w:rFonts w:ascii="Arial" w:hAnsi="Arial" w:cs="Arial"/>
        </w:rPr>
        <w:t xml:space="preserve">Xiang, Z., Du, Q., Ma, Y. and Fan, W. (2021) ‘A comparative analysis of major online review platforms: Implications for social media marketing in tourism’, </w:t>
      </w:r>
      <w:r w:rsidRPr="002849E6">
        <w:rPr>
          <w:rFonts w:ascii="Arial" w:hAnsi="Arial" w:cs="Arial"/>
          <w:i/>
          <w:iCs/>
        </w:rPr>
        <w:t>Tourism Management</w:t>
      </w:r>
      <w:r w:rsidRPr="002849E6">
        <w:rPr>
          <w:rFonts w:ascii="Arial" w:hAnsi="Arial" w:cs="Arial"/>
        </w:rPr>
        <w:t xml:space="preserve">, 83, 104278. </w:t>
      </w:r>
    </w:p>
    <w:p w14:paraId="1BDA71A8" w14:textId="10DF8079" w:rsidR="004D0F98" w:rsidRPr="004D0F98" w:rsidRDefault="004D0F98" w:rsidP="004D0F98">
      <w:pPr>
        <w:spacing w:line="360" w:lineRule="auto"/>
        <w:jc w:val="both"/>
        <w:rPr>
          <w:rFonts w:ascii="Arial" w:hAnsi="Arial" w:cs="Arial"/>
        </w:rPr>
      </w:pPr>
    </w:p>
    <w:p w14:paraId="251AA808" w14:textId="77777777" w:rsidR="00CF29C4" w:rsidRDefault="00CF29C4" w:rsidP="004D0F98">
      <w:pPr>
        <w:spacing w:line="360" w:lineRule="auto"/>
        <w:jc w:val="both"/>
        <w:rPr>
          <w:rFonts w:ascii="Arial" w:hAnsi="Arial" w:cs="Arial"/>
          <w:b/>
          <w:bCs/>
        </w:rPr>
      </w:pPr>
    </w:p>
    <w:p w14:paraId="289DC7A0" w14:textId="77777777" w:rsidR="00CF29C4" w:rsidRDefault="00CF29C4" w:rsidP="004D0F98">
      <w:pPr>
        <w:spacing w:line="360" w:lineRule="auto"/>
        <w:jc w:val="both"/>
        <w:rPr>
          <w:rFonts w:ascii="Arial" w:hAnsi="Arial" w:cs="Arial"/>
          <w:b/>
          <w:bCs/>
        </w:rPr>
      </w:pPr>
    </w:p>
    <w:p w14:paraId="47A25C0C" w14:textId="77777777" w:rsidR="00CF29C4" w:rsidRDefault="00CF29C4" w:rsidP="004D0F98">
      <w:pPr>
        <w:spacing w:line="360" w:lineRule="auto"/>
        <w:jc w:val="both"/>
        <w:rPr>
          <w:rFonts w:ascii="Arial" w:hAnsi="Arial" w:cs="Arial"/>
          <w:b/>
          <w:bCs/>
        </w:rPr>
      </w:pPr>
    </w:p>
    <w:p w14:paraId="5F763D69" w14:textId="77777777" w:rsidR="00CF29C4" w:rsidRDefault="00CF29C4" w:rsidP="004D0F98">
      <w:pPr>
        <w:spacing w:line="360" w:lineRule="auto"/>
        <w:jc w:val="both"/>
        <w:rPr>
          <w:rFonts w:ascii="Arial" w:hAnsi="Arial" w:cs="Arial"/>
          <w:b/>
          <w:bCs/>
        </w:rPr>
      </w:pPr>
    </w:p>
    <w:p w14:paraId="7518B523" w14:textId="77777777" w:rsidR="00CF29C4" w:rsidRDefault="00CF29C4" w:rsidP="004D0F98">
      <w:pPr>
        <w:spacing w:line="360" w:lineRule="auto"/>
        <w:jc w:val="both"/>
        <w:rPr>
          <w:rFonts w:ascii="Arial" w:hAnsi="Arial" w:cs="Arial"/>
          <w:b/>
          <w:bCs/>
        </w:rPr>
      </w:pPr>
    </w:p>
    <w:p w14:paraId="5EB2900D" w14:textId="77777777" w:rsidR="00CF29C4" w:rsidRDefault="00CF29C4" w:rsidP="004D0F98">
      <w:pPr>
        <w:spacing w:line="360" w:lineRule="auto"/>
        <w:jc w:val="both"/>
        <w:rPr>
          <w:rFonts w:ascii="Arial" w:hAnsi="Arial" w:cs="Arial"/>
          <w:b/>
          <w:bCs/>
        </w:rPr>
      </w:pPr>
    </w:p>
    <w:p w14:paraId="42221CE8" w14:textId="77777777" w:rsidR="00CF29C4" w:rsidRDefault="00CF29C4" w:rsidP="004D0F98">
      <w:pPr>
        <w:spacing w:line="360" w:lineRule="auto"/>
        <w:jc w:val="both"/>
        <w:rPr>
          <w:rFonts w:ascii="Arial" w:hAnsi="Arial" w:cs="Arial"/>
          <w:b/>
          <w:bCs/>
        </w:rPr>
      </w:pPr>
    </w:p>
    <w:p w14:paraId="09467278" w14:textId="77777777" w:rsidR="00CF29C4" w:rsidRDefault="00CF29C4" w:rsidP="004D0F98">
      <w:pPr>
        <w:spacing w:line="360" w:lineRule="auto"/>
        <w:jc w:val="both"/>
        <w:rPr>
          <w:rFonts w:ascii="Arial" w:hAnsi="Arial" w:cs="Arial"/>
          <w:b/>
          <w:bCs/>
        </w:rPr>
      </w:pPr>
    </w:p>
    <w:p w14:paraId="5E26BC80" w14:textId="77777777" w:rsidR="00CF29C4" w:rsidRDefault="00CF29C4" w:rsidP="004D0F98">
      <w:pPr>
        <w:spacing w:line="360" w:lineRule="auto"/>
        <w:jc w:val="both"/>
        <w:rPr>
          <w:rFonts w:ascii="Arial" w:hAnsi="Arial" w:cs="Arial"/>
          <w:b/>
          <w:bCs/>
        </w:rPr>
      </w:pPr>
    </w:p>
    <w:p w14:paraId="00F155F8" w14:textId="77777777" w:rsidR="00CF29C4" w:rsidRDefault="00CF29C4" w:rsidP="004D0F98">
      <w:pPr>
        <w:spacing w:line="360" w:lineRule="auto"/>
        <w:jc w:val="both"/>
        <w:rPr>
          <w:rFonts w:ascii="Arial" w:hAnsi="Arial" w:cs="Arial"/>
          <w:b/>
          <w:bCs/>
        </w:rPr>
      </w:pPr>
    </w:p>
    <w:p w14:paraId="38C067E7" w14:textId="77777777" w:rsidR="00CF29C4" w:rsidRDefault="00CF29C4" w:rsidP="004D0F98">
      <w:pPr>
        <w:spacing w:line="360" w:lineRule="auto"/>
        <w:jc w:val="both"/>
        <w:rPr>
          <w:rFonts w:ascii="Arial" w:hAnsi="Arial" w:cs="Arial"/>
          <w:b/>
          <w:bCs/>
        </w:rPr>
      </w:pPr>
    </w:p>
    <w:p w14:paraId="77488B05" w14:textId="77777777" w:rsidR="00CF29C4" w:rsidRDefault="00CF29C4" w:rsidP="004D0F98">
      <w:pPr>
        <w:spacing w:line="360" w:lineRule="auto"/>
        <w:jc w:val="both"/>
        <w:rPr>
          <w:rFonts w:ascii="Arial" w:hAnsi="Arial" w:cs="Arial"/>
          <w:b/>
          <w:bCs/>
        </w:rPr>
      </w:pPr>
    </w:p>
    <w:p w14:paraId="66A4832D" w14:textId="77777777" w:rsidR="00CF29C4" w:rsidRDefault="00CF29C4" w:rsidP="004D0F98">
      <w:pPr>
        <w:spacing w:line="360" w:lineRule="auto"/>
        <w:jc w:val="both"/>
        <w:rPr>
          <w:rFonts w:ascii="Arial" w:hAnsi="Arial" w:cs="Arial"/>
          <w:b/>
          <w:bCs/>
        </w:rPr>
      </w:pPr>
    </w:p>
    <w:p w14:paraId="27867DDB" w14:textId="77777777" w:rsidR="00CF29C4" w:rsidRDefault="00CF29C4" w:rsidP="004D0F98">
      <w:pPr>
        <w:spacing w:line="360" w:lineRule="auto"/>
        <w:jc w:val="both"/>
        <w:rPr>
          <w:rFonts w:ascii="Arial" w:hAnsi="Arial" w:cs="Arial"/>
          <w:b/>
          <w:bCs/>
        </w:rPr>
      </w:pPr>
    </w:p>
    <w:p w14:paraId="53B4EFBD" w14:textId="77777777" w:rsidR="00CF29C4" w:rsidRDefault="00CF29C4" w:rsidP="004D0F98">
      <w:pPr>
        <w:spacing w:line="360" w:lineRule="auto"/>
        <w:jc w:val="both"/>
        <w:rPr>
          <w:rFonts w:ascii="Arial" w:hAnsi="Arial" w:cs="Arial"/>
          <w:b/>
          <w:bCs/>
        </w:rPr>
      </w:pPr>
    </w:p>
    <w:p w14:paraId="382A749E" w14:textId="77777777" w:rsidR="00CF29C4" w:rsidRDefault="00CF29C4" w:rsidP="004D0F98">
      <w:pPr>
        <w:spacing w:line="360" w:lineRule="auto"/>
        <w:jc w:val="both"/>
        <w:rPr>
          <w:rFonts w:ascii="Arial" w:hAnsi="Arial" w:cs="Arial"/>
          <w:b/>
          <w:bCs/>
        </w:rPr>
      </w:pPr>
    </w:p>
    <w:p w14:paraId="7C89CF38" w14:textId="77777777" w:rsidR="00CF29C4" w:rsidRDefault="00CF29C4" w:rsidP="004D0F98">
      <w:pPr>
        <w:spacing w:line="360" w:lineRule="auto"/>
        <w:jc w:val="both"/>
        <w:rPr>
          <w:rFonts w:ascii="Arial" w:hAnsi="Arial" w:cs="Arial"/>
          <w:b/>
          <w:bCs/>
        </w:rPr>
      </w:pPr>
    </w:p>
    <w:p w14:paraId="26470962" w14:textId="2E47335A" w:rsidR="004D0F98" w:rsidRPr="00CE1C08" w:rsidRDefault="004D0F98" w:rsidP="004D0F98">
      <w:pPr>
        <w:spacing w:line="360" w:lineRule="auto"/>
        <w:jc w:val="both"/>
        <w:rPr>
          <w:rFonts w:ascii="Arial" w:hAnsi="Arial" w:cs="Arial"/>
          <w:b/>
          <w:bCs/>
          <w:sz w:val="28"/>
          <w:szCs w:val="28"/>
        </w:rPr>
      </w:pPr>
      <w:r w:rsidRPr="00CE1C08">
        <w:rPr>
          <w:rFonts w:ascii="Arial" w:hAnsi="Arial" w:cs="Arial"/>
          <w:b/>
          <w:bCs/>
          <w:sz w:val="28"/>
          <w:szCs w:val="28"/>
        </w:rPr>
        <w:lastRenderedPageBreak/>
        <w:t>8. Appendices</w:t>
      </w:r>
    </w:p>
    <w:p w14:paraId="02BA82FE" w14:textId="77777777" w:rsidR="00CF29C4" w:rsidRPr="004D0F98" w:rsidRDefault="00CF29C4" w:rsidP="004D0F98">
      <w:pPr>
        <w:spacing w:line="360" w:lineRule="auto"/>
        <w:jc w:val="both"/>
        <w:rPr>
          <w:rFonts w:ascii="Arial" w:hAnsi="Arial" w:cs="Arial"/>
          <w:b/>
          <w:bCs/>
        </w:rPr>
      </w:pPr>
    </w:p>
    <w:p w14:paraId="0E3FB5CB"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Appendix A: PESTEL Analysis Summary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10"/>
        <w:gridCol w:w="5171"/>
      </w:tblGrid>
      <w:tr w:rsidR="004D0F98" w:rsidRPr="004D0F98" w14:paraId="2CC47919" w14:textId="77777777">
        <w:trPr>
          <w:tblHeader/>
          <w:tblCellSpacing w:w="15" w:type="dxa"/>
        </w:trPr>
        <w:tc>
          <w:tcPr>
            <w:tcW w:w="0" w:type="auto"/>
            <w:vAlign w:val="center"/>
            <w:hideMark/>
          </w:tcPr>
          <w:p w14:paraId="3D2DE145"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Factor</w:t>
            </w:r>
          </w:p>
        </w:tc>
        <w:tc>
          <w:tcPr>
            <w:tcW w:w="0" w:type="auto"/>
            <w:vAlign w:val="center"/>
            <w:hideMark/>
          </w:tcPr>
          <w:p w14:paraId="2427FA92"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Key Impact on Celebrity Cruises</w:t>
            </w:r>
          </w:p>
        </w:tc>
      </w:tr>
      <w:tr w:rsidR="004D0F98" w:rsidRPr="004D0F98" w14:paraId="06D40E78" w14:textId="77777777">
        <w:trPr>
          <w:tblCellSpacing w:w="15" w:type="dxa"/>
        </w:trPr>
        <w:tc>
          <w:tcPr>
            <w:tcW w:w="0" w:type="auto"/>
            <w:vAlign w:val="center"/>
            <w:hideMark/>
          </w:tcPr>
          <w:p w14:paraId="0866878E" w14:textId="77777777" w:rsidR="004D0F98" w:rsidRPr="004D0F98" w:rsidRDefault="004D0F98" w:rsidP="004D0F98">
            <w:pPr>
              <w:spacing w:line="360" w:lineRule="auto"/>
              <w:jc w:val="both"/>
              <w:rPr>
                <w:rFonts w:ascii="Arial" w:hAnsi="Arial" w:cs="Arial"/>
              </w:rPr>
            </w:pPr>
            <w:r w:rsidRPr="004D0F98">
              <w:rPr>
                <w:rFonts w:ascii="Arial" w:hAnsi="Arial" w:cs="Arial"/>
              </w:rPr>
              <w:t>Political</w:t>
            </w:r>
          </w:p>
        </w:tc>
        <w:tc>
          <w:tcPr>
            <w:tcW w:w="0" w:type="auto"/>
            <w:vAlign w:val="center"/>
            <w:hideMark/>
          </w:tcPr>
          <w:p w14:paraId="606B1366" w14:textId="77777777" w:rsidR="004D0F98" w:rsidRPr="004D0F98" w:rsidRDefault="004D0F98" w:rsidP="004D0F98">
            <w:pPr>
              <w:spacing w:line="360" w:lineRule="auto"/>
              <w:jc w:val="both"/>
              <w:rPr>
                <w:rFonts w:ascii="Arial" w:hAnsi="Arial" w:cs="Arial"/>
              </w:rPr>
            </w:pPr>
            <w:r w:rsidRPr="004D0F98">
              <w:rPr>
                <w:rFonts w:ascii="Arial" w:hAnsi="Arial" w:cs="Arial"/>
              </w:rPr>
              <w:t>Environmental regulations and maritime policies</w:t>
            </w:r>
          </w:p>
        </w:tc>
      </w:tr>
      <w:tr w:rsidR="004D0F98" w:rsidRPr="004D0F98" w14:paraId="4CFA7171" w14:textId="77777777">
        <w:trPr>
          <w:tblCellSpacing w:w="15" w:type="dxa"/>
        </w:trPr>
        <w:tc>
          <w:tcPr>
            <w:tcW w:w="0" w:type="auto"/>
            <w:vAlign w:val="center"/>
            <w:hideMark/>
          </w:tcPr>
          <w:p w14:paraId="103BBFFA" w14:textId="77777777" w:rsidR="004D0F98" w:rsidRPr="004D0F98" w:rsidRDefault="004D0F98" w:rsidP="004D0F98">
            <w:pPr>
              <w:spacing w:line="360" w:lineRule="auto"/>
              <w:jc w:val="both"/>
              <w:rPr>
                <w:rFonts w:ascii="Arial" w:hAnsi="Arial" w:cs="Arial"/>
              </w:rPr>
            </w:pPr>
            <w:r w:rsidRPr="004D0F98">
              <w:rPr>
                <w:rFonts w:ascii="Arial" w:hAnsi="Arial" w:cs="Arial"/>
              </w:rPr>
              <w:t>Economic</w:t>
            </w:r>
          </w:p>
        </w:tc>
        <w:tc>
          <w:tcPr>
            <w:tcW w:w="0" w:type="auto"/>
            <w:vAlign w:val="center"/>
            <w:hideMark/>
          </w:tcPr>
          <w:p w14:paraId="5F409E01" w14:textId="77777777" w:rsidR="004D0F98" w:rsidRPr="004D0F98" w:rsidRDefault="004D0F98" w:rsidP="004D0F98">
            <w:pPr>
              <w:spacing w:line="360" w:lineRule="auto"/>
              <w:jc w:val="both"/>
              <w:rPr>
                <w:rFonts w:ascii="Arial" w:hAnsi="Arial" w:cs="Arial"/>
              </w:rPr>
            </w:pPr>
            <w:r w:rsidRPr="004D0F98">
              <w:rPr>
                <w:rFonts w:ascii="Arial" w:hAnsi="Arial" w:cs="Arial"/>
              </w:rPr>
              <w:t>Inflation and changing travel expenditure</w:t>
            </w:r>
          </w:p>
        </w:tc>
      </w:tr>
      <w:tr w:rsidR="004D0F98" w:rsidRPr="004D0F98" w14:paraId="127CD909" w14:textId="77777777">
        <w:trPr>
          <w:tblCellSpacing w:w="15" w:type="dxa"/>
        </w:trPr>
        <w:tc>
          <w:tcPr>
            <w:tcW w:w="0" w:type="auto"/>
            <w:vAlign w:val="center"/>
            <w:hideMark/>
          </w:tcPr>
          <w:p w14:paraId="3EDED72A" w14:textId="77777777" w:rsidR="004D0F98" w:rsidRPr="004D0F98" w:rsidRDefault="004D0F98" w:rsidP="004D0F98">
            <w:pPr>
              <w:spacing w:line="360" w:lineRule="auto"/>
              <w:jc w:val="both"/>
              <w:rPr>
                <w:rFonts w:ascii="Arial" w:hAnsi="Arial" w:cs="Arial"/>
              </w:rPr>
            </w:pPr>
            <w:r w:rsidRPr="004D0F98">
              <w:rPr>
                <w:rFonts w:ascii="Arial" w:hAnsi="Arial" w:cs="Arial"/>
              </w:rPr>
              <w:t>Social</w:t>
            </w:r>
          </w:p>
        </w:tc>
        <w:tc>
          <w:tcPr>
            <w:tcW w:w="0" w:type="auto"/>
            <w:vAlign w:val="center"/>
            <w:hideMark/>
          </w:tcPr>
          <w:p w14:paraId="05F13B4E" w14:textId="77777777" w:rsidR="004D0F98" w:rsidRPr="004D0F98" w:rsidRDefault="004D0F98" w:rsidP="004D0F98">
            <w:pPr>
              <w:spacing w:line="360" w:lineRule="auto"/>
              <w:jc w:val="both"/>
              <w:rPr>
                <w:rFonts w:ascii="Arial" w:hAnsi="Arial" w:cs="Arial"/>
              </w:rPr>
            </w:pPr>
            <w:r w:rsidRPr="004D0F98">
              <w:rPr>
                <w:rFonts w:ascii="Arial" w:hAnsi="Arial" w:cs="Arial"/>
              </w:rPr>
              <w:t>Demand for experiences and sustainability</w:t>
            </w:r>
          </w:p>
        </w:tc>
      </w:tr>
      <w:tr w:rsidR="004D0F98" w:rsidRPr="004D0F98" w14:paraId="4A7DDA7E" w14:textId="77777777">
        <w:trPr>
          <w:tblCellSpacing w:w="15" w:type="dxa"/>
        </w:trPr>
        <w:tc>
          <w:tcPr>
            <w:tcW w:w="0" w:type="auto"/>
            <w:vAlign w:val="center"/>
            <w:hideMark/>
          </w:tcPr>
          <w:p w14:paraId="5A9EDC80" w14:textId="77777777" w:rsidR="004D0F98" w:rsidRPr="004D0F98" w:rsidRDefault="004D0F98" w:rsidP="004D0F98">
            <w:pPr>
              <w:spacing w:line="360" w:lineRule="auto"/>
              <w:jc w:val="both"/>
              <w:rPr>
                <w:rFonts w:ascii="Arial" w:hAnsi="Arial" w:cs="Arial"/>
              </w:rPr>
            </w:pPr>
            <w:r w:rsidRPr="004D0F98">
              <w:rPr>
                <w:rFonts w:ascii="Arial" w:hAnsi="Arial" w:cs="Arial"/>
              </w:rPr>
              <w:t>Technological</w:t>
            </w:r>
          </w:p>
        </w:tc>
        <w:tc>
          <w:tcPr>
            <w:tcW w:w="0" w:type="auto"/>
            <w:vAlign w:val="center"/>
            <w:hideMark/>
          </w:tcPr>
          <w:p w14:paraId="1B7DF71D" w14:textId="77777777" w:rsidR="004D0F98" w:rsidRPr="004D0F98" w:rsidRDefault="004D0F98" w:rsidP="004D0F98">
            <w:pPr>
              <w:spacing w:line="360" w:lineRule="auto"/>
              <w:jc w:val="both"/>
              <w:rPr>
                <w:rFonts w:ascii="Arial" w:hAnsi="Arial" w:cs="Arial"/>
              </w:rPr>
            </w:pPr>
            <w:r w:rsidRPr="004D0F98">
              <w:rPr>
                <w:rFonts w:ascii="Arial" w:hAnsi="Arial" w:cs="Arial"/>
              </w:rPr>
              <w:t>AI, analytics and digital engagement</w:t>
            </w:r>
          </w:p>
        </w:tc>
      </w:tr>
      <w:tr w:rsidR="004D0F98" w:rsidRPr="004D0F98" w14:paraId="1316EB62" w14:textId="77777777">
        <w:trPr>
          <w:tblCellSpacing w:w="15" w:type="dxa"/>
        </w:trPr>
        <w:tc>
          <w:tcPr>
            <w:tcW w:w="0" w:type="auto"/>
            <w:vAlign w:val="center"/>
            <w:hideMark/>
          </w:tcPr>
          <w:p w14:paraId="5933EE23" w14:textId="77777777" w:rsidR="004D0F98" w:rsidRPr="004D0F98" w:rsidRDefault="004D0F98" w:rsidP="004D0F98">
            <w:pPr>
              <w:spacing w:line="360" w:lineRule="auto"/>
              <w:jc w:val="both"/>
              <w:rPr>
                <w:rFonts w:ascii="Arial" w:hAnsi="Arial" w:cs="Arial"/>
              </w:rPr>
            </w:pPr>
            <w:r w:rsidRPr="004D0F98">
              <w:rPr>
                <w:rFonts w:ascii="Arial" w:hAnsi="Arial" w:cs="Arial"/>
              </w:rPr>
              <w:t>Environmental</w:t>
            </w:r>
          </w:p>
        </w:tc>
        <w:tc>
          <w:tcPr>
            <w:tcW w:w="0" w:type="auto"/>
            <w:vAlign w:val="center"/>
            <w:hideMark/>
          </w:tcPr>
          <w:p w14:paraId="384390CD" w14:textId="77777777" w:rsidR="004D0F98" w:rsidRPr="004D0F98" w:rsidRDefault="004D0F98" w:rsidP="004D0F98">
            <w:pPr>
              <w:spacing w:line="360" w:lineRule="auto"/>
              <w:jc w:val="both"/>
              <w:rPr>
                <w:rFonts w:ascii="Arial" w:hAnsi="Arial" w:cs="Arial"/>
              </w:rPr>
            </w:pPr>
            <w:r w:rsidRPr="004D0F98">
              <w:rPr>
                <w:rFonts w:ascii="Arial" w:hAnsi="Arial" w:cs="Arial"/>
              </w:rPr>
              <w:t>Emissions and sustainability pressures</w:t>
            </w:r>
          </w:p>
        </w:tc>
      </w:tr>
      <w:tr w:rsidR="004D0F98" w:rsidRPr="004D0F98" w14:paraId="6D700FD8" w14:textId="77777777">
        <w:trPr>
          <w:tblCellSpacing w:w="15" w:type="dxa"/>
        </w:trPr>
        <w:tc>
          <w:tcPr>
            <w:tcW w:w="0" w:type="auto"/>
            <w:vAlign w:val="center"/>
            <w:hideMark/>
          </w:tcPr>
          <w:p w14:paraId="7150B915" w14:textId="77777777" w:rsidR="004D0F98" w:rsidRPr="004D0F98" w:rsidRDefault="004D0F98" w:rsidP="004D0F98">
            <w:pPr>
              <w:spacing w:line="360" w:lineRule="auto"/>
              <w:jc w:val="both"/>
              <w:rPr>
                <w:rFonts w:ascii="Arial" w:hAnsi="Arial" w:cs="Arial"/>
              </w:rPr>
            </w:pPr>
            <w:r w:rsidRPr="004D0F98">
              <w:rPr>
                <w:rFonts w:ascii="Arial" w:hAnsi="Arial" w:cs="Arial"/>
              </w:rPr>
              <w:t>Legal</w:t>
            </w:r>
          </w:p>
        </w:tc>
        <w:tc>
          <w:tcPr>
            <w:tcW w:w="0" w:type="auto"/>
            <w:vAlign w:val="center"/>
            <w:hideMark/>
          </w:tcPr>
          <w:p w14:paraId="40D95A75" w14:textId="77777777" w:rsidR="004D0F98" w:rsidRPr="004D0F98" w:rsidRDefault="004D0F98" w:rsidP="004D0F98">
            <w:pPr>
              <w:spacing w:line="360" w:lineRule="auto"/>
              <w:jc w:val="both"/>
              <w:rPr>
                <w:rFonts w:ascii="Arial" w:hAnsi="Arial" w:cs="Arial"/>
              </w:rPr>
            </w:pPr>
            <w:r w:rsidRPr="004D0F98">
              <w:rPr>
                <w:rFonts w:ascii="Arial" w:hAnsi="Arial" w:cs="Arial"/>
              </w:rPr>
              <w:t>GDPR and environmental compliance</w:t>
            </w:r>
          </w:p>
        </w:tc>
      </w:tr>
    </w:tbl>
    <w:p w14:paraId="0F00ACAE" w14:textId="69505881" w:rsidR="004D0F98" w:rsidRPr="004D0F98" w:rsidRDefault="004D0F98" w:rsidP="004D0F98">
      <w:pPr>
        <w:spacing w:line="360" w:lineRule="auto"/>
        <w:jc w:val="both"/>
        <w:rPr>
          <w:rFonts w:ascii="Arial" w:hAnsi="Arial" w:cs="Arial"/>
        </w:rPr>
      </w:pPr>
    </w:p>
    <w:p w14:paraId="27ED54F9"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Appendix B: SWOT Matrix</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30"/>
        <w:gridCol w:w="3611"/>
      </w:tblGrid>
      <w:tr w:rsidR="004D0F98" w:rsidRPr="004D0F98" w14:paraId="55B57A83" w14:textId="77777777">
        <w:trPr>
          <w:tblHeader/>
          <w:tblCellSpacing w:w="15" w:type="dxa"/>
        </w:trPr>
        <w:tc>
          <w:tcPr>
            <w:tcW w:w="0" w:type="auto"/>
            <w:vAlign w:val="center"/>
            <w:hideMark/>
          </w:tcPr>
          <w:p w14:paraId="56E18C0E"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Strengths</w:t>
            </w:r>
          </w:p>
        </w:tc>
        <w:tc>
          <w:tcPr>
            <w:tcW w:w="0" w:type="auto"/>
            <w:vAlign w:val="center"/>
            <w:hideMark/>
          </w:tcPr>
          <w:p w14:paraId="25C6C663"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Weaknesses</w:t>
            </w:r>
          </w:p>
        </w:tc>
      </w:tr>
      <w:tr w:rsidR="004D0F98" w:rsidRPr="004D0F98" w14:paraId="0D64B120" w14:textId="77777777">
        <w:trPr>
          <w:tblCellSpacing w:w="15" w:type="dxa"/>
        </w:trPr>
        <w:tc>
          <w:tcPr>
            <w:tcW w:w="0" w:type="auto"/>
            <w:vAlign w:val="center"/>
            <w:hideMark/>
          </w:tcPr>
          <w:p w14:paraId="2E29D66C" w14:textId="77777777" w:rsidR="004D0F98" w:rsidRPr="004D0F98" w:rsidRDefault="004D0F98" w:rsidP="004D0F98">
            <w:pPr>
              <w:spacing w:line="360" w:lineRule="auto"/>
              <w:jc w:val="both"/>
              <w:rPr>
                <w:rFonts w:ascii="Arial" w:hAnsi="Arial" w:cs="Arial"/>
              </w:rPr>
            </w:pPr>
            <w:r w:rsidRPr="004D0F98">
              <w:rPr>
                <w:rFonts w:ascii="Arial" w:hAnsi="Arial" w:cs="Arial"/>
              </w:rPr>
              <w:t>Premium brand equity</w:t>
            </w:r>
          </w:p>
        </w:tc>
        <w:tc>
          <w:tcPr>
            <w:tcW w:w="0" w:type="auto"/>
            <w:vAlign w:val="center"/>
            <w:hideMark/>
          </w:tcPr>
          <w:p w14:paraId="1613B71E" w14:textId="77777777" w:rsidR="004D0F98" w:rsidRPr="004D0F98" w:rsidRDefault="004D0F98" w:rsidP="004D0F98">
            <w:pPr>
              <w:spacing w:line="360" w:lineRule="auto"/>
              <w:jc w:val="both"/>
              <w:rPr>
                <w:rFonts w:ascii="Arial" w:hAnsi="Arial" w:cs="Arial"/>
              </w:rPr>
            </w:pPr>
            <w:r w:rsidRPr="004D0F98">
              <w:rPr>
                <w:rFonts w:ascii="Arial" w:hAnsi="Arial" w:cs="Arial"/>
              </w:rPr>
              <w:t>Environmental criticism</w:t>
            </w:r>
          </w:p>
        </w:tc>
      </w:tr>
      <w:tr w:rsidR="004D0F98" w:rsidRPr="004D0F98" w14:paraId="4B9F48B0" w14:textId="77777777">
        <w:trPr>
          <w:tblCellSpacing w:w="15" w:type="dxa"/>
        </w:trPr>
        <w:tc>
          <w:tcPr>
            <w:tcW w:w="0" w:type="auto"/>
            <w:vAlign w:val="center"/>
            <w:hideMark/>
          </w:tcPr>
          <w:p w14:paraId="6AEBC714" w14:textId="77777777" w:rsidR="004D0F98" w:rsidRPr="004D0F98" w:rsidRDefault="004D0F98" w:rsidP="004D0F98">
            <w:pPr>
              <w:spacing w:line="360" w:lineRule="auto"/>
              <w:jc w:val="both"/>
              <w:rPr>
                <w:rFonts w:ascii="Arial" w:hAnsi="Arial" w:cs="Arial"/>
              </w:rPr>
            </w:pPr>
            <w:r w:rsidRPr="004D0F98">
              <w:rPr>
                <w:rFonts w:ascii="Arial" w:hAnsi="Arial" w:cs="Arial"/>
              </w:rPr>
              <w:t>Strong digital capabilities</w:t>
            </w:r>
          </w:p>
        </w:tc>
        <w:tc>
          <w:tcPr>
            <w:tcW w:w="0" w:type="auto"/>
            <w:vAlign w:val="center"/>
            <w:hideMark/>
          </w:tcPr>
          <w:p w14:paraId="72413BC7" w14:textId="77777777" w:rsidR="004D0F98" w:rsidRPr="004D0F98" w:rsidRDefault="004D0F98" w:rsidP="004D0F98">
            <w:pPr>
              <w:spacing w:line="360" w:lineRule="auto"/>
              <w:jc w:val="both"/>
              <w:rPr>
                <w:rFonts w:ascii="Arial" w:hAnsi="Arial" w:cs="Arial"/>
              </w:rPr>
            </w:pPr>
            <w:r w:rsidRPr="004D0F98">
              <w:rPr>
                <w:rFonts w:ascii="Arial" w:hAnsi="Arial" w:cs="Arial"/>
              </w:rPr>
              <w:t>High operating costs</w:t>
            </w:r>
          </w:p>
        </w:tc>
      </w:tr>
      <w:tr w:rsidR="004D0F98" w:rsidRPr="004D0F98" w14:paraId="56063870" w14:textId="77777777">
        <w:trPr>
          <w:tblCellSpacing w:w="15" w:type="dxa"/>
        </w:trPr>
        <w:tc>
          <w:tcPr>
            <w:tcW w:w="0" w:type="auto"/>
            <w:vAlign w:val="center"/>
            <w:hideMark/>
          </w:tcPr>
          <w:p w14:paraId="38B46A78" w14:textId="77777777" w:rsidR="004D0F98" w:rsidRPr="004D0F98" w:rsidRDefault="004D0F98" w:rsidP="004D0F98">
            <w:pPr>
              <w:spacing w:line="360" w:lineRule="auto"/>
              <w:jc w:val="both"/>
              <w:rPr>
                <w:rFonts w:ascii="Arial" w:hAnsi="Arial" w:cs="Arial"/>
              </w:rPr>
            </w:pPr>
            <w:r w:rsidRPr="004D0F98">
              <w:rPr>
                <w:rFonts w:ascii="Arial" w:hAnsi="Arial" w:cs="Arial"/>
              </w:rPr>
              <w:t>Royal Caribbean support</w:t>
            </w:r>
          </w:p>
        </w:tc>
        <w:tc>
          <w:tcPr>
            <w:tcW w:w="0" w:type="auto"/>
            <w:vAlign w:val="center"/>
            <w:hideMark/>
          </w:tcPr>
          <w:p w14:paraId="7C6551F6" w14:textId="77777777" w:rsidR="004D0F98" w:rsidRPr="004D0F98" w:rsidRDefault="004D0F98" w:rsidP="004D0F98">
            <w:pPr>
              <w:spacing w:line="360" w:lineRule="auto"/>
              <w:jc w:val="both"/>
              <w:rPr>
                <w:rFonts w:ascii="Arial" w:hAnsi="Arial" w:cs="Arial"/>
              </w:rPr>
            </w:pPr>
            <w:r w:rsidRPr="004D0F98">
              <w:rPr>
                <w:rFonts w:ascii="Arial" w:hAnsi="Arial" w:cs="Arial"/>
              </w:rPr>
              <w:t>Limited younger audience appeal</w:t>
            </w:r>
          </w:p>
        </w:tc>
      </w:tr>
    </w:tbl>
    <w:p w14:paraId="47AFF415" w14:textId="77777777" w:rsidR="004D0F98" w:rsidRPr="004D0F98" w:rsidRDefault="004D0F98" w:rsidP="004D0F98">
      <w:pPr>
        <w:spacing w:line="360" w:lineRule="auto"/>
        <w:jc w:val="both"/>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70"/>
        <w:gridCol w:w="2370"/>
      </w:tblGrid>
      <w:tr w:rsidR="004D0F98" w:rsidRPr="004D0F98" w14:paraId="6DF8A6CC" w14:textId="77777777">
        <w:trPr>
          <w:tblHeader/>
          <w:tblCellSpacing w:w="15" w:type="dxa"/>
        </w:trPr>
        <w:tc>
          <w:tcPr>
            <w:tcW w:w="0" w:type="auto"/>
            <w:vAlign w:val="center"/>
            <w:hideMark/>
          </w:tcPr>
          <w:p w14:paraId="4433A9D6"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Opportunities</w:t>
            </w:r>
          </w:p>
        </w:tc>
        <w:tc>
          <w:tcPr>
            <w:tcW w:w="0" w:type="auto"/>
            <w:vAlign w:val="center"/>
            <w:hideMark/>
          </w:tcPr>
          <w:p w14:paraId="0D075947"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Threats</w:t>
            </w:r>
          </w:p>
        </w:tc>
      </w:tr>
      <w:tr w:rsidR="004D0F98" w:rsidRPr="004D0F98" w14:paraId="0ABD8218" w14:textId="77777777">
        <w:trPr>
          <w:tblCellSpacing w:w="15" w:type="dxa"/>
        </w:trPr>
        <w:tc>
          <w:tcPr>
            <w:tcW w:w="0" w:type="auto"/>
            <w:vAlign w:val="center"/>
            <w:hideMark/>
          </w:tcPr>
          <w:p w14:paraId="7723CE2D" w14:textId="77777777" w:rsidR="004D0F98" w:rsidRPr="004D0F98" w:rsidRDefault="004D0F98" w:rsidP="004D0F98">
            <w:pPr>
              <w:spacing w:line="360" w:lineRule="auto"/>
              <w:jc w:val="both"/>
              <w:rPr>
                <w:rFonts w:ascii="Arial" w:hAnsi="Arial" w:cs="Arial"/>
              </w:rPr>
            </w:pPr>
            <w:r w:rsidRPr="004D0F98">
              <w:rPr>
                <w:rFonts w:ascii="Arial" w:hAnsi="Arial" w:cs="Arial"/>
              </w:rPr>
              <w:t>AI personalisation</w:t>
            </w:r>
          </w:p>
        </w:tc>
        <w:tc>
          <w:tcPr>
            <w:tcW w:w="0" w:type="auto"/>
            <w:vAlign w:val="center"/>
            <w:hideMark/>
          </w:tcPr>
          <w:p w14:paraId="33A98E1B" w14:textId="77777777" w:rsidR="004D0F98" w:rsidRPr="004D0F98" w:rsidRDefault="004D0F98" w:rsidP="004D0F98">
            <w:pPr>
              <w:spacing w:line="360" w:lineRule="auto"/>
              <w:jc w:val="both"/>
              <w:rPr>
                <w:rFonts w:ascii="Arial" w:hAnsi="Arial" w:cs="Arial"/>
              </w:rPr>
            </w:pPr>
            <w:r w:rsidRPr="004D0F98">
              <w:rPr>
                <w:rFonts w:ascii="Arial" w:hAnsi="Arial" w:cs="Arial"/>
              </w:rPr>
              <w:t>Intense competition</w:t>
            </w:r>
          </w:p>
        </w:tc>
      </w:tr>
      <w:tr w:rsidR="004D0F98" w:rsidRPr="004D0F98" w14:paraId="61EF4747" w14:textId="77777777">
        <w:trPr>
          <w:tblCellSpacing w:w="15" w:type="dxa"/>
        </w:trPr>
        <w:tc>
          <w:tcPr>
            <w:tcW w:w="0" w:type="auto"/>
            <w:vAlign w:val="center"/>
            <w:hideMark/>
          </w:tcPr>
          <w:p w14:paraId="233495DB" w14:textId="77777777" w:rsidR="004D0F98" w:rsidRPr="004D0F98" w:rsidRDefault="004D0F98" w:rsidP="004D0F98">
            <w:pPr>
              <w:spacing w:line="360" w:lineRule="auto"/>
              <w:jc w:val="both"/>
              <w:rPr>
                <w:rFonts w:ascii="Arial" w:hAnsi="Arial" w:cs="Arial"/>
              </w:rPr>
            </w:pPr>
            <w:r w:rsidRPr="004D0F98">
              <w:rPr>
                <w:rFonts w:ascii="Arial" w:hAnsi="Arial" w:cs="Arial"/>
              </w:rPr>
              <w:t>Sustainable tourism growth</w:t>
            </w:r>
          </w:p>
        </w:tc>
        <w:tc>
          <w:tcPr>
            <w:tcW w:w="0" w:type="auto"/>
            <w:vAlign w:val="center"/>
            <w:hideMark/>
          </w:tcPr>
          <w:p w14:paraId="3365C2CF" w14:textId="77777777" w:rsidR="004D0F98" w:rsidRPr="004D0F98" w:rsidRDefault="004D0F98" w:rsidP="004D0F98">
            <w:pPr>
              <w:spacing w:line="360" w:lineRule="auto"/>
              <w:jc w:val="both"/>
              <w:rPr>
                <w:rFonts w:ascii="Arial" w:hAnsi="Arial" w:cs="Arial"/>
              </w:rPr>
            </w:pPr>
            <w:r w:rsidRPr="004D0F98">
              <w:rPr>
                <w:rFonts w:ascii="Arial" w:hAnsi="Arial" w:cs="Arial"/>
              </w:rPr>
              <w:t>Regulatory pressures</w:t>
            </w:r>
          </w:p>
        </w:tc>
      </w:tr>
      <w:tr w:rsidR="004D0F98" w:rsidRPr="004D0F98" w14:paraId="0B0188BE" w14:textId="77777777">
        <w:trPr>
          <w:tblCellSpacing w:w="15" w:type="dxa"/>
        </w:trPr>
        <w:tc>
          <w:tcPr>
            <w:tcW w:w="0" w:type="auto"/>
            <w:vAlign w:val="center"/>
            <w:hideMark/>
          </w:tcPr>
          <w:p w14:paraId="338E64F5" w14:textId="77777777" w:rsidR="004D0F98" w:rsidRPr="004D0F98" w:rsidRDefault="004D0F98" w:rsidP="004D0F98">
            <w:pPr>
              <w:spacing w:line="360" w:lineRule="auto"/>
              <w:jc w:val="both"/>
              <w:rPr>
                <w:rFonts w:ascii="Arial" w:hAnsi="Arial" w:cs="Arial"/>
              </w:rPr>
            </w:pPr>
            <w:r w:rsidRPr="004D0F98">
              <w:rPr>
                <w:rFonts w:ascii="Arial" w:hAnsi="Arial" w:cs="Arial"/>
              </w:rPr>
              <w:t>Emerging markets</w:t>
            </w:r>
          </w:p>
        </w:tc>
        <w:tc>
          <w:tcPr>
            <w:tcW w:w="0" w:type="auto"/>
            <w:vAlign w:val="center"/>
            <w:hideMark/>
          </w:tcPr>
          <w:p w14:paraId="78C3CFA3" w14:textId="77777777" w:rsidR="004D0F98" w:rsidRPr="004D0F98" w:rsidRDefault="004D0F98" w:rsidP="004D0F98">
            <w:pPr>
              <w:spacing w:line="360" w:lineRule="auto"/>
              <w:jc w:val="both"/>
              <w:rPr>
                <w:rFonts w:ascii="Arial" w:hAnsi="Arial" w:cs="Arial"/>
              </w:rPr>
            </w:pPr>
            <w:r w:rsidRPr="004D0F98">
              <w:rPr>
                <w:rFonts w:ascii="Arial" w:hAnsi="Arial" w:cs="Arial"/>
              </w:rPr>
              <w:t>Economic uncertainty</w:t>
            </w:r>
          </w:p>
        </w:tc>
      </w:tr>
    </w:tbl>
    <w:p w14:paraId="5577AA4E" w14:textId="4A602FB2" w:rsidR="004D0F98" w:rsidRPr="004D0F98" w:rsidRDefault="004D0F98" w:rsidP="004D0F98">
      <w:pPr>
        <w:spacing w:line="360" w:lineRule="auto"/>
        <w:jc w:val="both"/>
        <w:rPr>
          <w:rFonts w:ascii="Arial" w:hAnsi="Arial" w:cs="Arial"/>
        </w:rPr>
      </w:pPr>
    </w:p>
    <w:p w14:paraId="6ACD5F81" w14:textId="77777777" w:rsidR="004D0F98" w:rsidRPr="004D0F98" w:rsidRDefault="004D0F98" w:rsidP="004D0F98">
      <w:pPr>
        <w:spacing w:line="360" w:lineRule="auto"/>
        <w:jc w:val="both"/>
        <w:rPr>
          <w:rFonts w:ascii="Arial" w:hAnsi="Arial" w:cs="Arial"/>
          <w:b/>
          <w:bCs/>
        </w:rPr>
      </w:pPr>
      <w:r w:rsidRPr="004D0F98">
        <w:rPr>
          <w:rFonts w:ascii="Arial" w:hAnsi="Arial" w:cs="Arial"/>
          <w:b/>
          <w:bCs/>
        </w:rPr>
        <w:t>Appendix C: STP Framework</w:t>
      </w:r>
    </w:p>
    <w:p w14:paraId="63D5CAA7" w14:textId="77777777" w:rsidR="004D0F98" w:rsidRPr="004D0F98" w:rsidRDefault="004D0F98" w:rsidP="004D0F98">
      <w:pPr>
        <w:spacing w:line="360" w:lineRule="auto"/>
        <w:jc w:val="both"/>
        <w:rPr>
          <w:rFonts w:ascii="Arial" w:hAnsi="Arial" w:cs="Arial"/>
        </w:rPr>
      </w:pPr>
      <w:r w:rsidRPr="004D0F98">
        <w:rPr>
          <w:rFonts w:ascii="Arial" w:hAnsi="Arial" w:cs="Arial"/>
          <w:b/>
          <w:bCs/>
        </w:rPr>
        <w:lastRenderedPageBreak/>
        <w:t>Segmentation</w:t>
      </w:r>
      <w:r w:rsidRPr="004D0F98">
        <w:rPr>
          <w:rFonts w:ascii="Arial" w:hAnsi="Arial" w:cs="Arial"/>
        </w:rPr>
        <w:br/>
        <w:t>→ Affluent professionals, retirees, luxury travellers, experience seekers</w:t>
      </w:r>
    </w:p>
    <w:p w14:paraId="1BCC4D00" w14:textId="77777777" w:rsidR="004D0F98" w:rsidRPr="004D0F98" w:rsidRDefault="004D0F98" w:rsidP="004D0F98">
      <w:pPr>
        <w:spacing w:line="360" w:lineRule="auto"/>
        <w:jc w:val="both"/>
        <w:rPr>
          <w:rFonts w:ascii="Arial" w:hAnsi="Arial" w:cs="Arial"/>
        </w:rPr>
      </w:pPr>
      <w:r w:rsidRPr="004D0F98">
        <w:rPr>
          <w:rFonts w:ascii="Arial" w:hAnsi="Arial" w:cs="Arial"/>
        </w:rPr>
        <w:t>↓</w:t>
      </w:r>
    </w:p>
    <w:p w14:paraId="07B2B4CC" w14:textId="77777777" w:rsidR="004D0F98" w:rsidRPr="004D0F98" w:rsidRDefault="004D0F98" w:rsidP="004D0F98">
      <w:pPr>
        <w:spacing w:line="360" w:lineRule="auto"/>
        <w:jc w:val="both"/>
        <w:rPr>
          <w:rFonts w:ascii="Arial" w:hAnsi="Arial" w:cs="Arial"/>
        </w:rPr>
      </w:pPr>
      <w:r w:rsidRPr="004D0F98">
        <w:rPr>
          <w:rFonts w:ascii="Arial" w:hAnsi="Arial" w:cs="Arial"/>
          <w:b/>
          <w:bCs/>
        </w:rPr>
        <w:t>Targeting</w:t>
      </w:r>
      <w:r w:rsidRPr="004D0F98">
        <w:rPr>
          <w:rFonts w:ascii="Arial" w:hAnsi="Arial" w:cs="Arial"/>
        </w:rPr>
        <w:br/>
        <w:t>→ Premium global leisure travellers and high-income consumers</w:t>
      </w:r>
    </w:p>
    <w:p w14:paraId="6DCEA7A2" w14:textId="77777777" w:rsidR="004D0F98" w:rsidRPr="004D0F98" w:rsidRDefault="004D0F98" w:rsidP="004D0F98">
      <w:pPr>
        <w:spacing w:line="360" w:lineRule="auto"/>
        <w:jc w:val="both"/>
        <w:rPr>
          <w:rFonts w:ascii="Arial" w:hAnsi="Arial" w:cs="Arial"/>
        </w:rPr>
      </w:pPr>
      <w:r w:rsidRPr="004D0F98">
        <w:rPr>
          <w:rFonts w:ascii="Arial" w:hAnsi="Arial" w:cs="Arial"/>
        </w:rPr>
        <w:t>↓</w:t>
      </w:r>
    </w:p>
    <w:p w14:paraId="2C01F487" w14:textId="77777777" w:rsidR="004D0F98" w:rsidRPr="004D0F98" w:rsidRDefault="004D0F98" w:rsidP="004D0F98">
      <w:pPr>
        <w:spacing w:line="360" w:lineRule="auto"/>
        <w:jc w:val="both"/>
        <w:rPr>
          <w:rFonts w:ascii="Arial" w:hAnsi="Arial" w:cs="Arial"/>
        </w:rPr>
      </w:pPr>
      <w:r w:rsidRPr="004D0F98">
        <w:rPr>
          <w:rFonts w:ascii="Arial" w:hAnsi="Arial" w:cs="Arial"/>
          <w:b/>
          <w:bCs/>
        </w:rPr>
        <w:t>Positioning</w:t>
      </w:r>
      <w:r w:rsidRPr="004D0F98">
        <w:rPr>
          <w:rFonts w:ascii="Arial" w:hAnsi="Arial" w:cs="Arial"/>
        </w:rPr>
        <w:br/>
        <w:t>→ “Modern Luxury Cruise Experiences Delivering Exceptional Service and Destination Immersion”</w:t>
      </w:r>
    </w:p>
    <w:p w14:paraId="620EB07D" w14:textId="1F4281C6" w:rsidR="004D0F98" w:rsidRPr="004D0F98" w:rsidRDefault="004D0F98" w:rsidP="004D0F98">
      <w:pPr>
        <w:spacing w:line="360" w:lineRule="auto"/>
        <w:jc w:val="both"/>
        <w:rPr>
          <w:rFonts w:ascii="Arial" w:hAnsi="Arial" w:cs="Arial"/>
        </w:rPr>
      </w:pPr>
    </w:p>
    <w:p w14:paraId="53CA8F9D" w14:textId="77777777" w:rsidR="004D0F98" w:rsidRPr="004D0F98" w:rsidRDefault="004D0F98" w:rsidP="004D0F98">
      <w:pPr>
        <w:spacing w:line="360" w:lineRule="auto"/>
        <w:jc w:val="both"/>
        <w:rPr>
          <w:rFonts w:ascii="Arial" w:hAnsi="Arial" w:cs="Arial"/>
        </w:rPr>
      </w:pPr>
    </w:p>
    <w:p w14:paraId="4CA26F76" w14:textId="6A8C9DC2" w:rsidR="004D0F98" w:rsidRPr="004D0F98" w:rsidRDefault="004D0F98" w:rsidP="004D0F98">
      <w:pPr>
        <w:spacing w:line="360" w:lineRule="auto"/>
        <w:jc w:val="both"/>
        <w:rPr>
          <w:rFonts w:ascii="Arial" w:hAnsi="Arial" w:cs="Arial"/>
        </w:rPr>
      </w:pPr>
    </w:p>
    <w:p w14:paraId="033FB830" w14:textId="77777777" w:rsidR="004D0F98" w:rsidRPr="004D0F98" w:rsidRDefault="004D0F98" w:rsidP="004D0F98">
      <w:pPr>
        <w:spacing w:line="360" w:lineRule="auto"/>
        <w:jc w:val="both"/>
        <w:rPr>
          <w:rFonts w:ascii="Arial" w:hAnsi="Arial" w:cs="Arial"/>
        </w:rPr>
      </w:pPr>
    </w:p>
    <w:p w14:paraId="2071C3C9" w14:textId="330B56E2" w:rsidR="00A34BF9" w:rsidRPr="00A34BF9" w:rsidRDefault="00A34BF9" w:rsidP="00A34BF9">
      <w:pPr>
        <w:spacing w:line="360" w:lineRule="auto"/>
        <w:jc w:val="both"/>
        <w:rPr>
          <w:rFonts w:ascii="Arial" w:hAnsi="Arial" w:cs="Arial"/>
        </w:rPr>
      </w:pPr>
    </w:p>
    <w:p w14:paraId="656AD59F" w14:textId="771F1AD4" w:rsidR="00A34BF9" w:rsidRDefault="00A34BF9" w:rsidP="00A34BF9">
      <w:pPr>
        <w:spacing w:line="360" w:lineRule="auto"/>
        <w:jc w:val="both"/>
        <w:rPr>
          <w:rFonts w:ascii="Arial" w:hAnsi="Arial" w:cs="Arial"/>
        </w:rPr>
      </w:pPr>
    </w:p>
    <w:p w14:paraId="01303845" w14:textId="77777777" w:rsidR="00CF29C4" w:rsidRPr="00A34BF9" w:rsidRDefault="00CF29C4" w:rsidP="00A34BF9">
      <w:pPr>
        <w:spacing w:line="360" w:lineRule="auto"/>
        <w:jc w:val="both"/>
        <w:rPr>
          <w:rFonts w:ascii="Arial" w:hAnsi="Arial" w:cs="Arial"/>
        </w:rPr>
      </w:pPr>
    </w:p>
    <w:sectPr w:rsidR="00CF29C4" w:rsidRPr="00A34BF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0F360E" w14:textId="77777777" w:rsidR="0065674A" w:rsidRDefault="0065674A" w:rsidP="0065674A">
      <w:pPr>
        <w:spacing w:after="0" w:line="240" w:lineRule="auto"/>
      </w:pPr>
      <w:r>
        <w:separator/>
      </w:r>
    </w:p>
  </w:endnote>
  <w:endnote w:type="continuationSeparator" w:id="0">
    <w:p w14:paraId="70A95B28" w14:textId="77777777" w:rsidR="0065674A" w:rsidRDefault="0065674A" w:rsidP="006567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7528322"/>
      <w:docPartObj>
        <w:docPartGallery w:val="Page Numbers (Bottom of Page)"/>
        <w:docPartUnique/>
      </w:docPartObj>
    </w:sdtPr>
    <w:sdtEndPr>
      <w:rPr>
        <w:noProof/>
      </w:rPr>
    </w:sdtEndPr>
    <w:sdtContent>
      <w:p w14:paraId="148FA15C" w14:textId="73B8E4BD" w:rsidR="0065674A" w:rsidRDefault="006567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DAD819" w14:textId="77777777" w:rsidR="0065674A" w:rsidRDefault="006567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F39221" w14:textId="77777777" w:rsidR="0065674A" w:rsidRDefault="0065674A" w:rsidP="0065674A">
      <w:pPr>
        <w:spacing w:after="0" w:line="240" w:lineRule="auto"/>
      </w:pPr>
      <w:r>
        <w:separator/>
      </w:r>
    </w:p>
  </w:footnote>
  <w:footnote w:type="continuationSeparator" w:id="0">
    <w:p w14:paraId="2937EC9D" w14:textId="77777777" w:rsidR="0065674A" w:rsidRDefault="0065674A" w:rsidP="006567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5218C7"/>
    <w:multiLevelType w:val="multilevel"/>
    <w:tmpl w:val="8B54B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050852"/>
    <w:multiLevelType w:val="multilevel"/>
    <w:tmpl w:val="C49C4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665E80"/>
    <w:multiLevelType w:val="multilevel"/>
    <w:tmpl w:val="3FBC7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1F2DC6"/>
    <w:multiLevelType w:val="multilevel"/>
    <w:tmpl w:val="8FAC2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C26437"/>
    <w:multiLevelType w:val="multilevel"/>
    <w:tmpl w:val="BE846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E43D50"/>
    <w:multiLevelType w:val="multilevel"/>
    <w:tmpl w:val="AF388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917A55"/>
    <w:multiLevelType w:val="multilevel"/>
    <w:tmpl w:val="9E42B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8A7C7B"/>
    <w:multiLevelType w:val="multilevel"/>
    <w:tmpl w:val="BE5C5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F8488F"/>
    <w:multiLevelType w:val="multilevel"/>
    <w:tmpl w:val="B1F69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8943AF1"/>
    <w:multiLevelType w:val="multilevel"/>
    <w:tmpl w:val="EE56F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97576FB"/>
    <w:multiLevelType w:val="multilevel"/>
    <w:tmpl w:val="861AFA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E2B3835"/>
    <w:multiLevelType w:val="multilevel"/>
    <w:tmpl w:val="ED625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047E7E"/>
    <w:multiLevelType w:val="multilevel"/>
    <w:tmpl w:val="08F04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7362B31"/>
    <w:multiLevelType w:val="multilevel"/>
    <w:tmpl w:val="4DE00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E5E3CDB"/>
    <w:multiLevelType w:val="multilevel"/>
    <w:tmpl w:val="E05A9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7375551">
    <w:abstractNumId w:val="10"/>
  </w:num>
  <w:num w:numId="2" w16cid:durableId="1548906527">
    <w:abstractNumId w:val="13"/>
  </w:num>
  <w:num w:numId="3" w16cid:durableId="49615742">
    <w:abstractNumId w:val="3"/>
  </w:num>
  <w:num w:numId="4" w16cid:durableId="1725136811">
    <w:abstractNumId w:val="4"/>
  </w:num>
  <w:num w:numId="5" w16cid:durableId="649092844">
    <w:abstractNumId w:val="1"/>
  </w:num>
  <w:num w:numId="6" w16cid:durableId="458379350">
    <w:abstractNumId w:val="5"/>
  </w:num>
  <w:num w:numId="7" w16cid:durableId="707141694">
    <w:abstractNumId w:val="6"/>
  </w:num>
  <w:num w:numId="8" w16cid:durableId="1426534976">
    <w:abstractNumId w:val="7"/>
  </w:num>
  <w:num w:numId="9" w16cid:durableId="1221675014">
    <w:abstractNumId w:val="14"/>
  </w:num>
  <w:num w:numId="10" w16cid:durableId="783161425">
    <w:abstractNumId w:val="8"/>
  </w:num>
  <w:num w:numId="11" w16cid:durableId="1839926274">
    <w:abstractNumId w:val="0"/>
  </w:num>
  <w:num w:numId="12" w16cid:durableId="956301997">
    <w:abstractNumId w:val="11"/>
  </w:num>
  <w:num w:numId="13" w16cid:durableId="1838350616">
    <w:abstractNumId w:val="9"/>
  </w:num>
  <w:num w:numId="14" w16cid:durableId="1242371245">
    <w:abstractNumId w:val="2"/>
  </w:num>
  <w:num w:numId="15" w16cid:durableId="66305231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E52"/>
    <w:rsid w:val="00077FAD"/>
    <w:rsid w:val="00090411"/>
    <w:rsid w:val="000F74A3"/>
    <w:rsid w:val="001A5E44"/>
    <w:rsid w:val="001C65AD"/>
    <w:rsid w:val="002245CB"/>
    <w:rsid w:val="002849E6"/>
    <w:rsid w:val="00330B46"/>
    <w:rsid w:val="003818F2"/>
    <w:rsid w:val="00387C8D"/>
    <w:rsid w:val="003A1298"/>
    <w:rsid w:val="004639CB"/>
    <w:rsid w:val="00493AD3"/>
    <w:rsid w:val="004A458E"/>
    <w:rsid w:val="004C06F2"/>
    <w:rsid w:val="004C57CA"/>
    <w:rsid w:val="004D0F98"/>
    <w:rsid w:val="0050181D"/>
    <w:rsid w:val="00504DBB"/>
    <w:rsid w:val="005466AD"/>
    <w:rsid w:val="0054790A"/>
    <w:rsid w:val="00561F1D"/>
    <w:rsid w:val="0057006D"/>
    <w:rsid w:val="005716A8"/>
    <w:rsid w:val="005A29F8"/>
    <w:rsid w:val="005B043C"/>
    <w:rsid w:val="00642E52"/>
    <w:rsid w:val="0065674A"/>
    <w:rsid w:val="006769CE"/>
    <w:rsid w:val="0068494F"/>
    <w:rsid w:val="006C7B03"/>
    <w:rsid w:val="006E28F7"/>
    <w:rsid w:val="006F708A"/>
    <w:rsid w:val="007152CF"/>
    <w:rsid w:val="007E438B"/>
    <w:rsid w:val="0087294B"/>
    <w:rsid w:val="008B6C38"/>
    <w:rsid w:val="008E7D6A"/>
    <w:rsid w:val="00933C27"/>
    <w:rsid w:val="009416B0"/>
    <w:rsid w:val="00974AA3"/>
    <w:rsid w:val="009855F2"/>
    <w:rsid w:val="00A10DA7"/>
    <w:rsid w:val="00A11935"/>
    <w:rsid w:val="00A34BF9"/>
    <w:rsid w:val="00B15835"/>
    <w:rsid w:val="00B83630"/>
    <w:rsid w:val="00C04403"/>
    <w:rsid w:val="00C151CD"/>
    <w:rsid w:val="00CB4273"/>
    <w:rsid w:val="00CE1C08"/>
    <w:rsid w:val="00CE5B9D"/>
    <w:rsid w:val="00CF29C4"/>
    <w:rsid w:val="00D2172E"/>
    <w:rsid w:val="00E33AF8"/>
    <w:rsid w:val="00E4073F"/>
    <w:rsid w:val="00E5002F"/>
    <w:rsid w:val="00ED529C"/>
    <w:rsid w:val="00F3238A"/>
    <w:rsid w:val="00F7073A"/>
    <w:rsid w:val="00F94583"/>
    <w:rsid w:val="00FE0079"/>
    <w:rsid w:val="00FF50C4"/>
    <w:rsid w:val="00FF7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926E8"/>
  <w15:chartTrackingRefBased/>
  <w15:docId w15:val="{351CE008-FBBB-41AF-A46A-A95730A78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2E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2E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2E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2E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2E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2E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2E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2E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2E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2E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2E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2E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2E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2E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2E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2E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2E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2E52"/>
    <w:rPr>
      <w:rFonts w:eastAsiaTheme="majorEastAsia" w:cstheme="majorBidi"/>
      <w:color w:val="272727" w:themeColor="text1" w:themeTint="D8"/>
    </w:rPr>
  </w:style>
  <w:style w:type="paragraph" w:styleId="Title">
    <w:name w:val="Title"/>
    <w:basedOn w:val="Normal"/>
    <w:next w:val="Normal"/>
    <w:link w:val="TitleChar"/>
    <w:uiPriority w:val="10"/>
    <w:qFormat/>
    <w:rsid w:val="00642E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2E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2E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2E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2E52"/>
    <w:pPr>
      <w:spacing w:before="160"/>
      <w:jc w:val="center"/>
    </w:pPr>
    <w:rPr>
      <w:i/>
      <w:iCs/>
      <w:color w:val="404040" w:themeColor="text1" w:themeTint="BF"/>
    </w:rPr>
  </w:style>
  <w:style w:type="character" w:customStyle="1" w:styleId="QuoteChar">
    <w:name w:val="Quote Char"/>
    <w:basedOn w:val="DefaultParagraphFont"/>
    <w:link w:val="Quote"/>
    <w:uiPriority w:val="29"/>
    <w:rsid w:val="00642E52"/>
    <w:rPr>
      <w:i/>
      <w:iCs/>
      <w:color w:val="404040" w:themeColor="text1" w:themeTint="BF"/>
    </w:rPr>
  </w:style>
  <w:style w:type="paragraph" w:styleId="ListParagraph">
    <w:name w:val="List Paragraph"/>
    <w:basedOn w:val="Normal"/>
    <w:uiPriority w:val="34"/>
    <w:qFormat/>
    <w:rsid w:val="00642E52"/>
    <w:pPr>
      <w:ind w:left="720"/>
      <w:contextualSpacing/>
    </w:pPr>
  </w:style>
  <w:style w:type="character" w:styleId="IntenseEmphasis">
    <w:name w:val="Intense Emphasis"/>
    <w:basedOn w:val="DefaultParagraphFont"/>
    <w:uiPriority w:val="21"/>
    <w:qFormat/>
    <w:rsid w:val="00642E52"/>
    <w:rPr>
      <w:i/>
      <w:iCs/>
      <w:color w:val="0F4761" w:themeColor="accent1" w:themeShade="BF"/>
    </w:rPr>
  </w:style>
  <w:style w:type="paragraph" w:styleId="IntenseQuote">
    <w:name w:val="Intense Quote"/>
    <w:basedOn w:val="Normal"/>
    <w:next w:val="Normal"/>
    <w:link w:val="IntenseQuoteChar"/>
    <w:uiPriority w:val="30"/>
    <w:qFormat/>
    <w:rsid w:val="00642E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2E52"/>
    <w:rPr>
      <w:i/>
      <w:iCs/>
      <w:color w:val="0F4761" w:themeColor="accent1" w:themeShade="BF"/>
    </w:rPr>
  </w:style>
  <w:style w:type="character" w:styleId="IntenseReference">
    <w:name w:val="Intense Reference"/>
    <w:basedOn w:val="DefaultParagraphFont"/>
    <w:uiPriority w:val="32"/>
    <w:qFormat/>
    <w:rsid w:val="00642E52"/>
    <w:rPr>
      <w:b/>
      <w:bCs/>
      <w:smallCaps/>
      <w:color w:val="0F4761" w:themeColor="accent1" w:themeShade="BF"/>
      <w:spacing w:val="5"/>
    </w:rPr>
  </w:style>
  <w:style w:type="character" w:styleId="Hyperlink">
    <w:name w:val="Hyperlink"/>
    <w:basedOn w:val="DefaultParagraphFont"/>
    <w:uiPriority w:val="99"/>
    <w:unhideWhenUsed/>
    <w:rsid w:val="00A34BF9"/>
    <w:rPr>
      <w:color w:val="467886" w:themeColor="hyperlink"/>
      <w:u w:val="single"/>
    </w:rPr>
  </w:style>
  <w:style w:type="character" w:styleId="UnresolvedMention">
    <w:name w:val="Unresolved Mention"/>
    <w:basedOn w:val="DefaultParagraphFont"/>
    <w:uiPriority w:val="99"/>
    <w:semiHidden/>
    <w:unhideWhenUsed/>
    <w:rsid w:val="00A34BF9"/>
    <w:rPr>
      <w:color w:val="605E5C"/>
      <w:shd w:val="clear" w:color="auto" w:fill="E1DFDD"/>
    </w:rPr>
  </w:style>
  <w:style w:type="character" w:styleId="FollowedHyperlink">
    <w:name w:val="FollowedHyperlink"/>
    <w:basedOn w:val="DefaultParagraphFont"/>
    <w:uiPriority w:val="99"/>
    <w:semiHidden/>
    <w:unhideWhenUsed/>
    <w:rsid w:val="001A5E44"/>
    <w:rPr>
      <w:color w:val="96607D" w:themeColor="followedHyperlink"/>
      <w:u w:val="single"/>
    </w:rPr>
  </w:style>
  <w:style w:type="paragraph" w:styleId="Header">
    <w:name w:val="header"/>
    <w:basedOn w:val="Normal"/>
    <w:link w:val="HeaderChar"/>
    <w:uiPriority w:val="99"/>
    <w:unhideWhenUsed/>
    <w:rsid w:val="006567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674A"/>
  </w:style>
  <w:style w:type="paragraph" w:styleId="Footer">
    <w:name w:val="footer"/>
    <w:basedOn w:val="Normal"/>
    <w:link w:val="FooterChar"/>
    <w:uiPriority w:val="99"/>
    <w:unhideWhenUsed/>
    <w:rsid w:val="006567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67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doi.org/10.1016/j.bushor.2009.09.003" TargetMode="External"/><Relationship Id="rId18" Type="http://schemas.openxmlformats.org/officeDocument/2006/relationships/hyperlink" Target="https://doi.org/10.1016/j.jbusres.2019.09.022"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007/s11747-020-00749-9" TargetMode="External"/><Relationship Id="rId17" Type="http://schemas.openxmlformats.org/officeDocument/2006/relationships/hyperlink" Target="https://doi.org/10.1007/s11747-015-0456-3" TargetMode="External"/><Relationship Id="rId2" Type="http://schemas.openxmlformats.org/officeDocument/2006/relationships/numbering" Target="numbering.xml"/><Relationship Id="rId16" Type="http://schemas.openxmlformats.org/officeDocument/2006/relationships/hyperlink" Target="https://www.unwto.org/"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loitte.com/global/en/insights.html" TargetMode="External"/><Relationship Id="rId5" Type="http://schemas.openxmlformats.org/officeDocument/2006/relationships/webSettings" Target="webSettings.xml"/><Relationship Id="rId15" Type="http://schemas.openxmlformats.org/officeDocument/2006/relationships/hyperlink" Target="https://doi.org/10.1016/j.lrp.2017.06.007" TargetMode="External"/><Relationship Id="rId10" Type="http://schemas.openxmlformats.org/officeDocument/2006/relationships/hyperlink" Target="https://www.celebritycruises.com/" TargetMode="External"/><Relationship Id="rId19" Type="http://schemas.openxmlformats.org/officeDocument/2006/relationships/hyperlink" Target="https://wttc.org/research" TargetMode="External"/><Relationship Id="rId4" Type="http://schemas.openxmlformats.org/officeDocument/2006/relationships/settings" Target="settings.xml"/><Relationship Id="rId9" Type="http://schemas.openxmlformats.org/officeDocument/2006/relationships/hyperlink" Target="https://doi.org/10.1177/014920639101700108" TargetMode="External"/><Relationship Id="rId14" Type="http://schemas.openxmlformats.org/officeDocument/2006/relationships/hyperlink" Target="https://www.royalcaribbeangroup.com/sustainabilit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0EDEF7-685E-41BF-8FB3-251C3C5745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5710</Words>
  <Characters>32551</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Velislava Hristova</dc:creator>
  <cp:keywords/>
  <dc:description/>
  <cp:lastModifiedBy>Velislava Hristova</cp:lastModifiedBy>
  <cp:revision>2</cp:revision>
  <dcterms:created xsi:type="dcterms:W3CDTF">2026-06-04T23:14:00Z</dcterms:created>
  <dcterms:modified xsi:type="dcterms:W3CDTF">2026-06-04T23:14:00Z</dcterms:modified>
</cp:coreProperties>
</file>