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C28DF3" w14:textId="29C2C801" w:rsidR="00B94273" w:rsidRDefault="00B94273" w:rsidP="00B94273">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p>
    <w:p w14:paraId="284B73C5" w14:textId="513ED84F" w:rsidR="00B94273" w:rsidRPr="00B94273" w:rsidRDefault="00B94273" w:rsidP="00B94273">
      <w:pPr>
        <w:spacing w:after="0" w:line="240" w:lineRule="auto"/>
        <w:rPr>
          <w:rFonts w:ascii="Times New Roman" w:eastAsia="Times New Roman" w:hAnsi="Times New Roman" w:cs="Times New Roman"/>
          <w:b/>
          <w:bCs/>
          <w:kern w:val="0"/>
          <w:sz w:val="24"/>
          <w:szCs w:val="24"/>
          <w:lang w:eastAsia="en-GB"/>
          <w14:ligatures w14:val="none"/>
        </w:rPr>
      </w:pPr>
      <w:r w:rsidRPr="00B94273">
        <w:rPr>
          <w:rFonts w:ascii="Times New Roman" w:eastAsia="Times New Roman" w:hAnsi="Times New Roman" w:cs="Times New Roman"/>
          <w:b/>
          <w:bCs/>
          <w:kern w:val="0"/>
          <w:sz w:val="24"/>
          <w:szCs w:val="24"/>
          <w:lang w:eastAsia="en-GB"/>
          <w14:ligatures w14:val="none"/>
        </w:rPr>
        <w:t xml:space="preserve">Section </w:t>
      </w:r>
      <w:r w:rsidR="00547F8C">
        <w:rPr>
          <w:rFonts w:ascii="Times New Roman" w:eastAsia="Times New Roman" w:hAnsi="Times New Roman" w:cs="Times New Roman"/>
          <w:b/>
          <w:bCs/>
          <w:kern w:val="0"/>
          <w:sz w:val="24"/>
          <w:szCs w:val="24"/>
          <w:lang w:eastAsia="en-GB"/>
          <w14:ligatures w14:val="none"/>
        </w:rPr>
        <w:t>2</w:t>
      </w:r>
    </w:p>
    <w:p w14:paraId="146937B0" w14:textId="77777777" w:rsidR="00B94273" w:rsidRDefault="00B94273" w:rsidP="00B94273">
      <w:pPr>
        <w:spacing w:after="0" w:line="240" w:lineRule="auto"/>
        <w:rPr>
          <w:rFonts w:ascii="Times New Roman" w:eastAsia="Times New Roman" w:hAnsi="Times New Roman" w:cs="Times New Roman"/>
          <w:kern w:val="0"/>
          <w:sz w:val="24"/>
          <w:szCs w:val="24"/>
          <w:lang w:eastAsia="en-GB"/>
          <w14:ligatures w14:val="none"/>
        </w:rPr>
      </w:pPr>
    </w:p>
    <w:p w14:paraId="56A217DD" w14:textId="22667B8B" w:rsidR="009431EE" w:rsidRPr="00B94273" w:rsidRDefault="00B94273" w:rsidP="00B94273">
      <w:pPr>
        <w:spacing w:after="0" w:line="240" w:lineRule="auto"/>
        <w:rPr>
          <w:rFonts w:ascii="Times New Roman" w:eastAsia="Times New Roman" w:hAnsi="Times New Roman" w:cs="Times New Roman"/>
          <w:kern w:val="0"/>
          <w:sz w:val="24"/>
          <w:szCs w:val="24"/>
          <w:lang w:eastAsia="en-GB"/>
          <w14:ligatures w14:val="none"/>
        </w:rPr>
      </w:pPr>
      <w:r w:rsidRPr="00825259">
        <w:rPr>
          <w:rFonts w:ascii="Times New Roman" w:eastAsia="Times New Roman" w:hAnsi="Times New Roman" w:cs="Times New Roman"/>
          <w:kern w:val="0"/>
          <w:sz w:val="24"/>
          <w:szCs w:val="24"/>
          <w:lang w:eastAsia="en-GB"/>
          <w14:ligatures w14:val="none"/>
        </w:rPr>
        <w:t xml:space="preserve">Mason, E.F. (2008) </w:t>
      </w:r>
      <w:r w:rsidRPr="00825259">
        <w:rPr>
          <w:rFonts w:ascii="Times New Roman" w:eastAsia="Times New Roman" w:hAnsi="Times New Roman" w:cs="Times New Roman"/>
          <w:i/>
          <w:iCs/>
          <w:kern w:val="0"/>
          <w:sz w:val="24"/>
          <w:szCs w:val="24"/>
          <w:lang w:eastAsia="en-GB"/>
          <w14:ligatures w14:val="none"/>
        </w:rPr>
        <w:t>You Are a Priest Forever: Second Temple Jewish Messianism and the Priestly Christology of the Epistle to the Hebrews</w:t>
      </w:r>
      <w:r w:rsidRPr="00825259">
        <w:rPr>
          <w:rFonts w:ascii="Times New Roman" w:eastAsia="Times New Roman" w:hAnsi="Times New Roman" w:cs="Times New Roman"/>
          <w:kern w:val="0"/>
          <w:sz w:val="24"/>
          <w:szCs w:val="24"/>
          <w:lang w:eastAsia="en-GB"/>
          <w14:ligatures w14:val="none"/>
        </w:rPr>
        <w:t xml:space="preserve">. 1st </w:t>
      </w:r>
      <w:proofErr w:type="spellStart"/>
      <w:r w:rsidRPr="00825259">
        <w:rPr>
          <w:rFonts w:ascii="Times New Roman" w:eastAsia="Times New Roman" w:hAnsi="Times New Roman" w:cs="Times New Roman"/>
          <w:kern w:val="0"/>
          <w:sz w:val="24"/>
          <w:szCs w:val="24"/>
          <w:lang w:eastAsia="en-GB"/>
          <w14:ligatures w14:val="none"/>
        </w:rPr>
        <w:t>edn</w:t>
      </w:r>
      <w:proofErr w:type="spellEnd"/>
      <w:r w:rsidRPr="00825259">
        <w:rPr>
          <w:rFonts w:ascii="Times New Roman" w:eastAsia="Times New Roman" w:hAnsi="Times New Roman" w:cs="Times New Roman"/>
          <w:kern w:val="0"/>
          <w:sz w:val="24"/>
          <w:szCs w:val="24"/>
          <w:lang w:eastAsia="en-GB"/>
          <w14:ligatures w14:val="none"/>
        </w:rPr>
        <w:t xml:space="preserve">. Boston: BRILL. Available at: </w:t>
      </w:r>
      <w:hyperlink r:id="rId6" w:history="1">
        <w:r w:rsidRPr="00825259">
          <w:rPr>
            <w:rStyle w:val="Hyperlink"/>
            <w:rFonts w:ascii="Times New Roman" w:eastAsia="Times New Roman" w:hAnsi="Times New Roman" w:cs="Times New Roman"/>
            <w:kern w:val="0"/>
            <w:sz w:val="24"/>
            <w:szCs w:val="24"/>
            <w:lang w:eastAsia="en-GB"/>
            <w14:ligatures w14:val="none"/>
          </w:rPr>
          <w:t>https://doi.org/10.1163/ej.9789004149878.i-228</w:t>
        </w:r>
      </w:hyperlink>
      <w:r w:rsidRPr="00825259">
        <w:rPr>
          <w:rFonts w:ascii="Times New Roman" w:eastAsia="Times New Roman" w:hAnsi="Times New Roman" w:cs="Times New Roman"/>
          <w:kern w:val="0"/>
          <w:sz w:val="24"/>
          <w:szCs w:val="24"/>
          <w:lang w:eastAsia="en-GB"/>
          <w14:ligatures w14:val="none"/>
        </w:rPr>
        <w:t>.</w:t>
      </w:r>
    </w:p>
    <w:p w14:paraId="50133A44" w14:textId="77777777" w:rsidR="009431EE" w:rsidRDefault="009431EE" w:rsidP="009431EE">
      <w:pPr>
        <w:pStyle w:val="NormalWeb"/>
      </w:pPr>
      <w:r>
        <w:t>The Epistle to the Hebrews is one of the most misunderstood books in the New Testament according to many scholars often referred to as the ``riddle book’</w:t>
      </w:r>
      <w:proofErr w:type="gramStart"/>
      <w:r>
        <w:t>’(</w:t>
      </w:r>
      <w:proofErr w:type="gramEnd"/>
      <w:r>
        <w:t xml:space="preserve">Chuck Missler 2023). Mason argues the presentations of the Messianic Priest and Melchizedek lineage in the Qumran texts detailing its closest parallels to Hebrew thought. Unlike the other New Testament epistles, the epistles to the Book of Hebrew integrate a rich understanding of Judaic law and observations interweaving the prophetic revelation to the priesthood of Jesus Christ. Controversies surround the original authorship however its vast knowledge of Old Testament contemporaries, and relevance of Hellenistic Jewish writing to Jewish believers highly suggests the Apostle Paul. The authorships anonymously </w:t>
      </w:r>
      <w:proofErr w:type="gramStart"/>
      <w:r>
        <w:t>sparks</w:t>
      </w:r>
      <w:proofErr w:type="gramEnd"/>
      <w:r>
        <w:t xml:space="preserve"> controversial arguments also referring to Apollos and Barnabas. Mason presents the motif of Jesus as the high priest with the purpose of the study. In the inquest, he explores the priestly Christology of the Epistle to the Hebrews by examining past arguments and drawing upon the fruits of scholarships of the second temple Judaism and the discovery of the Dead Sea Scrolls. He discovers a similar interpretation of Jesus as a high priest in its conception as the Heavenly Melchizedek. Mason also finds a deviation from the Levitical priesthood as preliminary paving the way for Hebrew Christological reflections on Jesus as a priest.</w:t>
      </w:r>
    </w:p>
    <w:p w14:paraId="0CAF3293" w14:textId="77777777" w:rsidR="009431EE" w:rsidRDefault="009431EE" w:rsidP="009431EE">
      <w:pPr>
        <w:pStyle w:val="NormalWeb"/>
      </w:pPr>
      <w:r>
        <w:t>Mason expounds on the Jewish nature of the epistles and the purpose it was written while other scholars note their homiletic nature. He also accounts in the early church; the book was normally understood to be written to Jewish Christians in Jerusalem. The text intends that the audience was familiar with the author's signatory in earlier observations of previous writings but was now under some kind of persecution or some crisis of faith. Climatically this could well allude to the destruction of the second temple where the apostle Paul is believed to have written the epistle to the Hebrews. Concurrently this was also the time the Essene had established communities in the Qumran valleys escaping Roman persecution and possibly preserving Jewish scriptures. However, for modern scholars, he assumes a Roman destination according to (Heb. 13:24) emphasising on exegesis of texts from Jewish scriptures. He compares Jesus’s activities to the Jewish sacrificial system evidencing Jewish identity as recipients of the book. However English scholars on Hebrew language scholarship dominated theories that the author was warning Jewish Christians not to renounce Christianity and return to their ancestral faith. Contentiously Mason relies on second-temple Judaism evidenced in the Qumran texts to provide the best background for understanding the presentation of Jesus as a priest in Hebrews. </w:t>
      </w:r>
    </w:p>
    <w:p w14:paraId="3833EC26" w14:textId="77777777" w:rsidR="009431EE" w:rsidRDefault="009431EE" w:rsidP="009431EE">
      <w:pPr>
        <w:pStyle w:val="NormalWeb"/>
      </w:pPr>
      <w:r>
        <w:t xml:space="preserve">Mason explains Jesus’s succession to the title of High Priest allegorically with specific reference to Moses and the angels in terms of spiritual superiority. He reveals a pattern in the many facets of Jesus's identity explained in the scriptures as the good shepherd, son of God, and high Priest. He also compares these perceptive views to Heracles as a Hellenistic </w:t>
      </w:r>
      <w:proofErr w:type="spellStart"/>
      <w:r>
        <w:t>savior</w:t>
      </w:r>
      <w:proofErr w:type="spellEnd"/>
      <w:r>
        <w:t xml:space="preserve"> figure understood by early Christians as applicable to Jesus. Rothschilds (2010) review supports logical categorisation stating ``Both Mason's organization of information and writing style as lucid. However, the most distinctive of Jesus's associative nature of high priest extracts from the Melchizedek priestly order unlike the Levitical priesthood were recognised through a physical genealogy (Gen. 14: 18-20). The annotation that no </w:t>
      </w:r>
      <w:r>
        <w:lastRenderedPageBreak/>
        <w:t xml:space="preserve">human priesthood could accomplish the redemptive sacrifice other than Jesus's unblemished priestly order. He established a new priesthood more spiritually divine than the </w:t>
      </w:r>
      <w:proofErr w:type="spellStart"/>
      <w:r>
        <w:t>levitical</w:t>
      </w:r>
      <w:proofErr w:type="spellEnd"/>
      <w:r>
        <w:t xml:space="preserve"> order. Just as the Levitical priest would stand before the people to offer sacrifices, Jesus foreshadowed the good Shepard and the ultimate sacrifice laying his life for the sheep, the atonement for the sins of all man. Mason reflects this platonic nature of Christological priesthood, with Jesus as the most favoured. Ironically `Hebrews’ interpretations of Jesus's suffering nature of his priesthood is an important part of Heracles mythology. Ultimately Mason sums up Hebrews with Jesus's role as a priest who delivers his people to salvation (Heb. 2:13-14).</w:t>
      </w:r>
    </w:p>
    <w:p w14:paraId="3AF730DE" w14:textId="77777777" w:rsidR="009431EE" w:rsidRDefault="009431EE" w:rsidP="009431EE">
      <w:pPr>
        <w:pStyle w:val="NormalWeb"/>
      </w:pPr>
      <w:r>
        <w:t xml:space="preserve">Mason inserts the views of various scholars arguing the origins of the priestly motif and its relations to its recipients. Various Jewish authors objected to the writings of Hebrews preferring solidarity with the temple traditions. The author of Hebrews challenges these theological disagreements according to </w:t>
      </w:r>
      <w:proofErr w:type="spellStart"/>
      <w:r>
        <w:t>Lindars</w:t>
      </w:r>
      <w:proofErr w:type="spellEnd"/>
      <w:r>
        <w:t xml:space="preserve"> referring to his understanding in the book of Hebrews `` description of ``Jesus as completely original and without precedent’’. He further contends on the omittance of reference from the priest-king model of the Hasmoneans or the priestly messiah in the Dead Sea Scrolls. Some scholars argued the recipients of Hebrews were Essenes according to James Schaefer drawing on Isaiah's scripture to elaborate on the simultaneous idea of Jesus `self-sacrifice’’ and the concept of Jesus as high priest. Several scholars argue the Hebrew presentation of Jesus as a high Priest derived from the gospels. Cullmann refers to these interpretations of Jesus speaking of himself in (Mark. 12:35-37) concerning the Davidic Covenant. He further clarifies himself as a true priest in (Mark. 14:62) under the trial of the high priests refereeing to (</w:t>
      </w:r>
      <w:proofErr w:type="spellStart"/>
      <w:r>
        <w:t>Pslm</w:t>
      </w:r>
      <w:proofErr w:type="spellEnd"/>
      <w:r>
        <w:t xml:space="preserve">. 110:1; Dan. 7:13). In other </w:t>
      </w:r>
      <w:proofErr w:type="gramStart"/>
      <w:r>
        <w:t>words</w:t>
      </w:r>
      <w:proofErr w:type="gramEnd"/>
      <w:r>
        <w:t xml:space="preserve"> Mason draws to the conclusion according to Cullmann that the epistle to the Hebrews could find a point of contact with these two citations to prove Christological motif of Jesus Christ. </w:t>
      </w:r>
      <w:proofErr w:type="spellStart"/>
      <w:r>
        <w:t>Oegemas</w:t>
      </w:r>
      <w:proofErr w:type="spellEnd"/>
      <w:r>
        <w:t xml:space="preserve"> (2009) review concludes with a Davidic figure offering a priestly eschatological sacrifice of atonement.</w:t>
      </w:r>
    </w:p>
    <w:p w14:paraId="381A7DEE" w14:textId="77777777" w:rsidR="009431EE" w:rsidRDefault="009431EE" w:rsidP="009431EE">
      <w:pPr>
        <w:pStyle w:val="NormalWeb"/>
      </w:pPr>
      <w:r>
        <w:t>Mason revisits eschatological priestly and Melchizedek traditions to patch overlapping findings in the background studies of Hebrews. Modern scholarly investigation of the Dead Sea Scrolls brought these investigations to the forefront vis a vis Hebrews. The scrolls confirm various comparisons of Jesus with the prophets, angels, Moses, and Levitical priesthood before concluding the significance of the Hebrew's presentation of Jesus as a High Priest. Many scholars argue the proposed parallels between the scrolls and Hebrews. Studies reveal according to Yadin that the author of Hebrews went to great lengths to present Jesus as a priestly messiah greater than the inferior lay messiah at Qumran because the recipients expected an eschatological priest from the Levitical tribe. According to F. F Bruce, the comparison of Jesus and Melchizedek using Psalms 110:4 is evoked to justify how a king from the tribe of Judah could also be a priest. For NT scholars the Dead Sea Scrolls evidence a messianic belief of a Jewish community contemporary of geographical proximity of earliest Christianity being of great interest for decades. These have heightened correspondences of scrolls describing messianic priests with natural affiliates between the priestly messianism of the Qumran community and the priestly Christology of the author of Hebrews. Portland's (2008) review supports the idea that second-temple Judaism provides the best background for understanding the presentation of Jesus as a priest.</w:t>
      </w:r>
    </w:p>
    <w:p w14:paraId="46778510" w14:textId="77777777" w:rsidR="00A167D0" w:rsidRDefault="00A167D0" w:rsidP="009431EE">
      <w:pPr>
        <w:pStyle w:val="NormalWeb"/>
      </w:pPr>
    </w:p>
    <w:p w14:paraId="4DE6866C" w14:textId="77777777" w:rsidR="00A167D0" w:rsidRDefault="00A167D0" w:rsidP="009431EE">
      <w:pPr>
        <w:pStyle w:val="NormalWeb"/>
      </w:pPr>
    </w:p>
    <w:p w14:paraId="6B5DDFA9" w14:textId="77777777" w:rsidR="009431EE" w:rsidRDefault="009431EE" w:rsidP="009431EE">
      <w:pPr>
        <w:pStyle w:val="NormalWeb"/>
      </w:pPr>
      <w:r>
        <w:t xml:space="preserve">According to Mason, the Hebrews' presentation of Jesus as a priest finds its closest proximity at Qumran. It is undoubtedly clear that extreme positions of earlier proponents of the view </w:t>
      </w:r>
      <w:proofErr w:type="gramStart"/>
      <w:r>
        <w:t>in order to</w:t>
      </w:r>
      <w:proofErr w:type="gramEnd"/>
      <w:r>
        <w:t xml:space="preserve"> recognise that Hebrews and the Qumran texts share a perception of a heavenly Melchizedek, and the summation of the Levitical priesthood preceded the way for Hebrews' Christological reflections on Jesus as a priest. No assertion need be made that the author or audience of Hebrews were former Essenes or that </w:t>
      </w:r>
      <w:proofErr w:type="gramStart"/>
      <w:r>
        <w:t>particular Qumran</w:t>
      </w:r>
      <w:proofErr w:type="gramEnd"/>
      <w:r>
        <w:t xml:space="preserve"> scripts were quoted by the author of the epistle; nor may such evidence be substantiated. Instead, two criteria contribute to the Hebrew's presentation of Jesus as the notion of a divine priesthood and a spiritual understanding of Melchizedek are best paralleled in ideas found in the Dead Sea Scrolls.</w:t>
      </w:r>
    </w:p>
    <w:p w14:paraId="1DDAD89D" w14:textId="446D0CF8" w:rsidR="00B94273" w:rsidRDefault="00B94273" w:rsidP="009431EE">
      <w:pPr>
        <w:pStyle w:val="NormalWeb"/>
      </w:pPr>
      <w:r>
        <w:t>(</w:t>
      </w:r>
      <w:r w:rsidR="00153762">
        <w:t>1</w:t>
      </w:r>
      <w:r>
        <w:t>2</w:t>
      </w:r>
      <w:r w:rsidR="00153762">
        <w:t>50 Words)</w:t>
      </w:r>
    </w:p>
    <w:p w14:paraId="297A25C7" w14:textId="77777777" w:rsidR="009431EE" w:rsidRDefault="009431EE" w:rsidP="002F3668">
      <w:pPr>
        <w:pStyle w:val="NormalWeb"/>
        <w:rPr>
          <w:b/>
          <w:bCs/>
        </w:rPr>
      </w:pPr>
    </w:p>
    <w:p w14:paraId="263BCB14" w14:textId="77777777" w:rsidR="009431EE" w:rsidRDefault="009431EE" w:rsidP="002F3668">
      <w:pPr>
        <w:pStyle w:val="NormalWeb"/>
        <w:rPr>
          <w:b/>
          <w:bCs/>
        </w:rPr>
      </w:pPr>
    </w:p>
    <w:p w14:paraId="68AC178C" w14:textId="77777777" w:rsidR="009431EE" w:rsidRDefault="009431EE" w:rsidP="002F3668">
      <w:pPr>
        <w:pStyle w:val="NormalWeb"/>
        <w:rPr>
          <w:b/>
          <w:bCs/>
        </w:rPr>
      </w:pPr>
    </w:p>
    <w:p w14:paraId="651348E2" w14:textId="77777777" w:rsidR="009431EE" w:rsidRDefault="009431EE" w:rsidP="002F3668">
      <w:pPr>
        <w:pStyle w:val="NormalWeb"/>
        <w:rPr>
          <w:b/>
          <w:bCs/>
        </w:rPr>
      </w:pPr>
    </w:p>
    <w:p w14:paraId="3B346B80" w14:textId="77777777" w:rsidR="009431EE" w:rsidRDefault="009431EE" w:rsidP="002F3668">
      <w:pPr>
        <w:pStyle w:val="NormalWeb"/>
        <w:rPr>
          <w:b/>
          <w:bCs/>
        </w:rPr>
      </w:pPr>
    </w:p>
    <w:p w14:paraId="37A42DDA" w14:textId="77777777" w:rsidR="009431EE" w:rsidRDefault="009431EE" w:rsidP="002F3668">
      <w:pPr>
        <w:pStyle w:val="NormalWeb"/>
        <w:rPr>
          <w:b/>
          <w:bCs/>
        </w:rPr>
      </w:pPr>
    </w:p>
    <w:p w14:paraId="33A6DA41" w14:textId="77777777" w:rsidR="009431EE" w:rsidRDefault="009431EE" w:rsidP="002F3668">
      <w:pPr>
        <w:pStyle w:val="NormalWeb"/>
        <w:rPr>
          <w:b/>
          <w:bCs/>
        </w:rPr>
      </w:pPr>
    </w:p>
    <w:p w14:paraId="2E180B2E" w14:textId="77777777" w:rsidR="009431EE" w:rsidRDefault="009431EE" w:rsidP="002F3668">
      <w:pPr>
        <w:pStyle w:val="NormalWeb"/>
        <w:rPr>
          <w:b/>
          <w:bCs/>
        </w:rPr>
      </w:pPr>
    </w:p>
    <w:p w14:paraId="01264E14" w14:textId="77777777" w:rsidR="009431EE" w:rsidRDefault="009431EE" w:rsidP="002F3668">
      <w:pPr>
        <w:pStyle w:val="NormalWeb"/>
        <w:rPr>
          <w:b/>
          <w:bCs/>
        </w:rPr>
      </w:pPr>
    </w:p>
    <w:p w14:paraId="230F486D" w14:textId="77777777" w:rsidR="009431EE" w:rsidRDefault="009431EE" w:rsidP="002F3668">
      <w:pPr>
        <w:pStyle w:val="NormalWeb"/>
        <w:rPr>
          <w:b/>
          <w:bCs/>
        </w:rPr>
      </w:pPr>
    </w:p>
    <w:p w14:paraId="4D050176" w14:textId="77777777" w:rsidR="009431EE" w:rsidRDefault="009431EE" w:rsidP="002F3668">
      <w:pPr>
        <w:pStyle w:val="NormalWeb"/>
        <w:rPr>
          <w:b/>
          <w:bCs/>
        </w:rPr>
      </w:pPr>
    </w:p>
    <w:p w14:paraId="64E99BA4" w14:textId="77777777" w:rsidR="009431EE" w:rsidRDefault="009431EE" w:rsidP="002F3668">
      <w:pPr>
        <w:pStyle w:val="NormalWeb"/>
        <w:rPr>
          <w:b/>
          <w:bCs/>
        </w:rPr>
      </w:pPr>
    </w:p>
    <w:p w14:paraId="631E0898" w14:textId="77777777" w:rsidR="009431EE" w:rsidRDefault="009431EE" w:rsidP="002F3668">
      <w:pPr>
        <w:pStyle w:val="NormalWeb"/>
        <w:rPr>
          <w:b/>
          <w:bCs/>
        </w:rPr>
      </w:pPr>
    </w:p>
    <w:p w14:paraId="3A7672B0" w14:textId="77777777" w:rsidR="009431EE" w:rsidRDefault="009431EE" w:rsidP="002F3668">
      <w:pPr>
        <w:pStyle w:val="NormalWeb"/>
        <w:rPr>
          <w:b/>
          <w:bCs/>
        </w:rPr>
      </w:pPr>
    </w:p>
    <w:p w14:paraId="2F7A7874" w14:textId="77777777" w:rsidR="009431EE" w:rsidRDefault="009431EE" w:rsidP="002F3668">
      <w:pPr>
        <w:pStyle w:val="NormalWeb"/>
        <w:rPr>
          <w:b/>
          <w:bCs/>
        </w:rPr>
      </w:pPr>
    </w:p>
    <w:p w14:paraId="28B93800" w14:textId="77777777" w:rsidR="009431EE" w:rsidRDefault="009431EE" w:rsidP="002F3668">
      <w:pPr>
        <w:pStyle w:val="NormalWeb"/>
        <w:rPr>
          <w:b/>
          <w:bCs/>
        </w:rPr>
      </w:pPr>
    </w:p>
    <w:p w14:paraId="5312C1F9" w14:textId="77777777" w:rsidR="009431EE" w:rsidRDefault="009431EE" w:rsidP="002F3668">
      <w:pPr>
        <w:pStyle w:val="NormalWeb"/>
        <w:rPr>
          <w:b/>
          <w:bCs/>
        </w:rPr>
      </w:pPr>
    </w:p>
    <w:p w14:paraId="2AD3E03D" w14:textId="77777777" w:rsidR="004640D0" w:rsidRDefault="004640D0" w:rsidP="00291716">
      <w:pPr>
        <w:spacing w:after="0" w:line="240" w:lineRule="auto"/>
        <w:rPr>
          <w:rFonts w:ascii="Times New Roman" w:eastAsia="Times New Roman" w:hAnsi="Times New Roman" w:cs="Times New Roman"/>
          <w:b/>
          <w:bCs/>
          <w:kern w:val="0"/>
          <w:sz w:val="24"/>
          <w:szCs w:val="24"/>
          <w:lang w:eastAsia="en-GB"/>
          <w14:ligatures w14:val="none"/>
        </w:rPr>
      </w:pPr>
    </w:p>
    <w:p w14:paraId="5E710619" w14:textId="77777777" w:rsidR="004640D0" w:rsidRDefault="004640D0" w:rsidP="00291716">
      <w:pPr>
        <w:spacing w:after="0" w:line="240" w:lineRule="auto"/>
        <w:rPr>
          <w:rFonts w:ascii="Times New Roman" w:eastAsia="Times New Roman" w:hAnsi="Times New Roman" w:cs="Times New Roman"/>
          <w:b/>
          <w:bCs/>
          <w:kern w:val="0"/>
          <w:sz w:val="24"/>
          <w:szCs w:val="24"/>
          <w:lang w:eastAsia="en-GB"/>
          <w14:ligatures w14:val="none"/>
        </w:rPr>
      </w:pPr>
    </w:p>
    <w:p w14:paraId="062D213A" w14:textId="77777777" w:rsidR="004640D0" w:rsidRDefault="002F3668" w:rsidP="002F3668">
      <w:pPr>
        <w:pStyle w:val="NormalWeb"/>
      </w:pPr>
      <w:r>
        <w:t xml:space="preserve">The </w:t>
      </w:r>
      <w:proofErr w:type="spellStart"/>
      <w:r>
        <w:t>Encyclopedia</w:t>
      </w:r>
      <w:proofErr w:type="spellEnd"/>
      <w:r>
        <w:t xml:space="preserve"> Review by William P Brown ``Creation in the Old </w:t>
      </w:r>
      <w:proofErr w:type="spellStart"/>
      <w:r>
        <w:t>Testament’’draws</w:t>
      </w:r>
      <w:proofErr w:type="spellEnd"/>
      <w:r>
        <w:t xml:space="preserve"> from St Andrews Encyclopaedia of Theology generic of an expert of the bible. The article presents a collaboration of biblical, mythical, and cosmic interpretations of the exegesis of biblical creation in Genesis. Brown delivers an anomaly between the earthly and spiritual realms and creation's significance with cosmic temple symmetry. Beyond Genesis, creation finds its abode in wisdom literature, the Psalms, and the prophets while engaging with various scholarly references.</w:t>
      </w:r>
    </w:p>
    <w:p w14:paraId="04095759" w14:textId="1EF70951" w:rsidR="002F3668" w:rsidRDefault="002F3668" w:rsidP="002F3668">
      <w:pPr>
        <w:pStyle w:val="NormalWeb"/>
      </w:pPr>
      <w:r>
        <w:t xml:space="preserve">Brown highlights interest in biblical creation enveloped with physics creating a conflict as well as shared mutual respect. Recent concerns for the planet's well-being attracted the attention of theologians and scientists </w:t>
      </w:r>
      <w:r w:rsidRPr="00034A63">
        <w:rPr>
          <w:b/>
          <w:bCs/>
        </w:rPr>
        <w:t>(</w:t>
      </w:r>
      <w:r w:rsidRPr="00034A63">
        <w:rPr>
          <w:rStyle w:val="Strong"/>
          <w:rFonts w:eastAsiaTheme="majorEastAsia"/>
          <w:b w:val="0"/>
          <w:bCs w:val="0"/>
        </w:rPr>
        <w:t>Brown 2010; Rasmussen 2013).</w:t>
      </w:r>
      <w:r>
        <w:t> Seventeenth-century science profoundly shifted Western European attitudes towards the world…neither was an incompatibility between the natural or divine a means of explaining global</w:t>
      </w:r>
      <w:r w:rsidR="004640D0">
        <w:t xml:space="preserve"> </w:t>
      </w:r>
      <w:r>
        <w:t>occurrence </w:t>
      </w:r>
      <w:r w:rsidRPr="00034A63">
        <w:rPr>
          <w:rStyle w:val="Strong"/>
          <w:rFonts w:eastAsiaTheme="majorEastAsia"/>
          <w:b w:val="0"/>
          <w:bCs w:val="0"/>
        </w:rPr>
        <w:t>(McFarland 2022)</w:t>
      </w:r>
      <w:r>
        <w:t>. Science only sufficed for nature's predictable operation and natural laws were sufficient </w:t>
      </w:r>
      <w:r w:rsidRPr="00034A63">
        <w:rPr>
          <w:rStyle w:val="Strong"/>
          <w:rFonts w:eastAsiaTheme="majorEastAsia"/>
          <w:b w:val="0"/>
          <w:bCs w:val="0"/>
        </w:rPr>
        <w:t>(History of Science and Theology).</w:t>
      </w:r>
      <w:r>
        <w:rPr>
          <w:rStyle w:val="Strong"/>
          <w:rFonts w:eastAsiaTheme="majorEastAsia"/>
        </w:rPr>
        <w:t> </w:t>
      </w:r>
      <w:r>
        <w:t xml:space="preserve">However, Brown indicates both anomalies at work simultaneously detailed in Psalms and Job. Brown also discovers an interest in biblical creations mythically related to Middle Eastern cultures. Some biblical scholars have </w:t>
      </w:r>
      <w:proofErr w:type="gramStart"/>
      <w:r>
        <w:t>evidence</w:t>
      </w:r>
      <w:proofErr w:type="gramEnd"/>
      <w:r>
        <w:t xml:space="preserve"> the creation story mimicked Mesopotamian myths. They depict cosmic combats before creation, a motif evident also in </w:t>
      </w:r>
      <w:r w:rsidR="00025F10">
        <w:t>(</w:t>
      </w:r>
      <w:proofErr w:type="spellStart"/>
      <w:r>
        <w:t>Ps</w:t>
      </w:r>
      <w:r w:rsidR="000B3E78">
        <w:t>lm</w:t>
      </w:r>
      <w:proofErr w:type="spellEnd"/>
      <w:r w:rsidR="00DD687A">
        <w:t>.</w:t>
      </w:r>
      <w:r>
        <w:t xml:space="preserve"> 74</w:t>
      </w:r>
      <w:r w:rsidR="00025F10">
        <w:t>;</w:t>
      </w:r>
      <w:r>
        <w:t xml:space="preserve"> 89</w:t>
      </w:r>
      <w:r w:rsidR="00025F10">
        <w:t>)</w:t>
      </w:r>
      <w:r>
        <w:t xml:space="preserve"> (Levenson 1994). Ironically various civilizations register similar stories of a cosmic battle between good and evil. According to Iranian creation Mythology, Evil spirits brought destructive entities into the world counteracting Ohrmazd's good creation with a desire to smite…the evil spirit attacked to destroy it </w:t>
      </w:r>
      <w:r w:rsidRPr="00034A63">
        <w:rPr>
          <w:rStyle w:val="Strong"/>
          <w:rFonts w:eastAsiaTheme="majorEastAsia"/>
          <w:b w:val="0"/>
          <w:bCs w:val="0"/>
        </w:rPr>
        <w:t>(Lincoln 1997).</w:t>
      </w:r>
      <w:r>
        <w:t xml:space="preserve"> Brown contrasts these associations with religions that surround Israel, which many scholars believe influenced Israel's creation tradition, ecological crises, and the growing dialogue between science and religion. However, Brown's main article </w:t>
      </w:r>
      <w:proofErr w:type="gramStart"/>
      <w:r>
        <w:t>surveys</w:t>
      </w:r>
      <w:proofErr w:type="gramEnd"/>
      <w:r>
        <w:t xml:space="preserve"> themes of the creation in the Old Testament focusing on various creation texts, theologically and ecologically exploring their significance. </w:t>
      </w:r>
    </w:p>
    <w:p w14:paraId="783E12AD" w14:textId="66B95E7B" w:rsidR="00291716" w:rsidRDefault="002F3668" w:rsidP="002F3668">
      <w:pPr>
        <w:pStyle w:val="NormalWeb"/>
      </w:pPr>
      <w:r>
        <w:t>Creation according to the Old Testament reflects the dialectic of transcendence and permeates, a conduit between heaven and earth. Brown accounts for the distinction between the heavens ``God's residence’’ compared to the earth</w:t>
      </w:r>
      <w:r w:rsidR="00A61A35">
        <w:t xml:space="preserve"> </w:t>
      </w:r>
      <w:proofErr w:type="spellStart"/>
      <w:r w:rsidR="00A61A35">
        <w:t>shere</w:t>
      </w:r>
      <w:proofErr w:type="spellEnd"/>
      <w:r>
        <w:t> ``scientists call the biosphere’’. The temple in which God is said to dwell according to (1 Kings</w:t>
      </w:r>
      <w:r w:rsidR="00FC0D49">
        <w:t>.</w:t>
      </w:r>
      <w:r>
        <w:t xml:space="preserve"> 8). Phenomenally described by scholars ``the astrodome’’ model of the three-tiered universe. Brown's interpretation presents picture diagrams and tables to distinguish creation within seven days. A process of domain separation Brown explains happens in </w:t>
      </w:r>
      <w:r w:rsidR="00130D91">
        <w:t>(</w:t>
      </w:r>
      <w:r>
        <w:t>Gen</w:t>
      </w:r>
      <w:r w:rsidR="00FC0D49">
        <w:t>.</w:t>
      </w:r>
      <w:r>
        <w:t xml:space="preserve"> 1</w:t>
      </w:r>
      <w:r w:rsidR="00FC0D49">
        <w:t>)</w:t>
      </w:r>
      <w:r>
        <w:t>, between darkness and light, the ``waters below’’ from ``waters above’’, the waters from the land, and the consecrated day. A gradual process of differentiation leads to a diversity of life. This compartmental separation allowed the living things to operate at their fullest potential in their environments, yet God's divine nature is present in both. However, Theologians acknowledge divine sovereignty and human dominion in terms of environmentalism. Catherine Keller (2003) argues the cooperative relationship between God and the world, where</w:t>
      </w:r>
      <w:r w:rsidR="004640D0">
        <w:t xml:space="preserve"> </w:t>
      </w:r>
      <w:r>
        <w:t xml:space="preserve">God honours the integrity of creatures as independent agents for human recognition than trying to manage their environment. Grace Jantzen </w:t>
      </w:r>
      <w:r w:rsidR="00130D91">
        <w:t>(</w:t>
      </w:r>
      <w:r>
        <w:t>1984</w:t>
      </w:r>
      <w:r w:rsidR="00130D91">
        <w:t>)</w:t>
      </w:r>
      <w:r>
        <w:t xml:space="preserve"> and Sallie </w:t>
      </w:r>
      <w:proofErr w:type="spellStart"/>
      <w:r>
        <w:t>Mcfague</w:t>
      </w:r>
      <w:proofErr w:type="spellEnd"/>
      <w:r>
        <w:t xml:space="preserve"> </w:t>
      </w:r>
      <w:r w:rsidR="00130D91">
        <w:t>(</w:t>
      </w:r>
      <w:r>
        <w:t>1993</w:t>
      </w:r>
      <w:r w:rsidR="00130D91">
        <w:t>)</w:t>
      </w:r>
      <w:r>
        <w:t xml:space="preserve"> similarly advocate panentheism rejecting Christian theological traditions (McFarland 2022). Brown sums up creations as ``A `good’ creation is one that is stable, habitable, sustainably </w:t>
      </w:r>
      <w:proofErr w:type="gramStart"/>
      <w:r>
        <w:t>flourishing</w:t>
      </w:r>
      <w:proofErr w:type="gramEnd"/>
      <w:r>
        <w:t xml:space="preserve"> and regenerative (Brown 2022). (Welker 1999: 40, 42) supports Brown stating `` Despite being inert elements, the `earth’ and the `waters prove to be `empowering environments.</w:t>
      </w:r>
    </w:p>
    <w:p w14:paraId="4BBDDCE7" w14:textId="50E83B77" w:rsidR="002F3668" w:rsidRDefault="002F3668" w:rsidP="002F3668">
      <w:pPr>
        <w:pStyle w:val="NormalWeb"/>
      </w:pPr>
      <w:r>
        <w:t xml:space="preserve">Most intricately of Brown's interpretation of creation is the resemblance of a cosmic temple. Temples of the ancient Near East, including Solomons temple, exhibit a tripartite structure </w:t>
      </w:r>
      <w:proofErr w:type="gramStart"/>
      <w:r>
        <w:t>similar to</w:t>
      </w:r>
      <w:proofErr w:type="gramEnd"/>
      <w:r>
        <w:t xml:space="preserve"> the literary symmetry of Genesis scripts (Jenson 1992; Hundley 3013: 749-767). He explains the relevance of the first six days, establishing architectural boundaries of sacred space, while the last day represents the most holy place. Similar interpretations are quoted in Old Testament texts in (Isa</w:t>
      </w:r>
      <w:r w:rsidR="00471BC6">
        <w:t>.</w:t>
      </w:r>
      <w:r>
        <w:t> 66:1-2; Job</w:t>
      </w:r>
      <w:r w:rsidR="001D3065">
        <w:t>.</w:t>
      </w:r>
      <w:r>
        <w:t xml:space="preserve"> 38: 4-7) when God was proving creation's cosmic boundaries to his servants. The same threefold arrangement could allude to the human-divine anatomy of body soul and spirit. According to (1 Cor</w:t>
      </w:r>
      <w:r w:rsidR="001D3065">
        <w:t>.</w:t>
      </w:r>
      <w:r>
        <w:t xml:space="preserve"> 6:19-20) the body is the temple of the holy spirit. The seventh day represented God's rest, the crown of creation serving as a model for Human conduct. As a historical testament, the Israelites were also commanded to keep the Sabbath holy (Exod</w:t>
      </w:r>
      <w:r w:rsidR="001D3065">
        <w:t>.</w:t>
      </w:r>
      <w:r>
        <w:t xml:space="preserve"> 20:8-11; 13-17). Brown concludes the theological message of </w:t>
      </w:r>
      <w:r w:rsidR="001D3065">
        <w:t>(</w:t>
      </w:r>
      <w:r>
        <w:t>Gen</w:t>
      </w:r>
      <w:r w:rsidR="001D3065">
        <w:t>.</w:t>
      </w:r>
      <w:r>
        <w:t xml:space="preserve"> 1</w:t>
      </w:r>
      <w:r w:rsidR="001D3065">
        <w:t>)</w:t>
      </w:r>
      <w:r>
        <w:t xml:space="preserve"> is complete: the cosmos and indeed all creation is God's cosmic temple (Walton 2009: 72-92).</w:t>
      </w:r>
    </w:p>
    <w:p w14:paraId="36A2FA3E" w14:textId="77777777" w:rsidR="004640D0" w:rsidRDefault="004640D0" w:rsidP="002F3668">
      <w:pPr>
        <w:pStyle w:val="NormalWeb"/>
      </w:pPr>
    </w:p>
    <w:p w14:paraId="5C672CC6" w14:textId="3E46C32E" w:rsidR="004640D0" w:rsidRDefault="002F3668" w:rsidP="002F3668">
      <w:pPr>
        <w:pStyle w:val="NormalWeb"/>
      </w:pPr>
      <w:r>
        <w:t xml:space="preserve">Brown shows the parallels of creation embedded through wisdom literature, in the books of Proverbs, Job, and Ecclesiastes. In these explanations, Brown reiterates the manifestations of the wisdom of God. Proverbs account for an eyewitness who turns the cosmic litany into an intensely personal testimony being wisdom herself. In various references, however, Wisdom is a grand soliloquy. Concerning Wisdom, </w:t>
      </w:r>
      <w:proofErr w:type="spellStart"/>
      <w:r>
        <w:t>Yhwh</w:t>
      </w:r>
      <w:proofErr w:type="spellEnd"/>
      <w:r>
        <w:t xml:space="preserve"> is not just the architect of the cosmos; the deity of design resembles a parent. Wisdom is portrayed as a daughter of God. This interpretation caused debates in the Arian Christological early church (</w:t>
      </w:r>
      <w:proofErr w:type="spellStart"/>
      <w:r>
        <w:t>Ticcciati</w:t>
      </w:r>
      <w:proofErr w:type="spellEnd"/>
      <w:r>
        <w:t xml:space="preserve"> 2019: 179-190). </w:t>
      </w:r>
      <w:proofErr w:type="spellStart"/>
      <w:r>
        <w:t>Bewilderly</w:t>
      </w:r>
      <w:proofErr w:type="spellEnd"/>
      <w:r>
        <w:t> in Psalms Brown describes mystical creatures as the Leviathan and God shattering the `sea dragons (</w:t>
      </w:r>
      <w:proofErr w:type="spellStart"/>
      <w:r>
        <w:t>Ps</w:t>
      </w:r>
      <w:r w:rsidR="00824512">
        <w:t>lm</w:t>
      </w:r>
      <w:proofErr w:type="spellEnd"/>
      <w:r w:rsidR="00824512">
        <w:t>.</w:t>
      </w:r>
      <w:r>
        <w:t xml:space="preserve"> 74: 12-17). Just as ancient mythology anticipates a final episode between good and evil, Psalms envisions God the king of old working salvation on the earth finally destroying the serpent (Isa</w:t>
      </w:r>
      <w:r w:rsidR="00824512">
        <w:t>.</w:t>
      </w:r>
      <w:r>
        <w:t xml:space="preserve"> 27:1). In another aspect a comparison is made between God's cosmic glory to humanity’s earthly glory. ``what is a man that you call them to mind, humankind that you care for them? Brown recognises the Psalmist's central questions of a sense of awe and mystery that humanity remains the object of </w:t>
      </w:r>
      <w:proofErr w:type="spellStart"/>
      <w:r>
        <w:t>Yhwh's</w:t>
      </w:r>
      <w:proofErr w:type="spellEnd"/>
      <w:r>
        <w:t xml:space="preserve"> attention. With this constant mindfulness, Paul reminds the creation of the first man of the earth: the second man is the lord from heaven (1 Cor</w:t>
      </w:r>
      <w:r w:rsidR="00824512">
        <w:t>.</w:t>
      </w:r>
      <w:r>
        <w:t xml:space="preserve"> 15</w:t>
      </w:r>
      <w:r w:rsidR="00824512">
        <w:t>:</w:t>
      </w:r>
      <w:r>
        <w:t xml:space="preserve"> 47-49). Paul explains the resurrection by reference to the heaven of Jesus as a model (Humphrey 2024). This final amalgamation of creation's existing communion with God is purposefully manifested through Christ (McFarland 2022). Creation will be set free from the bondage of decay and will obtain the freedom of the glory of the children of God (Rom</w:t>
      </w:r>
      <w:r w:rsidR="00F906BA">
        <w:t>.</w:t>
      </w:r>
      <w:r>
        <w:t xml:space="preserve"> 8:21).</w:t>
      </w:r>
    </w:p>
    <w:p w14:paraId="7D08966C" w14:textId="77777777" w:rsidR="004640D0" w:rsidRDefault="004640D0" w:rsidP="002F3668">
      <w:pPr>
        <w:pStyle w:val="NormalWeb"/>
      </w:pPr>
    </w:p>
    <w:p w14:paraId="3447A95E" w14:textId="77777777" w:rsidR="004640D0" w:rsidRDefault="004640D0" w:rsidP="002F3668">
      <w:pPr>
        <w:pStyle w:val="NormalWeb"/>
      </w:pPr>
    </w:p>
    <w:p w14:paraId="7BA7004C" w14:textId="77777777" w:rsidR="004640D0" w:rsidRDefault="004640D0" w:rsidP="002F3668">
      <w:pPr>
        <w:pStyle w:val="NormalWeb"/>
      </w:pPr>
    </w:p>
    <w:p w14:paraId="73CD493D" w14:textId="77777777" w:rsidR="004640D0" w:rsidRDefault="004640D0" w:rsidP="002F3668">
      <w:pPr>
        <w:pStyle w:val="NormalWeb"/>
      </w:pPr>
    </w:p>
    <w:p w14:paraId="2CBF500D" w14:textId="77777777" w:rsidR="004640D0" w:rsidRDefault="004640D0" w:rsidP="002F3668">
      <w:pPr>
        <w:pStyle w:val="NormalWeb"/>
      </w:pPr>
    </w:p>
    <w:p w14:paraId="2D6D2766" w14:textId="77777777" w:rsidR="004640D0" w:rsidRDefault="004640D0" w:rsidP="002F3668">
      <w:pPr>
        <w:pStyle w:val="NormalWeb"/>
      </w:pPr>
    </w:p>
    <w:p w14:paraId="773AA6AB" w14:textId="77777777" w:rsidR="004640D0" w:rsidRDefault="004640D0" w:rsidP="002F3668">
      <w:pPr>
        <w:pStyle w:val="NormalWeb"/>
      </w:pPr>
    </w:p>
    <w:p w14:paraId="6E3824F5" w14:textId="77777777" w:rsidR="004640D0" w:rsidRDefault="004640D0" w:rsidP="002F3668">
      <w:pPr>
        <w:pStyle w:val="NormalWeb"/>
      </w:pPr>
    </w:p>
    <w:p w14:paraId="50CEC148" w14:textId="7BE3D390" w:rsidR="002F3668" w:rsidRDefault="002F3668" w:rsidP="002F3668">
      <w:pPr>
        <w:pStyle w:val="NormalWeb"/>
      </w:pPr>
      <w:r>
        <w:t>Conclusively Brown gives great insight into the accounts of creation through the Old Testament but with scholarly references. With the advancement of science, the earth as a subject is perceived differently according to worldly events segregating natural from divine activities. However, scriptures evidence these rhythmic coexistences according to the law of creations explained in Psalms and Job. Interestingly Brown relates the creation story to mythical legends according to ancient Mesopotamian and Persian cultures. I agree with scholarly references that ancient civilisation possessed knowledge of cosmic deities existing between good and evil. Civilisations surrounding Israel influenced to a certain degree Israel's creation traditions. Brown interprets creation according to the Old Testament as distinctive of the heavenly and earth modelling a three-tiered universe. A separation process between the environment allows subjective creations to thrive in their perfect habitat. Theologians disagree and advocate for panentheism rejecting Christian theological traditions. However, according to Brown a `good creation’ is a regenerative one. The tripartite structure of Solomon temple assimilates the creation days differentiating the Portico, nave, and holy of Holies.  According to Brown, Creation anticipated in Poetic literature accounted through wisdom was debated by early church theologians. The book of Psalms paints an eschatological picture of the work of salvation with the defeat of the Leviathan. Finally, I agree with Humphrey and McFarland that the mindfulness of God towards mankind since creation is depicted in the new creation of heavenly beings through Jesus being a model of the second Adam.  </w:t>
      </w:r>
    </w:p>
    <w:p w14:paraId="00A5DA98" w14:textId="77777777" w:rsidR="009F18EF" w:rsidRDefault="009F18EF" w:rsidP="002F3668">
      <w:pPr>
        <w:pStyle w:val="NormalWeb"/>
      </w:pPr>
    </w:p>
    <w:p w14:paraId="08D8BE83" w14:textId="18EBC1D7" w:rsidR="009F18EF" w:rsidRDefault="009F18EF" w:rsidP="002F3668">
      <w:pPr>
        <w:pStyle w:val="NormalWeb"/>
      </w:pPr>
      <w:r>
        <w:t xml:space="preserve">(1250 </w:t>
      </w:r>
      <w:r w:rsidR="00A167D0">
        <w:t>W</w:t>
      </w:r>
      <w:r>
        <w:t>ord</w:t>
      </w:r>
      <w:r w:rsidR="00A167D0">
        <w:t>s)</w:t>
      </w:r>
    </w:p>
    <w:p w14:paraId="6A6C93C6" w14:textId="77777777" w:rsidR="00291716" w:rsidRDefault="00291716" w:rsidP="002F3668">
      <w:pPr>
        <w:pStyle w:val="NormalWeb"/>
      </w:pPr>
    </w:p>
    <w:p w14:paraId="31711B79" w14:textId="77777777" w:rsidR="00291716" w:rsidRDefault="00291716" w:rsidP="002F3668">
      <w:pPr>
        <w:pStyle w:val="NormalWeb"/>
      </w:pPr>
    </w:p>
    <w:p w14:paraId="076B9A46" w14:textId="77777777" w:rsidR="00291716" w:rsidRDefault="00291716" w:rsidP="002F3668">
      <w:pPr>
        <w:pStyle w:val="NormalWeb"/>
      </w:pPr>
    </w:p>
    <w:p w14:paraId="105F73A2" w14:textId="77777777" w:rsidR="00291716" w:rsidRDefault="00291716" w:rsidP="002F3668">
      <w:pPr>
        <w:pStyle w:val="NormalWeb"/>
      </w:pPr>
    </w:p>
    <w:p w14:paraId="1725C68A" w14:textId="77777777" w:rsidR="00291716" w:rsidRDefault="00291716" w:rsidP="002F3668">
      <w:pPr>
        <w:pStyle w:val="NormalWeb"/>
      </w:pPr>
    </w:p>
    <w:p w14:paraId="378BE24C" w14:textId="77777777" w:rsidR="00291716" w:rsidRDefault="00291716" w:rsidP="002F3668">
      <w:pPr>
        <w:pStyle w:val="NormalWeb"/>
      </w:pPr>
    </w:p>
    <w:p w14:paraId="0BF3909A" w14:textId="77777777" w:rsidR="00291716" w:rsidRDefault="00291716" w:rsidP="002F3668">
      <w:pPr>
        <w:pStyle w:val="NormalWeb"/>
      </w:pPr>
    </w:p>
    <w:p w14:paraId="68CB0C12" w14:textId="77777777" w:rsidR="00291716" w:rsidRDefault="00291716" w:rsidP="002F3668">
      <w:pPr>
        <w:pStyle w:val="NormalWeb"/>
      </w:pPr>
    </w:p>
    <w:p w14:paraId="6435E75D" w14:textId="77777777" w:rsidR="00291716" w:rsidRDefault="00291716" w:rsidP="002F3668">
      <w:pPr>
        <w:pStyle w:val="NormalWeb"/>
      </w:pPr>
    </w:p>
    <w:p w14:paraId="413148AF" w14:textId="77777777" w:rsidR="00291716" w:rsidRDefault="00291716" w:rsidP="002F3668">
      <w:pPr>
        <w:pStyle w:val="NormalWeb"/>
      </w:pPr>
    </w:p>
    <w:p w14:paraId="0F7014E2" w14:textId="77777777" w:rsidR="00291716" w:rsidRDefault="00291716" w:rsidP="002F3668">
      <w:pPr>
        <w:pStyle w:val="NormalWeb"/>
      </w:pPr>
    </w:p>
    <w:p w14:paraId="62CC050D" w14:textId="77777777" w:rsidR="00291716" w:rsidRDefault="00291716" w:rsidP="002F3668">
      <w:pPr>
        <w:pStyle w:val="NormalWeb"/>
      </w:pPr>
    </w:p>
    <w:p w14:paraId="7AA30F8F" w14:textId="71491621" w:rsidR="009F18EF" w:rsidRPr="00A56FCD" w:rsidRDefault="009F18EF" w:rsidP="002F3668">
      <w:pPr>
        <w:pStyle w:val="NormalWeb"/>
        <w:rPr>
          <w:b/>
          <w:bCs/>
        </w:rPr>
      </w:pPr>
      <w:r w:rsidRPr="00A56FCD">
        <w:rPr>
          <w:b/>
          <w:bCs/>
        </w:rPr>
        <w:t>Bibliography</w:t>
      </w:r>
    </w:p>
    <w:p w14:paraId="61DA982F" w14:textId="77777777" w:rsidR="00AF25E5" w:rsidRPr="00291716" w:rsidRDefault="00AF25E5" w:rsidP="00AF25E5">
      <w:pPr>
        <w:spacing w:after="0" w:line="240" w:lineRule="auto"/>
        <w:rPr>
          <w:rFonts w:ascii="Times New Roman" w:eastAsia="Times New Roman" w:hAnsi="Times New Roman" w:cs="Times New Roman"/>
          <w:kern w:val="0"/>
          <w:sz w:val="24"/>
          <w:szCs w:val="24"/>
          <w:lang w:eastAsia="en-GB"/>
          <w14:ligatures w14:val="none"/>
        </w:rPr>
      </w:pPr>
      <w:r w:rsidRPr="00291716">
        <w:rPr>
          <w:rFonts w:ascii="Times New Roman" w:eastAsia="Times New Roman" w:hAnsi="Times New Roman" w:cs="Times New Roman"/>
          <w:kern w:val="0"/>
          <w:sz w:val="24"/>
          <w:szCs w:val="24"/>
          <w:lang w:eastAsia="en-GB"/>
          <w14:ligatures w14:val="none"/>
        </w:rPr>
        <w:t xml:space="preserve">Ian A. McFarland (2022) ‘Creation’, </w:t>
      </w:r>
      <w:r w:rsidRPr="00291716">
        <w:rPr>
          <w:rFonts w:ascii="Times New Roman" w:eastAsia="Times New Roman" w:hAnsi="Times New Roman" w:cs="Times New Roman"/>
          <w:i/>
          <w:iCs/>
          <w:kern w:val="0"/>
          <w:sz w:val="24"/>
          <w:szCs w:val="24"/>
          <w:lang w:eastAsia="en-GB"/>
          <w14:ligatures w14:val="none"/>
        </w:rPr>
        <w:t>St Andrews Encyclopaedia of Theology</w:t>
      </w:r>
      <w:r w:rsidRPr="00291716">
        <w:rPr>
          <w:rFonts w:ascii="Times New Roman" w:eastAsia="Times New Roman" w:hAnsi="Times New Roman" w:cs="Times New Roman"/>
          <w:kern w:val="0"/>
          <w:sz w:val="24"/>
          <w:szCs w:val="24"/>
          <w:lang w:eastAsia="en-GB"/>
          <w14:ligatures w14:val="none"/>
        </w:rPr>
        <w:t xml:space="preserve"> [Preprint].</w:t>
      </w:r>
    </w:p>
    <w:p w14:paraId="510B4F0A" w14:textId="77777777" w:rsidR="005B14F2" w:rsidRPr="00291716" w:rsidRDefault="005B14F2" w:rsidP="00AF25E5">
      <w:pPr>
        <w:spacing w:after="0" w:line="240" w:lineRule="auto"/>
        <w:rPr>
          <w:rFonts w:ascii="Times New Roman" w:eastAsia="Times New Roman" w:hAnsi="Times New Roman" w:cs="Times New Roman"/>
          <w:kern w:val="0"/>
          <w:sz w:val="24"/>
          <w:szCs w:val="24"/>
          <w:lang w:eastAsia="en-GB"/>
          <w14:ligatures w14:val="none"/>
        </w:rPr>
      </w:pPr>
    </w:p>
    <w:p w14:paraId="581FFE15" w14:textId="2490B6E4" w:rsidR="00AF25E5" w:rsidRPr="00100BE4" w:rsidRDefault="005B14F2" w:rsidP="00E0638E">
      <w:pPr>
        <w:spacing w:after="0" w:line="240" w:lineRule="auto"/>
        <w:rPr>
          <w:rFonts w:ascii="Times New Roman" w:eastAsia="Times New Roman" w:hAnsi="Times New Roman" w:cs="Times New Roman"/>
          <w:kern w:val="0"/>
          <w:sz w:val="24"/>
          <w:szCs w:val="24"/>
          <w:lang w:eastAsia="en-GB"/>
          <w14:ligatures w14:val="none"/>
        </w:rPr>
      </w:pPr>
      <w:r w:rsidRPr="00100BE4">
        <w:rPr>
          <w:rFonts w:ascii="Times New Roman" w:eastAsia="Times New Roman" w:hAnsi="Times New Roman" w:cs="Times New Roman"/>
          <w:kern w:val="0"/>
          <w:sz w:val="24"/>
          <w:szCs w:val="24"/>
          <w:lang w:eastAsia="en-GB"/>
          <w14:ligatures w14:val="none"/>
        </w:rPr>
        <w:t xml:space="preserve">Edith M. Humphrey (2024) ‘New Creation in the Christian Scriptures and Tradition’, </w:t>
      </w:r>
      <w:r w:rsidRPr="00100BE4">
        <w:rPr>
          <w:rFonts w:ascii="Times New Roman" w:eastAsia="Times New Roman" w:hAnsi="Times New Roman" w:cs="Times New Roman"/>
          <w:i/>
          <w:iCs/>
          <w:kern w:val="0"/>
          <w:sz w:val="24"/>
          <w:szCs w:val="24"/>
          <w:lang w:eastAsia="en-GB"/>
          <w14:ligatures w14:val="none"/>
        </w:rPr>
        <w:t>St Andrews Encyclopaedia of Theology</w:t>
      </w:r>
      <w:r w:rsidRPr="00100BE4">
        <w:rPr>
          <w:rFonts w:ascii="Times New Roman" w:eastAsia="Times New Roman" w:hAnsi="Times New Roman" w:cs="Times New Roman"/>
          <w:kern w:val="0"/>
          <w:sz w:val="24"/>
          <w:szCs w:val="24"/>
          <w:lang w:eastAsia="en-GB"/>
          <w14:ligatures w14:val="none"/>
        </w:rPr>
        <w:t xml:space="preserve"> [Preprint].</w:t>
      </w:r>
    </w:p>
    <w:p w14:paraId="49A7E4A0" w14:textId="77777777" w:rsidR="00E0638E" w:rsidRPr="00100BE4" w:rsidRDefault="00E0638E" w:rsidP="00E0638E">
      <w:pPr>
        <w:spacing w:after="0" w:line="240" w:lineRule="auto"/>
        <w:rPr>
          <w:rFonts w:ascii="Times New Roman" w:eastAsia="Times New Roman" w:hAnsi="Times New Roman" w:cs="Times New Roman"/>
          <w:kern w:val="0"/>
          <w:sz w:val="24"/>
          <w:szCs w:val="24"/>
          <w:lang w:eastAsia="en-GB"/>
          <w14:ligatures w14:val="none"/>
        </w:rPr>
      </w:pPr>
    </w:p>
    <w:p w14:paraId="71FFBCCD" w14:textId="77777777" w:rsidR="00E0638E" w:rsidRPr="00100BE4" w:rsidRDefault="00E0638E" w:rsidP="00E0638E">
      <w:pPr>
        <w:spacing w:after="0" w:line="240" w:lineRule="auto"/>
        <w:rPr>
          <w:rFonts w:ascii="Times New Roman" w:hAnsi="Times New Roman" w:cs="Times New Roman"/>
          <w:b/>
          <w:bCs/>
          <w:color w:val="3A3A3A"/>
          <w:sz w:val="23"/>
          <w:szCs w:val="23"/>
          <w:shd w:val="clear" w:color="auto" w:fill="FFFFFF"/>
        </w:rPr>
      </w:pPr>
      <w:r w:rsidRPr="00291716">
        <w:rPr>
          <w:rFonts w:ascii="Times New Roman" w:hAnsi="Times New Roman" w:cs="Times New Roman"/>
          <w:color w:val="3A3A3A"/>
          <w:sz w:val="23"/>
          <w:szCs w:val="23"/>
          <w:shd w:val="clear" w:color="auto" w:fill="FFFFFF"/>
        </w:rPr>
        <w:t>Scharf, P.M. (2020) ‘Creation Mythology and Enlightenment in Sanskrit Literature’, </w:t>
      </w:r>
      <w:r w:rsidRPr="00291716">
        <w:rPr>
          <w:rFonts w:ascii="Times New Roman" w:hAnsi="Times New Roman" w:cs="Times New Roman"/>
          <w:i/>
          <w:iCs/>
          <w:color w:val="3A3A3A"/>
          <w:sz w:val="23"/>
          <w:szCs w:val="23"/>
          <w:shd w:val="clear" w:color="auto" w:fill="FFFFFF"/>
        </w:rPr>
        <w:t>Journal of Indian philosophy</w:t>
      </w:r>
      <w:r w:rsidRPr="00291716">
        <w:rPr>
          <w:rFonts w:ascii="Times New Roman" w:hAnsi="Times New Roman" w:cs="Times New Roman"/>
          <w:color w:val="3A3A3A"/>
          <w:sz w:val="23"/>
          <w:szCs w:val="23"/>
          <w:shd w:val="clear" w:color="auto" w:fill="FFFFFF"/>
        </w:rPr>
        <w:t>, 48(4), pp. 751–766. Available at:</w:t>
      </w:r>
      <w:r w:rsidRPr="00100BE4">
        <w:rPr>
          <w:rFonts w:ascii="Times New Roman" w:hAnsi="Times New Roman" w:cs="Times New Roman"/>
          <w:b/>
          <w:bCs/>
          <w:color w:val="3A3A3A"/>
          <w:sz w:val="23"/>
          <w:szCs w:val="23"/>
          <w:shd w:val="clear" w:color="auto" w:fill="FFFFFF"/>
        </w:rPr>
        <w:t xml:space="preserve"> </w:t>
      </w:r>
      <w:hyperlink r:id="rId7" w:history="1">
        <w:r w:rsidRPr="00100BE4">
          <w:rPr>
            <w:rStyle w:val="Hyperlink"/>
            <w:rFonts w:ascii="Times New Roman" w:hAnsi="Times New Roman" w:cs="Times New Roman"/>
            <w:b/>
            <w:bCs/>
            <w:sz w:val="23"/>
            <w:szCs w:val="23"/>
            <w:shd w:val="clear" w:color="auto" w:fill="FFFFFF"/>
          </w:rPr>
          <w:t>https://doi.org/10.1007/s10781-020-09437-y</w:t>
        </w:r>
      </w:hyperlink>
      <w:r w:rsidRPr="00100BE4">
        <w:rPr>
          <w:rFonts w:ascii="Times New Roman" w:hAnsi="Times New Roman" w:cs="Times New Roman"/>
          <w:b/>
          <w:bCs/>
          <w:color w:val="3A3A3A"/>
          <w:sz w:val="23"/>
          <w:szCs w:val="23"/>
          <w:shd w:val="clear" w:color="auto" w:fill="FFFFFF"/>
        </w:rPr>
        <w:t>.</w:t>
      </w:r>
    </w:p>
    <w:p w14:paraId="5C0C9A3B" w14:textId="77777777" w:rsidR="00DA1085" w:rsidRPr="00100BE4" w:rsidRDefault="00DA1085" w:rsidP="00E0638E">
      <w:pPr>
        <w:spacing w:after="0" w:line="240" w:lineRule="auto"/>
        <w:rPr>
          <w:rFonts w:ascii="Times New Roman" w:hAnsi="Times New Roman" w:cs="Times New Roman"/>
          <w:b/>
          <w:bCs/>
          <w:color w:val="3A3A3A"/>
          <w:sz w:val="23"/>
          <w:szCs w:val="23"/>
          <w:shd w:val="clear" w:color="auto" w:fill="FFFFFF"/>
        </w:rPr>
      </w:pPr>
    </w:p>
    <w:p w14:paraId="2CB56EE5" w14:textId="43E7E2CF" w:rsidR="00DA1085" w:rsidRPr="00100BE4" w:rsidRDefault="00DA1085" w:rsidP="00DA1085">
      <w:pPr>
        <w:spacing w:after="0" w:line="240" w:lineRule="auto"/>
        <w:rPr>
          <w:rFonts w:ascii="Times New Roman" w:eastAsia="Times New Roman" w:hAnsi="Times New Roman" w:cs="Times New Roman"/>
          <w:kern w:val="0"/>
          <w:sz w:val="24"/>
          <w:szCs w:val="24"/>
          <w:lang w:eastAsia="en-GB"/>
          <w14:ligatures w14:val="none"/>
        </w:rPr>
      </w:pPr>
      <w:r w:rsidRPr="00100BE4">
        <w:rPr>
          <w:rFonts w:ascii="Times New Roman" w:eastAsia="Times New Roman" w:hAnsi="Times New Roman" w:cs="Times New Roman"/>
          <w:kern w:val="0"/>
          <w:sz w:val="24"/>
          <w:szCs w:val="24"/>
          <w:lang w:eastAsia="en-GB"/>
          <w14:ligatures w14:val="none"/>
        </w:rPr>
        <w:t xml:space="preserve">Lincoln, B. (1997) ‘Pahlavi </w:t>
      </w:r>
      <w:proofErr w:type="spellStart"/>
      <w:r w:rsidRPr="00100BE4">
        <w:rPr>
          <w:rFonts w:ascii="Times New Roman" w:eastAsia="Times New Roman" w:hAnsi="Times New Roman" w:cs="Times New Roman"/>
          <w:kern w:val="0"/>
          <w:sz w:val="24"/>
          <w:szCs w:val="24"/>
          <w:lang w:eastAsia="en-GB"/>
          <w14:ligatures w14:val="none"/>
        </w:rPr>
        <w:t>kirrēnīdan</w:t>
      </w:r>
      <w:proofErr w:type="spellEnd"/>
      <w:r w:rsidRPr="00100BE4">
        <w:rPr>
          <w:rFonts w:ascii="Times New Roman" w:eastAsia="Times New Roman" w:hAnsi="Times New Roman" w:cs="Times New Roman"/>
          <w:kern w:val="0"/>
          <w:sz w:val="24"/>
          <w:szCs w:val="24"/>
          <w:lang w:eastAsia="en-GB"/>
          <w14:ligatures w14:val="none"/>
        </w:rPr>
        <w:t xml:space="preserve">: Traces of Iranian Creation Mythology’, </w:t>
      </w:r>
      <w:r w:rsidRPr="00100BE4">
        <w:rPr>
          <w:rFonts w:ascii="Times New Roman" w:eastAsia="Times New Roman" w:hAnsi="Times New Roman" w:cs="Times New Roman"/>
          <w:i/>
          <w:iCs/>
          <w:kern w:val="0"/>
          <w:sz w:val="24"/>
          <w:szCs w:val="24"/>
          <w:lang w:eastAsia="en-GB"/>
          <w14:ligatures w14:val="none"/>
        </w:rPr>
        <w:t>Journal of the American Oriental Society</w:t>
      </w:r>
      <w:r w:rsidRPr="00100BE4">
        <w:rPr>
          <w:rFonts w:ascii="Times New Roman" w:eastAsia="Times New Roman" w:hAnsi="Times New Roman" w:cs="Times New Roman"/>
          <w:kern w:val="0"/>
          <w:sz w:val="24"/>
          <w:szCs w:val="24"/>
          <w:lang w:eastAsia="en-GB"/>
          <w14:ligatures w14:val="none"/>
        </w:rPr>
        <w:t xml:space="preserve">, 117(4), pp. 681–685. Available at: </w:t>
      </w:r>
      <w:hyperlink r:id="rId8" w:history="1">
        <w:r w:rsidR="005D73BE" w:rsidRPr="00100BE4">
          <w:rPr>
            <w:rStyle w:val="Hyperlink"/>
            <w:rFonts w:ascii="Times New Roman" w:eastAsia="Times New Roman" w:hAnsi="Times New Roman" w:cs="Times New Roman"/>
            <w:kern w:val="0"/>
            <w:sz w:val="24"/>
            <w:szCs w:val="24"/>
            <w:lang w:eastAsia="en-GB"/>
            <w14:ligatures w14:val="none"/>
          </w:rPr>
          <w:t>https://doi.org/10.2307/606450</w:t>
        </w:r>
      </w:hyperlink>
      <w:r w:rsidRPr="00100BE4">
        <w:rPr>
          <w:rFonts w:ascii="Times New Roman" w:eastAsia="Times New Roman" w:hAnsi="Times New Roman" w:cs="Times New Roman"/>
          <w:kern w:val="0"/>
          <w:sz w:val="24"/>
          <w:szCs w:val="24"/>
          <w:lang w:eastAsia="en-GB"/>
          <w14:ligatures w14:val="none"/>
        </w:rPr>
        <w:t>.</w:t>
      </w:r>
    </w:p>
    <w:p w14:paraId="519CD73A" w14:textId="77777777" w:rsidR="005D73BE" w:rsidRPr="00100BE4" w:rsidRDefault="005D73BE" w:rsidP="00DA1085">
      <w:pPr>
        <w:spacing w:after="0" w:line="240" w:lineRule="auto"/>
        <w:rPr>
          <w:rFonts w:ascii="Times New Roman" w:eastAsia="Times New Roman" w:hAnsi="Times New Roman" w:cs="Times New Roman"/>
          <w:kern w:val="0"/>
          <w:sz w:val="24"/>
          <w:szCs w:val="24"/>
          <w:lang w:eastAsia="en-GB"/>
          <w14:ligatures w14:val="none"/>
        </w:rPr>
      </w:pPr>
    </w:p>
    <w:p w14:paraId="3AF6B3E4" w14:textId="77777777" w:rsidR="005D73BE" w:rsidRPr="00291716" w:rsidRDefault="005D73BE" w:rsidP="005D73BE">
      <w:pPr>
        <w:spacing w:after="0" w:line="240" w:lineRule="auto"/>
        <w:rPr>
          <w:rFonts w:ascii="Times New Roman" w:eastAsia="Times New Roman" w:hAnsi="Times New Roman" w:cs="Times New Roman"/>
          <w:kern w:val="0"/>
          <w:sz w:val="24"/>
          <w:szCs w:val="24"/>
          <w:lang w:eastAsia="en-GB"/>
          <w14:ligatures w14:val="none"/>
        </w:rPr>
      </w:pPr>
      <w:r w:rsidRPr="00291716">
        <w:rPr>
          <w:rFonts w:ascii="Times New Roman" w:eastAsia="Times New Roman" w:hAnsi="Times New Roman" w:cs="Times New Roman"/>
          <w:kern w:val="0"/>
          <w:sz w:val="24"/>
          <w:szCs w:val="24"/>
          <w:lang w:eastAsia="en-GB"/>
          <w14:ligatures w14:val="none"/>
        </w:rPr>
        <w:t xml:space="preserve">Nel, M. (2006) ‘Daniel 7, mythology and the creation combat myths’, </w:t>
      </w:r>
      <w:r w:rsidRPr="00291716">
        <w:rPr>
          <w:rFonts w:ascii="Times New Roman" w:eastAsia="Times New Roman" w:hAnsi="Times New Roman" w:cs="Times New Roman"/>
          <w:i/>
          <w:iCs/>
          <w:kern w:val="0"/>
          <w:sz w:val="24"/>
          <w:szCs w:val="24"/>
          <w:lang w:eastAsia="en-GB"/>
          <w14:ligatures w14:val="none"/>
        </w:rPr>
        <w:t>Old Testament essays</w:t>
      </w:r>
      <w:r w:rsidRPr="00291716">
        <w:rPr>
          <w:rFonts w:ascii="Times New Roman" w:eastAsia="Times New Roman" w:hAnsi="Times New Roman" w:cs="Times New Roman"/>
          <w:kern w:val="0"/>
          <w:sz w:val="24"/>
          <w:szCs w:val="24"/>
          <w:lang w:eastAsia="en-GB"/>
          <w14:ligatures w14:val="none"/>
        </w:rPr>
        <w:t>, 19(1), pp. 156–170.</w:t>
      </w:r>
    </w:p>
    <w:p w14:paraId="048D641D" w14:textId="77777777" w:rsidR="00862602" w:rsidRPr="00100BE4" w:rsidRDefault="00862602" w:rsidP="005D73BE">
      <w:pPr>
        <w:spacing w:after="0" w:line="240" w:lineRule="auto"/>
        <w:rPr>
          <w:rFonts w:ascii="Times New Roman" w:eastAsia="Times New Roman" w:hAnsi="Times New Roman" w:cs="Times New Roman"/>
          <w:kern w:val="0"/>
          <w:sz w:val="24"/>
          <w:szCs w:val="24"/>
          <w:lang w:eastAsia="en-GB"/>
          <w14:ligatures w14:val="none"/>
        </w:rPr>
      </w:pPr>
    </w:p>
    <w:p w14:paraId="3F46616F" w14:textId="77777777" w:rsidR="00862602" w:rsidRDefault="00862602" w:rsidP="00862602">
      <w:pPr>
        <w:spacing w:after="0" w:line="240" w:lineRule="auto"/>
        <w:rPr>
          <w:rFonts w:ascii="Times New Roman" w:eastAsia="Times New Roman" w:hAnsi="Times New Roman" w:cs="Times New Roman"/>
          <w:kern w:val="0"/>
          <w:sz w:val="24"/>
          <w:szCs w:val="24"/>
          <w:lang w:eastAsia="en-GB"/>
          <w14:ligatures w14:val="none"/>
        </w:rPr>
      </w:pPr>
      <w:bookmarkStart w:id="0" w:name="_Hlk167108213"/>
      <w:r w:rsidRPr="00187F08">
        <w:rPr>
          <w:rFonts w:ascii="Times New Roman" w:eastAsia="Times New Roman" w:hAnsi="Times New Roman" w:cs="Times New Roman"/>
          <w:kern w:val="0"/>
          <w:sz w:val="24"/>
          <w:szCs w:val="24"/>
          <w:lang w:eastAsia="en-GB"/>
          <w14:ligatures w14:val="none"/>
        </w:rPr>
        <w:t xml:space="preserve">William P. Brown (2022) ‘Creation in the Old Testament’, </w:t>
      </w:r>
      <w:r w:rsidRPr="00187F08">
        <w:rPr>
          <w:rFonts w:ascii="Times New Roman" w:eastAsia="Times New Roman" w:hAnsi="Times New Roman" w:cs="Times New Roman"/>
          <w:i/>
          <w:iCs/>
          <w:kern w:val="0"/>
          <w:sz w:val="24"/>
          <w:szCs w:val="24"/>
          <w:lang w:eastAsia="en-GB"/>
          <w14:ligatures w14:val="none"/>
        </w:rPr>
        <w:t>St Andrews Encyclopaedia of Theology</w:t>
      </w:r>
      <w:r w:rsidRPr="00187F08">
        <w:rPr>
          <w:rFonts w:ascii="Times New Roman" w:eastAsia="Times New Roman" w:hAnsi="Times New Roman" w:cs="Times New Roman"/>
          <w:kern w:val="0"/>
          <w:sz w:val="24"/>
          <w:szCs w:val="24"/>
          <w:lang w:eastAsia="en-GB"/>
          <w14:ligatures w14:val="none"/>
        </w:rPr>
        <w:t xml:space="preserve"> [Preprint].</w:t>
      </w:r>
    </w:p>
    <w:p w14:paraId="42378235" w14:textId="77777777" w:rsidR="005D73BE" w:rsidRPr="0050042E" w:rsidRDefault="005D73BE" w:rsidP="00DA1085">
      <w:pPr>
        <w:spacing w:after="0" w:line="240" w:lineRule="auto"/>
        <w:rPr>
          <w:rFonts w:ascii="Times New Roman" w:eastAsia="Times New Roman" w:hAnsi="Times New Roman" w:cs="Times New Roman"/>
          <w:kern w:val="0"/>
          <w:sz w:val="24"/>
          <w:szCs w:val="24"/>
          <w:lang w:eastAsia="en-GB"/>
          <w14:ligatures w14:val="none"/>
        </w:rPr>
      </w:pPr>
    </w:p>
    <w:bookmarkEnd w:id="0"/>
    <w:p w14:paraId="476C12CB" w14:textId="77777777" w:rsidR="00DA1085" w:rsidRDefault="00DA1085" w:rsidP="00DA1085">
      <w:pPr>
        <w:spacing w:after="0" w:line="240" w:lineRule="auto"/>
        <w:rPr>
          <w:rFonts w:ascii="Times New Roman" w:eastAsia="Times New Roman" w:hAnsi="Times New Roman" w:cs="Times New Roman"/>
          <w:b/>
          <w:bCs/>
          <w:kern w:val="0"/>
          <w:sz w:val="24"/>
          <w:szCs w:val="24"/>
          <w:lang w:eastAsia="en-GB"/>
          <w14:ligatures w14:val="none"/>
        </w:rPr>
      </w:pPr>
    </w:p>
    <w:p w14:paraId="4CF87079" w14:textId="77777777" w:rsidR="00E0638E" w:rsidRDefault="00E0638E" w:rsidP="002F3668">
      <w:pPr>
        <w:pStyle w:val="NormalWeb"/>
      </w:pPr>
    </w:p>
    <w:p w14:paraId="255DD0E0" w14:textId="77777777" w:rsidR="00AF25E5" w:rsidRDefault="00AF25E5" w:rsidP="002F3668">
      <w:pPr>
        <w:pStyle w:val="NormalWeb"/>
      </w:pPr>
    </w:p>
    <w:p w14:paraId="6E31F529" w14:textId="77777777" w:rsidR="001563C5" w:rsidRPr="00D03D8E" w:rsidRDefault="001563C5" w:rsidP="00D03D8E"/>
    <w:sectPr w:rsidR="001563C5" w:rsidRPr="00D03D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5EF037" w14:textId="77777777" w:rsidR="004640D0" w:rsidRDefault="004640D0" w:rsidP="004640D0">
      <w:pPr>
        <w:spacing w:after="0" w:line="240" w:lineRule="auto"/>
      </w:pPr>
      <w:r>
        <w:separator/>
      </w:r>
    </w:p>
  </w:endnote>
  <w:endnote w:type="continuationSeparator" w:id="0">
    <w:p w14:paraId="32403866" w14:textId="77777777" w:rsidR="004640D0" w:rsidRDefault="004640D0" w:rsidP="004640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F978E1" w14:textId="77777777" w:rsidR="004640D0" w:rsidRDefault="004640D0" w:rsidP="004640D0">
      <w:pPr>
        <w:spacing w:after="0" w:line="240" w:lineRule="auto"/>
      </w:pPr>
      <w:r>
        <w:separator/>
      </w:r>
    </w:p>
  </w:footnote>
  <w:footnote w:type="continuationSeparator" w:id="0">
    <w:p w14:paraId="0D6750CE" w14:textId="77777777" w:rsidR="004640D0" w:rsidRDefault="004640D0" w:rsidP="004640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7E2"/>
    <w:rsid w:val="00010D90"/>
    <w:rsid w:val="00025F10"/>
    <w:rsid w:val="00034A63"/>
    <w:rsid w:val="0005744C"/>
    <w:rsid w:val="000769DE"/>
    <w:rsid w:val="00081D31"/>
    <w:rsid w:val="00083E52"/>
    <w:rsid w:val="00090DC4"/>
    <w:rsid w:val="000B2426"/>
    <w:rsid w:val="000B3E78"/>
    <w:rsid w:val="000C32CB"/>
    <w:rsid w:val="000F6634"/>
    <w:rsid w:val="00100BE4"/>
    <w:rsid w:val="00105B7F"/>
    <w:rsid w:val="00107BAD"/>
    <w:rsid w:val="00114FEA"/>
    <w:rsid w:val="00121CC7"/>
    <w:rsid w:val="00130D91"/>
    <w:rsid w:val="00145040"/>
    <w:rsid w:val="00153762"/>
    <w:rsid w:val="001563C5"/>
    <w:rsid w:val="001A3BD0"/>
    <w:rsid w:val="001D3065"/>
    <w:rsid w:val="001D7C97"/>
    <w:rsid w:val="002076B1"/>
    <w:rsid w:val="00225913"/>
    <w:rsid w:val="00231895"/>
    <w:rsid w:val="00234333"/>
    <w:rsid w:val="00235ED9"/>
    <w:rsid w:val="002435B0"/>
    <w:rsid w:val="00252017"/>
    <w:rsid w:val="002527C9"/>
    <w:rsid w:val="00291716"/>
    <w:rsid w:val="002D43B4"/>
    <w:rsid w:val="002F0A70"/>
    <w:rsid w:val="002F3668"/>
    <w:rsid w:val="0032045E"/>
    <w:rsid w:val="003358E7"/>
    <w:rsid w:val="003772C5"/>
    <w:rsid w:val="003C0715"/>
    <w:rsid w:val="003F07EE"/>
    <w:rsid w:val="0043693A"/>
    <w:rsid w:val="004640D0"/>
    <w:rsid w:val="00471BC6"/>
    <w:rsid w:val="00484E2C"/>
    <w:rsid w:val="00511961"/>
    <w:rsid w:val="0051447E"/>
    <w:rsid w:val="00547F8C"/>
    <w:rsid w:val="0058046D"/>
    <w:rsid w:val="005A047F"/>
    <w:rsid w:val="005B14F2"/>
    <w:rsid w:val="005B770B"/>
    <w:rsid w:val="005D73BE"/>
    <w:rsid w:val="006527DA"/>
    <w:rsid w:val="006558AB"/>
    <w:rsid w:val="0069392E"/>
    <w:rsid w:val="006D3AD6"/>
    <w:rsid w:val="006D70AF"/>
    <w:rsid w:val="00712B10"/>
    <w:rsid w:val="007142BE"/>
    <w:rsid w:val="00775113"/>
    <w:rsid w:val="007945F5"/>
    <w:rsid w:val="0079597F"/>
    <w:rsid w:val="00797FBD"/>
    <w:rsid w:val="007C2AA2"/>
    <w:rsid w:val="007F339F"/>
    <w:rsid w:val="007F4187"/>
    <w:rsid w:val="007F60E3"/>
    <w:rsid w:val="008074AA"/>
    <w:rsid w:val="00824512"/>
    <w:rsid w:val="00862602"/>
    <w:rsid w:val="00870C74"/>
    <w:rsid w:val="008845A3"/>
    <w:rsid w:val="008A169C"/>
    <w:rsid w:val="008B65BA"/>
    <w:rsid w:val="008D697D"/>
    <w:rsid w:val="008E14C5"/>
    <w:rsid w:val="008E64A8"/>
    <w:rsid w:val="009167E2"/>
    <w:rsid w:val="0093263F"/>
    <w:rsid w:val="009431EE"/>
    <w:rsid w:val="009502C1"/>
    <w:rsid w:val="00972895"/>
    <w:rsid w:val="009B0223"/>
    <w:rsid w:val="009F18EF"/>
    <w:rsid w:val="009F51AC"/>
    <w:rsid w:val="00A059E6"/>
    <w:rsid w:val="00A167D0"/>
    <w:rsid w:val="00A20EDD"/>
    <w:rsid w:val="00A5059A"/>
    <w:rsid w:val="00A56FCD"/>
    <w:rsid w:val="00A61A35"/>
    <w:rsid w:val="00AB623A"/>
    <w:rsid w:val="00AF25E5"/>
    <w:rsid w:val="00AF748B"/>
    <w:rsid w:val="00B01801"/>
    <w:rsid w:val="00B07B66"/>
    <w:rsid w:val="00B94273"/>
    <w:rsid w:val="00BD332A"/>
    <w:rsid w:val="00BF6C37"/>
    <w:rsid w:val="00C3463C"/>
    <w:rsid w:val="00C642F0"/>
    <w:rsid w:val="00C72BC1"/>
    <w:rsid w:val="00C80B6D"/>
    <w:rsid w:val="00C85D69"/>
    <w:rsid w:val="00C90913"/>
    <w:rsid w:val="00C96DC0"/>
    <w:rsid w:val="00CA7BB6"/>
    <w:rsid w:val="00CE643E"/>
    <w:rsid w:val="00D03D8E"/>
    <w:rsid w:val="00D06957"/>
    <w:rsid w:val="00D32085"/>
    <w:rsid w:val="00D6536F"/>
    <w:rsid w:val="00D92B05"/>
    <w:rsid w:val="00DA1085"/>
    <w:rsid w:val="00DB2665"/>
    <w:rsid w:val="00DD687A"/>
    <w:rsid w:val="00E05070"/>
    <w:rsid w:val="00E0638E"/>
    <w:rsid w:val="00E36BB4"/>
    <w:rsid w:val="00E63771"/>
    <w:rsid w:val="00E676AA"/>
    <w:rsid w:val="00E9129F"/>
    <w:rsid w:val="00EC7858"/>
    <w:rsid w:val="00F06016"/>
    <w:rsid w:val="00F06294"/>
    <w:rsid w:val="00F23D55"/>
    <w:rsid w:val="00F32515"/>
    <w:rsid w:val="00F727E7"/>
    <w:rsid w:val="00F906BA"/>
    <w:rsid w:val="00F95D41"/>
    <w:rsid w:val="00FC0D49"/>
    <w:rsid w:val="00FF7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3FC54"/>
  <w15:chartTrackingRefBased/>
  <w15:docId w15:val="{F00BFEE0-ECBD-44B4-B6D1-8246D3E49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7E2"/>
  </w:style>
  <w:style w:type="paragraph" w:styleId="Heading1">
    <w:name w:val="heading 1"/>
    <w:basedOn w:val="Normal"/>
    <w:next w:val="Normal"/>
    <w:link w:val="Heading1Char"/>
    <w:uiPriority w:val="9"/>
    <w:qFormat/>
    <w:rsid w:val="009167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67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67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67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67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67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67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67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67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67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67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67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67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67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67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67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67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67E2"/>
    <w:rPr>
      <w:rFonts w:eastAsiaTheme="majorEastAsia" w:cstheme="majorBidi"/>
      <w:color w:val="272727" w:themeColor="text1" w:themeTint="D8"/>
    </w:rPr>
  </w:style>
  <w:style w:type="paragraph" w:styleId="Title">
    <w:name w:val="Title"/>
    <w:basedOn w:val="Normal"/>
    <w:next w:val="Normal"/>
    <w:link w:val="TitleChar"/>
    <w:uiPriority w:val="10"/>
    <w:qFormat/>
    <w:rsid w:val="009167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67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67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67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67E2"/>
    <w:pPr>
      <w:spacing w:before="160"/>
      <w:jc w:val="center"/>
    </w:pPr>
    <w:rPr>
      <w:i/>
      <w:iCs/>
      <w:color w:val="404040" w:themeColor="text1" w:themeTint="BF"/>
    </w:rPr>
  </w:style>
  <w:style w:type="character" w:customStyle="1" w:styleId="QuoteChar">
    <w:name w:val="Quote Char"/>
    <w:basedOn w:val="DefaultParagraphFont"/>
    <w:link w:val="Quote"/>
    <w:uiPriority w:val="29"/>
    <w:rsid w:val="009167E2"/>
    <w:rPr>
      <w:i/>
      <w:iCs/>
      <w:color w:val="404040" w:themeColor="text1" w:themeTint="BF"/>
    </w:rPr>
  </w:style>
  <w:style w:type="paragraph" w:styleId="ListParagraph">
    <w:name w:val="List Paragraph"/>
    <w:basedOn w:val="Normal"/>
    <w:uiPriority w:val="34"/>
    <w:qFormat/>
    <w:rsid w:val="009167E2"/>
    <w:pPr>
      <w:ind w:left="720"/>
      <w:contextualSpacing/>
    </w:pPr>
  </w:style>
  <w:style w:type="character" w:styleId="IntenseEmphasis">
    <w:name w:val="Intense Emphasis"/>
    <w:basedOn w:val="DefaultParagraphFont"/>
    <w:uiPriority w:val="21"/>
    <w:qFormat/>
    <w:rsid w:val="009167E2"/>
    <w:rPr>
      <w:i/>
      <w:iCs/>
      <w:color w:val="0F4761" w:themeColor="accent1" w:themeShade="BF"/>
    </w:rPr>
  </w:style>
  <w:style w:type="paragraph" w:styleId="IntenseQuote">
    <w:name w:val="Intense Quote"/>
    <w:basedOn w:val="Normal"/>
    <w:next w:val="Normal"/>
    <w:link w:val="IntenseQuoteChar"/>
    <w:uiPriority w:val="30"/>
    <w:qFormat/>
    <w:rsid w:val="009167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67E2"/>
    <w:rPr>
      <w:i/>
      <w:iCs/>
      <w:color w:val="0F4761" w:themeColor="accent1" w:themeShade="BF"/>
    </w:rPr>
  </w:style>
  <w:style w:type="character" w:styleId="IntenseReference">
    <w:name w:val="Intense Reference"/>
    <w:basedOn w:val="DefaultParagraphFont"/>
    <w:uiPriority w:val="32"/>
    <w:qFormat/>
    <w:rsid w:val="009167E2"/>
    <w:rPr>
      <w:b/>
      <w:bCs/>
      <w:smallCaps/>
      <w:color w:val="0F4761" w:themeColor="accent1" w:themeShade="BF"/>
      <w:spacing w:val="5"/>
    </w:rPr>
  </w:style>
  <w:style w:type="paragraph" w:styleId="NoSpacing">
    <w:name w:val="No Spacing"/>
    <w:uiPriority w:val="1"/>
    <w:qFormat/>
    <w:rsid w:val="009167E2"/>
    <w:pPr>
      <w:spacing w:after="0" w:line="240" w:lineRule="auto"/>
    </w:pPr>
  </w:style>
  <w:style w:type="paragraph" w:styleId="NormalWeb">
    <w:name w:val="Normal (Web)"/>
    <w:basedOn w:val="Normal"/>
    <w:uiPriority w:val="99"/>
    <w:semiHidden/>
    <w:unhideWhenUsed/>
    <w:rsid w:val="000F663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F6634"/>
    <w:rPr>
      <w:b/>
      <w:bCs/>
    </w:rPr>
  </w:style>
  <w:style w:type="character" w:styleId="Hyperlink">
    <w:name w:val="Hyperlink"/>
    <w:basedOn w:val="DefaultParagraphFont"/>
    <w:uiPriority w:val="99"/>
    <w:unhideWhenUsed/>
    <w:rsid w:val="00E0638E"/>
    <w:rPr>
      <w:color w:val="467886" w:themeColor="hyperlink"/>
      <w:u w:val="single"/>
    </w:rPr>
  </w:style>
  <w:style w:type="character" w:styleId="UnresolvedMention">
    <w:name w:val="Unresolved Mention"/>
    <w:basedOn w:val="DefaultParagraphFont"/>
    <w:uiPriority w:val="99"/>
    <w:semiHidden/>
    <w:unhideWhenUsed/>
    <w:rsid w:val="005D73BE"/>
    <w:rPr>
      <w:color w:val="605E5C"/>
      <w:shd w:val="clear" w:color="auto" w:fill="E1DFDD"/>
    </w:rPr>
  </w:style>
  <w:style w:type="paragraph" w:styleId="Header">
    <w:name w:val="header"/>
    <w:basedOn w:val="Normal"/>
    <w:link w:val="HeaderChar"/>
    <w:uiPriority w:val="99"/>
    <w:unhideWhenUsed/>
    <w:rsid w:val="004640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0D0"/>
  </w:style>
  <w:style w:type="paragraph" w:styleId="Footer">
    <w:name w:val="footer"/>
    <w:basedOn w:val="Normal"/>
    <w:link w:val="FooterChar"/>
    <w:uiPriority w:val="99"/>
    <w:unhideWhenUsed/>
    <w:rsid w:val="004640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179773">
      <w:bodyDiv w:val="1"/>
      <w:marLeft w:val="0"/>
      <w:marRight w:val="0"/>
      <w:marTop w:val="0"/>
      <w:marBottom w:val="0"/>
      <w:divBdr>
        <w:top w:val="none" w:sz="0" w:space="0" w:color="auto"/>
        <w:left w:val="none" w:sz="0" w:space="0" w:color="auto"/>
        <w:bottom w:val="none" w:sz="0" w:space="0" w:color="auto"/>
        <w:right w:val="none" w:sz="0" w:space="0" w:color="auto"/>
      </w:divBdr>
    </w:div>
    <w:div w:id="308949083">
      <w:bodyDiv w:val="1"/>
      <w:marLeft w:val="0"/>
      <w:marRight w:val="0"/>
      <w:marTop w:val="0"/>
      <w:marBottom w:val="0"/>
      <w:divBdr>
        <w:top w:val="none" w:sz="0" w:space="0" w:color="auto"/>
        <w:left w:val="none" w:sz="0" w:space="0" w:color="auto"/>
        <w:bottom w:val="none" w:sz="0" w:space="0" w:color="auto"/>
        <w:right w:val="none" w:sz="0" w:space="0" w:color="auto"/>
      </w:divBdr>
    </w:div>
    <w:div w:id="372703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606450" TargetMode="External"/><Relationship Id="rId3" Type="http://schemas.openxmlformats.org/officeDocument/2006/relationships/webSettings" Target="webSettings.xml"/><Relationship Id="rId7" Type="http://schemas.openxmlformats.org/officeDocument/2006/relationships/hyperlink" Target="https://doi.org/10.1007/s10781-020-09437-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63/ej.9789004149878.i-228"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2686</Words>
  <Characters>15316</Characters>
  <Application>Microsoft Office Word</Application>
  <DocSecurity>0</DocSecurity>
  <Lines>127</Lines>
  <Paragraphs>35</Paragraphs>
  <ScaleCrop>false</ScaleCrop>
  <Company/>
  <LinksUpToDate>false</LinksUpToDate>
  <CharactersWithSpaces>17967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Philitoga</dc:creator>
  <cp:keywords/>
  <dc:description/>
  <cp:lastModifiedBy>Daniel Philitoga</cp:lastModifiedBy>
  <cp:revision>5</cp:revision>
  <dcterms:created xsi:type="dcterms:W3CDTF">2024-05-19T23:00:00Z</dcterms:created>
  <dcterms:modified xsi:type="dcterms:W3CDTF">2024-05-20T13:40:00Z</dcterms:modified>
</cp:coreProperties>
</file>