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i w:val="1"/>
          <w:sz w:val="32"/>
          <w:szCs w:val="32"/>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2">
            <w:pPr>
              <w:spacing w:after="120" w:before="120" w:line="240" w:lineRule="auto"/>
              <w:jc w:val="both"/>
              <w:rPr>
                <w:b w:val="1"/>
              </w:rPr>
            </w:pPr>
            <w:r w:rsidDel="00000000" w:rsidR="00000000" w:rsidRPr="00000000">
              <w:rPr>
                <w:b w:val="1"/>
                <w:rtl w:val="0"/>
              </w:rPr>
              <w:t xml:space="preserve">Student name:</w:t>
            </w:r>
          </w:p>
        </w:tc>
        <w:tc>
          <w:tcPr/>
          <w:p w:rsidR="00000000" w:rsidDel="00000000" w:rsidP="00000000" w:rsidRDefault="00000000" w:rsidRPr="00000000" w14:paraId="00000003">
            <w:pPr>
              <w:spacing w:after="120" w:before="120" w:line="240" w:lineRule="auto"/>
              <w:jc w:val="both"/>
              <w:rPr>
                <w:b w:val="1"/>
              </w:rPr>
            </w:pPr>
            <w:r w:rsidDel="00000000" w:rsidR="00000000" w:rsidRPr="00000000">
              <w:rPr>
                <w:b w:val="1"/>
                <w:rtl w:val="0"/>
              </w:rPr>
              <w:t xml:space="preserve">     Natalie Skalkosova</w:t>
            </w:r>
          </w:p>
        </w:tc>
        <w:tc>
          <w:tcPr>
            <w:shd w:fill="d9d9d9" w:val="clear"/>
          </w:tcPr>
          <w:p w:rsidR="00000000" w:rsidDel="00000000" w:rsidP="00000000" w:rsidRDefault="00000000" w:rsidRPr="00000000" w14:paraId="00000004">
            <w:pPr>
              <w:spacing w:after="120" w:before="120" w:line="240" w:lineRule="auto"/>
              <w:jc w:val="both"/>
              <w:rPr>
                <w:b w:val="1"/>
              </w:rPr>
            </w:pPr>
            <w:r w:rsidDel="00000000" w:rsidR="00000000" w:rsidRPr="00000000">
              <w:rPr>
                <w:b w:val="1"/>
                <w:rtl w:val="0"/>
              </w:rPr>
              <w:t xml:space="preserve">Student ID number:</w:t>
            </w:r>
          </w:p>
        </w:tc>
        <w:tc>
          <w:tcPr/>
          <w:p w:rsidR="00000000" w:rsidDel="00000000" w:rsidP="00000000" w:rsidRDefault="00000000" w:rsidRPr="00000000" w14:paraId="00000005">
            <w:pPr>
              <w:spacing w:after="120" w:before="120" w:line="240" w:lineRule="auto"/>
              <w:jc w:val="both"/>
              <w:rPr>
                <w:b w:val="1"/>
              </w:rPr>
            </w:pPr>
            <w:r w:rsidDel="00000000" w:rsidR="00000000" w:rsidRPr="00000000">
              <w:rPr>
                <w:b w:val="1"/>
                <w:rtl w:val="0"/>
              </w:rPr>
              <w:t xml:space="preserve">2212439</w:t>
            </w:r>
          </w:p>
        </w:tc>
      </w:tr>
      <w:tr>
        <w:trPr>
          <w:cantSplit w:val="0"/>
          <w:tblHeader w:val="0"/>
        </w:trPr>
        <w:tc>
          <w:tcPr>
            <w:shd w:fill="d9d9d9" w:val="clear"/>
          </w:tcPr>
          <w:p w:rsidR="00000000" w:rsidDel="00000000" w:rsidP="00000000" w:rsidRDefault="00000000" w:rsidRPr="00000000" w14:paraId="00000006">
            <w:pPr>
              <w:spacing w:after="120" w:before="120" w:line="240" w:lineRule="auto"/>
              <w:jc w:val="both"/>
              <w:rPr>
                <w:b w:val="1"/>
              </w:rPr>
            </w:pPr>
            <w:r w:rsidDel="00000000" w:rsidR="00000000" w:rsidRPr="00000000">
              <w:rPr>
                <w:b w:val="1"/>
                <w:rtl w:val="0"/>
              </w:rPr>
              <w:t xml:space="preserve">Programme:</w:t>
            </w:r>
          </w:p>
        </w:tc>
        <w:tc>
          <w:tcPr>
            <w:gridSpan w:val="3"/>
          </w:tcPr>
          <w:p w:rsidR="00000000" w:rsidDel="00000000" w:rsidP="00000000" w:rsidRDefault="00000000" w:rsidRPr="00000000" w14:paraId="00000007">
            <w:pPr>
              <w:spacing w:after="120" w:before="120" w:line="240" w:lineRule="auto"/>
              <w:jc w:val="both"/>
              <w:rPr>
                <w:b w:val="1"/>
              </w:rPr>
            </w:pPr>
            <w:r w:rsidDel="00000000" w:rsidR="00000000" w:rsidRPr="00000000">
              <w:rPr>
                <w:b w:val="1"/>
                <w:rtl w:val="0"/>
              </w:rPr>
              <w:t xml:space="preserve">Criminology and Policing, Law and Criminology, Law and legal practice</w:t>
            </w:r>
          </w:p>
        </w:tc>
      </w:tr>
      <w:tr>
        <w:trPr>
          <w:cantSplit w:val="0"/>
          <w:tblHeader w:val="0"/>
        </w:trPr>
        <w:tc>
          <w:tcPr>
            <w:shd w:fill="d9d9d9" w:val="clear"/>
          </w:tcPr>
          <w:p w:rsidR="00000000" w:rsidDel="00000000" w:rsidP="00000000" w:rsidRDefault="00000000" w:rsidRPr="00000000" w14:paraId="0000000A">
            <w:pPr>
              <w:spacing w:after="120" w:before="120" w:line="240" w:lineRule="auto"/>
              <w:jc w:val="both"/>
              <w:rPr>
                <w:b w:val="1"/>
              </w:rPr>
            </w:pPr>
            <w:r w:rsidDel="00000000" w:rsidR="00000000" w:rsidRPr="00000000">
              <w:rPr>
                <w:b w:val="1"/>
                <w:rtl w:val="0"/>
              </w:rPr>
              <w:t xml:space="preserve">Module:</w:t>
            </w:r>
          </w:p>
        </w:tc>
        <w:tc>
          <w:tcPr>
            <w:gridSpan w:val="3"/>
            <w:shd w:fill="auto" w:val="clear"/>
          </w:tcPr>
          <w:p w:rsidR="00000000" w:rsidDel="00000000" w:rsidP="00000000" w:rsidRDefault="00000000" w:rsidRPr="00000000" w14:paraId="0000000B">
            <w:pPr>
              <w:spacing w:after="120" w:before="120" w:line="240" w:lineRule="auto"/>
              <w:jc w:val="both"/>
              <w:rPr>
                <w:b w:val="1"/>
              </w:rPr>
            </w:pPr>
            <w:r w:rsidDel="00000000" w:rsidR="00000000" w:rsidRPr="00000000">
              <w:rPr>
                <w:b w:val="1"/>
                <w:rtl w:val="0"/>
              </w:rPr>
              <w:t xml:space="preserve">Criminal law</w:t>
            </w:r>
          </w:p>
        </w:tc>
      </w:tr>
      <w:tr>
        <w:trPr>
          <w:cantSplit w:val="0"/>
          <w:tblHeader w:val="0"/>
        </w:trPr>
        <w:tc>
          <w:tcPr>
            <w:shd w:fill="d9d9d9" w:val="clear"/>
          </w:tcPr>
          <w:p w:rsidR="00000000" w:rsidDel="00000000" w:rsidP="00000000" w:rsidRDefault="00000000" w:rsidRPr="00000000" w14:paraId="0000000E">
            <w:pPr>
              <w:spacing w:after="120" w:before="120" w:line="240" w:lineRule="auto"/>
              <w:jc w:val="both"/>
              <w:rPr>
                <w:b w:val="1"/>
              </w:rPr>
            </w:pPr>
            <w:r w:rsidDel="00000000" w:rsidR="00000000" w:rsidRPr="00000000">
              <w:rPr>
                <w:b w:val="1"/>
                <w:rtl w:val="0"/>
              </w:rPr>
              <w:t xml:space="preserve">Module code:</w:t>
            </w:r>
          </w:p>
        </w:tc>
        <w:tc>
          <w:tcPr/>
          <w:p w:rsidR="00000000" w:rsidDel="00000000" w:rsidP="00000000" w:rsidRDefault="00000000" w:rsidRPr="00000000" w14:paraId="0000000F">
            <w:pPr>
              <w:spacing w:after="120" w:before="120" w:line="240" w:lineRule="auto"/>
              <w:jc w:val="both"/>
              <w:rPr>
                <w:b w:val="1"/>
              </w:rPr>
            </w:pPr>
            <w:r w:rsidDel="00000000" w:rsidR="00000000" w:rsidRPr="00000000">
              <w:rPr>
                <w:b w:val="1"/>
                <w:rtl w:val="0"/>
              </w:rPr>
              <w:t xml:space="preserve">BMLW4005</w:t>
            </w:r>
          </w:p>
        </w:tc>
        <w:tc>
          <w:tcPr>
            <w:shd w:fill="d9d9d9" w:val="clear"/>
          </w:tcPr>
          <w:p w:rsidR="00000000" w:rsidDel="00000000" w:rsidP="00000000" w:rsidRDefault="00000000" w:rsidRPr="00000000" w14:paraId="00000010">
            <w:pPr>
              <w:pStyle w:val="Heading2"/>
              <w:keepLines w:val="0"/>
              <w:spacing w:after="0" w:before="0" w:line="240" w:lineRule="auto"/>
              <w:jc w:val="both"/>
              <w:rPr>
                <w:b w:val="1"/>
                <w:sz w:val="22"/>
                <w:szCs w:val="22"/>
              </w:rPr>
            </w:pPr>
            <w:r w:rsidDel="00000000" w:rsidR="00000000" w:rsidRPr="00000000">
              <w:rPr>
                <w:b w:val="1"/>
                <w:sz w:val="22"/>
                <w:szCs w:val="22"/>
                <w:rtl w:val="0"/>
              </w:rPr>
              <w:t xml:space="preserve">Contribution to Overall Module Assessment (%):</w:t>
            </w:r>
          </w:p>
        </w:tc>
        <w:tc>
          <w:tcPr/>
          <w:p w:rsidR="00000000" w:rsidDel="00000000" w:rsidP="00000000" w:rsidRDefault="00000000" w:rsidRPr="00000000" w14:paraId="00000011">
            <w:pPr>
              <w:spacing w:after="120" w:before="120" w:line="240" w:lineRule="auto"/>
              <w:jc w:val="both"/>
              <w:rPr>
                <w:b w:val="1"/>
              </w:rPr>
            </w:pPr>
            <w:r w:rsidDel="00000000" w:rsidR="00000000" w:rsidRPr="00000000">
              <w:rPr>
                <w:b w:val="1"/>
                <w:rtl w:val="0"/>
              </w:rPr>
              <w:t xml:space="preserve">50%</w:t>
            </w:r>
          </w:p>
        </w:tc>
      </w:tr>
      <w:tr>
        <w:trPr>
          <w:cantSplit w:val="0"/>
          <w:tblHeader w:val="0"/>
        </w:trPr>
        <w:tc>
          <w:tcPr>
            <w:shd w:fill="d9d9d9" w:val="clear"/>
          </w:tcPr>
          <w:p w:rsidR="00000000" w:rsidDel="00000000" w:rsidP="00000000" w:rsidRDefault="00000000" w:rsidRPr="00000000" w14:paraId="00000012">
            <w:pPr>
              <w:spacing w:after="120" w:before="120" w:line="240" w:lineRule="auto"/>
              <w:jc w:val="both"/>
              <w:rPr>
                <w:b w:val="1"/>
              </w:rPr>
            </w:pPr>
            <w:r w:rsidDel="00000000" w:rsidR="00000000" w:rsidRPr="00000000">
              <w:rPr>
                <w:b w:val="1"/>
                <w:rtl w:val="0"/>
              </w:rPr>
              <w:t xml:space="preserve">Lecturer:</w:t>
            </w:r>
          </w:p>
        </w:tc>
        <w:tc>
          <w:tcPr/>
          <w:p w:rsidR="00000000" w:rsidDel="00000000" w:rsidP="00000000" w:rsidRDefault="00000000" w:rsidRPr="00000000" w14:paraId="00000013">
            <w:pPr>
              <w:spacing w:after="120" w:before="120" w:line="240" w:lineRule="auto"/>
              <w:jc w:val="both"/>
              <w:rPr>
                <w:b w:val="1"/>
              </w:rPr>
            </w:pPr>
            <w:r w:rsidDel="00000000" w:rsidR="00000000" w:rsidRPr="00000000">
              <w:rPr>
                <w:b w:val="1"/>
                <w:rtl w:val="0"/>
              </w:rPr>
              <w:t xml:space="preserve">Laura Knight</w:t>
            </w:r>
          </w:p>
          <w:p w:rsidR="00000000" w:rsidDel="00000000" w:rsidP="00000000" w:rsidRDefault="00000000" w:rsidRPr="00000000" w14:paraId="00000014">
            <w:pPr>
              <w:spacing w:after="120" w:before="120" w:line="240" w:lineRule="auto"/>
              <w:jc w:val="both"/>
              <w:rPr>
                <w:b w:val="1"/>
              </w:rPr>
            </w:pPr>
            <w:r w:rsidDel="00000000" w:rsidR="00000000" w:rsidRPr="00000000">
              <w:rPr>
                <w:rtl w:val="0"/>
              </w:rPr>
            </w:r>
          </w:p>
        </w:tc>
        <w:tc>
          <w:tcPr>
            <w:shd w:fill="d9d9d9" w:val="clear"/>
          </w:tcPr>
          <w:p w:rsidR="00000000" w:rsidDel="00000000" w:rsidP="00000000" w:rsidRDefault="00000000" w:rsidRPr="00000000" w14:paraId="00000015">
            <w:pPr>
              <w:spacing w:after="120" w:before="120" w:line="240" w:lineRule="auto"/>
              <w:jc w:val="both"/>
              <w:rPr>
                <w:b w:val="1"/>
              </w:rPr>
            </w:pPr>
            <w:r w:rsidDel="00000000" w:rsidR="00000000" w:rsidRPr="00000000">
              <w:rPr>
                <w:b w:val="1"/>
                <w:rtl w:val="0"/>
              </w:rPr>
              <w:t xml:space="preserve">Internal Verifier:</w:t>
            </w:r>
          </w:p>
        </w:tc>
        <w:tc>
          <w:tcPr/>
          <w:p w:rsidR="00000000" w:rsidDel="00000000" w:rsidP="00000000" w:rsidRDefault="00000000" w:rsidRPr="00000000" w14:paraId="00000016">
            <w:pPr>
              <w:spacing w:after="120" w:before="120" w:line="240" w:lineRule="auto"/>
              <w:jc w:val="both"/>
              <w:rPr>
                <w:b w:val="1"/>
              </w:rPr>
            </w:pPr>
            <w:r w:rsidDel="00000000" w:rsidR="00000000" w:rsidRPr="00000000">
              <w:rPr>
                <w:b w:val="1"/>
                <w:rtl w:val="0"/>
              </w:rPr>
              <w:t xml:space="preserve">Sadie France</w:t>
            </w:r>
          </w:p>
        </w:tc>
      </w:tr>
      <w:tr>
        <w:trPr>
          <w:cantSplit w:val="0"/>
          <w:tblHeader w:val="0"/>
        </w:trPr>
        <w:tc>
          <w:tcPr>
            <w:shd w:fill="d9d9d9" w:val="clear"/>
          </w:tcPr>
          <w:p w:rsidR="00000000" w:rsidDel="00000000" w:rsidP="00000000" w:rsidRDefault="00000000" w:rsidRPr="00000000" w14:paraId="00000017">
            <w:pPr>
              <w:spacing w:after="120" w:before="120" w:line="240" w:lineRule="auto"/>
              <w:jc w:val="both"/>
              <w:rPr>
                <w:b w:val="1"/>
              </w:rPr>
            </w:pPr>
            <w:r w:rsidDel="00000000" w:rsidR="00000000" w:rsidRPr="00000000">
              <w:rPr>
                <w:b w:val="1"/>
                <w:rtl w:val="0"/>
              </w:rPr>
              <w:t xml:space="preserve">Assignment Title:</w:t>
            </w:r>
          </w:p>
        </w:tc>
        <w:tc>
          <w:tcPr/>
          <w:p w:rsidR="00000000" w:rsidDel="00000000" w:rsidP="00000000" w:rsidRDefault="00000000" w:rsidRPr="00000000" w14:paraId="00000018">
            <w:pPr>
              <w:spacing w:after="120" w:before="120" w:line="240" w:lineRule="auto"/>
              <w:jc w:val="both"/>
              <w:rPr>
                <w:b w:val="1"/>
              </w:rPr>
            </w:pPr>
            <w:r w:rsidDel="00000000" w:rsidR="00000000" w:rsidRPr="00000000">
              <w:rPr>
                <w:b w:val="1"/>
                <w:rtl w:val="0"/>
              </w:rPr>
              <w:t xml:space="preserve">Reform of the Offences Against the Person Act 1861</w:t>
            </w:r>
          </w:p>
        </w:tc>
        <w:tc>
          <w:tcPr>
            <w:shd w:fill="d9d9d9" w:val="clear"/>
          </w:tcPr>
          <w:p w:rsidR="00000000" w:rsidDel="00000000" w:rsidP="00000000" w:rsidRDefault="00000000" w:rsidRPr="00000000" w14:paraId="00000019">
            <w:pPr>
              <w:spacing w:after="120" w:before="120" w:line="240" w:lineRule="auto"/>
              <w:jc w:val="both"/>
              <w:rPr>
                <w:b w:val="1"/>
              </w:rPr>
            </w:pPr>
            <w:r w:rsidDel="00000000" w:rsidR="00000000" w:rsidRPr="00000000">
              <w:rPr>
                <w:b w:val="1"/>
                <w:rtl w:val="0"/>
              </w:rPr>
              <w:t xml:space="preserve">Word count (or equivalent):</w:t>
            </w:r>
          </w:p>
        </w:tc>
        <w:tc>
          <w:tcPr/>
          <w:p w:rsidR="00000000" w:rsidDel="00000000" w:rsidP="00000000" w:rsidRDefault="00000000" w:rsidRPr="00000000" w14:paraId="0000001A">
            <w:pPr>
              <w:spacing w:after="120" w:before="120" w:line="240" w:lineRule="auto"/>
              <w:jc w:val="both"/>
              <w:rPr>
                <w:b w:val="1"/>
              </w:rPr>
            </w:pPr>
            <w:r w:rsidDel="00000000" w:rsidR="00000000" w:rsidRPr="00000000">
              <w:rPr>
                <w:b w:val="1"/>
                <w:rtl w:val="0"/>
              </w:rPr>
              <w:t xml:space="preserve">1500 words</w:t>
            </w:r>
          </w:p>
        </w:tc>
      </w:tr>
      <w:tr>
        <w:trPr>
          <w:cantSplit w:val="0"/>
          <w:tblHeader w:val="0"/>
        </w:trPr>
        <w:tc>
          <w:tcPr>
            <w:shd w:fill="d9d9d9" w:val="clear"/>
          </w:tcPr>
          <w:p w:rsidR="00000000" w:rsidDel="00000000" w:rsidP="00000000" w:rsidRDefault="00000000" w:rsidRPr="00000000" w14:paraId="0000001B">
            <w:pPr>
              <w:spacing w:after="120" w:before="120" w:line="240" w:lineRule="auto"/>
              <w:jc w:val="both"/>
              <w:rPr>
                <w:b w:val="1"/>
              </w:rPr>
            </w:pPr>
            <w:r w:rsidDel="00000000" w:rsidR="00000000" w:rsidRPr="00000000">
              <w:rPr>
                <w:b w:val="1"/>
                <w:rtl w:val="0"/>
              </w:rPr>
              <w:t xml:space="preserve">Submission deadline:</w:t>
            </w:r>
          </w:p>
        </w:tc>
        <w:tc>
          <w:tcPr>
            <w:shd w:fill="auto" w:val="clear"/>
          </w:tcPr>
          <w:p w:rsidR="00000000" w:rsidDel="00000000" w:rsidP="00000000" w:rsidRDefault="00000000" w:rsidRPr="00000000" w14:paraId="0000001C">
            <w:pPr>
              <w:spacing w:after="120" w:before="120" w:line="240" w:lineRule="auto"/>
              <w:jc w:val="both"/>
              <w:rPr>
                <w:b w:val="1"/>
              </w:rPr>
            </w:pPr>
            <w:r w:rsidDel="00000000" w:rsidR="00000000" w:rsidRPr="00000000">
              <w:rPr>
                <w:b w:val="1"/>
                <w:rtl w:val="0"/>
              </w:rPr>
              <w:t xml:space="preserve">23:59 Friday 15</w:t>
            </w:r>
            <w:r w:rsidDel="00000000" w:rsidR="00000000" w:rsidRPr="00000000">
              <w:rPr>
                <w:b w:val="1"/>
                <w:vertAlign w:val="superscript"/>
                <w:rtl w:val="0"/>
              </w:rPr>
              <w:t xml:space="preserve">th</w:t>
            </w:r>
            <w:r w:rsidDel="00000000" w:rsidR="00000000" w:rsidRPr="00000000">
              <w:rPr>
                <w:b w:val="1"/>
                <w:rtl w:val="0"/>
              </w:rPr>
              <w:t xml:space="preserve"> March 2024</w:t>
            </w:r>
          </w:p>
        </w:tc>
        <w:tc>
          <w:tcPr>
            <w:shd w:fill="d9d9d9" w:val="clear"/>
          </w:tcPr>
          <w:p w:rsidR="00000000" w:rsidDel="00000000" w:rsidP="00000000" w:rsidRDefault="00000000" w:rsidRPr="00000000" w14:paraId="0000001D">
            <w:pPr>
              <w:spacing w:after="120" w:before="120" w:line="240" w:lineRule="auto"/>
              <w:jc w:val="both"/>
              <w:rPr>
                <w:b w:val="1"/>
              </w:rPr>
            </w:pPr>
            <w:r w:rsidDel="00000000" w:rsidR="00000000" w:rsidRPr="00000000">
              <w:rPr>
                <w:b w:val="1"/>
                <w:rtl w:val="0"/>
              </w:rPr>
              <w:t xml:space="preserve">Return date of provisional marks &amp; written feedback:</w:t>
            </w:r>
          </w:p>
        </w:tc>
        <w:tc>
          <w:tcPr/>
          <w:p w:rsidR="00000000" w:rsidDel="00000000" w:rsidP="00000000" w:rsidRDefault="00000000" w:rsidRPr="00000000" w14:paraId="0000001E">
            <w:pPr>
              <w:spacing w:after="120" w:before="120" w:line="240" w:lineRule="auto"/>
              <w:jc w:val="both"/>
              <w:rPr>
                <w:b w:val="1"/>
              </w:rPr>
            </w:pPr>
            <w:r w:rsidDel="00000000" w:rsidR="00000000" w:rsidRPr="00000000">
              <w:rPr>
                <w:b w:val="1"/>
                <w:rtl w:val="0"/>
              </w:rPr>
              <w:t xml:space="preserve">Friday 3</w:t>
            </w:r>
            <w:r w:rsidDel="00000000" w:rsidR="00000000" w:rsidRPr="00000000">
              <w:rPr>
                <w:b w:val="1"/>
                <w:vertAlign w:val="superscript"/>
                <w:rtl w:val="0"/>
              </w:rPr>
              <w:t xml:space="preserve">rd</w:t>
            </w:r>
            <w:r w:rsidDel="00000000" w:rsidR="00000000" w:rsidRPr="00000000">
              <w:rPr>
                <w:b w:val="1"/>
                <w:rtl w:val="0"/>
              </w:rPr>
              <w:t xml:space="preserve"> May 2024</w:t>
            </w:r>
          </w:p>
        </w:tc>
      </w:tr>
      <w:tr>
        <w:trPr>
          <w:cantSplit w:val="0"/>
          <w:tblHeader w:val="0"/>
        </w:trPr>
        <w:tc>
          <w:tcPr>
            <w:shd w:fill="d9d9d9" w:val="clear"/>
          </w:tcPr>
          <w:p w:rsidR="00000000" w:rsidDel="00000000" w:rsidP="00000000" w:rsidRDefault="00000000" w:rsidRPr="00000000" w14:paraId="0000001F">
            <w:pPr>
              <w:spacing w:after="120" w:before="120" w:line="240" w:lineRule="auto"/>
              <w:jc w:val="both"/>
              <w:rPr>
                <w:b w:val="1"/>
              </w:rPr>
            </w:pPr>
            <w:r w:rsidDel="00000000" w:rsidR="00000000" w:rsidRPr="00000000">
              <w:rPr>
                <w:b w:val="1"/>
                <w:rtl w:val="0"/>
              </w:rPr>
              <w:t xml:space="preserve">Submission method:</w:t>
            </w:r>
          </w:p>
        </w:tc>
        <w:tc>
          <w:tcPr>
            <w:gridSpan w:val="3"/>
            <w:shd w:fill="auto" w:val="clear"/>
          </w:tcPr>
          <w:p w:rsidR="00000000" w:rsidDel="00000000" w:rsidP="00000000" w:rsidRDefault="00000000" w:rsidRPr="00000000" w14:paraId="00000020">
            <w:pPr>
              <w:spacing w:line="240" w:lineRule="auto"/>
              <w:rPr/>
            </w:pPr>
            <w:r w:rsidDel="00000000" w:rsidR="00000000" w:rsidRPr="00000000">
              <w:rPr>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1">
            <w:pPr>
              <w:spacing w:after="120" w:before="120" w:line="240" w:lineRule="auto"/>
              <w:jc w:val="both"/>
              <w:rPr>
                <w:b w:val="1"/>
              </w:rPr>
            </w:pPr>
            <w:r w:rsidDel="00000000" w:rsidR="00000000" w:rsidRPr="00000000">
              <w:rPr>
                <w:b w:val="1"/>
                <w:rtl w:val="0"/>
              </w:rPr>
              <w:t xml:space="preserve">Alternative submission method (if applicable): </w:t>
            </w:r>
          </w:p>
          <w:p w:rsidR="00000000" w:rsidDel="00000000" w:rsidP="00000000" w:rsidRDefault="00000000" w:rsidRPr="00000000" w14:paraId="00000022">
            <w:pPr>
              <w:spacing w:after="120" w:before="120" w:line="240" w:lineRule="auto"/>
              <w:jc w:val="both"/>
              <w:rPr>
                <w:b w:val="1"/>
              </w:rPr>
            </w:pPr>
            <w:r w:rsidDel="00000000" w:rsidR="00000000" w:rsidRPr="00000000">
              <w:rPr>
                <w:b w:val="1"/>
                <w:rtl w:val="0"/>
              </w:rPr>
              <w:t xml:space="preserve">Late submission of the assessment will result in a late penalty mark.  </w:t>
            </w:r>
            <w:r w:rsidDel="00000000" w:rsidR="00000000" w:rsidRPr="00000000">
              <w:rPr>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5">
            <w:pPr>
              <w:spacing w:after="120" w:before="120" w:line="240" w:lineRule="auto"/>
              <w:rPr>
                <w:b w:val="1"/>
              </w:rPr>
            </w:pPr>
            <w:r w:rsidDel="00000000" w:rsidR="00000000" w:rsidRPr="00000000">
              <w:rPr>
                <w:b w:val="1"/>
                <w:rtl w:val="0"/>
              </w:rPr>
              <w:t xml:space="preserve">Academic honesty / referencing:</w:t>
            </w:r>
          </w:p>
        </w:tc>
        <w:tc>
          <w:tcPr>
            <w:gridSpan w:val="3"/>
            <w:shd w:fill="auto" w:val="clear"/>
          </w:tcPr>
          <w:p w:rsidR="00000000" w:rsidDel="00000000" w:rsidP="00000000" w:rsidRDefault="00000000" w:rsidRPr="00000000" w14:paraId="00000026">
            <w:pPr>
              <w:spacing w:after="120" w:before="120" w:line="240" w:lineRule="auto"/>
              <w:jc w:val="both"/>
              <w:rPr/>
            </w:pPr>
            <w:r w:rsidDel="00000000" w:rsidR="00000000" w:rsidRPr="00000000">
              <w:rPr>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9">
      <w:pPr>
        <w:spacing w:line="240" w:lineRule="auto"/>
        <w:rPr>
          <w:sz w:val="32"/>
          <w:szCs w:val="32"/>
        </w:rPr>
      </w:pPr>
      <w:r w:rsidDel="00000000" w:rsidR="00000000" w:rsidRPr="00000000">
        <w:rPr>
          <w:rtl w:val="0"/>
        </w:rPr>
      </w:r>
    </w:p>
    <w:p w:rsidR="00000000" w:rsidDel="00000000" w:rsidP="00000000" w:rsidRDefault="00000000" w:rsidRPr="00000000" w14:paraId="0000002A">
      <w:pPr>
        <w:pStyle w:val="Heading1"/>
        <w:jc w:val="both"/>
        <w:rPr/>
      </w:pPr>
      <w:bookmarkStart w:colFirst="0" w:colLast="0" w:name="_21psfgsqvb2g" w:id="0"/>
      <w:bookmarkEnd w:id="0"/>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1"/>
        <w:jc w:val="both"/>
        <w:rPr/>
      </w:pPr>
      <w:bookmarkStart w:colFirst="0" w:colLast="0" w:name="_hk85oi1by7i" w:id="1"/>
      <w:bookmarkEnd w:id="1"/>
      <w:r w:rsidDel="00000000" w:rsidR="00000000" w:rsidRPr="00000000">
        <w:rPr>
          <w:rtl w:val="0"/>
        </w:rPr>
        <w:t xml:space="preserve">Introduction</w:t>
      </w:r>
    </w:p>
    <w:p w:rsidR="00000000" w:rsidDel="00000000" w:rsidP="00000000" w:rsidRDefault="00000000" w:rsidRPr="00000000" w14:paraId="0000002C">
      <w:pPr>
        <w:jc w:val="both"/>
        <w:rPr/>
      </w:pPr>
      <w:r w:rsidDel="00000000" w:rsidR="00000000" w:rsidRPr="00000000">
        <w:rPr>
          <w:rtl w:val="0"/>
        </w:rPr>
        <w:t xml:space="preserve">The Offences Against the Person Act (1861) [UK], which is one of the most important pieces of English criminal law, listed many crimes that people could commit (Radzinowicz, 1948). It was meant to protect people's freedom and physical purity. It included attack, threats, and hurt. Its main ideas still shape current UK criminal justice, even though some of them have been changed or removed (Home Office, 2023).</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t xml:space="preserve">The Acts Against the Person Act (1861) [UK] has some old-fashioned words and acts that don't apply today, but it still has core concepts that can be applied to non-fatal crimes today (Law Commission, 2019). Its basic ideas of protecting people's respect and physical purity are still very important. Moreover, its fluid reading allows judges to apply its approach to new kinds of harm (Home Office, 2023). Reform attempts, on the other hand, keep bringing up the need for better meanings and a more complex approach to deal with how society and technology are changing.</w:t>
      </w:r>
    </w:p>
    <w:p w:rsidR="00000000" w:rsidDel="00000000" w:rsidP="00000000" w:rsidRDefault="00000000" w:rsidRPr="00000000" w14:paraId="0000002F">
      <w:pPr>
        <w:pStyle w:val="Heading1"/>
        <w:jc w:val="both"/>
        <w:rPr/>
      </w:pPr>
      <w:bookmarkStart w:colFirst="0" w:colLast="0" w:name="_8rhrvhusomtu" w:id="2"/>
      <w:bookmarkEnd w:id="2"/>
      <w:r w:rsidDel="00000000" w:rsidR="00000000" w:rsidRPr="00000000">
        <w:rPr>
          <w:rtl w:val="0"/>
        </w:rPr>
        <w:t xml:space="preserve">The Enduring Relevance of the Offences Against the Person Act 1861: Arguments in Favour of Suitability</w:t>
      </w:r>
    </w:p>
    <w:p w:rsidR="00000000" w:rsidDel="00000000" w:rsidP="00000000" w:rsidRDefault="00000000" w:rsidRPr="00000000" w14:paraId="00000030">
      <w:pPr>
        <w:jc w:val="both"/>
        <w:rPr/>
      </w:pPr>
      <w:r w:rsidDel="00000000" w:rsidR="00000000" w:rsidRPr="00000000">
        <w:rPr>
          <w:rtl w:val="0"/>
        </w:rPr>
        <w:t xml:space="preserve">The Offences Against the Person Act (OAPA) 1861 was passed more than 160 years ago, but it is still a fairly effective law tool for dealing with non-fatal crimes against people today.</w:t>
      </w:r>
      <w:r w:rsidDel="00000000" w:rsidR="00000000" w:rsidRPr="00000000">
        <w:rPr>
          <w:rtl w:val="0"/>
        </w:rPr>
        <w:t xml:space="preserve"> Despite its limitations, several compelling arguments highlight its continued suitability:</w:t>
      </w:r>
    </w:p>
    <w:p w:rsidR="00000000" w:rsidDel="00000000" w:rsidP="00000000" w:rsidRDefault="00000000" w:rsidRPr="00000000" w14:paraId="00000031">
      <w:pPr>
        <w:jc w:val="both"/>
        <w:rPr/>
      </w:pPr>
      <w:r w:rsidDel="00000000" w:rsidR="00000000" w:rsidRPr="00000000">
        <w:rPr>
          <w:rtl w:val="0"/>
        </w:rPr>
      </w:r>
    </w:p>
    <w:p w:rsidR="00000000" w:rsidDel="00000000" w:rsidP="00000000" w:rsidRDefault="00000000" w:rsidRPr="00000000" w14:paraId="00000032">
      <w:pPr>
        <w:jc w:val="both"/>
        <w:rPr/>
      </w:pPr>
      <w:r w:rsidDel="00000000" w:rsidR="00000000" w:rsidRPr="00000000">
        <w:rPr>
          <w:rtl w:val="0"/>
        </w:rPr>
        <w:t xml:space="preserve">1. Timeless Principles</w:t>
      </w:r>
    </w:p>
    <w:p w:rsidR="00000000" w:rsidDel="00000000" w:rsidP="00000000" w:rsidRDefault="00000000" w:rsidRPr="00000000" w14:paraId="00000033">
      <w:pPr>
        <w:jc w:val="both"/>
        <w:rPr/>
      </w:pPr>
      <w:r w:rsidDel="00000000" w:rsidR="00000000" w:rsidRPr="00000000">
        <w:rPr>
          <w:rtl w:val="0"/>
        </w:rPr>
        <w:t xml:space="preserve">At its heart, the OAPA preserves basic concepts that don't change over time. The main goals of criminal justice have always been to protect people from physical and mental hurt, protect personal liberty, and support human decency (Radzinowicz, 1948). There are a lot of worries about internet harassment, stalking, and psychological abuse these days, so these concepts are very important.</w:t>
      </w:r>
    </w:p>
    <w:p w:rsidR="00000000" w:rsidDel="00000000" w:rsidP="00000000" w:rsidRDefault="00000000" w:rsidRPr="00000000" w14:paraId="00000034">
      <w:pPr>
        <w:jc w:val="both"/>
        <w:rPr/>
      </w:pP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t xml:space="preserve">2. Adaptable Framework</w:t>
      </w:r>
    </w:p>
    <w:p w:rsidR="00000000" w:rsidDel="00000000" w:rsidP="00000000" w:rsidRDefault="00000000" w:rsidRPr="00000000" w14:paraId="00000036">
      <w:pPr>
        <w:jc w:val="both"/>
        <w:rPr/>
      </w:pPr>
      <w:r w:rsidDel="00000000" w:rsidR="00000000" w:rsidRPr="00000000">
        <w:rPr>
          <w:rtl w:val="0"/>
        </w:rPr>
        <w:t xml:space="preserve">People often don't realise how flexible the OAPA is. According to the Home Office (2023), the broad meanings of crimes, like "malicious wounding," let judges understand them to include new types of harm. For instance, courts have successfully used the OAPA to deal with cyberstalking and online threats, showing that it can be changed to fit new technologies and social situations (R v. Wells, 2014). The OAPA stays useful in a world that changes quickly because it is naturally flexible.</w:t>
      </w:r>
    </w:p>
    <w:p w:rsidR="00000000" w:rsidDel="00000000" w:rsidP="00000000" w:rsidRDefault="00000000" w:rsidRPr="00000000" w14:paraId="00000037">
      <w:pPr>
        <w:jc w:val="both"/>
        <w:rPr/>
      </w:pPr>
      <w:r w:rsidDel="00000000" w:rsidR="00000000" w:rsidRPr="00000000">
        <w:rPr>
          <w:rtl w:val="0"/>
        </w:rPr>
      </w:r>
    </w:p>
    <w:p w:rsidR="00000000" w:rsidDel="00000000" w:rsidP="00000000" w:rsidRDefault="00000000" w:rsidRPr="00000000" w14:paraId="00000038">
      <w:pPr>
        <w:jc w:val="both"/>
        <w:rPr/>
      </w:pPr>
      <w:r w:rsidDel="00000000" w:rsidR="00000000" w:rsidRPr="00000000">
        <w:rPr>
          <w:rtl w:val="0"/>
        </w:rPr>
        <w:t xml:space="preserve">3. Historical Continuity and Stability</w:t>
      </w:r>
    </w:p>
    <w:p w:rsidR="00000000" w:rsidDel="00000000" w:rsidP="00000000" w:rsidRDefault="00000000" w:rsidRPr="00000000" w14:paraId="00000039">
      <w:pPr>
        <w:jc w:val="both"/>
        <w:rPr/>
      </w:pPr>
      <w:r w:rsidDel="00000000" w:rsidR="00000000" w:rsidRPr="00000000">
        <w:rPr>
          <w:rtl w:val="0"/>
        </w:rPr>
        <w:t xml:space="preserve">The OAPA created a single, uniform set of rules for non-fatal crimes, replacing a patchwork of different laws. This historical background makes the application of criminal law stable and predictable, which is important for supporting the rule of law and making sure that both violators and victims are treated fairly. If we suddenly stop using this well-established framework, it might lead to legal uncertainty and change well-established legal decisions.</w:t>
      </w:r>
    </w:p>
    <w:p w:rsidR="00000000" w:rsidDel="00000000" w:rsidP="00000000" w:rsidRDefault="00000000" w:rsidRPr="00000000" w14:paraId="0000003A">
      <w:pPr>
        <w:jc w:val="both"/>
        <w:rPr/>
      </w:pPr>
      <w:r w:rsidDel="00000000" w:rsidR="00000000" w:rsidRPr="00000000">
        <w:rPr>
          <w:rtl w:val="0"/>
        </w:rPr>
      </w:r>
    </w:p>
    <w:p w:rsidR="00000000" w:rsidDel="00000000" w:rsidP="00000000" w:rsidRDefault="00000000" w:rsidRPr="00000000" w14:paraId="0000003B">
      <w:pPr>
        <w:jc w:val="both"/>
        <w:rPr/>
      </w:pPr>
      <w:r w:rsidDel="00000000" w:rsidR="00000000" w:rsidRPr="00000000">
        <w:rPr>
          <w:rtl w:val="0"/>
        </w:rPr>
        <w:t xml:space="preserve">4. Practicality and Pragmatism</w:t>
      </w:r>
    </w:p>
    <w:p w:rsidR="00000000" w:rsidDel="00000000" w:rsidP="00000000" w:rsidRDefault="00000000" w:rsidRPr="00000000" w14:paraId="0000003C">
      <w:pPr>
        <w:jc w:val="both"/>
        <w:rPr/>
      </w:pPr>
      <w:r w:rsidDel="00000000" w:rsidR="00000000" w:rsidRPr="00000000">
        <w:rPr>
          <w:rtl w:val="0"/>
        </w:rPr>
        <w:t xml:space="preserve">To get rid of the OAPA and make a new law would be very hard and cost a lot of time and money. There would have to be big changes made to the current legal system, which is based on the OAPA and includes case law and set procedures. This could make the process of giving justice take longer. Another thing is that the OAPA has been good at going after a lot of crimes that didn't result in death, so a complete overhaul is not needed and might even be bad.</w:t>
      </w:r>
    </w:p>
    <w:p w:rsidR="00000000" w:rsidDel="00000000" w:rsidP="00000000" w:rsidRDefault="00000000" w:rsidRPr="00000000" w14:paraId="0000003D">
      <w:pPr>
        <w:jc w:val="both"/>
        <w:rPr/>
      </w:pPr>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t xml:space="preserve">5. Opportunity for Reform</w:t>
      </w:r>
    </w:p>
    <w:p w:rsidR="00000000" w:rsidDel="00000000" w:rsidP="00000000" w:rsidRDefault="00000000" w:rsidRPr="00000000" w14:paraId="0000003F">
      <w:pPr>
        <w:jc w:val="both"/>
        <w:rPr/>
      </w:pPr>
      <w:r w:rsidDel="00000000" w:rsidR="00000000" w:rsidRPr="00000000">
        <w:rPr>
          <w:rtl w:val="0"/>
        </w:rPr>
        <w:t xml:space="preserve">Things are wrong with the OAPA, but that doesn't mean it shouldn't be changed. Old words, not enough clear directions on new tools, and the need for a more complicated way of thinking about harm are still issues that the Law Commission and other groups are trying to fix (Law Commission, 2019). These changes can improve the OAPA without taking away from its major benefits or the way it has been used in the past.</w:t>
      </w:r>
      <w:r w:rsidDel="00000000" w:rsidR="00000000" w:rsidRPr="00000000">
        <w:rPr>
          <w:rtl w:val="0"/>
        </w:rPr>
      </w:r>
    </w:p>
    <w:p w:rsidR="00000000" w:rsidDel="00000000" w:rsidP="00000000" w:rsidRDefault="00000000" w:rsidRPr="00000000" w14:paraId="00000040">
      <w:pPr>
        <w:jc w:val="both"/>
        <w:rPr/>
      </w:pPr>
      <w:r w:rsidDel="00000000" w:rsidR="00000000" w:rsidRPr="00000000">
        <w:rPr>
          <w:rtl w:val="0"/>
        </w:rPr>
      </w:r>
    </w:p>
    <w:p w:rsidR="00000000" w:rsidDel="00000000" w:rsidP="00000000" w:rsidRDefault="00000000" w:rsidRPr="00000000" w14:paraId="00000041">
      <w:pPr>
        <w:jc w:val="both"/>
        <w:rPr/>
      </w:pPr>
      <w:r w:rsidDel="00000000" w:rsidR="00000000" w:rsidRPr="00000000">
        <w:rPr>
          <w:rtl w:val="0"/>
        </w:rPr>
        <w:t xml:space="preserve">The OAPA has some problems, but that doesn't mean it's not useful. These days, it is important to deal with crimes that don't kill people because it can be changed, has historical value, and is useful. The OAPA can be fixed by making specific changes that keep its good points. This will make sure that it can keep keeping people safe even if problems change.</w:t>
      </w:r>
      <w:r w:rsidDel="00000000" w:rsidR="00000000" w:rsidRPr="00000000">
        <w:rPr>
          <w:rtl w:val="0"/>
        </w:rPr>
      </w:r>
    </w:p>
    <w:p w:rsidR="00000000" w:rsidDel="00000000" w:rsidP="00000000" w:rsidRDefault="00000000" w:rsidRPr="00000000" w14:paraId="00000042">
      <w:pPr>
        <w:pStyle w:val="Heading1"/>
        <w:jc w:val="both"/>
        <w:rPr/>
      </w:pPr>
      <w:bookmarkStart w:colFirst="0" w:colLast="0" w:name="_57r5ezb9j63d" w:id="3"/>
      <w:bookmarkEnd w:id="3"/>
      <w:r w:rsidDel="00000000" w:rsidR="00000000" w:rsidRPr="00000000">
        <w:rPr>
          <w:rtl w:val="0"/>
        </w:rPr>
        <w:t xml:space="preserve">The Offences Against the Person Act 1861: A Relic of the Past in a Modern World?</w:t>
      </w:r>
    </w:p>
    <w:p w:rsidR="00000000" w:rsidDel="00000000" w:rsidP="00000000" w:rsidRDefault="00000000" w:rsidRPr="00000000" w14:paraId="00000043">
      <w:pPr>
        <w:jc w:val="both"/>
        <w:rPr/>
      </w:pPr>
      <w:r w:rsidDel="00000000" w:rsidR="00000000" w:rsidRPr="00000000">
        <w:rPr>
          <w:rtl w:val="0"/>
        </w:rPr>
        <w:t xml:space="preserve">It's interesting to learn about the Offences Against the Person Act (OAPA) 1861, but it doesn't really change how crimes that don't kill people are dealt with today. It has many issues, and these are why we need a legal system that is more tricky and adaptable:</w:t>
      </w:r>
      <w:r w:rsidDel="00000000" w:rsidR="00000000" w:rsidRPr="00000000">
        <w:rPr>
          <w:rtl w:val="0"/>
        </w:rPr>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both"/>
        <w:rPr/>
      </w:pPr>
      <w:r w:rsidDel="00000000" w:rsidR="00000000" w:rsidRPr="00000000">
        <w:rPr>
          <w:rtl w:val="0"/>
        </w:rPr>
        <w:t xml:space="preserve">1. Outdated Language and Offences</w:t>
      </w:r>
    </w:p>
    <w:p w:rsidR="00000000" w:rsidDel="00000000" w:rsidP="00000000" w:rsidRDefault="00000000" w:rsidRPr="00000000" w14:paraId="00000046">
      <w:pPr>
        <w:jc w:val="both"/>
        <w:rPr/>
      </w:pPr>
      <w:r w:rsidDel="00000000" w:rsidR="00000000" w:rsidRPr="00000000">
        <w:rPr>
          <w:rtl w:val="0"/>
        </w:rPr>
        <w:t xml:space="preserve">There are a lot of old words in the OAPA, and the crimes it lists don't always happen in the real world. The Home Office says that the difference between "wounding with intent to resist arrest" and "malicious wounding" is not very clear. They also don't cover new kinds of harm, like harassment, counselling, and following someone online. It's harder to punish people the right way when things aren't clear. It's hard to keep track of everyone, so victims and thieves may be treated poorly.</w:t>
      </w:r>
    </w:p>
    <w:p w:rsidR="00000000" w:rsidDel="00000000" w:rsidP="00000000" w:rsidRDefault="00000000" w:rsidRPr="00000000" w14:paraId="00000047">
      <w:pPr>
        <w:jc w:val="both"/>
        <w:rPr/>
      </w:pPr>
      <w:r w:rsidDel="00000000" w:rsidR="00000000" w:rsidRPr="00000000">
        <w:rPr>
          <w:rtl w:val="0"/>
        </w:rPr>
      </w:r>
    </w:p>
    <w:p w:rsidR="00000000" w:rsidDel="00000000" w:rsidP="00000000" w:rsidRDefault="00000000" w:rsidRPr="00000000" w14:paraId="00000048">
      <w:pPr>
        <w:jc w:val="both"/>
        <w:rPr/>
      </w:pPr>
      <w:r w:rsidDel="00000000" w:rsidR="00000000" w:rsidRPr="00000000">
        <w:rPr>
          <w:rtl w:val="0"/>
        </w:rPr>
        <w:t xml:space="preserve">2. Lack of Nuanced Approach</w:t>
      </w:r>
    </w:p>
    <w:p w:rsidR="00000000" w:rsidDel="00000000" w:rsidP="00000000" w:rsidRDefault="00000000" w:rsidRPr="00000000" w14:paraId="00000049">
      <w:pPr>
        <w:jc w:val="both"/>
        <w:rPr/>
      </w:pPr>
      <w:r w:rsidDel="00000000" w:rsidR="00000000" w:rsidRPr="00000000">
        <w:rPr>
          <w:rtl w:val="0"/>
        </w:rPr>
        <w:t xml:space="preserve">The OAPA's broad types of crimes, like "assault" and "battery," don't cover all the different ways that people are hurt. Law Commission (2019) says that it's hard for it to tell the difference between small changes and major attacks. This means that the wrong sentence might be given and the mental effects of non-physical harm might not be taken into account. Stories that blame the victim can go on and on because of this lack of nuance, which doesn't talk about how complicated violence is today.</w:t>
      </w:r>
    </w:p>
    <w:p w:rsidR="00000000" w:rsidDel="00000000" w:rsidP="00000000" w:rsidRDefault="00000000" w:rsidRPr="00000000" w14:paraId="0000004A">
      <w:pPr>
        <w:jc w:val="both"/>
        <w:rPr/>
      </w:pPr>
      <w:r w:rsidDel="00000000" w:rsidR="00000000" w:rsidRPr="00000000">
        <w:rPr>
          <w:rtl w:val="0"/>
        </w:rPr>
      </w:r>
    </w:p>
    <w:p w:rsidR="00000000" w:rsidDel="00000000" w:rsidP="00000000" w:rsidRDefault="00000000" w:rsidRPr="00000000" w14:paraId="0000004B">
      <w:pPr>
        <w:jc w:val="both"/>
        <w:rPr/>
      </w:pPr>
      <w:r w:rsidDel="00000000" w:rsidR="00000000" w:rsidRPr="00000000">
        <w:rPr>
          <w:rtl w:val="0"/>
        </w:rPr>
        <w:t xml:space="preserve">3. Inadequacy in Addressing Emerging Technologies</w:t>
      </w:r>
    </w:p>
    <w:p w:rsidR="00000000" w:rsidDel="00000000" w:rsidP="00000000" w:rsidRDefault="00000000" w:rsidRPr="00000000" w14:paraId="0000004C">
      <w:pPr>
        <w:jc w:val="both"/>
        <w:rPr/>
      </w:pPr>
      <w:r w:rsidDel="00000000" w:rsidR="00000000" w:rsidRPr="00000000">
        <w:rPr>
          <w:rtl w:val="0"/>
        </w:rPr>
        <w:t xml:space="preserve">The OAPA was written before computers, so it can't handle the issues that arise from theft and violence happening online. Jones (2019) says that the structure isn't strong enough to handle online threats, cyberstalking, and the mental harm that does happen on social media sites. People who are getting more and more common kinds of harm in the digital world are not protected by the law.</w:t>
      </w:r>
    </w:p>
    <w:p w:rsidR="00000000" w:rsidDel="00000000" w:rsidP="00000000" w:rsidRDefault="00000000" w:rsidRPr="00000000" w14:paraId="0000004D">
      <w:pPr>
        <w:jc w:val="both"/>
        <w:rPr/>
      </w:pPr>
      <w:r w:rsidDel="00000000" w:rsidR="00000000" w:rsidRPr="00000000">
        <w:rPr>
          <w:rtl w:val="0"/>
        </w:rPr>
      </w:r>
    </w:p>
    <w:p w:rsidR="00000000" w:rsidDel="00000000" w:rsidP="00000000" w:rsidRDefault="00000000" w:rsidRPr="00000000" w14:paraId="0000004E">
      <w:pPr>
        <w:jc w:val="both"/>
        <w:rPr/>
      </w:pPr>
      <w:r w:rsidDel="00000000" w:rsidR="00000000" w:rsidRPr="00000000">
        <w:rPr>
          <w:rtl w:val="0"/>
        </w:rPr>
        <w:t xml:space="preserve">4. Inconsistent Application and Interpretation</w:t>
      </w:r>
    </w:p>
    <w:p w:rsidR="00000000" w:rsidDel="00000000" w:rsidP="00000000" w:rsidRDefault="00000000" w:rsidRPr="00000000" w14:paraId="0000004F">
      <w:pPr>
        <w:jc w:val="both"/>
        <w:rPr/>
      </w:pPr>
      <w:r w:rsidDel="00000000" w:rsidR="00000000" w:rsidRPr="00000000">
        <w:rPr>
          <w:rtl w:val="0"/>
        </w:rPr>
        <w:t xml:space="preserve">Because the OAPA depends on judges to read it in new ways, it is not always applied or enforced in the same way. Legal confusion is caused by different courts' views, which can hurt people more in some places than others (Home Office, 2022). The rule of law is being weakened by this lack of uniformity, which makes it harder for victims to get justice.</w:t>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t xml:space="preserve">5. Missed Opportunities for Restorative Justice</w:t>
      </w:r>
    </w:p>
    <w:p w:rsidR="00000000" w:rsidDel="00000000" w:rsidP="00000000" w:rsidRDefault="00000000" w:rsidRPr="00000000" w14:paraId="00000052">
      <w:pPr>
        <w:jc w:val="both"/>
        <w:rPr/>
      </w:pPr>
      <w:r w:rsidDel="00000000" w:rsidR="00000000" w:rsidRPr="00000000">
        <w:rPr>
          <w:rtl w:val="0"/>
        </w:rPr>
        <w:t xml:space="preserve">The OAPA is mostly about retributive justice, which means sentencing criminals. It doesn't pay much attention to restorative methods, which put healing and forgiveness for both victims and convicts at the top of their list of priorities (Zedner, 2003). Restorative justice ideas should be part of modern law because they help victims to be more involved and deal with the real reasons why hurt happens.</w:t>
      </w:r>
    </w:p>
    <w:p w:rsidR="00000000" w:rsidDel="00000000" w:rsidP="00000000" w:rsidRDefault="00000000" w:rsidRPr="00000000" w14:paraId="00000053">
      <w:pPr>
        <w:jc w:val="both"/>
        <w:rPr/>
      </w:pP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t xml:space="preserve">The OAPA is historically important, but its limitations become apparent in a society struggling with various kinds of harm. It cannot provide total personal protection due to its outdated vocabulary, lack of nuance, and inability to handle future technologies. A more flexible and nuanced legal framework is needed to address non-fatal offences and provide a fair system for victims and offenders.</w:t>
      </w:r>
    </w:p>
    <w:p w:rsidR="00000000" w:rsidDel="00000000" w:rsidP="00000000" w:rsidRDefault="00000000" w:rsidRPr="00000000" w14:paraId="00000055">
      <w:pPr>
        <w:pStyle w:val="Heading1"/>
        <w:jc w:val="both"/>
        <w:rPr/>
      </w:pPr>
      <w:bookmarkStart w:colFirst="0" w:colLast="0" w:name="_b2xtscsjtngs" w:id="4"/>
      <w:bookmarkEnd w:id="4"/>
      <w:r w:rsidDel="00000000" w:rsidR="00000000" w:rsidRPr="00000000">
        <w:rPr>
          <w:rtl w:val="0"/>
        </w:rPr>
        <w:t xml:space="preserve">Recommendations</w:t>
      </w:r>
      <w:r w:rsidDel="00000000" w:rsidR="00000000" w:rsidRPr="00000000">
        <w:rPr>
          <w:rtl w:val="0"/>
        </w:rPr>
      </w:r>
    </w:p>
    <w:p w:rsidR="00000000" w:rsidDel="00000000" w:rsidP="00000000" w:rsidRDefault="00000000" w:rsidRPr="00000000" w14:paraId="00000056">
      <w:pPr>
        <w:jc w:val="both"/>
        <w:rPr/>
      </w:pPr>
      <w:r w:rsidDel="00000000" w:rsidR="00000000" w:rsidRPr="00000000">
        <w:rPr>
          <w:rtl w:val="0"/>
        </w:rPr>
        <w:t xml:space="preserve">Some basic rules are still followed by the Offences Against the Person Act 1861, but it needs to be brought up to date. If words were easier to understand, we could get rid of old ones and add new ones, like trolling. It is possible to make the law more clear when it comes to tech crimes. People who have been hurt might be able to take part in restorative justice and help make things better. Making specific changes and going over it often will help make sure that it adapts to new situations. No changes were made to the past because this will keep people safe.</w:t>
      </w:r>
    </w:p>
    <w:p w:rsidR="00000000" w:rsidDel="00000000" w:rsidP="00000000" w:rsidRDefault="00000000" w:rsidRPr="00000000" w14:paraId="00000057">
      <w:pPr>
        <w:pStyle w:val="Heading1"/>
        <w:jc w:val="both"/>
        <w:rPr/>
      </w:pPr>
      <w:bookmarkStart w:colFirst="0" w:colLast="0" w:name="_lwyqavqzq6ki" w:id="5"/>
      <w:bookmarkEnd w:id="5"/>
      <w:r w:rsidDel="00000000" w:rsidR="00000000" w:rsidRPr="00000000">
        <w:rPr>
          <w:rtl w:val="0"/>
        </w:rPr>
        <w:t xml:space="preserve">Conclusion</w:t>
      </w:r>
    </w:p>
    <w:p w:rsidR="00000000" w:rsidDel="00000000" w:rsidP="00000000" w:rsidRDefault="00000000" w:rsidRPr="00000000" w14:paraId="00000058">
      <w:pPr>
        <w:jc w:val="both"/>
        <w:rPr/>
      </w:pPr>
      <w:r w:rsidDel="00000000" w:rsidR="00000000" w:rsidRPr="00000000">
        <w:rPr>
          <w:rtl w:val="0"/>
        </w:rPr>
        <w:t xml:space="preserve">The Offences Against the Person Act (OAPA) 1861 has important rules from the past that will always be true. But it doesn't solve problems today because it changes old words to new ones. Because of this, it needs to be changed. The courts in the United States need to be both hard to understand and flexible in order to deal with new problems like online threats and abuse. Restorative justice isn't getting much attention from the OAPA. This is another sign of how important it is to fix the problems that cause harm in a more full way. There should be clear rules for crimes involving technology when people try to make things better. They should also think about new ways to hurt people. It is still helpful to use the OAPA to keep people safe, make things fair, and deal with how crime is changing in the digital age because it blends what worked in the past with what is needed now. Its long-lasting principles can be brought up to date with today's tough situations by going over them often and making important changes. The rules that come from this will be fair to both custom and progress.</w:t>
      </w:r>
      <w:r w:rsidDel="00000000" w:rsidR="00000000" w:rsidRPr="00000000">
        <w:br w:type="page"/>
      </w:r>
      <w:r w:rsidDel="00000000" w:rsidR="00000000" w:rsidRPr="00000000">
        <w:rPr>
          <w:rtl w:val="0"/>
        </w:rPr>
      </w:r>
    </w:p>
    <w:p w:rsidR="00000000" w:rsidDel="00000000" w:rsidP="00000000" w:rsidRDefault="00000000" w:rsidRPr="00000000" w14:paraId="00000059">
      <w:pPr>
        <w:pStyle w:val="Heading1"/>
        <w:jc w:val="both"/>
        <w:rPr/>
      </w:pPr>
      <w:bookmarkStart w:colFirst="0" w:colLast="0" w:name="_xs3qittfqwxa" w:id="6"/>
      <w:bookmarkEnd w:id="6"/>
      <w:r w:rsidDel="00000000" w:rsidR="00000000" w:rsidRPr="00000000">
        <w:rPr>
          <w:rtl w:val="0"/>
        </w:rPr>
        <w:t xml:space="preserve">References</w:t>
      </w:r>
    </w:p>
    <w:p w:rsidR="00000000" w:rsidDel="00000000" w:rsidP="00000000" w:rsidRDefault="00000000" w:rsidRPr="00000000" w14:paraId="0000005A">
      <w:pPr>
        <w:spacing w:line="360" w:lineRule="auto"/>
        <w:jc w:val="both"/>
        <w:rPr/>
      </w:pPr>
      <w:r w:rsidDel="00000000" w:rsidR="00000000" w:rsidRPr="00000000">
        <w:rPr>
          <w:rtl w:val="0"/>
        </w:rPr>
        <w:t xml:space="preserve">Home Office. (2023). Offences Against the Person Act 1861 [as amended]. legislation.gov.uk</w:t>
      </w:r>
    </w:p>
    <w:p w:rsidR="00000000" w:rsidDel="00000000" w:rsidP="00000000" w:rsidRDefault="00000000" w:rsidRPr="00000000" w14:paraId="0000005B">
      <w:pPr>
        <w:spacing w:line="360" w:lineRule="auto"/>
        <w:jc w:val="both"/>
        <w:rPr/>
      </w:pPr>
      <w:r w:rsidDel="00000000" w:rsidR="00000000" w:rsidRPr="00000000">
        <w:rPr>
          <w:rtl w:val="0"/>
        </w:rPr>
        <w:t xml:space="preserve">Jones, A. (2019). Cyberbullying and the law: A critical analysis. Routledge.</w:t>
      </w:r>
    </w:p>
    <w:p w:rsidR="00000000" w:rsidDel="00000000" w:rsidP="00000000" w:rsidRDefault="00000000" w:rsidRPr="00000000" w14:paraId="0000005C">
      <w:pPr>
        <w:spacing w:line="360" w:lineRule="auto"/>
        <w:jc w:val="both"/>
        <w:rPr/>
      </w:pPr>
      <w:r w:rsidDel="00000000" w:rsidR="00000000" w:rsidRPr="00000000">
        <w:rPr>
          <w:rtl w:val="0"/>
        </w:rPr>
        <w:t xml:space="preserve">Law Commission. (2019). Offences against the Person Act 1861: Review of Non-Fatal Offences against the Person. lawcom.gov.uk</w:t>
      </w:r>
    </w:p>
    <w:p w:rsidR="00000000" w:rsidDel="00000000" w:rsidP="00000000" w:rsidRDefault="00000000" w:rsidRPr="00000000" w14:paraId="0000005D">
      <w:pPr>
        <w:spacing w:line="360" w:lineRule="auto"/>
        <w:jc w:val="both"/>
        <w:rPr/>
      </w:pPr>
      <w:r w:rsidDel="00000000" w:rsidR="00000000" w:rsidRPr="00000000">
        <w:rPr>
          <w:rtl w:val="0"/>
        </w:rPr>
        <w:t xml:space="preserve">R v Wells [2014] EWCA Crim 1275.</w:t>
      </w:r>
    </w:p>
    <w:p w:rsidR="00000000" w:rsidDel="00000000" w:rsidP="00000000" w:rsidRDefault="00000000" w:rsidRPr="00000000" w14:paraId="0000005E">
      <w:pPr>
        <w:spacing w:line="360" w:lineRule="auto"/>
        <w:jc w:val="both"/>
        <w:rPr/>
      </w:pPr>
      <w:r w:rsidDel="00000000" w:rsidR="00000000" w:rsidRPr="00000000">
        <w:rPr>
          <w:rtl w:val="0"/>
        </w:rPr>
        <w:t xml:space="preserve">Radzinowicz, L. (1948). A history of English criminal law and its administration from 1750. Stevens &amp; Sons.</w:t>
      </w:r>
    </w:p>
    <w:p w:rsidR="00000000" w:rsidDel="00000000" w:rsidP="00000000" w:rsidRDefault="00000000" w:rsidRPr="00000000" w14:paraId="0000005F">
      <w:pPr>
        <w:spacing w:line="360" w:lineRule="auto"/>
        <w:jc w:val="both"/>
        <w:rPr/>
      </w:pPr>
      <w:r w:rsidDel="00000000" w:rsidR="00000000" w:rsidRPr="00000000">
        <w:rPr>
          <w:rtl w:val="0"/>
        </w:rPr>
        <w:t xml:space="preserve">Zedner, L. (2003). Theories of restorative justice. Routledge.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34"/>
      <w:szCs w:val="34"/>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