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4472C4" w:themeColor="accent1"/>
          <w:lang w:val="en-GB"/>
        </w:rPr>
        <w:id w:val="-1107045318"/>
        <w:docPartObj>
          <w:docPartGallery w:val="Cover Pages"/>
          <w:docPartUnique/>
        </w:docPartObj>
      </w:sdtPr>
      <w:sdtEndPr>
        <w:rPr>
          <w:color w:val="auto"/>
        </w:rPr>
      </w:sdtEndPr>
      <w:sdtContent>
        <w:p w14:paraId="7CB9A1A7" w14:textId="099CCA1A" w:rsidR="00A7737C" w:rsidRDefault="00A7737C">
          <w:pPr>
            <w:pStyle w:val="NoSpacing"/>
            <w:spacing w:before="1540" w:after="240"/>
            <w:jc w:val="center"/>
            <w:rPr>
              <w:color w:val="4472C4" w:themeColor="accent1"/>
            </w:rPr>
          </w:pPr>
          <w:r>
            <w:rPr>
              <w:noProof/>
              <w:color w:val="4472C4" w:themeColor="accent1"/>
            </w:rPr>
            <w:drawing>
              <wp:inline distT="0" distB="0" distL="0" distR="0" wp14:anchorId="67CA9E3D" wp14:editId="6325698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14CF77612244CF281EAD9583EDB1B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7B7F4C" w14:textId="6FCB6767" w:rsidR="00A7737C" w:rsidRDefault="00A3402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Minimum age of criminal responsibilty</w:t>
              </w:r>
            </w:p>
          </w:sdtContent>
        </w:sdt>
        <w:p w14:paraId="34CF7BB9" w14:textId="4F3B0AAF" w:rsidR="00A7737C" w:rsidRDefault="00A7737C">
          <w:pPr>
            <w:pStyle w:val="NoSpacing"/>
            <w:jc w:val="center"/>
            <w:rPr>
              <w:color w:val="4472C4" w:themeColor="accent1"/>
              <w:sz w:val="28"/>
              <w:szCs w:val="28"/>
            </w:rPr>
          </w:pPr>
        </w:p>
        <w:p w14:paraId="16CA3E74" w14:textId="77777777" w:rsidR="00A7737C" w:rsidRDefault="00A773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D4EDC1A" wp14:editId="455EAC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412AC" w14:textId="70ED56C0" w:rsidR="00A7737C" w:rsidRDefault="00A7737C">
                                <w:pPr>
                                  <w:pStyle w:val="NoSpacing"/>
                                  <w:spacing w:after="40"/>
                                  <w:jc w:val="center"/>
                                  <w:rPr>
                                    <w:caps/>
                                    <w:color w:val="4472C4" w:themeColor="accent1"/>
                                    <w:sz w:val="28"/>
                                    <w:szCs w:val="28"/>
                                  </w:rPr>
                                </w:pPr>
                              </w:p>
                              <w:p w14:paraId="2EDD3411" w14:textId="1DB52DFC" w:rsidR="00A7737C" w:rsidRDefault="00A7737C">
                                <w:pPr>
                                  <w:pStyle w:val="NoSpacing"/>
                                  <w:jc w:val="center"/>
                                  <w:rPr>
                                    <w:color w:val="4472C4" w:themeColor="accent1"/>
                                  </w:rPr>
                                </w:pPr>
                              </w:p>
                              <w:p w14:paraId="77233302" w14:textId="019CC8BF" w:rsidR="00A7737C" w:rsidRDefault="0072652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B5D52">
                                      <w:rPr>
                                        <w:color w:val="4472C4" w:themeColor="accent1"/>
                                      </w:rPr>
                                      <w:t xml:space="preserve">University of Wales, Trinity St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4EDC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3CD412AC" w14:textId="70ED56C0" w:rsidR="00A7737C" w:rsidRDefault="00A7737C">
                          <w:pPr>
                            <w:pStyle w:val="NoSpacing"/>
                            <w:spacing w:after="40"/>
                            <w:jc w:val="center"/>
                            <w:rPr>
                              <w:caps/>
                              <w:color w:val="4472C4" w:themeColor="accent1"/>
                              <w:sz w:val="28"/>
                              <w:szCs w:val="28"/>
                            </w:rPr>
                          </w:pPr>
                        </w:p>
                        <w:p w14:paraId="2EDD3411" w14:textId="1DB52DFC" w:rsidR="00A7737C" w:rsidRDefault="00A7737C">
                          <w:pPr>
                            <w:pStyle w:val="NoSpacing"/>
                            <w:jc w:val="center"/>
                            <w:rPr>
                              <w:color w:val="4472C4" w:themeColor="accent1"/>
                            </w:rPr>
                          </w:pPr>
                        </w:p>
                        <w:p w14:paraId="77233302" w14:textId="019CC8BF" w:rsidR="00A7737C" w:rsidRDefault="0072652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B5D52">
                                <w:rPr>
                                  <w:color w:val="4472C4" w:themeColor="accent1"/>
                                </w:rPr>
                                <w:t xml:space="preserve">University of Wales, Trinity St David </w:t>
                              </w:r>
                            </w:sdtContent>
                          </w:sdt>
                        </w:p>
                      </w:txbxContent>
                    </v:textbox>
                    <w10:wrap anchorx="margin" anchory="page"/>
                  </v:shape>
                </w:pict>
              </mc:Fallback>
            </mc:AlternateContent>
          </w:r>
          <w:r>
            <w:rPr>
              <w:noProof/>
              <w:color w:val="4472C4" w:themeColor="accent1"/>
            </w:rPr>
            <w:drawing>
              <wp:inline distT="0" distB="0" distL="0" distR="0" wp14:anchorId="5C175E9A" wp14:editId="0795340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AACA0E" w14:textId="5A21AA3E" w:rsidR="00A7737C" w:rsidRDefault="00FB5D52">
          <w:r>
            <w:rPr>
              <w:noProof/>
              <w:color w:val="4472C4" w:themeColor="accent1"/>
              <w:lang w:eastAsia="en-GB"/>
            </w:rPr>
            <mc:AlternateContent>
              <mc:Choice Requires="wps">
                <w:drawing>
                  <wp:anchor distT="45720" distB="45720" distL="114300" distR="114300" simplePos="0" relativeHeight="251661312" behindDoc="0" locked="0" layoutInCell="1" allowOverlap="1" wp14:anchorId="588CF679" wp14:editId="71A2B7F5">
                    <wp:simplePos x="0" y="0"/>
                    <wp:positionH relativeFrom="margin">
                      <wp:align>left</wp:align>
                    </wp:positionH>
                    <wp:positionV relativeFrom="paragraph">
                      <wp:posOffset>326390</wp:posOffset>
                    </wp:positionV>
                    <wp:extent cx="5562600" cy="3590925"/>
                    <wp:effectExtent l="0" t="0" r="19050" b="28575"/>
                    <wp:wrapSquare wrapText="bothSides"/>
                    <wp:docPr id="1" name="Text Box 1"/>
                    <wp:cNvGraphicFramePr/>
                    <a:graphic xmlns:a="http://schemas.openxmlformats.org/drawingml/2006/main">
                      <a:graphicData uri="http://schemas.microsoft.com/office/word/2010/wordprocessingShape">
                        <wps:wsp>
                          <wps:cNvSpPr txBox="1"/>
                          <wps:spPr>
                            <a:xfrm>
                              <a:off x="0" y="0"/>
                              <a:ext cx="5562600" cy="3590925"/>
                            </a:xfrm>
                            <a:prstGeom prst="rect">
                              <a:avLst/>
                            </a:prstGeom>
                            <a:solidFill>
                              <a:prstClr val="white"/>
                            </a:solidFill>
                            <a:ln w="6350">
                              <a:solidFill>
                                <a:prstClr val="black"/>
                              </a:solidFill>
                            </a:ln>
                          </wps:spPr>
                          <wps:txbx>
                            <w:txbxContent>
                              <w:p w14:paraId="5338831F" w14:textId="77777777" w:rsidR="00FB5D52" w:rsidRPr="008006FE" w:rsidRDefault="00FB5D52" w:rsidP="00FB5D52">
                                <w:r w:rsidRPr="008006FE">
                                  <w:t>Name: Joseph John Williams</w:t>
                                </w:r>
                              </w:p>
                              <w:p w14:paraId="3A0B2E01" w14:textId="476550A7" w:rsidR="00FB5D52" w:rsidRPr="008006FE" w:rsidRDefault="00FB5D52" w:rsidP="00FB5D52">
                                <w:r w:rsidRPr="008006FE">
                                  <w:t>Module: </w:t>
                                </w:r>
                                <w:r w:rsidR="007A03A9">
                                  <w:t>The Criminal Justice System, Youth Justice and Prison Systems in England and Wales</w:t>
                                </w:r>
                              </w:p>
                              <w:p w14:paraId="59F0ABDC" w14:textId="120CA22C" w:rsidR="00FB5D52" w:rsidRPr="008006FE" w:rsidRDefault="00FB5D52" w:rsidP="00FB5D52">
                                <w:r w:rsidRPr="008006FE">
                                  <w:t>Assessment Number</w:t>
                                </w:r>
                                <w:r>
                                  <w:t>: 1 of 2</w:t>
                                </w:r>
                              </w:p>
                              <w:p w14:paraId="00FE0C6A" w14:textId="6BD7DF62" w:rsidR="00FB5D52" w:rsidRPr="008006FE" w:rsidRDefault="00FB5D52" w:rsidP="00FB5D52">
                                <w:r w:rsidRPr="008006FE">
                                  <w:t>Assessment title: </w:t>
                                </w:r>
                                <w:r w:rsidR="00DE718B">
                                  <w:t>Minimum Age of Criminal Responsibility</w:t>
                                </w:r>
                              </w:p>
                              <w:p w14:paraId="2D2EEACB" w14:textId="4BFCF631" w:rsidR="00FB5D52" w:rsidRPr="008006FE" w:rsidRDefault="00FB5D52" w:rsidP="00FB5D52">
                                <w:r w:rsidRPr="008006FE">
                                  <w:t>Lecturer: </w:t>
                                </w:r>
                                <w:r>
                                  <w:t>Claudine Young</w:t>
                                </w:r>
                              </w:p>
                              <w:p w14:paraId="7BF22EA2" w14:textId="77777777" w:rsidR="00FB5D52" w:rsidRPr="008006FE" w:rsidRDefault="00FB5D52" w:rsidP="00FB5D52">
                                <w:r w:rsidRPr="008006FE">
                                  <w:t>Submission Date: </w:t>
                                </w:r>
                              </w:p>
                              <w:p w14:paraId="14F3EDBC" w14:textId="6373D40D" w:rsidR="00FB5D52" w:rsidRPr="008006FE" w:rsidRDefault="00FB5D52" w:rsidP="00FB5D52">
                                <w:r w:rsidRPr="008006FE">
                                  <w:t>Word Count:</w:t>
                                </w:r>
                                <w:r w:rsidR="00DE718B">
                                  <w:t xml:space="preserve"> 2973</w:t>
                                </w:r>
                              </w:p>
                              <w:p w14:paraId="6CF3FE51" w14:textId="77777777" w:rsidR="00FB5D52" w:rsidRDefault="00FB5D52" w:rsidP="00FB5D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CF679" id="Text Box 1" o:spid="_x0000_s1027" type="#_x0000_t202" style="position:absolute;margin-left:0;margin-top:25.7pt;width:438pt;height:282.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" strokeweight=".5pt">
                    <v:textbox>
                      <w:txbxContent>
                        <w:p w14:paraId="5338831F" w14:textId="77777777" w:rsidR="00FB5D52" w:rsidRPr="008006FE" w:rsidRDefault="00FB5D52" w:rsidP="00FB5D52">
                          <w:r w:rsidRPr="008006FE">
                            <w:t>Name: Joseph John Williams</w:t>
                          </w:r>
                        </w:p>
                        <w:p w14:paraId="3A0B2E01" w14:textId="476550A7" w:rsidR="00FB5D52" w:rsidRPr="008006FE" w:rsidRDefault="00FB5D52" w:rsidP="00FB5D52">
                          <w:r w:rsidRPr="008006FE">
                            <w:t>Module: </w:t>
                          </w:r>
                          <w:r w:rsidR="007A03A9">
                            <w:t>The Criminal Justice System, Youth Justice and Prison Systems in England and Wales</w:t>
                          </w:r>
                        </w:p>
                        <w:p w14:paraId="59F0ABDC" w14:textId="120CA22C" w:rsidR="00FB5D52" w:rsidRPr="008006FE" w:rsidRDefault="00FB5D52" w:rsidP="00FB5D52">
                          <w:r w:rsidRPr="008006FE">
                            <w:t>Assessment Number</w:t>
                          </w:r>
                          <w:r>
                            <w:t>: 1 of 2</w:t>
                          </w:r>
                        </w:p>
                        <w:p w14:paraId="00FE0C6A" w14:textId="6BD7DF62" w:rsidR="00FB5D52" w:rsidRPr="008006FE" w:rsidRDefault="00FB5D52" w:rsidP="00FB5D52">
                          <w:r w:rsidRPr="008006FE">
                            <w:t>Assessment title: </w:t>
                          </w:r>
                          <w:r w:rsidR="00DE718B">
                            <w:t>Minimum Age of Criminal Responsibility</w:t>
                          </w:r>
                        </w:p>
                        <w:p w14:paraId="2D2EEACB" w14:textId="4BFCF631" w:rsidR="00FB5D52" w:rsidRPr="008006FE" w:rsidRDefault="00FB5D52" w:rsidP="00FB5D52">
                          <w:r w:rsidRPr="008006FE">
                            <w:t>Lecturer: </w:t>
                          </w:r>
                          <w:r>
                            <w:t>Claudine Young</w:t>
                          </w:r>
                        </w:p>
                        <w:p w14:paraId="7BF22EA2" w14:textId="77777777" w:rsidR="00FB5D52" w:rsidRPr="008006FE" w:rsidRDefault="00FB5D52" w:rsidP="00FB5D52">
                          <w:r w:rsidRPr="008006FE">
                            <w:t>Submission Date: </w:t>
                          </w:r>
                        </w:p>
                        <w:p w14:paraId="14F3EDBC" w14:textId="6373D40D" w:rsidR="00FB5D52" w:rsidRPr="008006FE" w:rsidRDefault="00FB5D52" w:rsidP="00FB5D52">
                          <w:r w:rsidRPr="008006FE">
                            <w:t>Word Count:</w:t>
                          </w:r>
                          <w:r w:rsidR="00DE718B">
                            <w:t xml:space="preserve"> 2973</w:t>
                          </w:r>
                        </w:p>
                        <w:p w14:paraId="6CF3FE51" w14:textId="77777777" w:rsidR="00FB5D52" w:rsidRDefault="00FB5D52" w:rsidP="00FB5D52"/>
                      </w:txbxContent>
                    </v:textbox>
                    <w10:wrap type="square" anchorx="margin"/>
                  </v:shape>
                </w:pict>
              </mc:Fallback>
            </mc:AlternateContent>
          </w:r>
          <w:r w:rsidR="00A7737C">
            <w:br w:type="page"/>
          </w:r>
        </w:p>
      </w:sdtContent>
    </w:sdt>
    <w:p w14:paraId="76B0564A" w14:textId="71A2DAA4" w:rsidR="002A5696" w:rsidRPr="00DE718B" w:rsidRDefault="00316510" w:rsidP="00DE718B">
      <w:pPr>
        <w:spacing w:line="360" w:lineRule="auto"/>
        <w:rPr>
          <w:rFonts w:cstheme="minorHAnsi"/>
          <w:color w:val="000000" w:themeColor="text1"/>
          <w:sz w:val="24"/>
          <w:szCs w:val="24"/>
        </w:rPr>
      </w:pPr>
      <w:r w:rsidRPr="00DE718B">
        <w:rPr>
          <w:rFonts w:cstheme="minorHAnsi"/>
          <w:color w:val="000000" w:themeColor="text1"/>
          <w:sz w:val="24"/>
          <w:szCs w:val="24"/>
        </w:rPr>
        <w:lastRenderedPageBreak/>
        <w:t xml:space="preserve">This assignment will critically consider the statement put forward by the Centre for Social Justice </w:t>
      </w:r>
      <w:r w:rsidR="00E0630E" w:rsidRPr="00DE718B">
        <w:rPr>
          <w:rFonts w:cstheme="minorHAnsi"/>
          <w:color w:val="000000" w:themeColor="text1"/>
          <w:sz w:val="24"/>
          <w:szCs w:val="24"/>
        </w:rPr>
        <w:t xml:space="preserve">in 2012 </w:t>
      </w:r>
      <w:r w:rsidR="00A61C6D" w:rsidRPr="00DE718B">
        <w:rPr>
          <w:rFonts w:cstheme="minorHAnsi"/>
          <w:color w:val="000000" w:themeColor="text1"/>
          <w:sz w:val="24"/>
          <w:szCs w:val="24"/>
        </w:rPr>
        <w:t xml:space="preserve">that, </w:t>
      </w:r>
      <w:r w:rsidR="00082D41" w:rsidRPr="00DE718B">
        <w:rPr>
          <w:rFonts w:cstheme="minorHAnsi"/>
          <w:color w:val="000000" w:themeColor="text1"/>
          <w:sz w:val="24"/>
          <w:szCs w:val="24"/>
        </w:rPr>
        <w:t>“</w:t>
      </w:r>
      <w:r w:rsidR="00A61C6D" w:rsidRPr="00DE718B">
        <w:rPr>
          <w:rFonts w:cstheme="minorHAnsi"/>
          <w:i/>
          <w:iCs/>
          <w:color w:val="000000" w:themeColor="text1"/>
          <w:sz w:val="24"/>
          <w:szCs w:val="24"/>
        </w:rPr>
        <w:t>The evidence indicates strongly that the current low MACR (minimum age of criminal responsibility) in England and Wales is unsafe, unjust and harmful to wider society</w:t>
      </w:r>
      <w:r w:rsidR="00A61C6D" w:rsidRPr="00DE718B">
        <w:rPr>
          <w:rFonts w:cstheme="minorHAnsi"/>
          <w:color w:val="000000" w:themeColor="text1"/>
          <w:sz w:val="24"/>
          <w:szCs w:val="24"/>
        </w:rPr>
        <w:t>”. T</w:t>
      </w:r>
      <w:r w:rsidR="00917ED1" w:rsidRPr="00DE718B">
        <w:rPr>
          <w:rFonts w:cstheme="minorHAnsi"/>
          <w:color w:val="000000" w:themeColor="text1"/>
          <w:sz w:val="24"/>
          <w:szCs w:val="24"/>
        </w:rPr>
        <w:t xml:space="preserve">he following work will look at the </w:t>
      </w:r>
      <w:r w:rsidR="00B80169" w:rsidRPr="00DE718B">
        <w:rPr>
          <w:rFonts w:cstheme="minorHAnsi"/>
          <w:color w:val="000000" w:themeColor="text1"/>
          <w:sz w:val="24"/>
          <w:szCs w:val="24"/>
        </w:rPr>
        <w:t xml:space="preserve">social, legal, philosophical and psychological arguments that can be put forward to </w:t>
      </w:r>
      <w:r w:rsidR="00067723" w:rsidRPr="00DE718B">
        <w:rPr>
          <w:rFonts w:cstheme="minorHAnsi"/>
          <w:color w:val="000000" w:themeColor="text1"/>
          <w:sz w:val="24"/>
          <w:szCs w:val="24"/>
        </w:rPr>
        <w:t>support this statement</w:t>
      </w:r>
      <w:r w:rsidR="0022156A" w:rsidRPr="00DE718B">
        <w:rPr>
          <w:rFonts w:cstheme="minorHAnsi"/>
          <w:color w:val="000000" w:themeColor="text1"/>
          <w:sz w:val="24"/>
          <w:szCs w:val="24"/>
        </w:rPr>
        <w:t>.</w:t>
      </w:r>
      <w:r w:rsidR="00067723" w:rsidRPr="00DE718B">
        <w:rPr>
          <w:rFonts w:cstheme="minorHAnsi"/>
          <w:color w:val="000000" w:themeColor="text1"/>
          <w:sz w:val="24"/>
          <w:szCs w:val="24"/>
        </w:rPr>
        <w:t xml:space="preserve"> </w:t>
      </w:r>
      <w:r w:rsidR="0022156A" w:rsidRPr="00DE718B">
        <w:rPr>
          <w:rFonts w:cstheme="minorHAnsi"/>
          <w:color w:val="000000" w:themeColor="text1"/>
          <w:sz w:val="24"/>
          <w:szCs w:val="24"/>
        </w:rPr>
        <w:t xml:space="preserve"> </w:t>
      </w:r>
      <w:r w:rsidR="00082D41" w:rsidRPr="00DE718B">
        <w:rPr>
          <w:rFonts w:cstheme="minorHAnsi"/>
          <w:color w:val="000000" w:themeColor="text1"/>
          <w:sz w:val="24"/>
          <w:szCs w:val="24"/>
        </w:rPr>
        <w:t xml:space="preserve">Furthermore, it will try and access the </w:t>
      </w:r>
      <w:r w:rsidR="00AE4A8C" w:rsidRPr="00DE718B">
        <w:rPr>
          <w:rFonts w:cstheme="minorHAnsi"/>
          <w:color w:val="000000" w:themeColor="text1"/>
          <w:sz w:val="24"/>
          <w:szCs w:val="24"/>
        </w:rPr>
        <w:t>dangers imposed by the current rule of criminal law and seek to put forward a</w:t>
      </w:r>
      <w:r w:rsidR="008A6E76" w:rsidRPr="00DE718B">
        <w:rPr>
          <w:rFonts w:cstheme="minorHAnsi"/>
          <w:color w:val="000000" w:themeColor="text1"/>
          <w:sz w:val="24"/>
          <w:szCs w:val="24"/>
        </w:rPr>
        <w:t xml:space="preserve"> suggestion to help protect</w:t>
      </w:r>
      <w:r w:rsidR="00FB3200" w:rsidRPr="00DE718B">
        <w:rPr>
          <w:rFonts w:cstheme="minorHAnsi"/>
          <w:color w:val="000000" w:themeColor="text1"/>
          <w:sz w:val="24"/>
          <w:szCs w:val="24"/>
        </w:rPr>
        <w:t xml:space="preserve"> children within the criminal justice system. </w:t>
      </w:r>
    </w:p>
    <w:p w14:paraId="24BC9C76" w14:textId="1529B6A2" w:rsidR="007E78F5" w:rsidRPr="00DE718B" w:rsidRDefault="00543BFD" w:rsidP="00DE718B">
      <w:pPr>
        <w:spacing w:line="360" w:lineRule="auto"/>
        <w:rPr>
          <w:rFonts w:cstheme="minorHAnsi"/>
          <w:sz w:val="24"/>
          <w:szCs w:val="24"/>
        </w:rPr>
      </w:pPr>
      <w:r w:rsidRPr="00DE718B">
        <w:rPr>
          <w:rFonts w:cstheme="minorHAnsi"/>
          <w:sz w:val="24"/>
          <w:szCs w:val="24"/>
        </w:rPr>
        <w:t>In England and Wales, the age of criminal responsibility is ten as provided in The Children and Young Persons Act 1963. This is when they are</w:t>
      </w:r>
      <w:r w:rsidR="00761326" w:rsidRPr="00DE718B">
        <w:rPr>
          <w:rFonts w:cstheme="minorHAnsi"/>
          <w:sz w:val="24"/>
          <w:szCs w:val="24"/>
        </w:rPr>
        <w:t xml:space="preserve"> considered</w:t>
      </w:r>
      <w:r w:rsidRPr="00DE718B">
        <w:rPr>
          <w:rFonts w:cstheme="minorHAnsi"/>
          <w:sz w:val="24"/>
          <w:szCs w:val="24"/>
        </w:rPr>
        <w:t xml:space="preserve"> responsible for their actions and are subject to the rule of criminal law. In other words, this means that a ten-year-old may be found guilty and prosecuted, receiving a full criminal record that, under some circumstances, must be declared indefinitely (Goldson, 2012). The reasons and rationality for the age being so low can be summed up by Michael Howards, Home Secretary in 1993, who spoke shortly after the murder of James Bulger where he explained that ‘child offenders are as much adults in everything in years’ and that ‘age will be no excuse for immunity for effective punishment’ (cited in Goldson, 1997). However, it did not stop there. In 1997 the New Labour Government came into power and put forward their ‘no excuses’ agenda while stating that they had no plans to change the criminal age of responsibility this in turn led to the creation of the Crime and Disorder Act, which abolished the doctrine of </w:t>
      </w:r>
      <w:proofErr w:type="spellStart"/>
      <w:r w:rsidRPr="00DE718B">
        <w:rPr>
          <w:rFonts w:cstheme="minorHAnsi"/>
          <w:i/>
          <w:iCs/>
          <w:sz w:val="24"/>
          <w:szCs w:val="24"/>
        </w:rPr>
        <w:t>doli</w:t>
      </w:r>
      <w:proofErr w:type="spellEnd"/>
      <w:r w:rsidRPr="00DE718B">
        <w:rPr>
          <w:rFonts w:cstheme="minorHAnsi"/>
          <w:i/>
          <w:iCs/>
          <w:sz w:val="24"/>
          <w:szCs w:val="24"/>
        </w:rPr>
        <w:t xml:space="preserve"> incapax</w:t>
      </w:r>
      <w:r w:rsidRPr="00DE718B">
        <w:rPr>
          <w:rFonts w:cstheme="minorHAnsi"/>
          <w:sz w:val="24"/>
          <w:szCs w:val="24"/>
        </w:rPr>
        <w:t xml:space="preserve"> (Goldson, 2012). </w:t>
      </w:r>
    </w:p>
    <w:p w14:paraId="2149CB7C" w14:textId="29DECB06" w:rsidR="005350F1" w:rsidRPr="00DE718B" w:rsidRDefault="00007780" w:rsidP="00DE718B">
      <w:pPr>
        <w:spacing w:line="360" w:lineRule="auto"/>
        <w:rPr>
          <w:rFonts w:cstheme="minorHAnsi"/>
          <w:sz w:val="24"/>
          <w:szCs w:val="24"/>
        </w:rPr>
      </w:pPr>
      <w:r w:rsidRPr="00DE718B">
        <w:rPr>
          <w:rFonts w:cstheme="minorHAnsi"/>
          <w:sz w:val="24"/>
          <w:szCs w:val="24"/>
        </w:rPr>
        <w:t xml:space="preserve">Hart (2008) explains the two main purposes that </w:t>
      </w:r>
      <w:proofErr w:type="spellStart"/>
      <w:r w:rsidRPr="00DE718B">
        <w:rPr>
          <w:rFonts w:cstheme="minorHAnsi"/>
          <w:sz w:val="24"/>
          <w:szCs w:val="24"/>
        </w:rPr>
        <w:t>doli</w:t>
      </w:r>
      <w:proofErr w:type="spellEnd"/>
      <w:r w:rsidRPr="00DE718B">
        <w:rPr>
          <w:rFonts w:cstheme="minorHAnsi"/>
          <w:sz w:val="24"/>
          <w:szCs w:val="24"/>
        </w:rPr>
        <w:t xml:space="preserve"> Impax held within England and Wales. Firstly, it provided children from </w:t>
      </w:r>
      <w:r w:rsidR="00445039" w:rsidRPr="00DE718B">
        <w:rPr>
          <w:rFonts w:cstheme="minorHAnsi"/>
          <w:sz w:val="24"/>
          <w:szCs w:val="24"/>
        </w:rPr>
        <w:t xml:space="preserve">ten </w:t>
      </w:r>
      <w:r w:rsidRPr="00DE718B">
        <w:rPr>
          <w:rFonts w:cstheme="minorHAnsi"/>
          <w:sz w:val="24"/>
          <w:szCs w:val="24"/>
        </w:rPr>
        <w:t>to thirteen years</w:t>
      </w:r>
      <w:r w:rsidR="009139E0" w:rsidRPr="00DE718B">
        <w:rPr>
          <w:rFonts w:cstheme="minorHAnsi"/>
          <w:sz w:val="24"/>
          <w:szCs w:val="24"/>
        </w:rPr>
        <w:t xml:space="preserve"> a defence that provided that some, but not all children </w:t>
      </w:r>
      <w:r w:rsidRPr="00DE718B">
        <w:rPr>
          <w:rFonts w:cstheme="minorHAnsi"/>
          <w:sz w:val="24"/>
          <w:szCs w:val="24"/>
        </w:rPr>
        <w:t xml:space="preserve">were capable of understanding the effect that their criminal acts would have as they did not have the ‘normal’ capacities compared to an adult offender. Secondly, it granted all those below the MACR exemption from criminal law. </w:t>
      </w:r>
      <w:r w:rsidR="005350F1" w:rsidRPr="00DE718B">
        <w:rPr>
          <w:rFonts w:cstheme="minorHAnsi"/>
          <w:sz w:val="24"/>
          <w:szCs w:val="24"/>
        </w:rPr>
        <w:t xml:space="preserve">The presumption was on the prosecution to find if the child was fully capable and aware of the serious nature of their actions. Only then would the child take criminal responsibility for their actions barring the above procedural determinations (Wishart, 2014).Therefore, during the time that </w:t>
      </w:r>
      <w:proofErr w:type="spellStart"/>
      <w:r w:rsidR="005350F1" w:rsidRPr="00DE718B">
        <w:rPr>
          <w:rFonts w:cstheme="minorHAnsi"/>
          <w:sz w:val="24"/>
          <w:szCs w:val="24"/>
        </w:rPr>
        <w:t>doli</w:t>
      </w:r>
      <w:proofErr w:type="spellEnd"/>
      <w:r w:rsidR="005350F1" w:rsidRPr="00DE718B">
        <w:rPr>
          <w:rFonts w:cstheme="minorHAnsi"/>
          <w:sz w:val="24"/>
          <w:szCs w:val="24"/>
        </w:rPr>
        <w:t xml:space="preserve"> incapax was available, it was presumed that the prosecution must find out the capability of the child and whether they knew the serious nature of their actions. One of the key cases that cannot be ignored in this </w:t>
      </w:r>
      <w:r w:rsidR="00722A21" w:rsidRPr="00DE718B">
        <w:rPr>
          <w:rFonts w:cstheme="minorHAnsi"/>
          <w:sz w:val="24"/>
          <w:szCs w:val="24"/>
        </w:rPr>
        <w:t>discussion</w:t>
      </w:r>
      <w:r w:rsidR="005350F1" w:rsidRPr="00DE718B">
        <w:rPr>
          <w:rFonts w:cstheme="minorHAnsi"/>
          <w:sz w:val="24"/>
          <w:szCs w:val="24"/>
        </w:rPr>
        <w:t xml:space="preserve"> is the murder of James Bulger. It was revealed by </w:t>
      </w:r>
      <w:r w:rsidR="005350F1" w:rsidRPr="00DE718B">
        <w:rPr>
          <w:rFonts w:cstheme="minorHAnsi"/>
          <w:sz w:val="24"/>
          <w:szCs w:val="24"/>
        </w:rPr>
        <w:lastRenderedPageBreak/>
        <w:t>the prosecution in this case that from the psychiatric assessments of the two co-defendants, Thompson and Venables, that both had the capacity to distinguish right from wrong (Wishart, 2014).</w:t>
      </w:r>
    </w:p>
    <w:p w14:paraId="271029C4" w14:textId="661D8AA3" w:rsidR="005350F1" w:rsidRPr="00DE718B" w:rsidRDefault="005350F1" w:rsidP="00DE718B">
      <w:pPr>
        <w:spacing w:line="360" w:lineRule="auto"/>
        <w:rPr>
          <w:rFonts w:cstheme="minorHAnsi"/>
          <w:sz w:val="24"/>
          <w:szCs w:val="24"/>
        </w:rPr>
      </w:pPr>
      <w:r w:rsidRPr="00DE718B">
        <w:rPr>
          <w:rFonts w:cstheme="minorHAnsi"/>
          <w:sz w:val="24"/>
          <w:szCs w:val="24"/>
        </w:rPr>
        <w:t>Furthermore, it must also be noted that when charged with the murder of James Bulger, Thompson and Venables were also judged by jurors who were instructed to assess whether or not it could be proved ‘beyond reasonable doubt’ that they could be blame</w:t>
      </w:r>
      <w:r w:rsidR="00E75A66" w:rsidRPr="00DE718B">
        <w:rPr>
          <w:rFonts w:cstheme="minorHAnsi"/>
          <w:sz w:val="24"/>
          <w:szCs w:val="24"/>
        </w:rPr>
        <w:t>d</w:t>
      </w:r>
      <w:r w:rsidRPr="00DE718B">
        <w:rPr>
          <w:rFonts w:cstheme="minorHAnsi"/>
          <w:sz w:val="24"/>
          <w:szCs w:val="24"/>
        </w:rPr>
        <w:t xml:space="preserve"> for the death of James Bulger.  Therefore, it was evidence provided by the defence, prosecution and the judgment of the jury that found the defendants criminally responsible. From this perspective it is hard to argue why the government decided to abolish the doctrine of </w:t>
      </w:r>
      <w:proofErr w:type="spellStart"/>
      <w:r w:rsidRPr="00DE718B">
        <w:rPr>
          <w:rFonts w:cstheme="minorHAnsi"/>
          <w:sz w:val="24"/>
          <w:szCs w:val="24"/>
        </w:rPr>
        <w:t>doli</w:t>
      </w:r>
      <w:proofErr w:type="spellEnd"/>
      <w:r w:rsidRPr="00DE718B">
        <w:rPr>
          <w:rFonts w:cstheme="minorHAnsi"/>
          <w:sz w:val="24"/>
          <w:szCs w:val="24"/>
        </w:rPr>
        <w:t xml:space="preserve"> incapax as it has historically dealt with hundreds of cases during it’s time on concluding the necessary understanding and capability of a child and whether or not they should be held criminally responsible (Wishart, 2014).</w:t>
      </w:r>
    </w:p>
    <w:p w14:paraId="1F897025" w14:textId="70F91603" w:rsidR="00E83FB5" w:rsidRPr="00DE718B" w:rsidRDefault="00E83FB5" w:rsidP="00DE718B">
      <w:pPr>
        <w:spacing w:line="360" w:lineRule="auto"/>
        <w:rPr>
          <w:rFonts w:cstheme="minorHAnsi"/>
          <w:sz w:val="24"/>
          <w:szCs w:val="24"/>
        </w:rPr>
      </w:pPr>
      <w:r w:rsidRPr="00DE718B">
        <w:rPr>
          <w:rFonts w:cstheme="minorHAnsi"/>
          <w:sz w:val="24"/>
          <w:szCs w:val="24"/>
        </w:rPr>
        <w:t xml:space="preserve">Once the introduction of the abolition of </w:t>
      </w:r>
      <w:proofErr w:type="spellStart"/>
      <w:r w:rsidRPr="00DE718B">
        <w:rPr>
          <w:rFonts w:cstheme="minorHAnsi"/>
          <w:sz w:val="24"/>
          <w:szCs w:val="24"/>
        </w:rPr>
        <w:t>doli</w:t>
      </w:r>
      <w:proofErr w:type="spellEnd"/>
      <w:r w:rsidRPr="00DE718B">
        <w:rPr>
          <w:rFonts w:cstheme="minorHAnsi"/>
          <w:sz w:val="24"/>
          <w:szCs w:val="24"/>
        </w:rPr>
        <w:t xml:space="preserve"> incapax was announced, it caused concern within the legal community. Keating (2011) explains that the change in law could have severe consequences in which 10- and 11-year olds would be exposed to the harsh rule of Law. This means that there is no attempt to look at the child’s mental or physical status to understand why the crime was committed. Even to this day the legal community still refers to the decision taken in 1997</w:t>
      </w:r>
      <w:r w:rsidR="005241EC" w:rsidRPr="00DE718B">
        <w:rPr>
          <w:rFonts w:cstheme="minorHAnsi"/>
          <w:sz w:val="24"/>
          <w:szCs w:val="24"/>
        </w:rPr>
        <w:t>,</w:t>
      </w:r>
      <w:r w:rsidRPr="00DE718B">
        <w:rPr>
          <w:rFonts w:cstheme="minorHAnsi"/>
          <w:sz w:val="24"/>
          <w:szCs w:val="24"/>
        </w:rPr>
        <w:t xml:space="preserve"> that led to the abolition in 1998.  This may be because even 15 years after the abolition of </w:t>
      </w:r>
      <w:proofErr w:type="spellStart"/>
      <w:r w:rsidRPr="00DE718B">
        <w:rPr>
          <w:rFonts w:cstheme="minorHAnsi"/>
          <w:sz w:val="24"/>
          <w:szCs w:val="24"/>
        </w:rPr>
        <w:t>doli</w:t>
      </w:r>
      <w:proofErr w:type="spellEnd"/>
      <w:r w:rsidRPr="00DE718B">
        <w:rPr>
          <w:rFonts w:cstheme="minorHAnsi"/>
          <w:sz w:val="24"/>
          <w:szCs w:val="24"/>
        </w:rPr>
        <w:t xml:space="preserve"> incapax the way in which the criminal justice system approaches the punishment of children is seen as unfair (Keating, 2011).</w:t>
      </w:r>
    </w:p>
    <w:p w14:paraId="31CCDC20" w14:textId="77777777" w:rsidR="009D683F" w:rsidRPr="00DE718B" w:rsidRDefault="00330060" w:rsidP="00DE718B">
      <w:pPr>
        <w:spacing w:line="360" w:lineRule="auto"/>
        <w:rPr>
          <w:rFonts w:cstheme="minorHAnsi"/>
          <w:sz w:val="24"/>
          <w:szCs w:val="24"/>
        </w:rPr>
      </w:pPr>
      <w:r w:rsidRPr="00DE718B">
        <w:rPr>
          <w:rFonts w:cstheme="minorHAnsi"/>
          <w:sz w:val="24"/>
          <w:szCs w:val="24"/>
        </w:rPr>
        <w:t>There is a conceptual political philosophical consideration that applies scientific evidence that supports the view that children below a certain age cannot be held accountable for the crimes they commit. It is argued that children may not what they are doing but have not developed enough within society to appreciate or understand the legal context that their actions could lead to. While growing up, a child has no notion that they themselves are a citizen and are subject to the rule of law. Therefore, they cannot reason with the concept of law like an adult and will need to further develop to understand the concept of the law (</w:t>
      </w:r>
      <w:proofErr w:type="spellStart"/>
      <w:r w:rsidRPr="00DE718B">
        <w:rPr>
          <w:rFonts w:cstheme="minorHAnsi"/>
          <w:sz w:val="24"/>
          <w:szCs w:val="24"/>
        </w:rPr>
        <w:t>Weijers</w:t>
      </w:r>
      <w:proofErr w:type="spellEnd"/>
      <w:r w:rsidRPr="00DE718B">
        <w:rPr>
          <w:rFonts w:cstheme="minorHAnsi"/>
          <w:sz w:val="24"/>
          <w:szCs w:val="24"/>
        </w:rPr>
        <w:t>, 2016)</w:t>
      </w:r>
      <w:r w:rsidR="006064D1" w:rsidRPr="00DE718B">
        <w:rPr>
          <w:rFonts w:cstheme="minorHAnsi"/>
          <w:sz w:val="24"/>
          <w:szCs w:val="24"/>
        </w:rPr>
        <w:t xml:space="preserve">. </w:t>
      </w:r>
      <w:r w:rsidRPr="00DE718B">
        <w:rPr>
          <w:rFonts w:cstheme="minorHAnsi"/>
          <w:sz w:val="24"/>
          <w:szCs w:val="24"/>
        </w:rPr>
        <w:t xml:space="preserve">This is supported by Cane (2002) who puts forward the similar opinion that children have not yet developed the capacity to form the concept of moral and legal implications of their actions regarding the law. While they may understand that what they did was naughty or disobedient, they may not understand that it is contrary to the law. </w:t>
      </w:r>
      <w:r w:rsidRPr="00DE718B">
        <w:rPr>
          <w:rFonts w:cstheme="minorHAnsi"/>
          <w:sz w:val="24"/>
          <w:szCs w:val="24"/>
        </w:rPr>
        <w:lastRenderedPageBreak/>
        <w:t xml:space="preserve">Therefore, to be criminally responsible Cane argues that you must understand and have a perception of the law as well as require the capacity to clasp the ramification of your actions at a criminal level, which children can be argued to not have. </w:t>
      </w:r>
    </w:p>
    <w:p w14:paraId="7057C56C" w14:textId="2C9A5D23" w:rsidR="005102E1" w:rsidRPr="00DE718B" w:rsidRDefault="005102E1" w:rsidP="00DE718B">
      <w:pPr>
        <w:spacing w:line="360" w:lineRule="auto"/>
        <w:rPr>
          <w:rFonts w:cstheme="minorHAnsi"/>
          <w:sz w:val="24"/>
          <w:szCs w:val="24"/>
        </w:rPr>
      </w:pPr>
      <w:r w:rsidRPr="00DE718B">
        <w:rPr>
          <w:rFonts w:cstheme="minorHAnsi"/>
          <w:sz w:val="24"/>
          <w:szCs w:val="24"/>
        </w:rPr>
        <w:t xml:space="preserve">However, the explanation put forward by </w:t>
      </w:r>
      <w:proofErr w:type="spellStart"/>
      <w:r w:rsidRPr="00DE718B">
        <w:rPr>
          <w:rFonts w:cstheme="minorHAnsi"/>
          <w:sz w:val="24"/>
          <w:szCs w:val="24"/>
        </w:rPr>
        <w:t>Weijers</w:t>
      </w:r>
      <w:proofErr w:type="spellEnd"/>
      <w:r w:rsidRPr="00DE718B">
        <w:rPr>
          <w:rFonts w:cstheme="minorHAnsi"/>
          <w:sz w:val="24"/>
          <w:szCs w:val="24"/>
        </w:rPr>
        <w:t xml:space="preserve"> and Cane only provides an analysis that a child cannot perceive the consequences of their actions as they are still maturing towards fully understanding the laws of which they are subject to. This then looks over another important psychological aspect of a child’s behaviour that determines the control of their conduct. In theories of intellectual development, cognition is necessary in enabling the child to combine and fuse together the rational control of the skills, abilities and developmental acquisitions that have been achieved (Flavell et al, 2002).  Another similar function is seen by psychoanalytic theorist in the development of the ego, id and superego whose functions are continually developing to coincide effectively with one another. </w:t>
      </w:r>
      <w:proofErr w:type="gramStart"/>
      <w:r w:rsidRPr="00DE718B">
        <w:rPr>
          <w:rFonts w:cstheme="minorHAnsi"/>
          <w:sz w:val="24"/>
          <w:szCs w:val="24"/>
        </w:rPr>
        <w:t>All of</w:t>
      </w:r>
      <w:proofErr w:type="gramEnd"/>
      <w:r w:rsidRPr="00DE718B">
        <w:rPr>
          <w:rFonts w:cstheme="minorHAnsi"/>
          <w:sz w:val="24"/>
          <w:szCs w:val="24"/>
        </w:rPr>
        <w:t xml:space="preserve"> these processes continue to develop unconsciously, and so could be argued, that until all these functions have developed until a certain point, that a child remains incapable of rational control over the actions they perform. It therefore means that due to there not being any test in criminal law to test for this, that the law may make an incorrect assumption that a child has the same rational control over their actions as much as an adult (</w:t>
      </w:r>
      <w:proofErr w:type="spellStart"/>
      <w:r w:rsidRPr="00DE718B">
        <w:rPr>
          <w:rFonts w:cstheme="minorHAnsi"/>
          <w:sz w:val="24"/>
          <w:szCs w:val="24"/>
        </w:rPr>
        <w:t>McDiarmid</w:t>
      </w:r>
      <w:proofErr w:type="spellEnd"/>
      <w:r w:rsidRPr="00DE718B">
        <w:rPr>
          <w:rFonts w:cstheme="minorHAnsi"/>
          <w:sz w:val="24"/>
          <w:szCs w:val="24"/>
        </w:rPr>
        <w:t xml:space="preserve">, 2013).   </w:t>
      </w:r>
    </w:p>
    <w:p w14:paraId="2BAEF588" w14:textId="1A357D24" w:rsidR="001A5351" w:rsidRPr="00DE718B" w:rsidRDefault="00330060" w:rsidP="00DE718B">
      <w:pPr>
        <w:spacing w:line="360" w:lineRule="auto"/>
        <w:rPr>
          <w:rFonts w:cstheme="minorHAnsi"/>
          <w:sz w:val="24"/>
          <w:szCs w:val="24"/>
        </w:rPr>
      </w:pPr>
      <w:r w:rsidRPr="00DE718B">
        <w:rPr>
          <w:rFonts w:cstheme="minorHAnsi"/>
          <w:sz w:val="24"/>
          <w:szCs w:val="24"/>
        </w:rPr>
        <w:t xml:space="preserve">Therefore, </w:t>
      </w:r>
      <w:r w:rsidR="007C00A4" w:rsidRPr="00DE718B">
        <w:rPr>
          <w:rFonts w:cstheme="minorHAnsi"/>
          <w:sz w:val="24"/>
          <w:szCs w:val="24"/>
        </w:rPr>
        <w:t xml:space="preserve">the psychological development of the child should be </w:t>
      </w:r>
      <w:r w:rsidR="001D4F37" w:rsidRPr="00DE718B">
        <w:rPr>
          <w:rFonts w:cstheme="minorHAnsi"/>
          <w:sz w:val="24"/>
          <w:szCs w:val="24"/>
        </w:rPr>
        <w:t>considered.</w:t>
      </w:r>
      <w:r w:rsidR="00BD5D46" w:rsidRPr="00DE718B">
        <w:rPr>
          <w:rFonts w:cstheme="minorHAnsi"/>
          <w:sz w:val="24"/>
          <w:szCs w:val="24"/>
        </w:rPr>
        <w:t xml:space="preserve"> </w:t>
      </w:r>
      <w:r w:rsidR="001D4F37" w:rsidRPr="00DE718B">
        <w:rPr>
          <w:rFonts w:cstheme="minorHAnsi"/>
          <w:sz w:val="24"/>
          <w:szCs w:val="24"/>
        </w:rPr>
        <w:t>E</w:t>
      </w:r>
      <w:r w:rsidR="00BD5D46" w:rsidRPr="00DE718B">
        <w:rPr>
          <w:rFonts w:cstheme="minorHAnsi"/>
          <w:sz w:val="24"/>
          <w:szCs w:val="24"/>
        </w:rPr>
        <w:t>specially</w:t>
      </w:r>
      <w:r w:rsidR="00592F40" w:rsidRPr="00DE718B">
        <w:rPr>
          <w:rFonts w:cstheme="minorHAnsi"/>
          <w:sz w:val="24"/>
          <w:szCs w:val="24"/>
        </w:rPr>
        <w:t xml:space="preserve"> with the </w:t>
      </w:r>
      <w:r w:rsidR="008F1116" w:rsidRPr="00DE718B">
        <w:rPr>
          <w:rFonts w:cstheme="minorHAnsi"/>
          <w:sz w:val="24"/>
          <w:szCs w:val="24"/>
        </w:rPr>
        <w:t xml:space="preserve">abolition of </w:t>
      </w:r>
      <w:proofErr w:type="spellStart"/>
      <w:r w:rsidR="008F1116" w:rsidRPr="00DE718B">
        <w:rPr>
          <w:rFonts w:cstheme="minorHAnsi"/>
          <w:sz w:val="24"/>
          <w:szCs w:val="24"/>
        </w:rPr>
        <w:t>doli</w:t>
      </w:r>
      <w:proofErr w:type="spellEnd"/>
      <w:r w:rsidR="008F1116" w:rsidRPr="00DE718B">
        <w:rPr>
          <w:rFonts w:cstheme="minorHAnsi"/>
          <w:sz w:val="24"/>
          <w:szCs w:val="24"/>
        </w:rPr>
        <w:t xml:space="preserve"> incapax has left a gap that neither explains or attempts to understand the psychological development of a child or their perception of </w:t>
      </w:r>
      <w:r w:rsidR="00084307" w:rsidRPr="00DE718B">
        <w:rPr>
          <w:rFonts w:cstheme="minorHAnsi"/>
          <w:sz w:val="24"/>
          <w:szCs w:val="24"/>
        </w:rPr>
        <w:t xml:space="preserve">their ideas </w:t>
      </w:r>
      <w:r w:rsidR="001D4F37" w:rsidRPr="00DE718B">
        <w:rPr>
          <w:rFonts w:cstheme="minorHAnsi"/>
          <w:sz w:val="24"/>
          <w:szCs w:val="24"/>
        </w:rPr>
        <w:t>regarding</w:t>
      </w:r>
      <w:r w:rsidR="005D0EA3" w:rsidRPr="00DE718B">
        <w:rPr>
          <w:rFonts w:cstheme="minorHAnsi"/>
          <w:sz w:val="24"/>
          <w:szCs w:val="24"/>
        </w:rPr>
        <w:t xml:space="preserve"> </w:t>
      </w:r>
      <w:r w:rsidR="00084307" w:rsidRPr="00DE718B">
        <w:rPr>
          <w:rFonts w:cstheme="minorHAnsi"/>
          <w:sz w:val="24"/>
          <w:szCs w:val="24"/>
        </w:rPr>
        <w:t>punishment or</w:t>
      </w:r>
      <w:r w:rsidR="005D0EA3" w:rsidRPr="00DE718B">
        <w:rPr>
          <w:rFonts w:cstheme="minorHAnsi"/>
          <w:sz w:val="24"/>
          <w:szCs w:val="24"/>
        </w:rPr>
        <w:t xml:space="preserve"> criminal </w:t>
      </w:r>
      <w:r w:rsidR="00084307" w:rsidRPr="00DE718B">
        <w:rPr>
          <w:rFonts w:cstheme="minorHAnsi"/>
          <w:sz w:val="24"/>
          <w:szCs w:val="24"/>
        </w:rPr>
        <w:t>law</w:t>
      </w:r>
      <w:r w:rsidR="001D4F37" w:rsidRPr="00DE718B">
        <w:rPr>
          <w:rFonts w:cstheme="minorHAnsi"/>
          <w:sz w:val="24"/>
          <w:szCs w:val="24"/>
        </w:rPr>
        <w:t>. S</w:t>
      </w:r>
      <w:r w:rsidR="005D0EA3" w:rsidRPr="00DE718B">
        <w:rPr>
          <w:rFonts w:cstheme="minorHAnsi"/>
          <w:sz w:val="24"/>
          <w:szCs w:val="24"/>
        </w:rPr>
        <w:t xml:space="preserve">upporting the </w:t>
      </w:r>
      <w:r w:rsidR="00125950" w:rsidRPr="00DE718B">
        <w:rPr>
          <w:rFonts w:cstheme="minorHAnsi"/>
          <w:sz w:val="24"/>
          <w:szCs w:val="24"/>
        </w:rPr>
        <w:t>Centre for Social Justice’s statement that the MACR</w:t>
      </w:r>
      <w:r w:rsidR="009D683F" w:rsidRPr="00DE718B">
        <w:rPr>
          <w:rFonts w:cstheme="minorHAnsi"/>
          <w:sz w:val="24"/>
          <w:szCs w:val="24"/>
        </w:rPr>
        <w:t xml:space="preserve"> is unsafe for the development of a child. </w:t>
      </w:r>
    </w:p>
    <w:p w14:paraId="30E30F07" w14:textId="11C4568A" w:rsidR="005102E1" w:rsidRPr="00DE718B" w:rsidRDefault="005102E1" w:rsidP="00DE718B">
      <w:pPr>
        <w:spacing w:line="360" w:lineRule="auto"/>
        <w:rPr>
          <w:rFonts w:cstheme="minorHAnsi"/>
          <w:sz w:val="24"/>
          <w:szCs w:val="24"/>
        </w:rPr>
      </w:pPr>
    </w:p>
    <w:p w14:paraId="4DB17DF0" w14:textId="2906462B" w:rsidR="00944263" w:rsidRPr="00DE718B" w:rsidRDefault="00944263" w:rsidP="00DE718B">
      <w:pPr>
        <w:spacing w:line="360" w:lineRule="auto"/>
        <w:rPr>
          <w:rFonts w:cstheme="minorHAnsi"/>
          <w:sz w:val="24"/>
          <w:szCs w:val="24"/>
        </w:rPr>
      </w:pPr>
      <w:r w:rsidRPr="00DE718B">
        <w:rPr>
          <w:rFonts w:cstheme="minorHAnsi"/>
          <w:sz w:val="24"/>
          <w:szCs w:val="24"/>
        </w:rPr>
        <w:t>The</w:t>
      </w:r>
      <w:r w:rsidR="00A97F71" w:rsidRPr="00DE718B">
        <w:rPr>
          <w:rFonts w:cstheme="minorHAnsi"/>
          <w:sz w:val="24"/>
          <w:szCs w:val="24"/>
        </w:rPr>
        <w:t xml:space="preserve"> rules set out on the age of criminal responsibility within </w:t>
      </w:r>
      <w:r w:rsidRPr="00DE718B">
        <w:rPr>
          <w:rFonts w:cstheme="minorHAnsi"/>
          <w:sz w:val="24"/>
          <w:szCs w:val="24"/>
        </w:rPr>
        <w:t>the United Kingdom has drawn in a lot of criticism across a lot of professions and institutes who specialise in the wellbeing of children. Firstly, the United Committee on The Rights of the Child</w:t>
      </w:r>
      <w:r w:rsidR="00A97F71" w:rsidRPr="00DE718B">
        <w:rPr>
          <w:rFonts w:cstheme="minorHAnsi"/>
          <w:sz w:val="24"/>
          <w:szCs w:val="24"/>
        </w:rPr>
        <w:t xml:space="preserve"> (UNCR)</w:t>
      </w:r>
      <w:r w:rsidRPr="00DE718B">
        <w:rPr>
          <w:rFonts w:cstheme="minorHAnsi"/>
          <w:sz w:val="24"/>
          <w:szCs w:val="24"/>
        </w:rPr>
        <w:t xml:space="preserve"> has repeatedly put forward the point of view that the MACR (minimum age of criminal responsibility) should be raised.</w:t>
      </w:r>
      <w:r w:rsidR="00A97F71" w:rsidRPr="00DE718B">
        <w:rPr>
          <w:rFonts w:cstheme="minorHAnsi"/>
          <w:sz w:val="24"/>
          <w:szCs w:val="24"/>
        </w:rPr>
        <w:t xml:space="preserve"> One recommendation put forward by the UNCR is that the Government reviews the effects of the low age of criminal responsibility has on children and noted that </w:t>
      </w:r>
      <w:r w:rsidR="00A97F71" w:rsidRPr="00DE718B">
        <w:rPr>
          <w:rFonts w:cstheme="minorHAnsi"/>
          <w:sz w:val="24"/>
          <w:szCs w:val="24"/>
        </w:rPr>
        <w:lastRenderedPageBreak/>
        <w:t>the criminalisation of a young child must be justified and have very compelling evidence</w:t>
      </w:r>
      <w:r w:rsidR="007E78F5" w:rsidRPr="00DE718B">
        <w:rPr>
          <w:rFonts w:cstheme="minorHAnsi"/>
          <w:sz w:val="24"/>
          <w:szCs w:val="24"/>
        </w:rPr>
        <w:t xml:space="preserve"> (Bateman, 2012).</w:t>
      </w:r>
      <w:r w:rsidR="00A97F71" w:rsidRPr="00DE718B">
        <w:rPr>
          <w:rFonts w:cstheme="minorHAnsi"/>
          <w:sz w:val="24"/>
          <w:szCs w:val="24"/>
        </w:rPr>
        <w:t xml:space="preserve"> </w:t>
      </w:r>
      <w:r w:rsidR="007E78F5" w:rsidRPr="00DE718B">
        <w:rPr>
          <w:rFonts w:cstheme="minorHAnsi"/>
          <w:sz w:val="24"/>
          <w:szCs w:val="24"/>
        </w:rPr>
        <w:t>T</w:t>
      </w:r>
      <w:r w:rsidR="00A97F71" w:rsidRPr="00DE718B">
        <w:rPr>
          <w:rFonts w:cstheme="minorHAnsi"/>
          <w:sz w:val="24"/>
          <w:szCs w:val="24"/>
        </w:rPr>
        <w:t xml:space="preserve">hey concluded: </w:t>
      </w:r>
    </w:p>
    <w:p w14:paraId="7FAC483D" w14:textId="439CDBE5" w:rsidR="00A97F71" w:rsidRPr="00DE718B" w:rsidRDefault="00A97F71" w:rsidP="00DE718B">
      <w:pPr>
        <w:spacing w:line="360" w:lineRule="auto"/>
        <w:ind w:left="720"/>
        <w:rPr>
          <w:rFonts w:cstheme="minorHAnsi"/>
          <w:sz w:val="24"/>
          <w:szCs w:val="24"/>
        </w:rPr>
      </w:pPr>
      <w:r w:rsidRPr="00DE718B">
        <w:rPr>
          <w:rFonts w:cstheme="minorHAnsi"/>
          <w:i/>
          <w:iCs/>
          <w:sz w:val="24"/>
          <w:szCs w:val="24"/>
        </w:rPr>
        <w:t xml:space="preserve">“ Unless evidence of the effectiveness of the present age of criminal responsibility in reducing crime and disorder can be presented, and can be shown to be convincing, we conclude that to bring it more in line with our European neighbours would meet both the requirements of effective criminal justice and our duty under the UNCRC to uphold children’s human rights. We recommend that the age of criminal responsibility be increased to 12 years” </w:t>
      </w:r>
      <w:r w:rsidRPr="00DE718B">
        <w:rPr>
          <w:rFonts w:cstheme="minorHAnsi"/>
          <w:sz w:val="24"/>
          <w:szCs w:val="24"/>
        </w:rPr>
        <w:t>(</w:t>
      </w:r>
      <w:r w:rsidR="007E78F5" w:rsidRPr="00DE718B">
        <w:rPr>
          <w:rFonts w:cstheme="minorHAnsi"/>
          <w:sz w:val="24"/>
          <w:szCs w:val="24"/>
        </w:rPr>
        <w:t xml:space="preserve">Joint Committee on Human Rights, 2009, p.24). </w:t>
      </w:r>
    </w:p>
    <w:p w14:paraId="5FCE216E" w14:textId="4E2037F2" w:rsidR="00A97F71" w:rsidRPr="00DE718B" w:rsidRDefault="00A97F71" w:rsidP="00DE718B">
      <w:pPr>
        <w:spacing w:line="360" w:lineRule="auto"/>
        <w:rPr>
          <w:rFonts w:cstheme="minorHAnsi"/>
          <w:sz w:val="24"/>
          <w:szCs w:val="24"/>
        </w:rPr>
      </w:pPr>
      <w:r w:rsidRPr="00DE718B">
        <w:rPr>
          <w:rFonts w:cstheme="minorHAnsi"/>
          <w:sz w:val="24"/>
          <w:szCs w:val="24"/>
        </w:rPr>
        <w:t>This is to support the view of the UNCR</w:t>
      </w:r>
      <w:r w:rsidR="00626AAF" w:rsidRPr="00DE718B">
        <w:rPr>
          <w:rFonts w:cstheme="minorHAnsi"/>
          <w:sz w:val="24"/>
          <w:szCs w:val="24"/>
        </w:rPr>
        <w:t>,</w:t>
      </w:r>
      <w:r w:rsidRPr="00DE718B">
        <w:rPr>
          <w:rFonts w:cstheme="minorHAnsi"/>
          <w:sz w:val="24"/>
          <w:szCs w:val="24"/>
        </w:rPr>
        <w:t xml:space="preserve"> that has repeatedly </w:t>
      </w:r>
      <w:r w:rsidR="00144DA0" w:rsidRPr="00DE718B">
        <w:rPr>
          <w:rFonts w:cstheme="minorHAnsi"/>
          <w:sz w:val="24"/>
          <w:szCs w:val="24"/>
        </w:rPr>
        <w:t>reiterated</w:t>
      </w:r>
      <w:r w:rsidRPr="00DE718B">
        <w:rPr>
          <w:rFonts w:cstheme="minorHAnsi"/>
          <w:sz w:val="24"/>
          <w:szCs w:val="24"/>
        </w:rPr>
        <w:t xml:space="preserve"> in their reports that the MACR in the United Kingdom </w:t>
      </w:r>
      <w:r w:rsidR="00144DA0" w:rsidRPr="00DE718B">
        <w:rPr>
          <w:rFonts w:cstheme="minorHAnsi"/>
          <w:sz w:val="24"/>
          <w:szCs w:val="24"/>
        </w:rPr>
        <w:t xml:space="preserve">does not comply </w:t>
      </w:r>
      <w:r w:rsidRPr="00DE718B">
        <w:rPr>
          <w:rFonts w:cstheme="minorHAnsi"/>
          <w:sz w:val="24"/>
          <w:szCs w:val="24"/>
        </w:rPr>
        <w:t>with the responsibility they take under the international standards of juvenile justice and the UN Conventions of the Rights of a Child</w:t>
      </w:r>
      <w:r w:rsidR="006F0CD6" w:rsidRPr="00DE718B">
        <w:rPr>
          <w:rFonts w:cstheme="minorHAnsi"/>
          <w:sz w:val="24"/>
          <w:szCs w:val="24"/>
        </w:rPr>
        <w:t xml:space="preserve"> (Bateman, 2012). </w:t>
      </w:r>
    </w:p>
    <w:p w14:paraId="18CF94FF" w14:textId="32A2FE4D" w:rsidR="00AD1DF1" w:rsidRPr="00DE718B" w:rsidRDefault="00AD1DF1" w:rsidP="00DE718B">
      <w:pPr>
        <w:spacing w:line="360" w:lineRule="auto"/>
        <w:rPr>
          <w:rFonts w:cstheme="minorHAnsi"/>
          <w:color w:val="000000" w:themeColor="text1"/>
          <w:sz w:val="24"/>
          <w:szCs w:val="24"/>
        </w:rPr>
      </w:pPr>
      <w:r w:rsidRPr="00DE718B">
        <w:rPr>
          <w:rFonts w:cstheme="minorHAnsi"/>
          <w:color w:val="000000" w:themeColor="text1"/>
          <w:sz w:val="24"/>
          <w:szCs w:val="24"/>
        </w:rPr>
        <w:t xml:space="preserve">Setting up the minimum age that a child can be held liable for their actions is listed Article 40 (3) of the CRC that states the capacity of a child should be established, in order to protect those without the capacity at criminal law  (UN Committee on the Rights of a Child, 2007). There has been much discussion between what the minimum age for a child to be criminally responsible should be. The Committee on the Rights of a Child concluded that any child that is held criminally responsible below the age of 12, will be considered as unacceptable.  However, the conclusion put forward by the Committee is not aimed at countries where the MACR is higher and stresses that they should not lower their age of criminal responsibility. Furthermore, the Committee also concludes that while the minimum age is 12 to be internationally acceptable, they it is preferred that the age is 14 or 16 years of age (UN Committee on the Rights of the Child, 2007).  Further guidance can be found in rule 4 of the Beijing Rules, which clarified the MACR should consider the facts of mental, emotional and intellectual maturity, and the age of criminal responsibility should not be placed to low considering </w:t>
      </w:r>
      <w:r w:rsidR="00327E8A" w:rsidRPr="00DE718B">
        <w:rPr>
          <w:rFonts w:cstheme="minorHAnsi"/>
          <w:color w:val="000000" w:themeColor="text1"/>
          <w:sz w:val="24"/>
          <w:szCs w:val="24"/>
        </w:rPr>
        <w:t>these factors</w:t>
      </w:r>
      <w:r w:rsidRPr="00DE718B">
        <w:rPr>
          <w:rFonts w:cstheme="minorHAnsi"/>
          <w:color w:val="000000" w:themeColor="text1"/>
          <w:sz w:val="24"/>
          <w:szCs w:val="24"/>
        </w:rPr>
        <w:t xml:space="preserve"> (Cipriani, 2009). </w:t>
      </w:r>
    </w:p>
    <w:p w14:paraId="69DFB1C1" w14:textId="0DFF63C9" w:rsidR="00E710AD" w:rsidRPr="00DE718B" w:rsidRDefault="00E710AD" w:rsidP="00DE718B">
      <w:pPr>
        <w:spacing w:line="360" w:lineRule="auto"/>
        <w:rPr>
          <w:rFonts w:cstheme="minorHAnsi"/>
          <w:color w:val="FF0000"/>
          <w:sz w:val="24"/>
          <w:szCs w:val="24"/>
        </w:rPr>
      </w:pPr>
    </w:p>
    <w:p w14:paraId="31978271" w14:textId="3872D6D2" w:rsidR="00E710AD" w:rsidRPr="00DE718B" w:rsidRDefault="00E710AD" w:rsidP="00DE718B">
      <w:pPr>
        <w:spacing w:line="360" w:lineRule="auto"/>
        <w:rPr>
          <w:rFonts w:cstheme="minorHAnsi"/>
          <w:color w:val="FF0000"/>
          <w:sz w:val="24"/>
          <w:szCs w:val="24"/>
        </w:rPr>
      </w:pPr>
    </w:p>
    <w:p w14:paraId="385898C4" w14:textId="77777777" w:rsidR="00A77C41" w:rsidRPr="00DE718B" w:rsidRDefault="00A77C41" w:rsidP="00DE718B">
      <w:pPr>
        <w:spacing w:line="360" w:lineRule="auto"/>
        <w:rPr>
          <w:rFonts w:cstheme="minorHAnsi"/>
          <w:sz w:val="24"/>
          <w:szCs w:val="24"/>
        </w:rPr>
      </w:pPr>
      <w:r w:rsidRPr="00DE718B">
        <w:rPr>
          <w:rFonts w:cstheme="minorHAnsi"/>
          <w:sz w:val="24"/>
          <w:szCs w:val="24"/>
        </w:rPr>
        <w:lastRenderedPageBreak/>
        <w:t xml:space="preserve">This is further supported by the neural development argument. </w:t>
      </w:r>
      <w:proofErr w:type="spellStart"/>
      <w:r w:rsidRPr="00DE718B">
        <w:rPr>
          <w:rFonts w:cstheme="minorHAnsi"/>
          <w:sz w:val="24"/>
          <w:szCs w:val="24"/>
        </w:rPr>
        <w:t>Ftiz</w:t>
      </w:r>
      <w:proofErr w:type="spellEnd"/>
      <w:r w:rsidRPr="00DE718B">
        <w:rPr>
          <w:rFonts w:cstheme="minorHAnsi"/>
          <w:sz w:val="24"/>
          <w:szCs w:val="24"/>
        </w:rPr>
        <w:t xml:space="preserve">-Gibbon (2016) displays findings from the Royal College of Psychiatrists who found that until a child reaches around the age of 14, that the frontal lobe maturity of the brain has not usually occurred. There is further evidence supporting this by MacDiarmid cited by </w:t>
      </w:r>
      <w:proofErr w:type="gramStart"/>
      <w:r w:rsidRPr="00DE718B">
        <w:rPr>
          <w:rFonts w:cstheme="minorHAnsi"/>
          <w:sz w:val="24"/>
          <w:szCs w:val="24"/>
        </w:rPr>
        <w:t>Fitz-Gibbon</w:t>
      </w:r>
      <w:proofErr w:type="gramEnd"/>
      <w:r w:rsidRPr="00DE718B">
        <w:rPr>
          <w:rFonts w:cstheme="minorHAnsi"/>
          <w:sz w:val="24"/>
          <w:szCs w:val="24"/>
        </w:rPr>
        <w:t xml:space="preserve"> (2016) who explains that until the frontal lobe has developed more, that the risk assessment from a child will often be more impulsive than an adult. Therefore, it has been argued that for there to be a system in place where the age of criminal responsibility is below 14, there is a risk of damaging the neural development of these children when bringing them into the reality of the criminal justice system (Fitz-Gibbon, 2016). Furthermore, there has been no evidence to support that the age of criminal responsibility in England and Wales has any positive outcomes on the child and has only displayed a negative outcome in all aspects.</w:t>
      </w:r>
    </w:p>
    <w:p w14:paraId="07588CD7" w14:textId="40B52017" w:rsidR="0075580F" w:rsidRPr="00DE718B" w:rsidRDefault="0075580F" w:rsidP="00DE718B">
      <w:pPr>
        <w:pStyle w:val="NormalWeb"/>
        <w:shd w:val="clear" w:color="auto" w:fill="FFFFFF"/>
        <w:spacing w:line="360" w:lineRule="auto"/>
        <w:rPr>
          <w:rFonts w:asciiTheme="minorHAnsi" w:hAnsiTheme="minorHAnsi" w:cstheme="minorHAnsi"/>
          <w:color w:val="333333"/>
        </w:rPr>
      </w:pPr>
      <w:r w:rsidRPr="00DE718B">
        <w:rPr>
          <w:rFonts w:asciiTheme="minorHAnsi" w:hAnsiTheme="minorHAnsi" w:cstheme="minorHAnsi"/>
          <w:color w:val="333333"/>
        </w:rPr>
        <w:t xml:space="preserve">Therefore, with all the evidence that supports that the current age of criminal responsibility is too low and with the abolition of </w:t>
      </w:r>
      <w:proofErr w:type="spellStart"/>
      <w:r w:rsidRPr="00DE718B">
        <w:rPr>
          <w:rFonts w:asciiTheme="minorHAnsi" w:hAnsiTheme="minorHAnsi" w:cstheme="minorHAnsi"/>
          <w:color w:val="333333"/>
        </w:rPr>
        <w:t>doli</w:t>
      </w:r>
      <w:proofErr w:type="spellEnd"/>
      <w:r w:rsidRPr="00DE718B">
        <w:rPr>
          <w:rFonts w:asciiTheme="minorHAnsi" w:hAnsiTheme="minorHAnsi" w:cstheme="minorHAnsi"/>
          <w:color w:val="333333"/>
        </w:rPr>
        <w:t xml:space="preserve"> incapax there has been put forward the idea of the defence of developmental immaturity. This defence would seek to intervene in the defence of those whose cognitive development it thought to not be progressing normally. This would see a specialist access the cognitive behaviour of the child to determine if they are progressing at a ‘normal’ rate. This approach has often been held in parallel with that of an adult defender, who has a very similar defence due to a learning ability (</w:t>
      </w:r>
      <w:proofErr w:type="spellStart"/>
      <w:r w:rsidRPr="00DE718B">
        <w:rPr>
          <w:rFonts w:asciiTheme="minorHAnsi" w:hAnsiTheme="minorHAnsi" w:cstheme="minorHAnsi"/>
          <w:color w:val="333333"/>
        </w:rPr>
        <w:t>Delmage</w:t>
      </w:r>
      <w:proofErr w:type="spellEnd"/>
      <w:r w:rsidRPr="00DE718B">
        <w:rPr>
          <w:rFonts w:asciiTheme="minorHAnsi" w:hAnsiTheme="minorHAnsi" w:cstheme="minorHAnsi"/>
          <w:color w:val="333333"/>
        </w:rPr>
        <w:t>, 2013). If the adult is functioning at the age of an eleven-year-old, there is a high probability that there will be a defence available to them. This is however not an option for a child. It has therefore been put forward that to be more consistent with developmental science that the defence of developmental immaturity should be put in place to protect those with limited cognitive and neural growth</w:t>
      </w:r>
      <w:r w:rsidR="00B45ECA" w:rsidRPr="00DE718B">
        <w:rPr>
          <w:rFonts w:asciiTheme="minorHAnsi" w:hAnsiTheme="minorHAnsi" w:cstheme="minorHAnsi"/>
          <w:color w:val="333333"/>
        </w:rPr>
        <w:t xml:space="preserve"> (</w:t>
      </w:r>
      <w:proofErr w:type="spellStart"/>
      <w:r w:rsidR="00B45ECA" w:rsidRPr="00DE718B">
        <w:rPr>
          <w:rFonts w:asciiTheme="minorHAnsi" w:hAnsiTheme="minorHAnsi" w:cstheme="minorHAnsi"/>
          <w:color w:val="333333"/>
        </w:rPr>
        <w:t>Delmage</w:t>
      </w:r>
      <w:proofErr w:type="spellEnd"/>
      <w:r w:rsidR="00B45ECA" w:rsidRPr="00DE718B">
        <w:rPr>
          <w:rFonts w:asciiTheme="minorHAnsi" w:hAnsiTheme="minorHAnsi" w:cstheme="minorHAnsi"/>
          <w:color w:val="333333"/>
        </w:rPr>
        <w:t>, 2013)</w:t>
      </w:r>
      <w:r w:rsidRPr="00DE718B">
        <w:rPr>
          <w:rFonts w:asciiTheme="minorHAnsi" w:hAnsiTheme="minorHAnsi" w:cstheme="minorHAnsi"/>
          <w:color w:val="333333"/>
        </w:rPr>
        <w:t>. This should be done by an array of specialists, such as the capacity assessments are conducted within medical/civil matters. It has been put forward that the age of 14 should be put into place for criminal responsibility, and that children aged 14 and 15 could be subject to the presumption of developmental immaturity, leaving the prosecution having to show that the child was competent in their decisions (</w:t>
      </w:r>
      <w:proofErr w:type="spellStart"/>
      <w:r w:rsidRPr="00DE718B">
        <w:rPr>
          <w:rFonts w:asciiTheme="minorHAnsi" w:hAnsiTheme="minorHAnsi" w:cstheme="minorHAnsi"/>
          <w:color w:val="333333"/>
        </w:rPr>
        <w:t>Delmage</w:t>
      </w:r>
      <w:proofErr w:type="spellEnd"/>
      <w:r w:rsidRPr="00DE718B">
        <w:rPr>
          <w:rFonts w:asciiTheme="minorHAnsi" w:hAnsiTheme="minorHAnsi" w:cstheme="minorHAnsi"/>
          <w:color w:val="333333"/>
        </w:rPr>
        <w:t>, 2013). While having the ages of 16 and 17 have the assumed assumption that they are more developed and have the capacity to commit a crime, leaving it up to the defence to disprove the capacity of the person in question (</w:t>
      </w:r>
      <w:proofErr w:type="spellStart"/>
      <w:r w:rsidRPr="00DE718B">
        <w:rPr>
          <w:rFonts w:asciiTheme="minorHAnsi" w:hAnsiTheme="minorHAnsi" w:cstheme="minorHAnsi"/>
          <w:color w:val="333333"/>
        </w:rPr>
        <w:t>Delmage</w:t>
      </w:r>
      <w:proofErr w:type="spellEnd"/>
      <w:r w:rsidRPr="00DE718B">
        <w:rPr>
          <w:rFonts w:asciiTheme="minorHAnsi" w:hAnsiTheme="minorHAnsi" w:cstheme="minorHAnsi"/>
          <w:color w:val="333333"/>
        </w:rPr>
        <w:t xml:space="preserve">, 2013). Overall, a minimum age of criminal responsibility should be looked at being achieved, in order to bring </w:t>
      </w:r>
      <w:r w:rsidRPr="00DE718B">
        <w:rPr>
          <w:rFonts w:asciiTheme="minorHAnsi" w:hAnsiTheme="minorHAnsi" w:cstheme="minorHAnsi"/>
          <w:color w:val="333333"/>
        </w:rPr>
        <w:lastRenderedPageBreak/>
        <w:t xml:space="preserve">it into line with current developmental research and civil legislation. The abolition of </w:t>
      </w:r>
      <w:proofErr w:type="spellStart"/>
      <w:r w:rsidRPr="00DE718B">
        <w:rPr>
          <w:rFonts w:asciiTheme="minorHAnsi" w:hAnsiTheme="minorHAnsi" w:cstheme="minorHAnsi"/>
          <w:color w:val="333333"/>
        </w:rPr>
        <w:t>doli</w:t>
      </w:r>
      <w:proofErr w:type="spellEnd"/>
      <w:r w:rsidRPr="00DE718B">
        <w:rPr>
          <w:rFonts w:asciiTheme="minorHAnsi" w:hAnsiTheme="minorHAnsi" w:cstheme="minorHAnsi"/>
          <w:color w:val="333333"/>
        </w:rPr>
        <w:t xml:space="preserve"> incapax has proven time and time again that with no defence available that it has caused significant damage to young criminals and there ought to be put forward something such as the defence of developmental immaturity to protect the rights and wellbeing of younger people within the criminal justice system. </w:t>
      </w:r>
    </w:p>
    <w:p w14:paraId="1CED1522" w14:textId="484CD715" w:rsidR="00700FFB" w:rsidRPr="00DE718B" w:rsidRDefault="00700FFB" w:rsidP="00DE718B">
      <w:pPr>
        <w:spacing w:line="360" w:lineRule="auto"/>
        <w:rPr>
          <w:rFonts w:cstheme="minorHAnsi"/>
          <w:color w:val="FF0000"/>
          <w:sz w:val="24"/>
          <w:szCs w:val="24"/>
        </w:rPr>
      </w:pPr>
    </w:p>
    <w:p w14:paraId="065E73DD" w14:textId="2E84F414" w:rsidR="002A26E0" w:rsidRPr="00DE718B" w:rsidRDefault="00A118D8" w:rsidP="00DE718B">
      <w:pPr>
        <w:spacing w:line="360" w:lineRule="auto"/>
        <w:rPr>
          <w:rFonts w:cstheme="minorHAnsi"/>
          <w:sz w:val="24"/>
          <w:szCs w:val="24"/>
        </w:rPr>
      </w:pPr>
      <w:r w:rsidRPr="00DE718B">
        <w:rPr>
          <w:rFonts w:cstheme="minorHAnsi"/>
          <w:sz w:val="24"/>
          <w:szCs w:val="24"/>
        </w:rPr>
        <w:t xml:space="preserve">Lastly, the reintegration and outcomes for a child that have been </w:t>
      </w:r>
      <w:r w:rsidR="003C0B05" w:rsidRPr="00DE718B">
        <w:rPr>
          <w:rFonts w:cstheme="minorHAnsi"/>
          <w:sz w:val="24"/>
          <w:szCs w:val="24"/>
        </w:rPr>
        <w:t xml:space="preserve">in contact with the criminal justice system must be looked at. </w:t>
      </w:r>
      <w:r w:rsidR="002A26E0" w:rsidRPr="00DE718B">
        <w:rPr>
          <w:rFonts w:cstheme="minorHAnsi"/>
          <w:sz w:val="24"/>
          <w:szCs w:val="24"/>
        </w:rPr>
        <w:t xml:space="preserve">Outcomes for Children Evidence shows that criminalising children does not reduce reoffending and can be harmful. For example: children who are dealt with most severely by the CJS are less likely to desist from offending. </w:t>
      </w:r>
      <w:r w:rsidR="002A26E0" w:rsidRPr="00DE718B">
        <w:rPr>
          <w:rFonts w:cstheme="minorHAnsi"/>
          <w:color w:val="000000" w:themeColor="text1"/>
          <w:sz w:val="24"/>
          <w:szCs w:val="24"/>
        </w:rPr>
        <w:t>There has also been evidence to display that criminalising children does not lead to reducing reoffending and can often have harmful side effects (</w:t>
      </w:r>
      <w:proofErr w:type="spellStart"/>
      <w:r w:rsidR="002A26E0" w:rsidRPr="00DE718B">
        <w:rPr>
          <w:rFonts w:cstheme="minorHAnsi"/>
          <w:color w:val="000000" w:themeColor="text1"/>
          <w:sz w:val="24"/>
          <w:szCs w:val="24"/>
        </w:rPr>
        <w:t>McAra</w:t>
      </w:r>
      <w:proofErr w:type="spellEnd"/>
      <w:r w:rsidR="002A26E0" w:rsidRPr="00DE718B">
        <w:rPr>
          <w:rFonts w:cstheme="minorHAnsi"/>
          <w:color w:val="000000" w:themeColor="text1"/>
          <w:sz w:val="24"/>
          <w:szCs w:val="24"/>
        </w:rPr>
        <w:t xml:space="preserve"> and McVie, 2007).  Damn et al (2017) displays the outcome a child has after going through the criminal justice system (CJS). Instead of having the desired effect that the child has become rehabilitated and will become a functioning part of society, it often has been seen to lead to increased levels of criminality in children. This has left reoffending rates for children that have been through the CJS at a high. This is supported by the fact that countries that have a low MACR, such as England and Wales, are among the highest in Europe for child detention in youth institutions and show the lowest areas in growth for rehabilitation and reoffending.  Therefore, a low ACR has shown that it does not act as a deterrent for a child and will often reoffend. This can often lead to a compromised education for the child, leaving school with very little in the way of a qualification and reduced chances in the workspace (Sampson and </w:t>
      </w:r>
      <w:proofErr w:type="spellStart"/>
      <w:r w:rsidR="002A26E0" w:rsidRPr="00DE718B">
        <w:rPr>
          <w:rFonts w:cstheme="minorHAnsi"/>
          <w:color w:val="000000" w:themeColor="text1"/>
          <w:sz w:val="24"/>
          <w:szCs w:val="24"/>
        </w:rPr>
        <w:t>Laub</w:t>
      </w:r>
      <w:proofErr w:type="spellEnd"/>
      <w:r w:rsidR="002A26E0" w:rsidRPr="00DE718B">
        <w:rPr>
          <w:rFonts w:cstheme="minorHAnsi"/>
          <w:color w:val="000000" w:themeColor="text1"/>
          <w:sz w:val="24"/>
          <w:szCs w:val="24"/>
        </w:rPr>
        <w:t xml:space="preserve">, 2004). </w:t>
      </w:r>
    </w:p>
    <w:p w14:paraId="490A5B6A" w14:textId="4F55A689" w:rsidR="00FD700D" w:rsidRPr="00DE718B" w:rsidRDefault="00044646" w:rsidP="00DE718B">
      <w:pPr>
        <w:spacing w:line="360" w:lineRule="auto"/>
        <w:rPr>
          <w:rFonts w:cstheme="minorHAnsi"/>
          <w:b/>
          <w:bCs/>
          <w:sz w:val="24"/>
          <w:szCs w:val="24"/>
          <w:u w:val="single"/>
        </w:rPr>
      </w:pPr>
      <w:r w:rsidRPr="00DE718B">
        <w:rPr>
          <w:rFonts w:cstheme="minorHAnsi"/>
          <w:sz w:val="24"/>
          <w:szCs w:val="24"/>
        </w:rPr>
        <w:t xml:space="preserve">This is also further supported by Farrington and Murray (2014) who illustrate the long-term implications that a criminal record can have on a child, from cautions to a conviction. In the United Kingdom certain details on your criminal record must be disclosed when seeking employment or opportunity’s in education. Therefore, Murray argues it is one of the most damaging factors that contribute towards the failure of positive rehabilitation and the negative effects that are left by the CJS. If a child has been labelled as a criminal and are led to believe they are one, they are more likely to seek out similar individuals, and commit more crime (Farrington and Murray, 2014).  </w:t>
      </w:r>
    </w:p>
    <w:p w14:paraId="0A46DCC2" w14:textId="14751B5A" w:rsidR="00DD18BD" w:rsidRPr="00DE718B" w:rsidRDefault="006272BA" w:rsidP="00DE718B">
      <w:pPr>
        <w:spacing w:line="360" w:lineRule="auto"/>
        <w:rPr>
          <w:rFonts w:cstheme="minorHAnsi"/>
          <w:sz w:val="24"/>
          <w:szCs w:val="24"/>
        </w:rPr>
      </w:pPr>
      <w:r w:rsidRPr="00DE718B">
        <w:rPr>
          <w:rFonts w:cstheme="minorHAnsi"/>
          <w:sz w:val="24"/>
          <w:szCs w:val="24"/>
        </w:rPr>
        <w:lastRenderedPageBreak/>
        <w:t>Therefore,</w:t>
      </w:r>
      <w:r w:rsidR="00A65969" w:rsidRPr="00DE718B">
        <w:rPr>
          <w:rFonts w:cstheme="minorHAnsi"/>
          <w:sz w:val="24"/>
          <w:szCs w:val="24"/>
        </w:rPr>
        <w:t xml:space="preserve"> once a child has been put through the CJS it is vital that they are reintegrated back into the community </w:t>
      </w:r>
      <w:r w:rsidR="00D4432F" w:rsidRPr="00DE718B">
        <w:rPr>
          <w:rFonts w:cstheme="minorHAnsi"/>
          <w:sz w:val="24"/>
          <w:szCs w:val="24"/>
        </w:rPr>
        <w:t>effectively to manage any further</w:t>
      </w:r>
      <w:r w:rsidR="00B817B6" w:rsidRPr="00DE718B">
        <w:rPr>
          <w:rFonts w:cstheme="minorHAnsi"/>
          <w:sz w:val="24"/>
          <w:szCs w:val="24"/>
        </w:rPr>
        <w:t xml:space="preserve"> criminal activity and </w:t>
      </w:r>
      <w:r w:rsidR="00060BC7" w:rsidRPr="00DE718B">
        <w:rPr>
          <w:rFonts w:cstheme="minorHAnsi"/>
          <w:sz w:val="24"/>
          <w:szCs w:val="24"/>
        </w:rPr>
        <w:t>increase their future opportunities</w:t>
      </w:r>
      <w:r w:rsidR="0095010D" w:rsidRPr="00DE718B">
        <w:rPr>
          <w:rFonts w:cstheme="minorHAnsi"/>
          <w:sz w:val="24"/>
          <w:szCs w:val="24"/>
        </w:rPr>
        <w:t xml:space="preserve">. </w:t>
      </w:r>
      <w:r w:rsidR="0095010D" w:rsidRPr="00DE718B">
        <w:rPr>
          <w:rStyle w:val="Hyperlink"/>
          <w:rFonts w:cstheme="minorHAnsi"/>
          <w:color w:val="000000" w:themeColor="text1"/>
          <w:sz w:val="24"/>
          <w:szCs w:val="24"/>
          <w:u w:val="none"/>
        </w:rPr>
        <w:t>Hence, it is</w:t>
      </w:r>
      <w:r w:rsidR="00DD18BD" w:rsidRPr="00DE718B">
        <w:rPr>
          <w:rStyle w:val="Hyperlink"/>
          <w:rFonts w:cstheme="minorHAnsi"/>
          <w:color w:val="000000" w:themeColor="text1"/>
          <w:sz w:val="24"/>
          <w:szCs w:val="24"/>
          <w:u w:val="none"/>
        </w:rPr>
        <w:t xml:space="preserve"> vital that once a child has been released from custody and integrated back into the community that their offending is reduced or stopped, and their rehabilitation continues. Taylor (2016) outlines the coordinated approach that should be taken by housing, social care, education, health and youth offending services to help in assisting with an effective integration back into the community. It should be taken into consideration that a large portion of child offenders who move from a closed environment where they lack the control and decision making find it difficult to adjust to the change of freedom they will once again have being back in a community. Furthermore, it has been noted that a child may not know where they are going to be living until a few days prior to their release. It is therefore important that local authorities have suitable accommodation available for children upon their release (Taylor, 2016). Overall, while the weight of criminal law rests heavy on the shoulders of children it deals with, it is of vital importance that coordination between local authority’s and services offer the most suitable reintegration for a child back into the community to not further cause any more harm or damage that they may have previously suffered. </w:t>
      </w:r>
    </w:p>
    <w:p w14:paraId="11FBF731" w14:textId="77777777" w:rsidR="00DD18BD" w:rsidRPr="00DE718B" w:rsidRDefault="00DD18BD" w:rsidP="00DE718B">
      <w:pPr>
        <w:spacing w:line="360" w:lineRule="auto"/>
        <w:rPr>
          <w:rFonts w:cstheme="minorHAnsi"/>
          <w:b/>
          <w:bCs/>
          <w:sz w:val="24"/>
          <w:szCs w:val="24"/>
          <w:u w:val="single"/>
        </w:rPr>
      </w:pPr>
    </w:p>
    <w:p w14:paraId="61716363" w14:textId="3B8AF235" w:rsidR="00A34021" w:rsidRPr="00DE718B" w:rsidRDefault="006A424F" w:rsidP="00DE718B">
      <w:pPr>
        <w:spacing w:line="360" w:lineRule="auto"/>
        <w:rPr>
          <w:rFonts w:cstheme="minorHAnsi"/>
          <w:color w:val="FF0000"/>
          <w:sz w:val="24"/>
          <w:szCs w:val="24"/>
        </w:rPr>
      </w:pPr>
      <w:r w:rsidRPr="00DE718B">
        <w:rPr>
          <w:rFonts w:cstheme="minorHAnsi"/>
          <w:sz w:val="24"/>
          <w:szCs w:val="24"/>
        </w:rPr>
        <w:t xml:space="preserve">To conclude, </w:t>
      </w:r>
      <w:r w:rsidR="005D151D" w:rsidRPr="00DE718B">
        <w:rPr>
          <w:rFonts w:cstheme="minorHAnsi"/>
          <w:sz w:val="24"/>
          <w:szCs w:val="24"/>
        </w:rPr>
        <w:t xml:space="preserve">the minimum age of criminal responsibility does not comply with the </w:t>
      </w:r>
      <w:r w:rsidR="00A17A03" w:rsidRPr="00DE718B">
        <w:rPr>
          <w:rFonts w:cstheme="minorHAnsi"/>
          <w:sz w:val="24"/>
          <w:szCs w:val="24"/>
        </w:rPr>
        <w:t xml:space="preserve">international standards of juvenile justice and the UN Conventions of the Rights of a Child. </w:t>
      </w:r>
      <w:r w:rsidR="008017E6" w:rsidRPr="00DE718B">
        <w:rPr>
          <w:rFonts w:cstheme="minorHAnsi"/>
          <w:sz w:val="24"/>
          <w:szCs w:val="24"/>
        </w:rPr>
        <w:t xml:space="preserve">The UNCR have reiterated in multiple reports that the age of criminal responsibility should be at least </w:t>
      </w:r>
      <w:r w:rsidR="00B47A0A" w:rsidRPr="00DE718B">
        <w:rPr>
          <w:rFonts w:cstheme="minorHAnsi"/>
          <w:sz w:val="24"/>
          <w:szCs w:val="24"/>
        </w:rPr>
        <w:t xml:space="preserve">twelve but encourage it to be higher. The abolition of </w:t>
      </w:r>
      <w:proofErr w:type="spellStart"/>
      <w:r w:rsidR="00B47A0A" w:rsidRPr="00DE718B">
        <w:rPr>
          <w:rFonts w:cstheme="minorHAnsi"/>
          <w:sz w:val="24"/>
          <w:szCs w:val="24"/>
        </w:rPr>
        <w:t>doli</w:t>
      </w:r>
      <w:proofErr w:type="spellEnd"/>
      <w:r w:rsidR="00B47A0A" w:rsidRPr="00DE718B">
        <w:rPr>
          <w:rFonts w:cstheme="minorHAnsi"/>
          <w:sz w:val="24"/>
          <w:szCs w:val="24"/>
        </w:rPr>
        <w:t xml:space="preserve"> incapax left a vulnerable gap in the defence of </w:t>
      </w:r>
      <w:r w:rsidR="00066FEC" w:rsidRPr="00DE718B">
        <w:rPr>
          <w:rFonts w:cstheme="minorHAnsi"/>
          <w:sz w:val="24"/>
          <w:szCs w:val="24"/>
        </w:rPr>
        <w:t xml:space="preserve">children, who are now subject to the criminal justice system without a viable defence to rely on. </w:t>
      </w:r>
      <w:r w:rsidR="00C15965" w:rsidRPr="00DE718B">
        <w:rPr>
          <w:rFonts w:cstheme="minorHAnsi"/>
          <w:sz w:val="24"/>
          <w:szCs w:val="24"/>
        </w:rPr>
        <w:t>There has been</w:t>
      </w:r>
      <w:r w:rsidR="003C2C83" w:rsidRPr="00DE718B">
        <w:rPr>
          <w:rFonts w:cstheme="minorHAnsi"/>
          <w:sz w:val="24"/>
          <w:szCs w:val="24"/>
        </w:rPr>
        <w:t xml:space="preserve"> scientific led evidence to suggest and support that the minimum age of criminal responsibility should be </w:t>
      </w:r>
      <w:r w:rsidR="00E052CA" w:rsidRPr="00DE718B">
        <w:rPr>
          <w:rFonts w:cstheme="minorHAnsi"/>
          <w:sz w:val="24"/>
          <w:szCs w:val="24"/>
        </w:rPr>
        <w:t>at least fourteen</w:t>
      </w:r>
      <w:r w:rsidR="0096712F" w:rsidRPr="00DE718B">
        <w:rPr>
          <w:rFonts w:cstheme="minorHAnsi"/>
          <w:sz w:val="24"/>
          <w:szCs w:val="24"/>
        </w:rPr>
        <w:t>,</w:t>
      </w:r>
      <w:r w:rsidR="00E052CA" w:rsidRPr="00DE718B">
        <w:rPr>
          <w:rFonts w:cstheme="minorHAnsi"/>
          <w:sz w:val="24"/>
          <w:szCs w:val="24"/>
        </w:rPr>
        <w:t xml:space="preserve"> due to the developing cognition of children. Furthermore, there has been put forward the</w:t>
      </w:r>
      <w:r w:rsidR="0096712F" w:rsidRPr="00DE718B">
        <w:rPr>
          <w:rFonts w:cstheme="minorHAnsi"/>
          <w:color w:val="333333"/>
          <w:sz w:val="24"/>
          <w:szCs w:val="24"/>
        </w:rPr>
        <w:t xml:space="preserve"> idea of the defence of developmental immaturity </w:t>
      </w:r>
      <w:r w:rsidR="007D0155" w:rsidRPr="00DE718B">
        <w:rPr>
          <w:rFonts w:cstheme="minorHAnsi"/>
          <w:color w:val="333333"/>
          <w:sz w:val="24"/>
          <w:szCs w:val="24"/>
        </w:rPr>
        <w:t xml:space="preserve">to fill the void that </w:t>
      </w:r>
      <w:proofErr w:type="spellStart"/>
      <w:r w:rsidR="007D0155" w:rsidRPr="00DE718B">
        <w:rPr>
          <w:rFonts w:cstheme="minorHAnsi"/>
          <w:color w:val="333333"/>
          <w:sz w:val="24"/>
          <w:szCs w:val="24"/>
        </w:rPr>
        <w:t>doli</w:t>
      </w:r>
      <w:proofErr w:type="spellEnd"/>
      <w:r w:rsidR="007D0155" w:rsidRPr="00DE718B">
        <w:rPr>
          <w:rFonts w:cstheme="minorHAnsi"/>
          <w:color w:val="333333"/>
          <w:sz w:val="24"/>
          <w:szCs w:val="24"/>
        </w:rPr>
        <w:t xml:space="preserve"> incapax has </w:t>
      </w:r>
      <w:r w:rsidR="00DC0129" w:rsidRPr="00DE718B">
        <w:rPr>
          <w:rFonts w:cstheme="minorHAnsi"/>
          <w:color w:val="333333"/>
          <w:sz w:val="24"/>
          <w:szCs w:val="24"/>
        </w:rPr>
        <w:t>left,</w:t>
      </w:r>
      <w:r w:rsidR="007D0155" w:rsidRPr="00DE718B">
        <w:rPr>
          <w:rFonts w:cstheme="minorHAnsi"/>
          <w:color w:val="333333"/>
          <w:sz w:val="24"/>
          <w:szCs w:val="24"/>
        </w:rPr>
        <w:t xml:space="preserve"> offering a </w:t>
      </w:r>
      <w:r w:rsidR="008C07E2" w:rsidRPr="00DE718B">
        <w:rPr>
          <w:rFonts w:cstheme="minorHAnsi"/>
          <w:color w:val="333333"/>
          <w:sz w:val="24"/>
          <w:szCs w:val="24"/>
        </w:rPr>
        <w:t xml:space="preserve">more just solution to children within the criminal justice system. </w:t>
      </w:r>
      <w:r w:rsidR="00D41CAE" w:rsidRPr="00DE718B">
        <w:rPr>
          <w:rFonts w:cstheme="minorHAnsi"/>
          <w:color w:val="333333"/>
          <w:sz w:val="24"/>
          <w:szCs w:val="24"/>
        </w:rPr>
        <w:t>Lastly</w:t>
      </w:r>
      <w:r w:rsidR="009311E9" w:rsidRPr="00DE718B">
        <w:rPr>
          <w:rFonts w:cstheme="minorHAnsi"/>
          <w:color w:val="333333"/>
          <w:sz w:val="24"/>
          <w:szCs w:val="24"/>
        </w:rPr>
        <w:t>,</w:t>
      </w:r>
      <w:r w:rsidR="00DC0129" w:rsidRPr="00DE718B">
        <w:rPr>
          <w:rFonts w:cstheme="minorHAnsi"/>
          <w:color w:val="333333"/>
          <w:sz w:val="24"/>
          <w:szCs w:val="24"/>
        </w:rPr>
        <w:t xml:space="preserve"> more needs to be done </w:t>
      </w:r>
      <w:r w:rsidR="00AD6760" w:rsidRPr="00DE718B">
        <w:rPr>
          <w:rFonts w:cstheme="minorHAnsi"/>
          <w:color w:val="333333"/>
          <w:sz w:val="24"/>
          <w:szCs w:val="24"/>
        </w:rPr>
        <w:t xml:space="preserve">by multiple agency working, </w:t>
      </w:r>
      <w:r w:rsidR="00DC0129" w:rsidRPr="00DE718B">
        <w:rPr>
          <w:rFonts w:cstheme="minorHAnsi"/>
          <w:color w:val="333333"/>
          <w:sz w:val="24"/>
          <w:szCs w:val="24"/>
        </w:rPr>
        <w:t>to ensure that once a child has been through the system that they are reintegrated back into the community i</w:t>
      </w:r>
      <w:r w:rsidR="00AD6760" w:rsidRPr="00DE718B">
        <w:rPr>
          <w:rFonts w:cstheme="minorHAnsi"/>
          <w:color w:val="333333"/>
          <w:sz w:val="24"/>
          <w:szCs w:val="24"/>
        </w:rPr>
        <w:t>n an effective way that</w:t>
      </w:r>
      <w:r w:rsidR="00814A9C" w:rsidRPr="00DE718B">
        <w:rPr>
          <w:rFonts w:cstheme="minorHAnsi"/>
          <w:color w:val="333333"/>
          <w:sz w:val="24"/>
          <w:szCs w:val="24"/>
        </w:rPr>
        <w:t xml:space="preserve"> creates opportunities in the future</w:t>
      </w:r>
      <w:r w:rsidR="00DE718B" w:rsidRPr="00DE718B">
        <w:rPr>
          <w:rFonts w:cstheme="minorHAnsi"/>
          <w:color w:val="333333"/>
          <w:sz w:val="24"/>
          <w:szCs w:val="24"/>
        </w:rPr>
        <w:t xml:space="preserve"> and lowers reoffending. </w:t>
      </w:r>
    </w:p>
    <w:p w14:paraId="025500F2" w14:textId="77777777" w:rsidR="00A34021" w:rsidRPr="00171843" w:rsidRDefault="00A34021" w:rsidP="00A34021">
      <w:pPr>
        <w:rPr>
          <w:b/>
          <w:bCs/>
          <w:u w:val="single"/>
        </w:rPr>
      </w:pPr>
      <w:r w:rsidRPr="00171843">
        <w:rPr>
          <w:b/>
          <w:bCs/>
          <w:u w:val="single"/>
        </w:rPr>
        <w:lastRenderedPageBreak/>
        <w:t xml:space="preserve">References </w:t>
      </w:r>
    </w:p>
    <w:p w14:paraId="1211EC14" w14:textId="77777777" w:rsidR="00A34021" w:rsidRDefault="00A34021" w:rsidP="00A34021"/>
    <w:p w14:paraId="549A7C88" w14:textId="77777777" w:rsidR="00A34021" w:rsidRDefault="00A34021" w:rsidP="00A34021">
      <w:pPr>
        <w:rPr>
          <w:rFonts w:cstheme="minorHAnsi"/>
          <w:color w:val="333333"/>
          <w:sz w:val="24"/>
          <w:szCs w:val="24"/>
          <w:shd w:val="clear" w:color="auto" w:fill="FFFFFF"/>
        </w:rPr>
      </w:pPr>
      <w:r w:rsidRPr="00F321E7">
        <w:rPr>
          <w:rFonts w:cstheme="minorHAnsi"/>
          <w:sz w:val="24"/>
          <w:szCs w:val="24"/>
        </w:rPr>
        <w:t xml:space="preserve">Bateman, T. (2012) </w:t>
      </w:r>
      <w:r w:rsidRPr="00F321E7">
        <w:rPr>
          <w:rFonts w:cstheme="minorHAnsi"/>
          <w:i/>
          <w:iCs/>
          <w:sz w:val="24"/>
          <w:szCs w:val="24"/>
        </w:rPr>
        <w:t>Criminalising children for no good purpose: The age of criminal responsibility in England and Wales</w:t>
      </w:r>
      <w:r w:rsidRPr="00F321E7">
        <w:rPr>
          <w:rFonts w:cstheme="minorHAnsi"/>
          <w:sz w:val="24"/>
          <w:szCs w:val="24"/>
        </w:rPr>
        <w:t xml:space="preserve"> [Online] Available at : </w:t>
      </w:r>
      <w:hyperlink r:id="rId10" w:history="1">
        <w:r w:rsidRPr="00E04F26">
          <w:rPr>
            <w:rStyle w:val="Hyperlink"/>
            <w:rFonts w:cstheme="minorHAnsi"/>
            <w:sz w:val="24"/>
            <w:szCs w:val="24"/>
          </w:rPr>
          <w:t>https://thenayj.org.uk/wp-content/uploads/2015/06/2012-The-Age-of-Criminal-responsibility.pdf Accessed 2</w:t>
        </w:r>
        <w:r w:rsidRPr="00E04F26">
          <w:rPr>
            <w:rStyle w:val="Hyperlink"/>
            <w:rFonts w:cstheme="minorHAnsi"/>
            <w:sz w:val="24"/>
            <w:szCs w:val="24"/>
            <w:vertAlign w:val="superscript"/>
          </w:rPr>
          <w:t>nd</w:t>
        </w:r>
        <w:r w:rsidRPr="00E04F26">
          <w:rPr>
            <w:rStyle w:val="Hyperlink"/>
            <w:rFonts w:cstheme="minorHAnsi"/>
            <w:sz w:val="24"/>
            <w:szCs w:val="24"/>
          </w:rPr>
          <w:t xml:space="preserve"> March. 2020</w:t>
        </w:r>
      </w:hyperlink>
      <w:r>
        <w:rPr>
          <w:rFonts w:cstheme="minorHAnsi"/>
          <w:color w:val="333333"/>
          <w:sz w:val="24"/>
          <w:szCs w:val="24"/>
          <w:shd w:val="clear" w:color="auto" w:fill="FFFFFF"/>
        </w:rPr>
        <w:t>.</w:t>
      </w:r>
    </w:p>
    <w:p w14:paraId="45A83FE7" w14:textId="77777777" w:rsidR="00A34021" w:rsidRPr="00824D5F" w:rsidRDefault="00A34021" w:rsidP="00A34021">
      <w:pPr>
        <w:rPr>
          <w:rFonts w:cstheme="minorHAnsi"/>
          <w:sz w:val="24"/>
          <w:szCs w:val="24"/>
        </w:rPr>
      </w:pPr>
      <w:r w:rsidRPr="001E5FEF">
        <w:rPr>
          <w:rFonts w:cstheme="minorHAnsi"/>
          <w:color w:val="000000"/>
          <w:sz w:val="24"/>
          <w:szCs w:val="24"/>
          <w:shd w:val="clear" w:color="auto" w:fill="FFFFFF"/>
        </w:rPr>
        <w:t>Cane, P. (2002). </w:t>
      </w:r>
      <w:r w:rsidRPr="001E5FEF">
        <w:rPr>
          <w:rFonts w:cstheme="minorHAnsi"/>
          <w:i/>
          <w:iCs/>
          <w:color w:val="000000"/>
          <w:sz w:val="24"/>
          <w:szCs w:val="24"/>
          <w:shd w:val="clear" w:color="auto" w:fill="FFFFFF"/>
        </w:rPr>
        <w:t>Responsibility in law and morality</w:t>
      </w:r>
      <w:r w:rsidRPr="001E5FEF">
        <w:rPr>
          <w:rFonts w:cstheme="minorHAnsi"/>
          <w:color w:val="000000"/>
          <w:sz w:val="24"/>
          <w:szCs w:val="24"/>
          <w:shd w:val="clear" w:color="auto" w:fill="FFFFFF"/>
        </w:rPr>
        <w:t>. Oxford: Hart Publishing.</w:t>
      </w:r>
    </w:p>
    <w:p w14:paraId="62A85A3B" w14:textId="77777777" w:rsidR="00A34021" w:rsidRDefault="00A34021" w:rsidP="00A34021">
      <w:r>
        <w:t xml:space="preserve">Cipriani, D (2009) </w:t>
      </w:r>
      <w:r w:rsidRPr="006003D7">
        <w:rPr>
          <w:i/>
          <w:iCs/>
        </w:rPr>
        <w:t>Children’s Rights and the Minimum Age of Criminal Responsibility: A Global Perspective</w:t>
      </w:r>
      <w:r>
        <w:t xml:space="preserve">, Ashcroft. </w:t>
      </w:r>
    </w:p>
    <w:p w14:paraId="6F9A770D" w14:textId="77777777" w:rsidR="00A34021" w:rsidRPr="00242453" w:rsidRDefault="00A34021" w:rsidP="00A34021">
      <w:pPr>
        <w:rPr>
          <w:b/>
          <w:bCs/>
        </w:rPr>
      </w:pPr>
      <w:r>
        <w:t xml:space="preserve">Damn, A. Larsen, B. Nielsen, H. Simonsen, M. (2017) </w:t>
      </w:r>
      <w:r>
        <w:rPr>
          <w:i/>
          <w:iCs/>
        </w:rPr>
        <w:t xml:space="preserve">Lowering the minimum age of criminal responsibility: </w:t>
      </w:r>
      <w:proofErr w:type="spellStart"/>
      <w:r>
        <w:rPr>
          <w:i/>
          <w:iCs/>
        </w:rPr>
        <w:t>Consuquences</w:t>
      </w:r>
      <w:proofErr w:type="spellEnd"/>
      <w:r>
        <w:rPr>
          <w:i/>
          <w:iCs/>
        </w:rPr>
        <w:t xml:space="preserve"> for juvenile crime and education </w:t>
      </w:r>
      <w:r>
        <w:t xml:space="preserve">[Online] Available at : </w:t>
      </w:r>
      <w:hyperlink r:id="rId11" w:history="1">
        <w:r>
          <w:rPr>
            <w:rStyle w:val="Hyperlink"/>
          </w:rPr>
          <w:t>https://pure.au.dk/portal/files/118094764/wp17_10.pdf</w:t>
        </w:r>
      </w:hyperlink>
      <w:r>
        <w:t xml:space="preserve"> Accessed 3rd March. 2020.</w:t>
      </w:r>
    </w:p>
    <w:p w14:paraId="13D623F6" w14:textId="77777777" w:rsidR="00A34021" w:rsidRPr="00BF7681" w:rsidRDefault="00A34021" w:rsidP="00A34021">
      <w:pPr>
        <w:rPr>
          <w:rFonts w:cstheme="minorHAnsi"/>
          <w:color w:val="333333"/>
          <w:sz w:val="24"/>
          <w:szCs w:val="24"/>
          <w:shd w:val="clear" w:color="auto" w:fill="FFFFFF"/>
        </w:rPr>
      </w:pPr>
      <w:proofErr w:type="spellStart"/>
      <w:r w:rsidRPr="00BF7681">
        <w:rPr>
          <w:rFonts w:cstheme="minorHAnsi"/>
          <w:color w:val="333333"/>
          <w:sz w:val="24"/>
          <w:szCs w:val="24"/>
          <w:shd w:val="clear" w:color="auto" w:fill="FFFFFF"/>
        </w:rPr>
        <w:t>Delmage</w:t>
      </w:r>
      <w:proofErr w:type="spellEnd"/>
      <w:r w:rsidRPr="00BF7681">
        <w:rPr>
          <w:rFonts w:cstheme="minorHAnsi"/>
          <w:color w:val="333333"/>
          <w:sz w:val="24"/>
          <w:szCs w:val="24"/>
          <w:shd w:val="clear" w:color="auto" w:fill="FFFFFF"/>
        </w:rPr>
        <w:t xml:space="preserve">, E. (2013) </w:t>
      </w:r>
      <w:r w:rsidRPr="00BF7681">
        <w:rPr>
          <w:rFonts w:cstheme="minorHAnsi"/>
          <w:i/>
          <w:iCs/>
          <w:color w:val="333333"/>
          <w:sz w:val="24"/>
          <w:szCs w:val="24"/>
          <w:shd w:val="clear" w:color="auto" w:fill="FFFFFF"/>
        </w:rPr>
        <w:t xml:space="preserve">The Minimum Age of Criminal Responsibility: A Medico-Legal Perspective </w:t>
      </w:r>
      <w:r w:rsidRPr="00BF7681">
        <w:rPr>
          <w:rFonts w:cstheme="minorHAnsi"/>
          <w:color w:val="333333"/>
          <w:sz w:val="24"/>
          <w:szCs w:val="24"/>
          <w:shd w:val="clear" w:color="auto" w:fill="FFFFFF"/>
        </w:rPr>
        <w:t xml:space="preserve">[Online] Available at : </w:t>
      </w:r>
      <w:hyperlink r:id="rId12" w:history="1">
        <w:r w:rsidRPr="00BF7681">
          <w:rPr>
            <w:rStyle w:val="Hyperlink"/>
            <w:rFonts w:cstheme="minorHAnsi"/>
            <w:sz w:val="24"/>
            <w:szCs w:val="24"/>
          </w:rPr>
          <w:t>https://journals.sagepub.com/doi/10.1177/1473225413492053</w:t>
        </w:r>
      </w:hyperlink>
      <w:r w:rsidRPr="00BF7681">
        <w:rPr>
          <w:rFonts w:cstheme="minorHAnsi"/>
          <w:sz w:val="24"/>
          <w:szCs w:val="24"/>
        </w:rPr>
        <w:t xml:space="preserve"> Accessed 5th March. 2020. </w:t>
      </w:r>
    </w:p>
    <w:p w14:paraId="192E601F" w14:textId="77777777" w:rsidR="00A34021" w:rsidRPr="00EC12BD" w:rsidRDefault="00A34021" w:rsidP="00A34021">
      <w:pPr>
        <w:rPr>
          <w:rFonts w:cstheme="minorHAnsi"/>
          <w:sz w:val="24"/>
          <w:szCs w:val="24"/>
        </w:rPr>
      </w:pPr>
      <w:proofErr w:type="gramStart"/>
      <w:r w:rsidRPr="00EC12BD">
        <w:rPr>
          <w:rFonts w:cstheme="minorHAnsi"/>
          <w:color w:val="000000"/>
          <w:sz w:val="24"/>
          <w:szCs w:val="24"/>
          <w:shd w:val="clear" w:color="auto" w:fill="FFFFFF"/>
        </w:rPr>
        <w:t>Fitz-Gibbon</w:t>
      </w:r>
      <w:proofErr w:type="gramEnd"/>
      <w:r w:rsidRPr="00EC12BD">
        <w:rPr>
          <w:rFonts w:cstheme="minorHAnsi"/>
          <w:color w:val="000000"/>
          <w:sz w:val="24"/>
          <w:szCs w:val="24"/>
          <w:shd w:val="clear" w:color="auto" w:fill="FFFFFF"/>
        </w:rPr>
        <w:t xml:space="preserve">, K. (2016). </w:t>
      </w:r>
      <w:r w:rsidRPr="00EC12BD">
        <w:rPr>
          <w:rFonts w:cstheme="minorHAnsi"/>
          <w:i/>
          <w:iCs/>
          <w:color w:val="000000"/>
          <w:sz w:val="24"/>
          <w:szCs w:val="24"/>
          <w:shd w:val="clear" w:color="auto" w:fill="FFFFFF"/>
        </w:rPr>
        <w:t xml:space="preserve">Protections for children before the law: An empirical analysis of the age of criminal responsibility, the abolition of </w:t>
      </w:r>
      <w:proofErr w:type="spellStart"/>
      <w:r w:rsidRPr="00EC12BD">
        <w:rPr>
          <w:rFonts w:cstheme="minorHAnsi"/>
          <w:i/>
          <w:iCs/>
          <w:color w:val="000000"/>
          <w:sz w:val="24"/>
          <w:szCs w:val="24"/>
          <w:shd w:val="clear" w:color="auto" w:fill="FFFFFF"/>
        </w:rPr>
        <w:t>doli</w:t>
      </w:r>
      <w:proofErr w:type="spellEnd"/>
      <w:r w:rsidRPr="00EC12BD">
        <w:rPr>
          <w:rFonts w:cstheme="minorHAnsi"/>
          <w:i/>
          <w:iCs/>
          <w:color w:val="000000"/>
          <w:sz w:val="24"/>
          <w:szCs w:val="24"/>
          <w:shd w:val="clear" w:color="auto" w:fill="FFFFFF"/>
        </w:rPr>
        <w:t xml:space="preserve"> incapax and the merits of a developmental immaturity defence in England and Wales. </w:t>
      </w:r>
      <w:r w:rsidRPr="00F67B76">
        <w:rPr>
          <w:rFonts w:cstheme="minorHAnsi"/>
          <w:color w:val="000000"/>
          <w:sz w:val="24"/>
          <w:szCs w:val="24"/>
          <w:shd w:val="clear" w:color="auto" w:fill="FFFFFF"/>
        </w:rPr>
        <w:t>Criminology &amp; Criminal Justice</w:t>
      </w:r>
      <w:r w:rsidRPr="00EC12BD">
        <w:rPr>
          <w:rFonts w:cstheme="minorHAnsi"/>
          <w:color w:val="000000"/>
          <w:sz w:val="24"/>
          <w:szCs w:val="24"/>
          <w:shd w:val="clear" w:color="auto" w:fill="FFFFFF"/>
        </w:rPr>
        <w:t>, 16(4), pp.391-409.</w:t>
      </w:r>
    </w:p>
    <w:p w14:paraId="232A513E" w14:textId="77777777" w:rsidR="00A34021" w:rsidRDefault="00A34021" w:rsidP="00A34021">
      <w:r>
        <w:t xml:space="preserve">Flavell, J. Miller, P. Miller, S. (2002) </w:t>
      </w:r>
      <w:r>
        <w:rPr>
          <w:i/>
          <w:iCs/>
        </w:rPr>
        <w:t>Cognitive Development</w:t>
      </w:r>
      <w:r>
        <w:t xml:space="preserve"> 4</w:t>
      </w:r>
      <w:r w:rsidRPr="00EB3247">
        <w:rPr>
          <w:vertAlign w:val="superscript"/>
        </w:rPr>
        <w:t>th</w:t>
      </w:r>
      <w:r>
        <w:t xml:space="preserve"> Ed. London: Prentice-Hall. </w:t>
      </w:r>
    </w:p>
    <w:p w14:paraId="297B720B" w14:textId="77777777" w:rsidR="00A34021" w:rsidRPr="00F321E7" w:rsidRDefault="00A34021" w:rsidP="00A34021">
      <w:pPr>
        <w:rPr>
          <w:rFonts w:cstheme="minorHAnsi"/>
          <w:color w:val="000000" w:themeColor="text1"/>
          <w:sz w:val="24"/>
          <w:szCs w:val="24"/>
        </w:rPr>
      </w:pPr>
      <w:r w:rsidRPr="00F321E7">
        <w:rPr>
          <w:rFonts w:cstheme="minorHAnsi"/>
          <w:color w:val="000000" w:themeColor="text1"/>
          <w:sz w:val="24"/>
          <w:szCs w:val="24"/>
          <w:shd w:val="clear" w:color="auto" w:fill="FFFFFF"/>
        </w:rPr>
        <w:t>Goldson, B (</w:t>
      </w:r>
      <w:r w:rsidRPr="00F321E7">
        <w:rPr>
          <w:rStyle w:val="nlmyear"/>
          <w:rFonts w:cstheme="minorHAnsi"/>
          <w:color w:val="000000" w:themeColor="text1"/>
          <w:sz w:val="24"/>
          <w:szCs w:val="24"/>
          <w:shd w:val="clear" w:color="auto" w:fill="FFFFFF"/>
        </w:rPr>
        <w:t>1997</w:t>
      </w:r>
      <w:r w:rsidRPr="00F321E7">
        <w:rPr>
          <w:rFonts w:cstheme="minorHAnsi"/>
          <w:i/>
          <w:iCs/>
          <w:color w:val="000000" w:themeColor="text1"/>
          <w:sz w:val="24"/>
          <w:szCs w:val="24"/>
          <w:shd w:val="clear" w:color="auto" w:fill="FFFFFF"/>
        </w:rPr>
        <w:t>) </w:t>
      </w:r>
      <w:r w:rsidRPr="00F321E7">
        <w:rPr>
          <w:rStyle w:val="nlmarticle-title"/>
          <w:rFonts w:cstheme="minorHAnsi"/>
          <w:i/>
          <w:iCs/>
          <w:color w:val="000000" w:themeColor="text1"/>
          <w:sz w:val="24"/>
          <w:szCs w:val="24"/>
          <w:shd w:val="clear" w:color="auto" w:fill="FFFFFF"/>
        </w:rPr>
        <w:t>Children in trouble: State responses to juvenile crime</w:t>
      </w:r>
      <w:r w:rsidRPr="00F321E7">
        <w:rPr>
          <w:rFonts w:cstheme="minorHAnsi"/>
          <w:i/>
          <w:iCs/>
          <w:color w:val="000000" w:themeColor="text1"/>
          <w:sz w:val="24"/>
          <w:szCs w:val="24"/>
          <w:shd w:val="clear" w:color="auto" w:fill="FFFFFF"/>
        </w:rPr>
        <w:t xml:space="preserve"> ‘Childhood’ in ‘Crisis’</w:t>
      </w:r>
      <w:r w:rsidRPr="00F321E7">
        <w:rPr>
          <w:rFonts w:cstheme="minorHAnsi"/>
          <w:color w:val="000000" w:themeColor="text1"/>
          <w:sz w:val="24"/>
          <w:szCs w:val="24"/>
          <w:shd w:val="clear" w:color="auto" w:fill="FFFFFF"/>
        </w:rPr>
        <w:t>? </w:t>
      </w:r>
      <w:r w:rsidRPr="00F321E7">
        <w:rPr>
          <w:rStyle w:val="nlmpublisher-loc"/>
          <w:rFonts w:cstheme="minorHAnsi"/>
          <w:color w:val="000000" w:themeColor="text1"/>
          <w:sz w:val="24"/>
          <w:szCs w:val="24"/>
          <w:shd w:val="clear" w:color="auto" w:fill="FFFFFF"/>
        </w:rPr>
        <w:t>London</w:t>
      </w:r>
      <w:r w:rsidRPr="00F321E7">
        <w:rPr>
          <w:rFonts w:cstheme="minorHAnsi"/>
          <w:color w:val="000000" w:themeColor="text1"/>
          <w:sz w:val="24"/>
          <w:szCs w:val="24"/>
          <w:shd w:val="clear" w:color="auto" w:fill="FFFFFF"/>
        </w:rPr>
        <w:t>: </w:t>
      </w:r>
      <w:r w:rsidRPr="00F321E7">
        <w:rPr>
          <w:rStyle w:val="nlmpublisher-name"/>
          <w:rFonts w:cstheme="minorHAnsi"/>
          <w:color w:val="000000" w:themeColor="text1"/>
          <w:sz w:val="24"/>
          <w:szCs w:val="24"/>
          <w:shd w:val="clear" w:color="auto" w:fill="FFFFFF"/>
        </w:rPr>
        <w:t>UCL Press</w:t>
      </w:r>
    </w:p>
    <w:p w14:paraId="7FD2E483" w14:textId="77777777" w:rsidR="00A34021" w:rsidRPr="00F321E7" w:rsidRDefault="00A34021" w:rsidP="00A34021">
      <w:pPr>
        <w:rPr>
          <w:rFonts w:cstheme="minorHAnsi"/>
          <w:color w:val="333333"/>
          <w:sz w:val="24"/>
          <w:szCs w:val="24"/>
          <w:shd w:val="clear" w:color="auto" w:fill="FFFFFF"/>
        </w:rPr>
      </w:pPr>
      <w:r w:rsidRPr="00F321E7">
        <w:rPr>
          <w:rFonts w:cstheme="minorHAnsi"/>
          <w:color w:val="000000" w:themeColor="text1"/>
          <w:sz w:val="24"/>
          <w:szCs w:val="24"/>
          <w:shd w:val="clear" w:color="auto" w:fill="FFFFFF"/>
        </w:rPr>
        <w:t>Goldson, B. (2013) ‘‘</w:t>
      </w:r>
      <w:r w:rsidRPr="00F321E7">
        <w:rPr>
          <w:rFonts w:cstheme="minorHAnsi"/>
          <w:i/>
          <w:iCs/>
          <w:color w:val="000000" w:themeColor="text1"/>
          <w:sz w:val="24"/>
          <w:szCs w:val="24"/>
          <w:shd w:val="clear" w:color="auto" w:fill="FFFFFF"/>
        </w:rPr>
        <w:t xml:space="preserve">Unsafe, Unjust and Harmful to Wider Society’: Grounds for Raising the Minimum Age of Criminal Responsibility in England and Wales’ </w:t>
      </w:r>
      <w:r w:rsidRPr="00F321E7">
        <w:rPr>
          <w:rFonts w:cstheme="minorHAnsi"/>
          <w:color w:val="000000" w:themeColor="text1"/>
          <w:sz w:val="24"/>
          <w:szCs w:val="24"/>
          <w:shd w:val="clear" w:color="auto" w:fill="FFFFFF"/>
        </w:rPr>
        <w:t xml:space="preserve">[Online] Available at : </w:t>
      </w:r>
      <w:hyperlink r:id="rId13" w:anchor="articleCitationDownloadContainer" w:history="1">
        <w:r w:rsidRPr="00F321E7">
          <w:rPr>
            <w:rStyle w:val="Hyperlink"/>
            <w:rFonts w:cstheme="minorHAnsi"/>
            <w:sz w:val="24"/>
            <w:szCs w:val="24"/>
          </w:rPr>
          <w:t>https://journals-sagepub-com.ezproxy.uwtsd.ac.uk/doi/full/10.1177/1473225413492054#articleCitationDownloadContainer</w:t>
        </w:r>
      </w:hyperlink>
      <w:r w:rsidRPr="00F321E7">
        <w:rPr>
          <w:rFonts w:cstheme="minorHAnsi"/>
          <w:sz w:val="24"/>
          <w:szCs w:val="24"/>
        </w:rPr>
        <w:t xml:space="preserve"> Accessed 2</w:t>
      </w:r>
      <w:r w:rsidRPr="00F321E7">
        <w:rPr>
          <w:rFonts w:cstheme="minorHAnsi"/>
          <w:sz w:val="24"/>
          <w:szCs w:val="24"/>
          <w:vertAlign w:val="superscript"/>
        </w:rPr>
        <w:t>nd</w:t>
      </w:r>
      <w:r w:rsidRPr="00F321E7">
        <w:rPr>
          <w:rFonts w:cstheme="minorHAnsi"/>
          <w:sz w:val="24"/>
          <w:szCs w:val="24"/>
        </w:rPr>
        <w:t xml:space="preserve"> March. 2020. </w:t>
      </w:r>
    </w:p>
    <w:p w14:paraId="58957198" w14:textId="77777777" w:rsidR="00A34021" w:rsidRPr="00224BEB" w:rsidRDefault="00A34021" w:rsidP="00A34021">
      <w:pPr>
        <w:rPr>
          <w:rFonts w:cstheme="minorHAnsi"/>
          <w:color w:val="333333"/>
          <w:sz w:val="24"/>
          <w:szCs w:val="24"/>
          <w:shd w:val="clear" w:color="auto" w:fill="FFFFFF"/>
        </w:rPr>
      </w:pPr>
      <w:r w:rsidRPr="00F321E7">
        <w:rPr>
          <w:rFonts w:cstheme="minorHAnsi"/>
          <w:sz w:val="24"/>
          <w:szCs w:val="24"/>
        </w:rPr>
        <w:t xml:space="preserve">Hart, H.L.A (2008) </w:t>
      </w:r>
      <w:r w:rsidRPr="00F321E7">
        <w:rPr>
          <w:rFonts w:cstheme="minorHAnsi"/>
          <w:i/>
          <w:iCs/>
          <w:sz w:val="24"/>
          <w:szCs w:val="24"/>
        </w:rPr>
        <w:t xml:space="preserve">Punishment and Responsibility Essays in the Philosophy of Law </w:t>
      </w:r>
      <w:r w:rsidRPr="00F321E7">
        <w:rPr>
          <w:rFonts w:cstheme="minorHAnsi"/>
          <w:sz w:val="24"/>
          <w:szCs w:val="24"/>
        </w:rPr>
        <w:t xml:space="preserve">[Online] Available at : </w:t>
      </w:r>
      <w:hyperlink r:id="rId14" w:history="1">
        <w:r w:rsidRPr="00F321E7">
          <w:rPr>
            <w:rStyle w:val="Hyperlink"/>
            <w:rFonts w:cstheme="minorHAnsi"/>
            <w:sz w:val="24"/>
            <w:szCs w:val="24"/>
          </w:rPr>
          <w:t>https://www.oxfordscholarship.com/view/10.1093/acprof:oso/9780199534777.001.0001/acprof-9780199534777-chapter-8</w:t>
        </w:r>
      </w:hyperlink>
      <w:r w:rsidRPr="00F321E7">
        <w:rPr>
          <w:rFonts w:cstheme="minorHAnsi"/>
          <w:sz w:val="24"/>
          <w:szCs w:val="24"/>
        </w:rPr>
        <w:t xml:space="preserve"> Accessed 2nd March. 2020. </w:t>
      </w:r>
    </w:p>
    <w:p w14:paraId="7833C5BB" w14:textId="77777777" w:rsidR="00A34021" w:rsidRPr="00F321E7" w:rsidRDefault="00A34021" w:rsidP="00A34021">
      <w:pPr>
        <w:rPr>
          <w:rFonts w:cstheme="minorHAnsi"/>
          <w:sz w:val="24"/>
          <w:szCs w:val="24"/>
        </w:rPr>
      </w:pPr>
      <w:r w:rsidRPr="00F321E7">
        <w:rPr>
          <w:rFonts w:cstheme="minorHAnsi"/>
          <w:sz w:val="24"/>
          <w:szCs w:val="24"/>
        </w:rPr>
        <w:t xml:space="preserve">Joint Committee on Human Rights (2009) </w:t>
      </w:r>
      <w:r w:rsidRPr="00F321E7">
        <w:rPr>
          <w:rFonts w:cstheme="minorHAnsi"/>
          <w:i/>
          <w:iCs/>
          <w:sz w:val="24"/>
          <w:szCs w:val="24"/>
        </w:rPr>
        <w:t>Children’s Rights: Twenty-Fifth Report of Session 2008-09</w:t>
      </w:r>
      <w:r w:rsidRPr="00F321E7">
        <w:rPr>
          <w:rFonts w:cstheme="minorHAnsi"/>
          <w:sz w:val="24"/>
          <w:szCs w:val="24"/>
        </w:rPr>
        <w:t xml:space="preserve"> [Online] Available at : </w:t>
      </w:r>
      <w:hyperlink r:id="rId15" w:history="1">
        <w:r w:rsidRPr="00F321E7">
          <w:rPr>
            <w:rStyle w:val="Hyperlink"/>
            <w:rFonts w:cstheme="minorHAnsi"/>
            <w:sz w:val="24"/>
            <w:szCs w:val="24"/>
          </w:rPr>
          <w:t>https://publications.parliament.uk/pa/jt200809/jtselect/jtrights/157/157.pdf</w:t>
        </w:r>
      </w:hyperlink>
      <w:r w:rsidRPr="00F321E7">
        <w:rPr>
          <w:rFonts w:cstheme="minorHAnsi"/>
          <w:sz w:val="24"/>
          <w:szCs w:val="24"/>
        </w:rPr>
        <w:t xml:space="preserve"> Accessed 2nd March. 2020. </w:t>
      </w:r>
    </w:p>
    <w:p w14:paraId="75359E40" w14:textId="77777777" w:rsidR="00A34021" w:rsidRDefault="00A34021" w:rsidP="00A34021">
      <w:r>
        <w:t xml:space="preserve">Keating, H. (2011) </w:t>
      </w:r>
      <w:r>
        <w:rPr>
          <w:i/>
          <w:iCs/>
        </w:rPr>
        <w:t>The Responsibility of Children in the Criminal Law</w:t>
      </w:r>
      <w:r>
        <w:t xml:space="preserve"> [Online] Available at :  </w:t>
      </w:r>
      <w:hyperlink r:id="rId16" w:history="1">
        <w:r>
          <w:rPr>
            <w:rStyle w:val="Hyperlink"/>
          </w:rPr>
          <w:t>https://papers.ssrn.com/sol3/papers.cfm?abstract_id=1967099</w:t>
        </w:r>
      </w:hyperlink>
      <w:r>
        <w:t xml:space="preserve"> Accessed 3</w:t>
      </w:r>
      <w:r w:rsidRPr="00EC5FAB">
        <w:rPr>
          <w:vertAlign w:val="superscript"/>
        </w:rPr>
        <w:t>rd</w:t>
      </w:r>
      <w:r>
        <w:t xml:space="preserve"> March. 2020. </w:t>
      </w:r>
    </w:p>
    <w:p w14:paraId="2504FF41" w14:textId="77777777" w:rsidR="00A34021" w:rsidRPr="00A81045" w:rsidRDefault="00A34021" w:rsidP="00A34021">
      <w:pPr>
        <w:rPr>
          <w:rFonts w:cstheme="minorHAnsi"/>
          <w:sz w:val="24"/>
          <w:szCs w:val="24"/>
        </w:rPr>
      </w:pPr>
      <w:proofErr w:type="spellStart"/>
      <w:r w:rsidRPr="00A81045">
        <w:rPr>
          <w:rFonts w:cstheme="minorHAnsi"/>
          <w:color w:val="000000"/>
          <w:sz w:val="24"/>
          <w:szCs w:val="24"/>
          <w:shd w:val="clear" w:color="auto" w:fill="FFFFFF"/>
        </w:rPr>
        <w:lastRenderedPageBreak/>
        <w:t>McAra</w:t>
      </w:r>
      <w:proofErr w:type="spellEnd"/>
      <w:r w:rsidRPr="00A81045">
        <w:rPr>
          <w:rFonts w:cstheme="minorHAnsi"/>
          <w:color w:val="000000"/>
          <w:sz w:val="24"/>
          <w:szCs w:val="24"/>
          <w:shd w:val="clear" w:color="auto" w:fill="FFFFFF"/>
        </w:rPr>
        <w:t xml:space="preserve">, L. McVie, S. (2007). </w:t>
      </w:r>
      <w:r w:rsidRPr="00A81045">
        <w:rPr>
          <w:rFonts w:cstheme="minorHAnsi"/>
          <w:i/>
          <w:iCs/>
          <w:color w:val="000000"/>
          <w:sz w:val="24"/>
          <w:szCs w:val="24"/>
          <w:shd w:val="clear" w:color="auto" w:fill="FFFFFF"/>
        </w:rPr>
        <w:t>Youth Justice? The Impact of System Contact on Patterns of Desistance from Offending</w:t>
      </w:r>
      <w:r w:rsidRPr="00A81045">
        <w:rPr>
          <w:rFonts w:cstheme="minorHAnsi"/>
          <w:color w:val="000000"/>
          <w:sz w:val="24"/>
          <w:szCs w:val="24"/>
          <w:shd w:val="clear" w:color="auto" w:fill="FFFFFF"/>
        </w:rPr>
        <w:t>. European Journal of Criminology, 4(3), pp.315-345.</w:t>
      </w:r>
    </w:p>
    <w:p w14:paraId="4BC119C8" w14:textId="77777777" w:rsidR="00A34021" w:rsidRDefault="00A34021" w:rsidP="00A34021">
      <w:proofErr w:type="spellStart"/>
      <w:r>
        <w:t>McDiarmid</w:t>
      </w:r>
      <w:proofErr w:type="spellEnd"/>
      <w:r>
        <w:t xml:space="preserve">, C. (2013) </w:t>
      </w:r>
      <w:r>
        <w:rPr>
          <w:i/>
          <w:iCs/>
        </w:rPr>
        <w:t>An Age of Complexity: Children and Criminal Responsibility in Law</w:t>
      </w:r>
      <w:r>
        <w:t xml:space="preserve"> [Online] Available at : </w:t>
      </w:r>
      <w:hyperlink r:id="rId17" w:history="1">
        <w:r>
          <w:rPr>
            <w:rStyle w:val="Hyperlink"/>
          </w:rPr>
          <w:t>https://journals.sagepub.com/doi/abs/10.1177/1473225413492056?journalCode=yjja</w:t>
        </w:r>
      </w:hyperlink>
      <w:r>
        <w:t xml:space="preserve"> Accessed 3</w:t>
      </w:r>
      <w:r w:rsidRPr="003325FB">
        <w:rPr>
          <w:vertAlign w:val="superscript"/>
        </w:rPr>
        <w:t>rd</w:t>
      </w:r>
      <w:r>
        <w:t xml:space="preserve"> March. 2020. </w:t>
      </w:r>
    </w:p>
    <w:p w14:paraId="4A06FE33" w14:textId="77777777" w:rsidR="00A34021" w:rsidRPr="00224BEB" w:rsidRDefault="00A34021" w:rsidP="00A34021">
      <w:pPr>
        <w:rPr>
          <w:rFonts w:cstheme="minorHAnsi"/>
          <w:b/>
          <w:bCs/>
          <w:sz w:val="24"/>
          <w:szCs w:val="24"/>
          <w:u w:val="single"/>
        </w:rPr>
      </w:pPr>
      <w:r w:rsidRPr="00224BEB">
        <w:rPr>
          <w:rFonts w:cstheme="minorHAnsi"/>
          <w:color w:val="000000"/>
          <w:sz w:val="24"/>
          <w:szCs w:val="24"/>
          <w:shd w:val="clear" w:color="auto" w:fill="FFFFFF"/>
        </w:rPr>
        <w:t>Murray, J. and Farrington, D. (2012). </w:t>
      </w:r>
      <w:proofErr w:type="spellStart"/>
      <w:r w:rsidRPr="00224BEB">
        <w:rPr>
          <w:rFonts w:cstheme="minorHAnsi"/>
          <w:i/>
          <w:iCs/>
          <w:color w:val="000000"/>
          <w:sz w:val="24"/>
          <w:szCs w:val="24"/>
          <w:shd w:val="clear" w:color="auto" w:fill="FFFFFF"/>
        </w:rPr>
        <w:t>Labeling</w:t>
      </w:r>
      <w:proofErr w:type="spellEnd"/>
      <w:r w:rsidRPr="00224BEB">
        <w:rPr>
          <w:rFonts w:cstheme="minorHAnsi"/>
          <w:i/>
          <w:iCs/>
          <w:color w:val="000000"/>
          <w:sz w:val="24"/>
          <w:szCs w:val="24"/>
          <w:shd w:val="clear" w:color="auto" w:fill="FFFFFF"/>
        </w:rPr>
        <w:t xml:space="preserve"> Theory: Empirical Tests (Advances in Criminological Theory)</w:t>
      </w:r>
      <w:r w:rsidRPr="00224BEB">
        <w:rPr>
          <w:rFonts w:cstheme="minorHAnsi"/>
          <w:color w:val="000000"/>
          <w:sz w:val="24"/>
          <w:szCs w:val="24"/>
          <w:shd w:val="clear" w:color="auto" w:fill="FFFFFF"/>
        </w:rPr>
        <w:t>. London, Transaction Publishers</w:t>
      </w:r>
    </w:p>
    <w:p w14:paraId="0952BDA0" w14:textId="77777777" w:rsidR="00A34021" w:rsidRPr="005D4D68" w:rsidRDefault="00A34021" w:rsidP="00A34021">
      <w:r w:rsidRPr="005D4D68">
        <w:t>Sampson</w:t>
      </w:r>
      <w:r>
        <w:t xml:space="preserve">, </w:t>
      </w:r>
      <w:r w:rsidRPr="005D4D68">
        <w:t>R</w:t>
      </w:r>
      <w:r>
        <w:t>.</w:t>
      </w:r>
      <w:r w:rsidRPr="005D4D68">
        <w:t xml:space="preserve"> </w:t>
      </w:r>
      <w:proofErr w:type="spellStart"/>
      <w:r w:rsidRPr="005D4D68">
        <w:t>Laub</w:t>
      </w:r>
      <w:proofErr w:type="spellEnd"/>
      <w:r>
        <w:t xml:space="preserve">, </w:t>
      </w:r>
      <w:r w:rsidRPr="005D4D68">
        <w:t xml:space="preserve">H (2004) </w:t>
      </w:r>
      <w:r w:rsidRPr="005D4D68">
        <w:rPr>
          <w:i/>
          <w:iCs/>
        </w:rPr>
        <w:t>A life course theory of cumulative disadvantage and the stability of delinquency</w:t>
      </w:r>
      <w:r w:rsidRPr="005D4D68">
        <w:t xml:space="preserve"> [Online</w:t>
      </w:r>
      <w:r>
        <w:t>]</w:t>
      </w:r>
      <w:r w:rsidRPr="005D4D68">
        <w:t xml:space="preserve"> Available at : </w:t>
      </w:r>
      <w:hyperlink r:id="rId18" w:history="1">
        <w:r w:rsidRPr="005D4D68">
          <w:rPr>
            <w:rStyle w:val="Hyperlink"/>
          </w:rPr>
          <w:t>https://scholar.harvard.edu/sampson/files/1997_act_laub.pdf</w:t>
        </w:r>
      </w:hyperlink>
      <w:r w:rsidRPr="005D4D68">
        <w:t xml:space="preserve"> Accessed 3</w:t>
      </w:r>
      <w:r w:rsidRPr="005D4D68">
        <w:rPr>
          <w:vertAlign w:val="superscript"/>
        </w:rPr>
        <w:t>rd</w:t>
      </w:r>
      <w:r w:rsidRPr="005D4D68">
        <w:t xml:space="preserve"> March. 2020.</w:t>
      </w:r>
    </w:p>
    <w:p w14:paraId="46416776" w14:textId="77777777" w:rsidR="00A34021" w:rsidRPr="00E507FE" w:rsidRDefault="00A34021" w:rsidP="00A34021">
      <w:r>
        <w:t xml:space="preserve">Taylor, C. (2016). </w:t>
      </w:r>
      <w:r>
        <w:rPr>
          <w:i/>
          <w:iCs/>
        </w:rPr>
        <w:t>Review of the Youth Justice System in England and Wales</w:t>
      </w:r>
      <w:r>
        <w:t xml:space="preserve"> [Online] Available at : </w:t>
      </w:r>
      <w:hyperlink r:id="rId19" w:history="1">
        <w:r>
          <w:rPr>
            <w:rStyle w:val="Hyperlink"/>
          </w:rPr>
          <w:t>https://assets.publishing.service.gov.uk/government/uploads/system/uploads/attachment_data/file/577105/youth-justice-review-final-report-print.pdf</w:t>
        </w:r>
      </w:hyperlink>
      <w:r>
        <w:t xml:space="preserve"> Accessed 5th March. 2020</w:t>
      </w:r>
    </w:p>
    <w:p w14:paraId="562AE685" w14:textId="77777777" w:rsidR="00A34021" w:rsidRDefault="00A34021" w:rsidP="00A34021">
      <w:r>
        <w:t xml:space="preserve">UN Committee on the Rights of the Child (2007): </w:t>
      </w:r>
      <w:r w:rsidRPr="006003D7">
        <w:rPr>
          <w:i/>
          <w:iCs/>
        </w:rPr>
        <w:t>Children’s Rights in Juvenile Justice</w:t>
      </w:r>
      <w:r>
        <w:t xml:space="preserve"> [Online] Available at : </w:t>
      </w:r>
      <w:hyperlink r:id="rId20" w:history="1">
        <w:r>
          <w:rPr>
            <w:rStyle w:val="Hyperlink"/>
          </w:rPr>
          <w:t>https://www.refworld.org/docid/4670fca12.html</w:t>
        </w:r>
      </w:hyperlink>
      <w:r>
        <w:t xml:space="preserve"> Accessed 4th March. 2020. </w:t>
      </w:r>
    </w:p>
    <w:p w14:paraId="46DA4F30" w14:textId="77777777" w:rsidR="00A34021" w:rsidRPr="0093194F" w:rsidRDefault="00A34021" w:rsidP="00A34021">
      <w:proofErr w:type="spellStart"/>
      <w:r>
        <w:t>Weijers</w:t>
      </w:r>
      <w:proofErr w:type="spellEnd"/>
      <w:r>
        <w:t xml:space="preserve">, I (2016) </w:t>
      </w:r>
      <w:r>
        <w:rPr>
          <w:i/>
          <w:iCs/>
        </w:rPr>
        <w:t>The minimum age of criminal responsibility in continental Europe has a solid rational base</w:t>
      </w:r>
      <w:r>
        <w:t xml:space="preserve"> [Online] Available at : </w:t>
      </w:r>
      <w:hyperlink r:id="rId21" w:history="1">
        <w:r>
          <w:rPr>
            <w:rStyle w:val="Hyperlink"/>
          </w:rPr>
          <w:t>https://www.researchgate.net/publication/311708616_The_minimum_age_of_criminal_responsibility_in_continental_Europe_has_a_solid_rational_base</w:t>
        </w:r>
      </w:hyperlink>
      <w:r>
        <w:t xml:space="preserve"> Accessed 3rd March. 2020. </w:t>
      </w:r>
    </w:p>
    <w:p w14:paraId="401CBA3B" w14:textId="77777777" w:rsidR="00A34021" w:rsidRPr="00F321E7" w:rsidRDefault="00A34021" w:rsidP="00A34021">
      <w:pPr>
        <w:rPr>
          <w:rFonts w:cstheme="minorHAnsi"/>
          <w:sz w:val="24"/>
          <w:szCs w:val="24"/>
        </w:rPr>
      </w:pPr>
      <w:r w:rsidRPr="00F321E7">
        <w:rPr>
          <w:rFonts w:cstheme="minorHAnsi"/>
          <w:sz w:val="24"/>
          <w:szCs w:val="24"/>
        </w:rPr>
        <w:t xml:space="preserve">Wishart, H. (2014) </w:t>
      </w:r>
      <w:r w:rsidRPr="00F321E7">
        <w:rPr>
          <w:rFonts w:cstheme="minorHAnsi"/>
          <w:i/>
          <w:iCs/>
          <w:sz w:val="24"/>
          <w:szCs w:val="24"/>
        </w:rPr>
        <w:t xml:space="preserve">Was the Abolition of Doctrine of </w:t>
      </w:r>
      <w:proofErr w:type="spellStart"/>
      <w:r w:rsidRPr="00F321E7">
        <w:rPr>
          <w:rFonts w:cstheme="minorHAnsi"/>
          <w:i/>
          <w:iCs/>
          <w:sz w:val="24"/>
          <w:szCs w:val="24"/>
        </w:rPr>
        <w:t>Doli</w:t>
      </w:r>
      <w:proofErr w:type="spellEnd"/>
      <w:r w:rsidRPr="00F321E7">
        <w:rPr>
          <w:rFonts w:cstheme="minorHAnsi"/>
          <w:i/>
          <w:iCs/>
          <w:sz w:val="24"/>
          <w:szCs w:val="24"/>
        </w:rPr>
        <w:t xml:space="preserve"> Incapax Necessary? </w:t>
      </w:r>
      <w:r w:rsidRPr="00F321E7">
        <w:rPr>
          <w:rFonts w:cstheme="minorHAnsi"/>
          <w:sz w:val="24"/>
          <w:szCs w:val="24"/>
        </w:rPr>
        <w:t xml:space="preserve">[Online] Available at : </w:t>
      </w:r>
      <w:hyperlink r:id="rId22" w:history="1">
        <w:r w:rsidRPr="00F321E7">
          <w:rPr>
            <w:rStyle w:val="Hyperlink"/>
            <w:rFonts w:cstheme="minorHAnsi"/>
            <w:sz w:val="24"/>
            <w:szCs w:val="24"/>
          </w:rPr>
          <w:t>https://www.uklsa.co.uk/wp-content/uploads/2014/02/UKLSR-Volume-1-Issue-2-Article-5.pdf</w:t>
        </w:r>
      </w:hyperlink>
      <w:r w:rsidRPr="00F321E7">
        <w:rPr>
          <w:rFonts w:cstheme="minorHAnsi"/>
          <w:sz w:val="24"/>
          <w:szCs w:val="24"/>
        </w:rPr>
        <w:t xml:space="preserve"> Accessed 2</w:t>
      </w:r>
      <w:r w:rsidRPr="00F321E7">
        <w:rPr>
          <w:rFonts w:cstheme="minorHAnsi"/>
          <w:sz w:val="24"/>
          <w:szCs w:val="24"/>
          <w:vertAlign w:val="superscript"/>
        </w:rPr>
        <w:t>nd</w:t>
      </w:r>
      <w:r w:rsidRPr="00F321E7">
        <w:rPr>
          <w:rFonts w:cstheme="minorHAnsi"/>
          <w:sz w:val="24"/>
          <w:szCs w:val="24"/>
        </w:rPr>
        <w:t xml:space="preserve"> March. 2020. </w:t>
      </w:r>
    </w:p>
    <w:p w14:paraId="28C756AD" w14:textId="77777777" w:rsidR="00A34021" w:rsidRPr="00944263" w:rsidRDefault="00A34021" w:rsidP="00944263"/>
    <w:sectPr w:rsidR="00A34021" w:rsidRPr="00944263" w:rsidSect="00A773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263"/>
    <w:rsid w:val="00007780"/>
    <w:rsid w:val="00044646"/>
    <w:rsid w:val="00060BC7"/>
    <w:rsid w:val="00066FEC"/>
    <w:rsid w:val="00067723"/>
    <w:rsid w:val="00081614"/>
    <w:rsid w:val="00082D41"/>
    <w:rsid w:val="00084307"/>
    <w:rsid w:val="000C4351"/>
    <w:rsid w:val="00115580"/>
    <w:rsid w:val="00125950"/>
    <w:rsid w:val="00144DA0"/>
    <w:rsid w:val="00172A0D"/>
    <w:rsid w:val="001A5351"/>
    <w:rsid w:val="001A75FA"/>
    <w:rsid w:val="001D4F37"/>
    <w:rsid w:val="0022156A"/>
    <w:rsid w:val="002A26E0"/>
    <w:rsid w:val="002A5696"/>
    <w:rsid w:val="00316510"/>
    <w:rsid w:val="00327E8A"/>
    <w:rsid w:val="00330060"/>
    <w:rsid w:val="003C0B05"/>
    <w:rsid w:val="003C2C83"/>
    <w:rsid w:val="00421558"/>
    <w:rsid w:val="00445039"/>
    <w:rsid w:val="005014A3"/>
    <w:rsid w:val="005102E1"/>
    <w:rsid w:val="005241EC"/>
    <w:rsid w:val="005350F1"/>
    <w:rsid w:val="00543BFD"/>
    <w:rsid w:val="005671E3"/>
    <w:rsid w:val="00592F40"/>
    <w:rsid w:val="005D0EA3"/>
    <w:rsid w:val="005D151D"/>
    <w:rsid w:val="005F1EE2"/>
    <w:rsid w:val="005F431D"/>
    <w:rsid w:val="006064D1"/>
    <w:rsid w:val="00626AAF"/>
    <w:rsid w:val="006272BA"/>
    <w:rsid w:val="006412CE"/>
    <w:rsid w:val="00697A95"/>
    <w:rsid w:val="006A1C3F"/>
    <w:rsid w:val="006A424F"/>
    <w:rsid w:val="006D05DA"/>
    <w:rsid w:val="006F0CD6"/>
    <w:rsid w:val="00700FFB"/>
    <w:rsid w:val="00722A21"/>
    <w:rsid w:val="0072652C"/>
    <w:rsid w:val="00736E76"/>
    <w:rsid w:val="0075580F"/>
    <w:rsid w:val="00761326"/>
    <w:rsid w:val="007A03A9"/>
    <w:rsid w:val="007A0FA6"/>
    <w:rsid w:val="007C00A4"/>
    <w:rsid w:val="007D0155"/>
    <w:rsid w:val="007E1841"/>
    <w:rsid w:val="007E78F5"/>
    <w:rsid w:val="007F3AFE"/>
    <w:rsid w:val="008017E6"/>
    <w:rsid w:val="00814A9C"/>
    <w:rsid w:val="00855CC0"/>
    <w:rsid w:val="008A6E76"/>
    <w:rsid w:val="008C07E2"/>
    <w:rsid w:val="008F1116"/>
    <w:rsid w:val="009139E0"/>
    <w:rsid w:val="00917ED1"/>
    <w:rsid w:val="009311E9"/>
    <w:rsid w:val="00944263"/>
    <w:rsid w:val="0095010D"/>
    <w:rsid w:val="00963542"/>
    <w:rsid w:val="0096712F"/>
    <w:rsid w:val="00972DE1"/>
    <w:rsid w:val="00996E4C"/>
    <w:rsid w:val="009D4E77"/>
    <w:rsid w:val="009D683F"/>
    <w:rsid w:val="00A118D8"/>
    <w:rsid w:val="00A17A03"/>
    <w:rsid w:val="00A34021"/>
    <w:rsid w:val="00A61C6D"/>
    <w:rsid w:val="00A65969"/>
    <w:rsid w:val="00A7737C"/>
    <w:rsid w:val="00A77C41"/>
    <w:rsid w:val="00A97F71"/>
    <w:rsid w:val="00AC0CBA"/>
    <w:rsid w:val="00AC4BC4"/>
    <w:rsid w:val="00AC75BC"/>
    <w:rsid w:val="00AD1DF1"/>
    <w:rsid w:val="00AD6760"/>
    <w:rsid w:val="00AE4A8C"/>
    <w:rsid w:val="00B45ECA"/>
    <w:rsid w:val="00B47A0A"/>
    <w:rsid w:val="00B80169"/>
    <w:rsid w:val="00B817B6"/>
    <w:rsid w:val="00B94253"/>
    <w:rsid w:val="00BD5D46"/>
    <w:rsid w:val="00C15965"/>
    <w:rsid w:val="00C85F57"/>
    <w:rsid w:val="00CA2893"/>
    <w:rsid w:val="00D12A5B"/>
    <w:rsid w:val="00D41CAE"/>
    <w:rsid w:val="00D4432F"/>
    <w:rsid w:val="00D71B46"/>
    <w:rsid w:val="00DC0129"/>
    <w:rsid w:val="00DD18BD"/>
    <w:rsid w:val="00DD2D28"/>
    <w:rsid w:val="00DE718B"/>
    <w:rsid w:val="00E052CA"/>
    <w:rsid w:val="00E0630E"/>
    <w:rsid w:val="00E710AD"/>
    <w:rsid w:val="00E75A66"/>
    <w:rsid w:val="00E83FB5"/>
    <w:rsid w:val="00E90D9B"/>
    <w:rsid w:val="00FA66E7"/>
    <w:rsid w:val="00FA69B0"/>
    <w:rsid w:val="00FB3200"/>
    <w:rsid w:val="00FB5D52"/>
    <w:rsid w:val="00FD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30B82"/>
  <w15:chartTrackingRefBased/>
  <w15:docId w15:val="{C722CAFF-E599-46DC-94D5-23AC63CB6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58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D18BD"/>
    <w:rPr>
      <w:color w:val="0000FF"/>
      <w:u w:val="single"/>
    </w:rPr>
  </w:style>
  <w:style w:type="paragraph" w:styleId="NoSpacing">
    <w:name w:val="No Spacing"/>
    <w:link w:val="NoSpacingChar"/>
    <w:uiPriority w:val="1"/>
    <w:qFormat/>
    <w:rsid w:val="00A773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737C"/>
    <w:rPr>
      <w:rFonts w:eastAsiaTheme="minorEastAsia"/>
      <w:lang w:val="en-US"/>
    </w:rPr>
  </w:style>
  <w:style w:type="character" w:customStyle="1" w:styleId="nlmyear">
    <w:name w:val="nlm_year"/>
    <w:basedOn w:val="DefaultParagraphFont"/>
    <w:rsid w:val="00A34021"/>
  </w:style>
  <w:style w:type="character" w:customStyle="1" w:styleId="nlmarticle-title">
    <w:name w:val="nlm_article-title"/>
    <w:basedOn w:val="DefaultParagraphFont"/>
    <w:rsid w:val="00A34021"/>
  </w:style>
  <w:style w:type="character" w:customStyle="1" w:styleId="nlmpublisher-loc">
    <w:name w:val="nlm_publisher-loc"/>
    <w:basedOn w:val="DefaultParagraphFont"/>
    <w:rsid w:val="00A34021"/>
  </w:style>
  <w:style w:type="character" w:customStyle="1" w:styleId="nlmpublisher-name">
    <w:name w:val="nlm_publisher-name"/>
    <w:basedOn w:val="DefaultParagraphFont"/>
    <w:rsid w:val="00A34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ezproxy.uwtsd.ac.uk/doi/full/10.1177/1473225413492054" TargetMode="External"/><Relationship Id="rId18" Type="http://schemas.openxmlformats.org/officeDocument/2006/relationships/hyperlink" Target="https://scholar.harvard.edu/sampson/files/1997_act_laub.pdf" TargetMode="External"/><Relationship Id="rId3" Type="http://schemas.openxmlformats.org/officeDocument/2006/relationships/customXml" Target="../customXml/item3.xml"/><Relationship Id="rId21" Type="http://schemas.openxmlformats.org/officeDocument/2006/relationships/hyperlink" Target="https://www.researchgate.net/publication/311708616_The_minimum_age_of_criminal_responsibility_in_continental_Europe_has_a_solid_rational_base" TargetMode="External"/><Relationship Id="rId7" Type="http://schemas.openxmlformats.org/officeDocument/2006/relationships/webSettings" Target="webSettings.xml"/><Relationship Id="rId12" Type="http://schemas.openxmlformats.org/officeDocument/2006/relationships/hyperlink" Target="https://journals.sagepub.com/doi/10.1177/1473225413492053" TargetMode="External"/><Relationship Id="rId17" Type="http://schemas.openxmlformats.org/officeDocument/2006/relationships/hyperlink" Target="https://journals.sagepub.com/doi/abs/10.1177/1473225413492056?journalCode=yjj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pers.ssrn.com/sol3/papers.cfm?abstract_id=1967099" TargetMode="External"/><Relationship Id="rId20" Type="http://schemas.openxmlformats.org/officeDocument/2006/relationships/hyperlink" Target="https://www.refworld.org/docid/4670fca12.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re.au.dk/portal/files/118094764/wp17_10.pdf"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publications.parliament.uk/pa/jt200809/jtselect/jtrights/157/157.pdf" TargetMode="External"/><Relationship Id="rId23" Type="http://schemas.openxmlformats.org/officeDocument/2006/relationships/fontTable" Target="fontTable.xml"/><Relationship Id="rId10" Type="http://schemas.openxmlformats.org/officeDocument/2006/relationships/hyperlink" Target="https://thenayj.org.uk/wp-content/uploads/2015/06/2012-The-Age-of-Criminal-responsibility.pdf%20Accessed%202nd%20March.%202020" TargetMode="External"/><Relationship Id="rId19" Type="http://schemas.openxmlformats.org/officeDocument/2006/relationships/hyperlink" Target="https://assets.publishing.service.gov.uk/government/uploads/system/uploads/attachment_data/file/577105/youth-justice-review-final-report-print.pdf"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oxfordscholarship.com/view/10.1093/acprof:oso/9780199534777.001.0001/acprof-9780199534777-chapter-8" TargetMode="External"/><Relationship Id="rId22" Type="http://schemas.openxmlformats.org/officeDocument/2006/relationships/hyperlink" Target="https://www.uklsa.co.uk/wp-content/uploads/2014/02/UKLSR-Volume-1-Issue-2-Article-5.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4CF77612244CF281EAD9583EDB1BA9"/>
        <w:category>
          <w:name w:val="General"/>
          <w:gallery w:val="placeholder"/>
        </w:category>
        <w:types>
          <w:type w:val="bbPlcHdr"/>
        </w:types>
        <w:behaviors>
          <w:behavior w:val="content"/>
        </w:behaviors>
        <w:guid w:val="{6099CE98-1655-4035-B674-E6180300E7F4}"/>
      </w:docPartPr>
      <w:docPartBody>
        <w:p w:rsidR="001C595B" w:rsidRDefault="002D189E" w:rsidP="002D189E">
          <w:pPr>
            <w:pStyle w:val="514CF77612244CF281EAD9583EDB1BA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89E"/>
    <w:rsid w:val="001C595B"/>
    <w:rsid w:val="00280E4E"/>
    <w:rsid w:val="002D189E"/>
    <w:rsid w:val="003C6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4CF77612244CF281EAD9583EDB1BA9">
    <w:name w:val="514CF77612244CF281EAD9583EDB1BA9"/>
    <w:rsid w:val="002D189E"/>
  </w:style>
  <w:style w:type="paragraph" w:customStyle="1" w:styleId="94BE7CE48E8047E684CA274B05750C6C">
    <w:name w:val="94BE7CE48E8047E684CA274B05750C6C"/>
    <w:rsid w:val="002D18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University of Wales, Trinity St David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4fb2ee25cf3526e7c3e0eae336305ca">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a74cf07def3819fcc62303485ff863a2"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AF9875-1C49-4339-AC92-C89E68F9FF5E}">
  <ds:schemaRefs>
    <ds:schemaRef ds:uri="http://schemas.microsoft.com/sharepoint/v3/contenttype/forms"/>
  </ds:schemaRefs>
</ds:datastoreItem>
</file>

<file path=customXml/itemProps3.xml><?xml version="1.0" encoding="utf-8"?>
<ds:datastoreItem xmlns:ds="http://schemas.openxmlformats.org/officeDocument/2006/customXml" ds:itemID="{3979AB0E-31ED-4CD4-BFD1-7F7B7F777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4B1A0F-6B93-4305-83BB-E34261798546}">
  <ds:schemaRefs>
    <ds:schemaRef ds:uri="http://schemas.microsoft.com/office/2006/metadata/properties"/>
    <ds:schemaRef ds:uri="http://schemas.microsoft.com/office/infopath/2007/PartnerControls"/>
    <ds:schemaRef ds:uri="7ac54d59-15ae-468f-8833-3c6b8f4d3013"/>
    <ds:schemaRef ds:uri="http://purl.org/dc/dcmitype/"/>
    <ds:schemaRef ds:uri="http://schemas.microsoft.com/office/2006/documentManagement/types"/>
    <ds:schemaRef ds:uri="21682d76-7fed-41ad-9dab-ad3c63b4cd86"/>
    <ds:schemaRef ds:uri="http://www.w3.org/XML/1998/namespace"/>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3500</Words>
  <Characters>19954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Minimum age of criminal responsibilty</vt:lpstr>
    </vt:vector>
  </TitlesOfParts>
  <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Minimum age of criminal responsibilty</dc:title>
  <dc:subject/>
  <dc:creator>Joe Williams</dc:creator>
  <cp:keywords/>
  <dc:description/>
  <cp:lastModifiedBy>Joe Williams</cp:lastModifiedBy>
  <cp:revision>2</cp:revision>
  <dcterms:created xsi:type="dcterms:W3CDTF">2020-03-16T15:37:00Z</dcterms:created>
  <dcterms:modified xsi:type="dcterms:W3CDTF">2020-03-16T15:37:00Z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