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78C4E5" w14:textId="77777777" w:rsidR="00575474" w:rsidRDefault="00575474" w:rsidP="003D3BC1">
      <w:pPr>
        <w:spacing w:after="0" w:line="360" w:lineRule="auto"/>
        <w:jc w:val="both"/>
        <w:rPr>
          <w:rFonts w:ascii="Times New Roman" w:hAnsi="Times New Roman" w:cs="Times New Roman"/>
          <w:sz w:val="24"/>
          <w:szCs w:val="24"/>
        </w:rPr>
      </w:pPr>
    </w:p>
    <w:p w14:paraId="538EDA75" w14:textId="77777777" w:rsidR="009C6A6F" w:rsidRDefault="009C6A6F" w:rsidP="003D3BC1">
      <w:pPr>
        <w:spacing w:after="0" w:line="360" w:lineRule="auto"/>
        <w:jc w:val="both"/>
        <w:rPr>
          <w:rFonts w:ascii="Times New Roman" w:hAnsi="Times New Roman" w:cs="Times New Roman"/>
          <w:sz w:val="24"/>
          <w:szCs w:val="24"/>
        </w:rPr>
      </w:pPr>
    </w:p>
    <w:p w14:paraId="2A5F90BF" w14:textId="77777777" w:rsidR="009C6A6F" w:rsidRDefault="009C6A6F" w:rsidP="003D3BC1">
      <w:pPr>
        <w:spacing w:after="0" w:line="360" w:lineRule="auto"/>
        <w:jc w:val="both"/>
        <w:rPr>
          <w:rFonts w:ascii="Times New Roman" w:hAnsi="Times New Roman" w:cs="Times New Roman"/>
          <w:sz w:val="24"/>
          <w:szCs w:val="24"/>
        </w:rPr>
      </w:pPr>
    </w:p>
    <w:p w14:paraId="2F40CBD9" w14:textId="77777777" w:rsidR="009C6A6F" w:rsidRDefault="009C6A6F" w:rsidP="003D3BC1">
      <w:pPr>
        <w:spacing w:after="0" w:line="360" w:lineRule="auto"/>
        <w:jc w:val="both"/>
        <w:rPr>
          <w:rFonts w:ascii="Times New Roman" w:hAnsi="Times New Roman" w:cs="Times New Roman"/>
          <w:sz w:val="24"/>
          <w:szCs w:val="24"/>
        </w:rPr>
      </w:pPr>
    </w:p>
    <w:p w14:paraId="63D92337" w14:textId="77777777" w:rsidR="009C6A6F" w:rsidRDefault="009C6A6F" w:rsidP="003D3BC1">
      <w:pPr>
        <w:spacing w:after="0" w:line="360" w:lineRule="auto"/>
        <w:jc w:val="both"/>
        <w:rPr>
          <w:rFonts w:ascii="Times New Roman" w:hAnsi="Times New Roman" w:cs="Times New Roman"/>
          <w:sz w:val="24"/>
          <w:szCs w:val="24"/>
        </w:rPr>
      </w:pPr>
    </w:p>
    <w:p w14:paraId="1C28D797" w14:textId="77777777" w:rsidR="009C6A6F" w:rsidRDefault="009C6A6F" w:rsidP="003D3BC1">
      <w:pPr>
        <w:spacing w:after="0" w:line="360" w:lineRule="auto"/>
        <w:jc w:val="both"/>
        <w:rPr>
          <w:rFonts w:ascii="Times New Roman" w:hAnsi="Times New Roman" w:cs="Times New Roman"/>
          <w:sz w:val="24"/>
          <w:szCs w:val="24"/>
        </w:rPr>
      </w:pPr>
    </w:p>
    <w:p w14:paraId="65E370D4" w14:textId="77777777" w:rsidR="009C6A6F" w:rsidRPr="00F742F8" w:rsidRDefault="009C6A6F" w:rsidP="003D3BC1">
      <w:pPr>
        <w:spacing w:after="0" w:line="360" w:lineRule="auto"/>
        <w:jc w:val="both"/>
        <w:rPr>
          <w:rFonts w:ascii="Times New Roman" w:hAnsi="Times New Roman" w:cs="Times New Roman"/>
          <w:sz w:val="24"/>
          <w:szCs w:val="24"/>
        </w:rPr>
      </w:pPr>
    </w:p>
    <w:p w14:paraId="616C5EF6" w14:textId="77777777" w:rsidR="009C6A6F" w:rsidRPr="00F742F8" w:rsidRDefault="009C6A6F" w:rsidP="003D3BC1">
      <w:pPr>
        <w:spacing w:after="0" w:line="360" w:lineRule="auto"/>
        <w:jc w:val="both"/>
        <w:rPr>
          <w:rFonts w:ascii="Times New Roman" w:hAnsi="Times New Roman" w:cs="Times New Roman"/>
          <w:sz w:val="24"/>
          <w:szCs w:val="24"/>
        </w:rPr>
      </w:pPr>
    </w:p>
    <w:p w14:paraId="1583FD6E" w14:textId="77777777" w:rsidR="009C6A6F" w:rsidRPr="00F742F8" w:rsidRDefault="009C6A6F" w:rsidP="003D3BC1">
      <w:pPr>
        <w:spacing w:after="0" w:line="360" w:lineRule="auto"/>
        <w:jc w:val="both"/>
        <w:rPr>
          <w:rFonts w:ascii="Times New Roman" w:hAnsi="Times New Roman" w:cs="Times New Roman"/>
          <w:sz w:val="24"/>
          <w:szCs w:val="24"/>
        </w:rPr>
      </w:pPr>
    </w:p>
    <w:p w14:paraId="039E1452" w14:textId="77777777" w:rsidR="009C6A6F" w:rsidRPr="00F742F8" w:rsidRDefault="009C6A6F" w:rsidP="003D3BC1">
      <w:pPr>
        <w:spacing w:after="0" w:line="360" w:lineRule="auto"/>
        <w:jc w:val="both"/>
        <w:rPr>
          <w:rFonts w:ascii="Times New Roman" w:hAnsi="Times New Roman" w:cs="Times New Roman"/>
          <w:sz w:val="24"/>
          <w:szCs w:val="24"/>
        </w:rPr>
      </w:pPr>
    </w:p>
    <w:p w14:paraId="627E3978" w14:textId="77777777" w:rsidR="009C6A6F" w:rsidRPr="00F742F8" w:rsidRDefault="009C6A6F" w:rsidP="003D3BC1">
      <w:pPr>
        <w:spacing w:after="0" w:line="360" w:lineRule="auto"/>
        <w:jc w:val="both"/>
        <w:rPr>
          <w:rFonts w:ascii="Times New Roman" w:hAnsi="Times New Roman" w:cs="Times New Roman"/>
          <w:sz w:val="24"/>
          <w:szCs w:val="24"/>
        </w:rPr>
      </w:pPr>
    </w:p>
    <w:p w14:paraId="1F6FACD4" w14:textId="77777777" w:rsidR="009C6A6F" w:rsidRPr="00F742F8" w:rsidRDefault="009C6A6F" w:rsidP="003D3BC1">
      <w:pPr>
        <w:spacing w:after="0" w:line="360" w:lineRule="auto"/>
        <w:jc w:val="both"/>
        <w:rPr>
          <w:rFonts w:ascii="Times New Roman" w:hAnsi="Times New Roman" w:cs="Times New Roman"/>
          <w:sz w:val="24"/>
          <w:szCs w:val="24"/>
        </w:rPr>
      </w:pPr>
    </w:p>
    <w:p w14:paraId="1A45FAA3" w14:textId="77777777" w:rsidR="009C6A6F" w:rsidRPr="00F742F8" w:rsidRDefault="009C6A6F" w:rsidP="003D3BC1">
      <w:pPr>
        <w:spacing w:after="0" w:line="360" w:lineRule="auto"/>
        <w:jc w:val="both"/>
        <w:rPr>
          <w:rFonts w:ascii="Times New Roman" w:hAnsi="Times New Roman" w:cs="Times New Roman"/>
          <w:sz w:val="24"/>
          <w:szCs w:val="24"/>
        </w:rPr>
      </w:pPr>
    </w:p>
    <w:p w14:paraId="09AD0CD8" w14:textId="77777777" w:rsidR="009C6A6F" w:rsidRPr="00F742F8" w:rsidRDefault="009C6A6F" w:rsidP="003D3BC1">
      <w:pPr>
        <w:spacing w:after="0" w:line="360" w:lineRule="auto"/>
        <w:jc w:val="both"/>
        <w:rPr>
          <w:rFonts w:ascii="Times New Roman" w:hAnsi="Times New Roman" w:cs="Times New Roman"/>
          <w:sz w:val="24"/>
          <w:szCs w:val="24"/>
        </w:rPr>
      </w:pPr>
    </w:p>
    <w:p w14:paraId="4ED274D6" w14:textId="77777777" w:rsidR="009C6A6F" w:rsidRPr="00F742F8" w:rsidRDefault="009C6A6F" w:rsidP="003D3BC1">
      <w:pPr>
        <w:spacing w:after="0" w:line="360" w:lineRule="auto"/>
        <w:jc w:val="both"/>
        <w:rPr>
          <w:rFonts w:ascii="Times New Roman" w:hAnsi="Times New Roman" w:cs="Times New Roman"/>
          <w:sz w:val="24"/>
          <w:szCs w:val="24"/>
        </w:rPr>
      </w:pPr>
    </w:p>
    <w:p w14:paraId="7AD922AF" w14:textId="77777777" w:rsidR="009C6A6F" w:rsidRPr="00F742F8" w:rsidRDefault="009C6A6F" w:rsidP="003D3BC1">
      <w:pPr>
        <w:spacing w:after="0" w:line="360" w:lineRule="auto"/>
        <w:jc w:val="both"/>
        <w:rPr>
          <w:rFonts w:ascii="Times New Roman" w:hAnsi="Times New Roman" w:cs="Times New Roman"/>
          <w:sz w:val="24"/>
          <w:szCs w:val="24"/>
        </w:rPr>
      </w:pPr>
    </w:p>
    <w:p w14:paraId="771497D2" w14:textId="77777777" w:rsidR="009C6A6F" w:rsidRPr="00F742F8" w:rsidRDefault="009C6A6F" w:rsidP="003D3BC1">
      <w:pPr>
        <w:spacing w:after="0" w:line="360" w:lineRule="auto"/>
        <w:jc w:val="both"/>
        <w:rPr>
          <w:rFonts w:ascii="Times New Roman" w:hAnsi="Times New Roman" w:cs="Times New Roman"/>
          <w:sz w:val="24"/>
          <w:szCs w:val="24"/>
        </w:rPr>
      </w:pPr>
    </w:p>
    <w:p w14:paraId="6C11440E" w14:textId="77777777" w:rsidR="009C6A6F" w:rsidRPr="00F742F8" w:rsidRDefault="009C6A6F" w:rsidP="003D3BC1">
      <w:pPr>
        <w:spacing w:after="0" w:line="360" w:lineRule="auto"/>
        <w:jc w:val="both"/>
        <w:rPr>
          <w:rFonts w:ascii="Times New Roman" w:hAnsi="Times New Roman" w:cs="Times New Roman"/>
          <w:sz w:val="24"/>
          <w:szCs w:val="24"/>
        </w:rPr>
      </w:pPr>
    </w:p>
    <w:p w14:paraId="6D6CB529" w14:textId="77777777" w:rsidR="009C6A6F" w:rsidRPr="00F742F8" w:rsidRDefault="009C6A6F" w:rsidP="003D3BC1">
      <w:pPr>
        <w:spacing w:after="0" w:line="360" w:lineRule="auto"/>
        <w:jc w:val="both"/>
        <w:rPr>
          <w:rFonts w:ascii="Times New Roman" w:hAnsi="Times New Roman" w:cs="Times New Roman"/>
          <w:sz w:val="24"/>
          <w:szCs w:val="24"/>
        </w:rPr>
      </w:pPr>
    </w:p>
    <w:p w14:paraId="7E6ECB45" w14:textId="77777777" w:rsidR="009C6A6F" w:rsidRPr="00F742F8" w:rsidRDefault="009C6A6F" w:rsidP="003D3BC1">
      <w:pPr>
        <w:spacing w:after="0" w:line="360" w:lineRule="auto"/>
        <w:jc w:val="both"/>
        <w:rPr>
          <w:rFonts w:ascii="Times New Roman" w:hAnsi="Times New Roman" w:cs="Times New Roman"/>
          <w:sz w:val="24"/>
          <w:szCs w:val="24"/>
        </w:rPr>
      </w:pPr>
    </w:p>
    <w:p w14:paraId="7B790D20" w14:textId="77777777" w:rsidR="009C6A6F" w:rsidRPr="00F742F8" w:rsidRDefault="009C6A6F" w:rsidP="003D3BC1">
      <w:pPr>
        <w:spacing w:after="0" w:line="360" w:lineRule="auto"/>
        <w:jc w:val="both"/>
        <w:rPr>
          <w:rFonts w:ascii="Times New Roman" w:hAnsi="Times New Roman" w:cs="Times New Roman"/>
          <w:sz w:val="24"/>
          <w:szCs w:val="24"/>
        </w:rPr>
      </w:pPr>
    </w:p>
    <w:p w14:paraId="6DF97697" w14:textId="77777777" w:rsidR="009C6A6F" w:rsidRPr="00F742F8" w:rsidRDefault="009C6A6F" w:rsidP="003D3BC1">
      <w:pPr>
        <w:spacing w:after="0" w:line="360" w:lineRule="auto"/>
        <w:jc w:val="both"/>
        <w:rPr>
          <w:rFonts w:ascii="Times New Roman" w:hAnsi="Times New Roman" w:cs="Times New Roman"/>
          <w:sz w:val="24"/>
          <w:szCs w:val="24"/>
        </w:rPr>
      </w:pPr>
    </w:p>
    <w:p w14:paraId="16476356" w14:textId="77777777" w:rsidR="009C6A6F" w:rsidRPr="00F742F8" w:rsidRDefault="009C6A6F" w:rsidP="003D3BC1">
      <w:pPr>
        <w:spacing w:after="0" w:line="360" w:lineRule="auto"/>
        <w:jc w:val="both"/>
        <w:rPr>
          <w:rFonts w:ascii="Times New Roman" w:hAnsi="Times New Roman" w:cs="Times New Roman"/>
          <w:sz w:val="24"/>
          <w:szCs w:val="24"/>
        </w:rPr>
      </w:pPr>
    </w:p>
    <w:p w14:paraId="4BBAA40C" w14:textId="77777777" w:rsidR="009C6A6F" w:rsidRPr="00462074" w:rsidRDefault="009C6A6F" w:rsidP="003D3BC1">
      <w:pPr>
        <w:spacing w:after="0" w:line="360" w:lineRule="auto"/>
        <w:jc w:val="both"/>
        <w:rPr>
          <w:rFonts w:ascii="Arial" w:hAnsi="Arial" w:cs="Arial"/>
          <w:color w:val="000000" w:themeColor="text1"/>
          <w:sz w:val="24"/>
          <w:szCs w:val="24"/>
        </w:rPr>
      </w:pPr>
    </w:p>
    <w:p w14:paraId="523436FA" w14:textId="318A64DF" w:rsidR="009C6A6F" w:rsidRPr="00462074" w:rsidRDefault="009C6A6F" w:rsidP="003D3BC1">
      <w:pPr>
        <w:spacing w:after="0" w:line="360" w:lineRule="auto"/>
        <w:jc w:val="both"/>
        <w:rPr>
          <w:rFonts w:ascii="Arial" w:hAnsi="Arial" w:cs="Arial"/>
          <w:color w:val="000000" w:themeColor="text1"/>
          <w:sz w:val="24"/>
          <w:szCs w:val="24"/>
        </w:rPr>
      </w:pPr>
      <w:r w:rsidRPr="00462074">
        <w:rPr>
          <w:rFonts w:ascii="Arial" w:hAnsi="Arial" w:cs="Arial"/>
          <w:color w:val="000000" w:themeColor="text1"/>
          <w:sz w:val="24"/>
          <w:szCs w:val="24"/>
        </w:rPr>
        <w:tab/>
      </w:r>
      <w:r w:rsidRPr="00462074">
        <w:rPr>
          <w:rFonts w:ascii="Arial" w:hAnsi="Arial" w:cs="Arial"/>
          <w:color w:val="000000" w:themeColor="text1"/>
          <w:sz w:val="24"/>
          <w:szCs w:val="24"/>
        </w:rPr>
        <w:tab/>
      </w:r>
      <w:r w:rsidRPr="00462074">
        <w:rPr>
          <w:rFonts w:ascii="Arial" w:hAnsi="Arial" w:cs="Arial"/>
          <w:color w:val="000000" w:themeColor="text1"/>
          <w:sz w:val="24"/>
          <w:szCs w:val="24"/>
        </w:rPr>
        <w:tab/>
      </w:r>
      <w:r w:rsidRPr="00462074">
        <w:rPr>
          <w:rFonts w:ascii="Arial" w:hAnsi="Arial" w:cs="Arial"/>
          <w:color w:val="000000" w:themeColor="text1"/>
          <w:sz w:val="24"/>
          <w:szCs w:val="24"/>
        </w:rPr>
        <w:tab/>
      </w:r>
      <w:r w:rsidR="001D20E5" w:rsidRPr="00462074">
        <w:rPr>
          <w:rFonts w:ascii="Arial" w:hAnsi="Arial" w:cs="Arial"/>
          <w:color w:val="000000" w:themeColor="text1"/>
          <w:sz w:val="24"/>
          <w:szCs w:val="24"/>
        </w:rPr>
        <w:tab/>
      </w:r>
      <w:r w:rsidRPr="00462074">
        <w:rPr>
          <w:rFonts w:ascii="Arial" w:hAnsi="Arial" w:cs="Arial"/>
          <w:color w:val="000000" w:themeColor="text1"/>
          <w:sz w:val="24"/>
          <w:szCs w:val="24"/>
        </w:rPr>
        <w:t xml:space="preserve">Tort Law </w:t>
      </w:r>
    </w:p>
    <w:p w14:paraId="13A56735" w14:textId="223AEBFC" w:rsidR="009C6A6F" w:rsidRPr="00462074" w:rsidRDefault="009C6A6F" w:rsidP="003D3BC1">
      <w:pPr>
        <w:spacing w:after="0" w:line="360" w:lineRule="auto"/>
        <w:jc w:val="both"/>
        <w:rPr>
          <w:rFonts w:ascii="Arial" w:hAnsi="Arial" w:cs="Arial"/>
          <w:color w:val="000000" w:themeColor="text1"/>
          <w:sz w:val="24"/>
          <w:szCs w:val="24"/>
        </w:rPr>
      </w:pPr>
      <w:r w:rsidRPr="00462074">
        <w:rPr>
          <w:rFonts w:ascii="Arial" w:hAnsi="Arial" w:cs="Arial"/>
          <w:color w:val="000000" w:themeColor="text1"/>
          <w:sz w:val="24"/>
          <w:szCs w:val="24"/>
        </w:rPr>
        <w:tab/>
      </w:r>
      <w:r w:rsidR="001D20E5" w:rsidRPr="00462074">
        <w:rPr>
          <w:rFonts w:ascii="Arial" w:hAnsi="Arial" w:cs="Arial"/>
          <w:color w:val="000000" w:themeColor="text1"/>
          <w:sz w:val="24"/>
          <w:szCs w:val="24"/>
        </w:rPr>
        <w:tab/>
      </w:r>
      <w:r w:rsidR="001D20E5" w:rsidRPr="00462074">
        <w:rPr>
          <w:rFonts w:ascii="Arial" w:hAnsi="Arial" w:cs="Arial"/>
          <w:color w:val="000000" w:themeColor="text1"/>
          <w:sz w:val="24"/>
          <w:szCs w:val="24"/>
        </w:rPr>
        <w:tab/>
      </w:r>
      <w:r w:rsidR="001D20E5" w:rsidRPr="00462074">
        <w:rPr>
          <w:rFonts w:ascii="Arial" w:hAnsi="Arial" w:cs="Arial"/>
          <w:color w:val="000000" w:themeColor="text1"/>
          <w:sz w:val="24"/>
          <w:szCs w:val="24"/>
        </w:rPr>
        <w:tab/>
        <w:t xml:space="preserve">         Duty of care </w:t>
      </w:r>
    </w:p>
    <w:p w14:paraId="382DEDC3" w14:textId="77777777" w:rsidR="009C6A6F" w:rsidRPr="00462074" w:rsidRDefault="009C6A6F" w:rsidP="003D3BC1">
      <w:pPr>
        <w:spacing w:after="0" w:line="360" w:lineRule="auto"/>
        <w:jc w:val="both"/>
        <w:rPr>
          <w:rFonts w:ascii="Arial" w:hAnsi="Arial" w:cs="Arial"/>
          <w:color w:val="000000" w:themeColor="text1"/>
          <w:sz w:val="24"/>
          <w:szCs w:val="24"/>
        </w:rPr>
      </w:pPr>
    </w:p>
    <w:p w14:paraId="55071C9E" w14:textId="77777777" w:rsidR="009C6A6F" w:rsidRPr="00462074" w:rsidRDefault="009C6A6F" w:rsidP="003D3BC1">
      <w:pPr>
        <w:spacing w:after="0" w:line="360" w:lineRule="auto"/>
        <w:jc w:val="both"/>
        <w:rPr>
          <w:rFonts w:ascii="Arial" w:hAnsi="Arial" w:cs="Arial"/>
          <w:color w:val="000000" w:themeColor="text1"/>
          <w:sz w:val="24"/>
          <w:szCs w:val="24"/>
        </w:rPr>
      </w:pPr>
    </w:p>
    <w:p w14:paraId="0CE1BDE1" w14:textId="77777777" w:rsidR="009C6A6F" w:rsidRPr="00462074" w:rsidRDefault="009C6A6F" w:rsidP="003D3BC1">
      <w:pPr>
        <w:spacing w:after="0" w:line="360" w:lineRule="auto"/>
        <w:jc w:val="both"/>
        <w:rPr>
          <w:rFonts w:ascii="Arial" w:hAnsi="Arial" w:cs="Arial"/>
          <w:color w:val="000000" w:themeColor="text1"/>
          <w:sz w:val="24"/>
          <w:szCs w:val="24"/>
        </w:rPr>
      </w:pPr>
    </w:p>
    <w:p w14:paraId="4B3E2A78" w14:textId="77777777" w:rsidR="009C6A6F" w:rsidRPr="00462074" w:rsidRDefault="009C6A6F" w:rsidP="003D3BC1">
      <w:pPr>
        <w:spacing w:after="0" w:line="360" w:lineRule="auto"/>
        <w:jc w:val="both"/>
        <w:rPr>
          <w:rFonts w:ascii="Arial" w:hAnsi="Arial" w:cs="Arial"/>
          <w:color w:val="000000" w:themeColor="text1"/>
          <w:sz w:val="24"/>
          <w:szCs w:val="24"/>
        </w:rPr>
      </w:pPr>
    </w:p>
    <w:p w14:paraId="2AF00D3E" w14:textId="77777777" w:rsidR="009C6A6F" w:rsidRPr="00462074" w:rsidRDefault="009C6A6F" w:rsidP="003D3BC1">
      <w:pPr>
        <w:spacing w:after="0" w:line="360" w:lineRule="auto"/>
        <w:jc w:val="both"/>
        <w:rPr>
          <w:rFonts w:ascii="Arial" w:hAnsi="Arial" w:cs="Arial"/>
          <w:color w:val="000000" w:themeColor="text1"/>
          <w:sz w:val="24"/>
          <w:szCs w:val="24"/>
        </w:rPr>
      </w:pPr>
    </w:p>
    <w:p w14:paraId="5638E095" w14:textId="77777777" w:rsidR="009C6A6F" w:rsidRPr="00462074" w:rsidRDefault="009C6A6F" w:rsidP="003D3BC1">
      <w:pPr>
        <w:spacing w:after="0" w:line="360" w:lineRule="auto"/>
        <w:jc w:val="both"/>
        <w:rPr>
          <w:rFonts w:ascii="Arial" w:hAnsi="Arial" w:cs="Arial"/>
          <w:color w:val="000000" w:themeColor="text1"/>
          <w:sz w:val="24"/>
          <w:szCs w:val="24"/>
        </w:rPr>
      </w:pPr>
    </w:p>
    <w:p w14:paraId="031ECD32" w14:textId="77777777" w:rsidR="009C6A6F" w:rsidRPr="00462074" w:rsidRDefault="009C6A6F" w:rsidP="003D3BC1">
      <w:pPr>
        <w:spacing w:after="0" w:line="360" w:lineRule="auto"/>
        <w:jc w:val="both"/>
        <w:rPr>
          <w:rFonts w:ascii="Arial" w:hAnsi="Arial" w:cs="Arial"/>
          <w:color w:val="000000" w:themeColor="text1"/>
          <w:sz w:val="24"/>
          <w:szCs w:val="24"/>
        </w:rPr>
      </w:pPr>
    </w:p>
    <w:p w14:paraId="50266D91" w14:textId="77777777" w:rsidR="00575474" w:rsidRPr="00462074" w:rsidRDefault="00575474" w:rsidP="003D3BC1">
      <w:pPr>
        <w:spacing w:after="0" w:line="360" w:lineRule="auto"/>
        <w:jc w:val="both"/>
        <w:rPr>
          <w:rFonts w:ascii="Arial" w:hAnsi="Arial" w:cs="Arial"/>
          <w:color w:val="000000" w:themeColor="text1"/>
          <w:sz w:val="24"/>
          <w:szCs w:val="24"/>
        </w:rPr>
      </w:pPr>
    </w:p>
    <w:p w14:paraId="6D462E7D" w14:textId="52E67E78" w:rsidR="00575474" w:rsidRPr="00462074" w:rsidRDefault="00575474" w:rsidP="005C770E">
      <w:pPr>
        <w:pStyle w:val="Heading2"/>
        <w:ind w:firstLine="0"/>
        <w:rPr>
          <w:rFonts w:ascii="Arial" w:hAnsi="Arial" w:cs="Arial"/>
        </w:rPr>
      </w:pPr>
    </w:p>
    <w:p w14:paraId="1D495A63" w14:textId="77777777" w:rsidR="005348F7" w:rsidRPr="00462074" w:rsidRDefault="004629EE" w:rsidP="00D60671">
      <w:pPr>
        <w:spacing w:after="0" w:line="360" w:lineRule="auto"/>
        <w:jc w:val="both"/>
        <w:rPr>
          <w:rFonts w:ascii="Arial" w:hAnsi="Arial" w:cs="Arial"/>
          <w:color w:val="000000" w:themeColor="text1"/>
          <w:sz w:val="24"/>
          <w:szCs w:val="24"/>
        </w:rPr>
      </w:pPr>
      <w:r w:rsidRPr="00462074">
        <w:rPr>
          <w:rFonts w:ascii="Arial" w:hAnsi="Arial" w:cs="Arial"/>
          <w:color w:val="000000" w:themeColor="text1"/>
          <w:sz w:val="24"/>
          <w:szCs w:val="24"/>
        </w:rPr>
        <w:t xml:space="preserve">Under </w:t>
      </w:r>
      <w:r w:rsidR="00DF5CB3" w:rsidRPr="00462074">
        <w:rPr>
          <w:rFonts w:ascii="Arial" w:hAnsi="Arial" w:cs="Arial"/>
          <w:color w:val="000000" w:themeColor="text1"/>
          <w:sz w:val="24"/>
          <w:szCs w:val="24"/>
        </w:rPr>
        <w:t xml:space="preserve">The </w:t>
      </w:r>
      <w:r w:rsidRPr="00462074">
        <w:rPr>
          <w:rFonts w:ascii="Arial" w:hAnsi="Arial" w:cs="Arial"/>
          <w:color w:val="000000" w:themeColor="text1"/>
          <w:sz w:val="24"/>
          <w:szCs w:val="24"/>
        </w:rPr>
        <w:t>Employmen</w:t>
      </w:r>
      <w:r w:rsidR="00DF5CB3" w:rsidRPr="00462074">
        <w:rPr>
          <w:rFonts w:ascii="Arial" w:hAnsi="Arial" w:cs="Arial"/>
          <w:color w:val="000000" w:themeColor="text1"/>
          <w:sz w:val="24"/>
          <w:szCs w:val="24"/>
        </w:rPr>
        <w:t xml:space="preserve">t Law Act 1996 a </w:t>
      </w:r>
      <w:r w:rsidRPr="00462074">
        <w:rPr>
          <w:rFonts w:ascii="Arial" w:hAnsi="Arial" w:cs="Arial"/>
          <w:color w:val="000000" w:themeColor="text1"/>
          <w:sz w:val="24"/>
          <w:szCs w:val="24"/>
        </w:rPr>
        <w:t>e</w:t>
      </w:r>
      <w:r w:rsidR="00F95D05" w:rsidRPr="00462074">
        <w:rPr>
          <w:rFonts w:ascii="Arial" w:hAnsi="Arial" w:cs="Arial"/>
          <w:color w:val="000000" w:themeColor="text1"/>
          <w:sz w:val="24"/>
          <w:szCs w:val="24"/>
        </w:rPr>
        <w:t>mployer</w:t>
      </w:r>
      <w:r w:rsidR="009E4753" w:rsidRPr="00462074">
        <w:rPr>
          <w:rFonts w:ascii="Arial" w:hAnsi="Arial" w:cs="Arial"/>
          <w:color w:val="000000" w:themeColor="text1"/>
          <w:sz w:val="24"/>
          <w:szCs w:val="24"/>
        </w:rPr>
        <w:t xml:space="preserve"> is regarded as an individual or </w:t>
      </w:r>
      <w:r w:rsidR="00551F1D" w:rsidRPr="00462074">
        <w:rPr>
          <w:rFonts w:ascii="Arial" w:hAnsi="Arial" w:cs="Arial"/>
          <w:color w:val="000000" w:themeColor="text1"/>
          <w:sz w:val="24"/>
          <w:szCs w:val="24"/>
        </w:rPr>
        <w:t>organization</w:t>
      </w:r>
      <w:r w:rsidR="009E4753" w:rsidRPr="00462074">
        <w:rPr>
          <w:rFonts w:ascii="Arial" w:hAnsi="Arial" w:cs="Arial"/>
          <w:color w:val="000000" w:themeColor="text1"/>
          <w:sz w:val="24"/>
          <w:szCs w:val="24"/>
        </w:rPr>
        <w:t xml:space="preserve"> that </w:t>
      </w:r>
      <w:r w:rsidR="006B118A" w:rsidRPr="00462074">
        <w:rPr>
          <w:rFonts w:ascii="Arial" w:hAnsi="Arial" w:cs="Arial"/>
          <w:color w:val="000000" w:themeColor="text1"/>
          <w:sz w:val="24"/>
          <w:szCs w:val="24"/>
        </w:rPr>
        <w:t>hires</w:t>
      </w:r>
      <w:r w:rsidR="009E4753" w:rsidRPr="00462074">
        <w:rPr>
          <w:rFonts w:ascii="Arial" w:hAnsi="Arial" w:cs="Arial"/>
          <w:color w:val="000000" w:themeColor="text1"/>
          <w:sz w:val="24"/>
          <w:szCs w:val="24"/>
        </w:rPr>
        <w:t xml:space="preserve"> people on wage or salary for particular work; while </w:t>
      </w:r>
      <w:r w:rsidR="00551F1D" w:rsidRPr="00462074">
        <w:rPr>
          <w:rFonts w:ascii="Arial" w:hAnsi="Arial" w:cs="Arial"/>
          <w:color w:val="000000" w:themeColor="text1"/>
          <w:sz w:val="24"/>
          <w:szCs w:val="24"/>
        </w:rPr>
        <w:t xml:space="preserve">the </w:t>
      </w:r>
      <w:r w:rsidRPr="00462074">
        <w:rPr>
          <w:rFonts w:ascii="Arial" w:hAnsi="Arial" w:cs="Arial"/>
          <w:color w:val="000000" w:themeColor="text1"/>
          <w:sz w:val="24"/>
          <w:szCs w:val="24"/>
        </w:rPr>
        <w:t>e</w:t>
      </w:r>
      <w:r w:rsidR="009E4753" w:rsidRPr="00462074">
        <w:rPr>
          <w:rFonts w:ascii="Arial" w:hAnsi="Arial" w:cs="Arial"/>
          <w:color w:val="000000" w:themeColor="text1"/>
          <w:sz w:val="24"/>
          <w:szCs w:val="24"/>
        </w:rPr>
        <w:t xml:space="preserve">mployee is the one who gets hired for providing the services. </w:t>
      </w:r>
      <w:r w:rsidR="00551F1D" w:rsidRPr="00462074">
        <w:rPr>
          <w:rFonts w:ascii="Arial" w:hAnsi="Arial" w:cs="Arial"/>
          <w:color w:val="000000" w:themeColor="text1"/>
          <w:sz w:val="24"/>
          <w:szCs w:val="24"/>
        </w:rPr>
        <w:t>(Ira.org.uk)</w:t>
      </w:r>
      <w:r w:rsidR="004D7A86" w:rsidRPr="00462074">
        <w:rPr>
          <w:rFonts w:ascii="Arial" w:hAnsi="Arial" w:cs="Arial"/>
          <w:color w:val="000000" w:themeColor="text1"/>
          <w:sz w:val="24"/>
          <w:szCs w:val="24"/>
        </w:rPr>
        <w:t xml:space="preserve"> </w:t>
      </w:r>
      <w:r w:rsidR="005C770E" w:rsidRPr="00462074">
        <w:rPr>
          <w:rFonts w:ascii="Arial" w:hAnsi="Arial" w:cs="Arial"/>
          <w:color w:val="000000" w:themeColor="text1"/>
          <w:sz w:val="24"/>
          <w:szCs w:val="24"/>
        </w:rPr>
        <w:t xml:space="preserve"> </w:t>
      </w:r>
      <w:r w:rsidR="00F95D05" w:rsidRPr="00462074">
        <w:rPr>
          <w:rFonts w:ascii="Arial" w:hAnsi="Arial" w:cs="Arial"/>
          <w:color w:val="000000" w:themeColor="text1"/>
          <w:sz w:val="24"/>
          <w:szCs w:val="24"/>
        </w:rPr>
        <w:t>Elijah</w:t>
      </w:r>
      <w:r w:rsidR="00291EC1" w:rsidRPr="00462074">
        <w:rPr>
          <w:rFonts w:ascii="Arial" w:hAnsi="Arial" w:cs="Arial"/>
          <w:color w:val="000000" w:themeColor="text1"/>
          <w:sz w:val="24"/>
          <w:szCs w:val="24"/>
        </w:rPr>
        <w:t xml:space="preserve"> </w:t>
      </w:r>
      <w:r w:rsidR="00722EAB" w:rsidRPr="00462074">
        <w:rPr>
          <w:rFonts w:ascii="Arial" w:hAnsi="Arial" w:cs="Arial"/>
          <w:color w:val="000000" w:themeColor="text1"/>
          <w:sz w:val="24"/>
          <w:szCs w:val="24"/>
        </w:rPr>
        <w:t xml:space="preserve">who was an employee </w:t>
      </w:r>
      <w:r w:rsidR="006B118A" w:rsidRPr="00462074">
        <w:rPr>
          <w:rFonts w:ascii="Arial" w:hAnsi="Arial" w:cs="Arial"/>
          <w:color w:val="000000" w:themeColor="text1"/>
          <w:sz w:val="24"/>
          <w:szCs w:val="24"/>
        </w:rPr>
        <w:t>unfolds</w:t>
      </w:r>
      <w:r w:rsidR="00291EC1" w:rsidRPr="00462074">
        <w:rPr>
          <w:rFonts w:ascii="Arial" w:hAnsi="Arial" w:cs="Arial"/>
          <w:color w:val="000000" w:themeColor="text1"/>
          <w:sz w:val="24"/>
          <w:szCs w:val="24"/>
        </w:rPr>
        <w:t xml:space="preserve"> as a series of events, including on-the-job injuries and complications compounded by l</w:t>
      </w:r>
      <w:r w:rsidR="00184326" w:rsidRPr="00462074">
        <w:rPr>
          <w:rFonts w:ascii="Arial" w:hAnsi="Arial" w:cs="Arial"/>
          <w:color w:val="000000" w:themeColor="text1"/>
          <w:sz w:val="24"/>
          <w:szCs w:val="24"/>
        </w:rPr>
        <w:t xml:space="preserve">ater clinical assessments. </w:t>
      </w:r>
      <w:r w:rsidR="00551F1D" w:rsidRPr="00462074">
        <w:rPr>
          <w:rFonts w:ascii="Arial" w:hAnsi="Arial" w:cs="Arial"/>
          <w:color w:val="000000" w:themeColor="text1"/>
          <w:sz w:val="24"/>
          <w:szCs w:val="24"/>
        </w:rPr>
        <w:t>On 19</w:t>
      </w:r>
      <w:r w:rsidR="00551F1D" w:rsidRPr="00462074">
        <w:rPr>
          <w:rFonts w:ascii="Arial" w:hAnsi="Arial" w:cs="Arial"/>
          <w:color w:val="000000" w:themeColor="text1"/>
          <w:sz w:val="24"/>
          <w:szCs w:val="24"/>
          <w:vertAlign w:val="superscript"/>
        </w:rPr>
        <w:t>th</w:t>
      </w:r>
      <w:r w:rsidR="00551F1D" w:rsidRPr="00462074">
        <w:rPr>
          <w:rFonts w:ascii="Arial" w:hAnsi="Arial" w:cs="Arial"/>
          <w:color w:val="000000" w:themeColor="text1"/>
          <w:sz w:val="24"/>
          <w:szCs w:val="24"/>
        </w:rPr>
        <w:t xml:space="preserve"> August 2023</w:t>
      </w:r>
      <w:r w:rsidR="009128A5" w:rsidRPr="00462074">
        <w:rPr>
          <w:rFonts w:ascii="Arial" w:hAnsi="Arial" w:cs="Arial"/>
          <w:color w:val="000000" w:themeColor="text1"/>
          <w:sz w:val="24"/>
          <w:szCs w:val="24"/>
        </w:rPr>
        <w:t>,</w:t>
      </w:r>
      <w:r w:rsidR="00551F1D" w:rsidRPr="00462074">
        <w:rPr>
          <w:rFonts w:ascii="Arial" w:hAnsi="Arial" w:cs="Arial"/>
          <w:color w:val="000000" w:themeColor="text1"/>
          <w:sz w:val="24"/>
          <w:szCs w:val="24"/>
        </w:rPr>
        <w:t xml:space="preserve"> </w:t>
      </w:r>
      <w:r w:rsidR="00184326" w:rsidRPr="00462074">
        <w:rPr>
          <w:rFonts w:ascii="Arial" w:hAnsi="Arial" w:cs="Arial"/>
          <w:color w:val="000000" w:themeColor="text1"/>
          <w:sz w:val="24"/>
          <w:szCs w:val="24"/>
        </w:rPr>
        <w:t>Elijah</w:t>
      </w:r>
      <w:r w:rsidR="009128A5" w:rsidRPr="00462074">
        <w:rPr>
          <w:rFonts w:ascii="Arial" w:hAnsi="Arial" w:cs="Arial"/>
          <w:color w:val="000000" w:themeColor="text1"/>
          <w:sz w:val="24"/>
          <w:szCs w:val="24"/>
        </w:rPr>
        <w:t xml:space="preserve"> </w:t>
      </w:r>
      <w:r w:rsidRPr="00462074">
        <w:rPr>
          <w:rFonts w:ascii="Arial" w:hAnsi="Arial" w:cs="Arial"/>
          <w:color w:val="000000" w:themeColor="text1"/>
          <w:sz w:val="24"/>
          <w:szCs w:val="24"/>
        </w:rPr>
        <w:t>went into</w:t>
      </w:r>
      <w:r w:rsidR="00780BE0" w:rsidRPr="00462074">
        <w:rPr>
          <w:rFonts w:ascii="Arial" w:hAnsi="Arial" w:cs="Arial"/>
          <w:color w:val="000000" w:themeColor="text1"/>
          <w:sz w:val="24"/>
          <w:szCs w:val="24"/>
        </w:rPr>
        <w:t xml:space="preserve"> work </w:t>
      </w:r>
      <w:r w:rsidR="00DB62A6" w:rsidRPr="00462074">
        <w:rPr>
          <w:rFonts w:ascii="Arial" w:hAnsi="Arial" w:cs="Arial"/>
          <w:color w:val="000000" w:themeColor="text1"/>
          <w:sz w:val="24"/>
          <w:szCs w:val="24"/>
        </w:rPr>
        <w:t xml:space="preserve">when </w:t>
      </w:r>
      <w:r w:rsidR="00780BE0" w:rsidRPr="00462074">
        <w:rPr>
          <w:rFonts w:ascii="Arial" w:hAnsi="Arial" w:cs="Arial"/>
          <w:color w:val="000000" w:themeColor="text1"/>
          <w:sz w:val="24"/>
          <w:szCs w:val="24"/>
        </w:rPr>
        <w:t xml:space="preserve">he </w:t>
      </w:r>
      <w:r w:rsidR="009128A5" w:rsidRPr="00462074">
        <w:rPr>
          <w:rFonts w:ascii="Arial" w:hAnsi="Arial" w:cs="Arial"/>
          <w:color w:val="000000" w:themeColor="text1"/>
          <w:sz w:val="24"/>
          <w:szCs w:val="24"/>
        </w:rPr>
        <w:t xml:space="preserve">fell over a pile of boxes </w:t>
      </w:r>
      <w:r w:rsidR="006B118A" w:rsidRPr="00462074">
        <w:rPr>
          <w:rFonts w:ascii="Arial" w:hAnsi="Arial" w:cs="Arial"/>
          <w:color w:val="000000" w:themeColor="text1"/>
          <w:sz w:val="24"/>
          <w:szCs w:val="24"/>
        </w:rPr>
        <w:t>onto</w:t>
      </w:r>
      <w:r w:rsidR="009128A5" w:rsidRPr="00462074">
        <w:rPr>
          <w:rFonts w:ascii="Arial" w:hAnsi="Arial" w:cs="Arial"/>
          <w:color w:val="000000" w:themeColor="text1"/>
          <w:sz w:val="24"/>
          <w:szCs w:val="24"/>
        </w:rPr>
        <w:t xml:space="preserve"> a mirror, due to this </w:t>
      </w:r>
      <w:r w:rsidR="006B118A" w:rsidRPr="00462074">
        <w:rPr>
          <w:rFonts w:ascii="Arial" w:hAnsi="Arial" w:cs="Arial"/>
          <w:color w:val="000000" w:themeColor="text1"/>
          <w:sz w:val="24"/>
          <w:szCs w:val="24"/>
        </w:rPr>
        <w:t>Elijah</w:t>
      </w:r>
      <w:r w:rsidR="009128A5" w:rsidRPr="00462074">
        <w:rPr>
          <w:rFonts w:ascii="Arial" w:hAnsi="Arial" w:cs="Arial"/>
          <w:color w:val="000000" w:themeColor="text1"/>
          <w:sz w:val="24"/>
          <w:szCs w:val="24"/>
        </w:rPr>
        <w:t xml:space="preserve"> suffered a serious of injuries</w:t>
      </w:r>
      <w:r w:rsidR="00291EC1" w:rsidRPr="00462074">
        <w:rPr>
          <w:rFonts w:ascii="Arial" w:hAnsi="Arial" w:cs="Arial"/>
          <w:color w:val="000000" w:themeColor="text1"/>
          <w:sz w:val="24"/>
          <w:szCs w:val="24"/>
        </w:rPr>
        <w:t xml:space="preserve"> </w:t>
      </w:r>
      <w:r w:rsidR="009128A5" w:rsidRPr="00462074">
        <w:rPr>
          <w:rFonts w:ascii="Arial" w:hAnsi="Arial" w:cs="Arial"/>
          <w:color w:val="000000" w:themeColor="text1"/>
          <w:sz w:val="24"/>
          <w:szCs w:val="24"/>
        </w:rPr>
        <w:t xml:space="preserve">in the </w:t>
      </w:r>
      <w:r w:rsidR="006B118A" w:rsidRPr="00462074">
        <w:rPr>
          <w:rFonts w:ascii="Arial" w:hAnsi="Arial" w:cs="Arial"/>
          <w:color w:val="000000" w:themeColor="text1"/>
          <w:sz w:val="24"/>
          <w:szCs w:val="24"/>
        </w:rPr>
        <w:t>workplace</w:t>
      </w:r>
      <w:r w:rsidR="00780BE0" w:rsidRPr="00462074">
        <w:rPr>
          <w:rFonts w:ascii="Arial" w:hAnsi="Arial" w:cs="Arial"/>
          <w:color w:val="000000" w:themeColor="text1"/>
          <w:sz w:val="24"/>
          <w:szCs w:val="24"/>
        </w:rPr>
        <w:t>.</w:t>
      </w:r>
      <w:r w:rsidR="005348F7" w:rsidRPr="00462074">
        <w:rPr>
          <w:rFonts w:ascii="Arial" w:hAnsi="Arial" w:cs="Arial"/>
          <w:color w:val="000000" w:themeColor="text1"/>
          <w:sz w:val="24"/>
          <w:szCs w:val="24"/>
        </w:rPr>
        <w:t>Further more from the facts gathered :</w:t>
      </w:r>
    </w:p>
    <w:p w14:paraId="30FB401F" w14:textId="77777777" w:rsidR="00632CA4" w:rsidRPr="00462074" w:rsidRDefault="00632CA4" w:rsidP="00D60671">
      <w:pPr>
        <w:spacing w:after="0" w:line="360" w:lineRule="auto"/>
        <w:jc w:val="both"/>
        <w:rPr>
          <w:rFonts w:ascii="Arial" w:hAnsi="Arial" w:cs="Arial"/>
          <w:color w:val="000000" w:themeColor="text1"/>
          <w:sz w:val="24"/>
          <w:szCs w:val="24"/>
        </w:rPr>
      </w:pPr>
    </w:p>
    <w:p w14:paraId="43533A54" w14:textId="77777777" w:rsidR="00632CA4" w:rsidRPr="00462074" w:rsidRDefault="00355889" w:rsidP="00632CA4">
      <w:pPr>
        <w:spacing w:after="0" w:line="360" w:lineRule="auto"/>
        <w:jc w:val="both"/>
        <w:rPr>
          <w:rFonts w:ascii="Arial" w:hAnsi="Arial" w:cs="Arial"/>
          <w:color w:val="000000" w:themeColor="text1"/>
          <w:sz w:val="24"/>
          <w:szCs w:val="24"/>
        </w:rPr>
      </w:pPr>
      <w:r w:rsidRPr="00462074">
        <w:rPr>
          <w:rFonts w:ascii="Arial" w:hAnsi="Arial" w:cs="Arial"/>
          <w:color w:val="000000" w:themeColor="text1"/>
          <w:sz w:val="24"/>
          <w:szCs w:val="24"/>
        </w:rPr>
        <w:t>Under the</w:t>
      </w:r>
      <w:r w:rsidR="008453A4" w:rsidRPr="00462074">
        <w:rPr>
          <w:rFonts w:ascii="Arial" w:hAnsi="Arial" w:cs="Arial"/>
          <w:color w:val="000000" w:themeColor="text1"/>
          <w:sz w:val="24"/>
          <w:szCs w:val="24"/>
        </w:rPr>
        <w:t xml:space="preserve"> Common law duty</w:t>
      </w:r>
      <w:r w:rsidRPr="00462074">
        <w:rPr>
          <w:rFonts w:ascii="Arial" w:hAnsi="Arial" w:cs="Arial"/>
          <w:color w:val="000000" w:themeColor="text1"/>
          <w:sz w:val="24"/>
          <w:szCs w:val="24"/>
        </w:rPr>
        <w:t xml:space="preserve"> of care it is the employers </w:t>
      </w:r>
      <w:r w:rsidR="008453A4" w:rsidRPr="00462074">
        <w:rPr>
          <w:rFonts w:ascii="Arial" w:hAnsi="Arial" w:cs="Arial"/>
          <w:color w:val="000000" w:themeColor="text1"/>
          <w:sz w:val="24"/>
          <w:szCs w:val="24"/>
        </w:rPr>
        <w:t xml:space="preserve">duty to take reasonable care of the health and safety of its employees. </w:t>
      </w:r>
      <w:r w:rsidRPr="00462074">
        <w:rPr>
          <w:rFonts w:ascii="Arial" w:hAnsi="Arial" w:cs="Arial"/>
          <w:color w:val="000000" w:themeColor="text1"/>
          <w:sz w:val="24"/>
          <w:szCs w:val="24"/>
        </w:rPr>
        <w:t xml:space="preserve">The Statutory Duty Of Care </w:t>
      </w:r>
      <w:r w:rsidR="008453A4" w:rsidRPr="00462074">
        <w:rPr>
          <w:rFonts w:ascii="Arial" w:hAnsi="Arial" w:cs="Arial"/>
          <w:color w:val="000000" w:themeColor="text1"/>
          <w:sz w:val="24"/>
          <w:szCs w:val="24"/>
        </w:rPr>
        <w:t xml:space="preserve">under </w:t>
      </w:r>
      <w:r w:rsidR="00780BE0" w:rsidRPr="00462074">
        <w:rPr>
          <w:rFonts w:ascii="Arial" w:hAnsi="Arial" w:cs="Arial"/>
          <w:color w:val="000000" w:themeColor="text1"/>
          <w:sz w:val="24"/>
          <w:szCs w:val="24"/>
        </w:rPr>
        <w:t xml:space="preserve">the Health of Safety at Work Act </w:t>
      </w:r>
      <w:r w:rsidR="008453A4" w:rsidRPr="00462074">
        <w:rPr>
          <w:rFonts w:ascii="Arial" w:hAnsi="Arial" w:cs="Arial"/>
          <w:color w:val="000000" w:themeColor="text1"/>
          <w:sz w:val="24"/>
          <w:szCs w:val="24"/>
        </w:rPr>
        <w:t>1974</w:t>
      </w:r>
      <w:r w:rsidR="00D60671" w:rsidRPr="00462074">
        <w:rPr>
          <w:rFonts w:ascii="Arial" w:hAnsi="Arial" w:cs="Arial"/>
          <w:color w:val="000000" w:themeColor="text1"/>
          <w:sz w:val="24"/>
          <w:szCs w:val="24"/>
        </w:rPr>
        <w:t xml:space="preserve"> it is the</w:t>
      </w:r>
      <w:r w:rsidR="008453A4" w:rsidRPr="00462074">
        <w:rPr>
          <w:rFonts w:ascii="Arial" w:hAnsi="Arial" w:cs="Arial"/>
          <w:color w:val="000000" w:themeColor="text1"/>
          <w:sz w:val="24"/>
          <w:szCs w:val="24"/>
        </w:rPr>
        <w:t xml:space="preserve"> </w:t>
      </w:r>
      <w:r w:rsidR="00D60671" w:rsidRPr="00462074">
        <w:rPr>
          <w:rFonts w:ascii="Arial" w:hAnsi="Arial" w:cs="Arial"/>
          <w:color w:val="000000" w:themeColor="text1"/>
          <w:sz w:val="24"/>
          <w:szCs w:val="24"/>
        </w:rPr>
        <w:t>employers</w:t>
      </w:r>
      <w:r w:rsidR="00D60671" w:rsidRPr="00462074">
        <w:rPr>
          <w:rFonts w:ascii="Arial" w:hAnsi="Arial" w:cs="Arial"/>
          <w:color w:val="000000" w:themeColor="text1"/>
          <w:sz w:val="24"/>
          <w:szCs w:val="24"/>
        </w:rPr>
        <w:t xml:space="preserve"> duty</w:t>
      </w:r>
      <w:r w:rsidR="00D60671" w:rsidRPr="00462074">
        <w:rPr>
          <w:rFonts w:ascii="Arial" w:hAnsi="Arial" w:cs="Arial"/>
          <w:color w:val="000000" w:themeColor="text1"/>
          <w:sz w:val="24"/>
          <w:szCs w:val="24"/>
        </w:rPr>
        <w:t xml:space="preserve"> to maintain a safe workplace, provide safe work proce</w:t>
      </w:r>
      <w:r w:rsidR="00D60671" w:rsidRPr="00462074">
        <w:rPr>
          <w:rFonts w:ascii="Arial" w:hAnsi="Arial" w:cs="Arial"/>
          <w:color w:val="000000" w:themeColor="text1"/>
          <w:sz w:val="24"/>
          <w:szCs w:val="24"/>
        </w:rPr>
        <w:t>dure</w:t>
      </w:r>
      <w:r w:rsidR="00D60671" w:rsidRPr="00462074">
        <w:rPr>
          <w:rFonts w:ascii="Arial" w:hAnsi="Arial" w:cs="Arial"/>
          <w:color w:val="000000" w:themeColor="text1"/>
          <w:sz w:val="24"/>
          <w:szCs w:val="24"/>
        </w:rPr>
        <w:t>.[cite]</w:t>
      </w:r>
      <w:r w:rsidR="004629EE" w:rsidRPr="00462074">
        <w:rPr>
          <w:rFonts w:ascii="Arial" w:hAnsi="Arial" w:cs="Arial"/>
          <w:color w:val="000000" w:themeColor="text1"/>
          <w:sz w:val="24"/>
          <w:szCs w:val="24"/>
        </w:rPr>
        <w:t>T</w:t>
      </w:r>
      <w:r w:rsidR="006B118A" w:rsidRPr="00462074">
        <w:rPr>
          <w:rFonts w:ascii="Arial" w:hAnsi="Arial" w:cs="Arial"/>
          <w:color w:val="000000" w:themeColor="text1"/>
          <w:sz w:val="24"/>
          <w:szCs w:val="24"/>
        </w:rPr>
        <w:t>herefore</w:t>
      </w:r>
      <w:r w:rsidR="004629EE" w:rsidRPr="00462074">
        <w:rPr>
          <w:rFonts w:ascii="Arial" w:hAnsi="Arial" w:cs="Arial"/>
          <w:color w:val="000000" w:themeColor="text1"/>
          <w:sz w:val="24"/>
          <w:szCs w:val="24"/>
        </w:rPr>
        <w:t xml:space="preserve"> if the negligence was at the fault of the employer who failed to meet the reasonable ground of employers dutys and did not act accordingy</w:t>
      </w:r>
      <w:r w:rsidR="005348F7" w:rsidRPr="00462074">
        <w:rPr>
          <w:rFonts w:ascii="Arial" w:hAnsi="Arial" w:cs="Arial"/>
          <w:color w:val="000000" w:themeColor="text1"/>
          <w:sz w:val="24"/>
          <w:szCs w:val="24"/>
        </w:rPr>
        <w:t xml:space="preserve"> a case of negligence can be formed</w:t>
      </w:r>
      <w:r w:rsidR="00632CA4" w:rsidRPr="00462074">
        <w:rPr>
          <w:rFonts w:ascii="Arial" w:hAnsi="Arial" w:cs="Arial"/>
          <w:color w:val="000000" w:themeColor="text1"/>
          <w:sz w:val="24"/>
          <w:szCs w:val="24"/>
        </w:rPr>
        <w:t xml:space="preserve">, </w:t>
      </w:r>
      <w:r w:rsidR="00632CA4" w:rsidRPr="00462074">
        <w:rPr>
          <w:rFonts w:ascii="Arial" w:hAnsi="Arial" w:cs="Arial"/>
          <w:color w:val="000000" w:themeColor="text1"/>
          <w:sz w:val="24"/>
          <w:szCs w:val="24"/>
          <w:shd w:val="clear" w:color="auto" w:fill="FFFFFF"/>
        </w:rPr>
        <w:t>(legislation.gov.uk, 1974)</w:t>
      </w:r>
      <w:r w:rsidRPr="00462074">
        <w:rPr>
          <w:rFonts w:ascii="Arial" w:hAnsi="Arial" w:cs="Arial"/>
          <w:color w:val="000000" w:themeColor="text1"/>
          <w:sz w:val="24"/>
          <w:szCs w:val="24"/>
        </w:rPr>
        <w:t xml:space="preserve"> for instance</w:t>
      </w:r>
      <w:r w:rsidR="008453A4" w:rsidRPr="00462074">
        <w:rPr>
          <w:rFonts w:ascii="Arial" w:hAnsi="Arial" w:cs="Arial"/>
          <w:color w:val="000000" w:themeColor="text1"/>
          <w:sz w:val="24"/>
          <w:szCs w:val="24"/>
        </w:rPr>
        <w:t xml:space="preserve"> in elijahs</w:t>
      </w:r>
      <w:r w:rsidRPr="00462074">
        <w:rPr>
          <w:rFonts w:ascii="Arial" w:hAnsi="Arial" w:cs="Arial"/>
          <w:color w:val="000000" w:themeColor="text1"/>
          <w:sz w:val="24"/>
          <w:szCs w:val="24"/>
        </w:rPr>
        <w:t xml:space="preserve"> work place</w:t>
      </w:r>
      <w:r w:rsidR="00D60671" w:rsidRPr="00462074">
        <w:rPr>
          <w:rFonts w:ascii="Arial" w:hAnsi="Arial" w:cs="Arial"/>
          <w:color w:val="000000" w:themeColor="text1"/>
          <w:sz w:val="24"/>
          <w:szCs w:val="24"/>
        </w:rPr>
        <w:t xml:space="preserve"> if</w:t>
      </w:r>
      <w:r w:rsidRPr="00462074">
        <w:rPr>
          <w:rFonts w:ascii="Arial" w:hAnsi="Arial" w:cs="Arial"/>
          <w:color w:val="000000" w:themeColor="text1"/>
          <w:sz w:val="24"/>
          <w:szCs w:val="24"/>
        </w:rPr>
        <w:t xml:space="preserve"> the</w:t>
      </w:r>
      <w:r w:rsidR="00AA48C6" w:rsidRPr="00462074">
        <w:rPr>
          <w:rFonts w:ascii="Arial" w:hAnsi="Arial" w:cs="Arial"/>
          <w:color w:val="000000" w:themeColor="text1"/>
          <w:sz w:val="24"/>
          <w:szCs w:val="24"/>
        </w:rPr>
        <w:t xml:space="preserve"> </w:t>
      </w:r>
      <w:r w:rsidR="009F49DE" w:rsidRPr="00462074">
        <w:rPr>
          <w:rFonts w:ascii="Arial" w:hAnsi="Arial" w:cs="Arial"/>
          <w:color w:val="000000" w:themeColor="text1"/>
          <w:sz w:val="24"/>
          <w:szCs w:val="24"/>
        </w:rPr>
        <w:t xml:space="preserve">warning </w:t>
      </w:r>
      <w:r w:rsidR="00AA48C6" w:rsidRPr="00462074">
        <w:rPr>
          <w:rFonts w:ascii="Arial" w:hAnsi="Arial" w:cs="Arial"/>
          <w:color w:val="000000" w:themeColor="text1"/>
          <w:sz w:val="24"/>
          <w:szCs w:val="24"/>
        </w:rPr>
        <w:t>s</w:t>
      </w:r>
      <w:r w:rsidR="009F49DE" w:rsidRPr="00462074">
        <w:rPr>
          <w:rFonts w:ascii="Arial" w:hAnsi="Arial" w:cs="Arial"/>
          <w:color w:val="000000" w:themeColor="text1"/>
          <w:sz w:val="24"/>
          <w:szCs w:val="24"/>
        </w:rPr>
        <w:t>ign</w:t>
      </w:r>
      <w:r w:rsidRPr="00462074">
        <w:rPr>
          <w:rFonts w:ascii="Arial" w:hAnsi="Arial" w:cs="Arial"/>
          <w:color w:val="000000" w:themeColor="text1"/>
          <w:sz w:val="24"/>
          <w:szCs w:val="24"/>
        </w:rPr>
        <w:t>s</w:t>
      </w:r>
      <w:r w:rsidR="009F49DE" w:rsidRPr="00462074">
        <w:rPr>
          <w:rFonts w:ascii="Arial" w:hAnsi="Arial" w:cs="Arial"/>
          <w:color w:val="000000" w:themeColor="text1"/>
          <w:sz w:val="24"/>
          <w:szCs w:val="24"/>
        </w:rPr>
        <w:t xml:space="preserve"> </w:t>
      </w:r>
      <w:r w:rsidR="008453A4" w:rsidRPr="00462074">
        <w:rPr>
          <w:rFonts w:ascii="Arial" w:hAnsi="Arial" w:cs="Arial"/>
          <w:color w:val="000000" w:themeColor="text1"/>
          <w:sz w:val="24"/>
          <w:szCs w:val="24"/>
        </w:rPr>
        <w:t>were</w:t>
      </w:r>
      <w:r w:rsidR="009F49DE" w:rsidRPr="00462074">
        <w:rPr>
          <w:rFonts w:ascii="Arial" w:hAnsi="Arial" w:cs="Arial"/>
          <w:color w:val="000000" w:themeColor="text1"/>
          <w:sz w:val="24"/>
          <w:szCs w:val="24"/>
        </w:rPr>
        <w:t>n’t</w:t>
      </w:r>
      <w:r w:rsidR="00AA48C6" w:rsidRPr="00462074">
        <w:rPr>
          <w:rFonts w:ascii="Arial" w:hAnsi="Arial" w:cs="Arial"/>
          <w:color w:val="000000" w:themeColor="text1"/>
          <w:sz w:val="24"/>
          <w:szCs w:val="24"/>
        </w:rPr>
        <w:t xml:space="preserve"> placed appropriately</w:t>
      </w:r>
      <w:r w:rsidR="008453A4" w:rsidRPr="00462074">
        <w:rPr>
          <w:rFonts w:ascii="Arial" w:hAnsi="Arial" w:cs="Arial"/>
          <w:color w:val="000000" w:themeColor="text1"/>
          <w:sz w:val="24"/>
          <w:szCs w:val="24"/>
        </w:rPr>
        <w:t xml:space="preserve"> or</w:t>
      </w:r>
      <w:r w:rsidR="009F49DE" w:rsidRPr="00462074">
        <w:rPr>
          <w:rFonts w:ascii="Arial" w:hAnsi="Arial" w:cs="Arial"/>
          <w:color w:val="000000" w:themeColor="text1"/>
          <w:sz w:val="24"/>
          <w:szCs w:val="24"/>
        </w:rPr>
        <w:t xml:space="preserve"> isn’t noticeable,</w:t>
      </w:r>
      <w:r w:rsidR="00AA48C6" w:rsidRPr="00462074">
        <w:rPr>
          <w:rFonts w:ascii="Arial" w:hAnsi="Arial" w:cs="Arial"/>
          <w:color w:val="000000" w:themeColor="text1"/>
          <w:sz w:val="24"/>
          <w:szCs w:val="24"/>
        </w:rPr>
        <w:t xml:space="preserve"> failure to</w:t>
      </w:r>
      <w:r w:rsidR="008453A4" w:rsidRPr="00462074">
        <w:rPr>
          <w:rFonts w:ascii="Arial" w:hAnsi="Arial" w:cs="Arial"/>
          <w:color w:val="000000" w:themeColor="text1"/>
          <w:sz w:val="24"/>
          <w:szCs w:val="24"/>
        </w:rPr>
        <w:t xml:space="preserve"> meet the required </w:t>
      </w:r>
      <w:r w:rsidR="00AA48C6" w:rsidRPr="00462074">
        <w:rPr>
          <w:rFonts w:ascii="Arial" w:hAnsi="Arial" w:cs="Arial"/>
          <w:color w:val="000000" w:themeColor="text1"/>
          <w:sz w:val="24"/>
          <w:szCs w:val="24"/>
        </w:rPr>
        <w:t>reasonable steps or to warn of work hazards, can lead to a finding of negligence</w:t>
      </w:r>
      <w:r w:rsidR="005348F7" w:rsidRPr="00462074">
        <w:rPr>
          <w:rFonts w:ascii="Arial" w:hAnsi="Arial" w:cs="Arial"/>
          <w:color w:val="000000" w:themeColor="text1"/>
          <w:sz w:val="24"/>
          <w:szCs w:val="24"/>
        </w:rPr>
        <w:t xml:space="preserve"> because employer breached duty of care.</w:t>
      </w:r>
      <w:r w:rsidR="00632CA4" w:rsidRPr="00462074">
        <w:rPr>
          <w:rFonts w:ascii="Arial" w:hAnsi="Arial" w:cs="Arial"/>
          <w:color w:val="000000" w:themeColor="text1"/>
          <w:sz w:val="24"/>
          <w:szCs w:val="24"/>
        </w:rPr>
        <w:t xml:space="preserve">                                                              </w:t>
      </w:r>
    </w:p>
    <w:p w14:paraId="4B8AAC9B" w14:textId="77777777" w:rsidR="00632CA4" w:rsidRPr="00462074" w:rsidRDefault="00632CA4" w:rsidP="00632CA4">
      <w:pPr>
        <w:spacing w:after="0" w:line="360" w:lineRule="auto"/>
        <w:jc w:val="both"/>
        <w:rPr>
          <w:rFonts w:ascii="Arial" w:hAnsi="Arial" w:cs="Arial"/>
          <w:color w:val="000000" w:themeColor="text1"/>
          <w:sz w:val="24"/>
          <w:szCs w:val="24"/>
        </w:rPr>
      </w:pPr>
    </w:p>
    <w:p w14:paraId="74FFA38A" w14:textId="6AF1710B" w:rsidR="00355889" w:rsidRPr="00462074" w:rsidRDefault="005348F7" w:rsidP="00632CA4">
      <w:pPr>
        <w:spacing w:after="0" w:line="360" w:lineRule="auto"/>
        <w:jc w:val="both"/>
        <w:rPr>
          <w:rFonts w:ascii="Arial" w:hAnsi="Arial" w:cs="Arial"/>
          <w:color w:val="000000" w:themeColor="text1"/>
          <w:sz w:val="24"/>
          <w:szCs w:val="24"/>
        </w:rPr>
      </w:pPr>
      <w:r w:rsidRPr="00462074">
        <w:rPr>
          <w:rFonts w:ascii="Arial" w:hAnsi="Arial" w:cs="Arial"/>
          <w:color w:val="000000" w:themeColor="text1"/>
          <w:sz w:val="24"/>
          <w:szCs w:val="24"/>
        </w:rPr>
        <w:t xml:space="preserve">The Contractual Duty in </w:t>
      </w:r>
      <w:r w:rsidR="00355889" w:rsidRPr="00462074">
        <w:rPr>
          <w:rFonts w:ascii="Arial" w:hAnsi="Arial" w:cs="Arial"/>
          <w:color w:val="000000" w:themeColor="text1"/>
          <w:sz w:val="24"/>
          <w:szCs w:val="24"/>
        </w:rPr>
        <w:t>Elijah's investigation of potential claims depends on a thorough investigation of the employment contract to ensure that it contains express clauses that extend the duty of care owed to employees by employers. Employment contracts often set out obligations relating to job security and occupational health (Siregar, Siregar and Lubis, 2020). Particular attention must be paid to the terms and provisions that specifically address the duty of care, sa</w:t>
      </w:r>
      <w:r w:rsidRPr="00462074">
        <w:rPr>
          <w:rFonts w:ascii="Arial" w:hAnsi="Arial" w:cs="Arial"/>
          <w:color w:val="000000" w:themeColor="text1"/>
          <w:sz w:val="24"/>
          <w:szCs w:val="24"/>
        </w:rPr>
        <w:t>fety procedures or the employer</w:t>
      </w:r>
      <w:r w:rsidR="00355889" w:rsidRPr="00462074">
        <w:rPr>
          <w:rFonts w:ascii="Arial" w:hAnsi="Arial" w:cs="Arial"/>
          <w:color w:val="000000" w:themeColor="text1"/>
          <w:sz w:val="24"/>
          <w:szCs w:val="24"/>
        </w:rPr>
        <w:t>s responsibility to be placed in safety. Elijah can establish the contractual basis of his claim and strengthen his case against his employer</w:t>
      </w:r>
      <w:r w:rsidR="00CB56CF" w:rsidRPr="00462074">
        <w:rPr>
          <w:rFonts w:ascii="Arial" w:hAnsi="Arial" w:cs="Arial"/>
          <w:color w:val="000000" w:themeColor="text1"/>
          <w:sz w:val="24"/>
          <w:szCs w:val="24"/>
        </w:rPr>
        <w:t xml:space="preserve"> i</w:t>
      </w:r>
      <w:r w:rsidR="00355889" w:rsidRPr="00462074">
        <w:rPr>
          <w:rFonts w:ascii="Arial" w:hAnsi="Arial" w:cs="Arial"/>
          <w:color w:val="000000" w:themeColor="text1"/>
          <w:sz w:val="24"/>
          <w:szCs w:val="24"/>
        </w:rPr>
        <w:t>f the contract outlines the employer's commitments to keeping a safe workplace and Elijah can demonstrate a break of these contractual obligations, it would add a significant dimension to his lawful arguments and bolster his chances of securing compensation for the injuries and damages resulting from the workplace episode.</w:t>
      </w:r>
      <w:r w:rsidR="00CB56CF" w:rsidRPr="00462074">
        <w:rPr>
          <w:rFonts w:ascii="Arial" w:hAnsi="Arial" w:cs="Arial"/>
          <w:color w:val="000000" w:themeColor="text1"/>
          <w:sz w:val="24"/>
          <w:szCs w:val="24"/>
        </w:rPr>
        <w:t xml:space="preserve"> </w:t>
      </w:r>
      <w:r w:rsidR="00CB56CF" w:rsidRPr="00462074">
        <w:rPr>
          <w:rFonts w:ascii="Arial" w:hAnsi="Arial" w:cs="Arial"/>
          <w:color w:val="000000" w:themeColor="text1"/>
          <w:sz w:val="24"/>
          <w:szCs w:val="24"/>
        </w:rPr>
        <w:t>(White and Fradella, 2020)</w:t>
      </w:r>
    </w:p>
    <w:p w14:paraId="3B300C9D" w14:textId="77777777" w:rsidR="00632CA4" w:rsidRPr="00462074" w:rsidRDefault="00632CA4" w:rsidP="00E66E47">
      <w:pPr>
        <w:pStyle w:val="Heading2"/>
        <w:ind w:firstLine="0"/>
        <w:rPr>
          <w:rFonts w:ascii="Arial" w:eastAsiaTheme="minorHAnsi" w:hAnsi="Arial" w:cs="Arial"/>
        </w:rPr>
      </w:pPr>
    </w:p>
    <w:p w14:paraId="62F9BD98" w14:textId="77FAF17A" w:rsidR="00E66E47" w:rsidRPr="00462074" w:rsidRDefault="00E66E47" w:rsidP="00E66E47">
      <w:pPr>
        <w:pStyle w:val="Heading2"/>
        <w:ind w:firstLine="0"/>
        <w:rPr>
          <w:rFonts w:ascii="Arial" w:hAnsi="Arial" w:cs="Arial"/>
        </w:rPr>
      </w:pPr>
      <w:r w:rsidRPr="00462074">
        <w:rPr>
          <w:rFonts w:ascii="Arial" w:hAnsi="Arial" w:cs="Arial"/>
        </w:rPr>
        <w:t>Vicarious Liability</w:t>
      </w:r>
      <w:r w:rsidRPr="00462074">
        <w:rPr>
          <w:rFonts w:ascii="Arial" w:hAnsi="Arial" w:cs="Arial"/>
        </w:rPr>
        <w:t xml:space="preserve"> is a lawful decision that assigns responsibility to employers for the actions of their employees performed inside the scope of their business. The milestone case Arranged Mixed Concrete (South East) Ltd v Minister of Pensions (1968) established the control and dependence test as essential in choosing if an individual qualifies as a representative (Boon-Kuo </w:t>
      </w:r>
      <w:r w:rsidRPr="00462074">
        <w:rPr>
          <w:rFonts w:ascii="Arial" w:hAnsi="Arial" w:cs="Arial"/>
          <w:i/>
          <w:iCs/>
        </w:rPr>
        <w:t>et al.</w:t>
      </w:r>
      <w:r w:rsidRPr="00462074">
        <w:rPr>
          <w:rFonts w:ascii="Arial" w:hAnsi="Arial" w:cs="Arial"/>
        </w:rPr>
        <w:t>, 2021). Elijah in pursuing a claim against his employer, could assert that his colleagues, whose carelessness provoked his injuries, were acting inside the scope of their business. By applying the control and dependence test, Elijah can contend that his colleagues were impaired and the orientation of the employer when the event occurred. This assertion strengthens the case for vicarious liability, emphasising the employer's responsibility for the actions of its employees. Elijah's lawful strategy could leverage this perspective to expect the employer vicariously to assume a sense of ownership with the consequences of his colleagues' careless acts throughout their work (Brayne and Christin, 2021).</w:t>
      </w:r>
    </w:p>
    <w:p w14:paraId="1CD2EDCE" w14:textId="77777777" w:rsidR="00E66E47" w:rsidRPr="00462074" w:rsidRDefault="00E66E47" w:rsidP="00E66E47">
      <w:pPr>
        <w:rPr>
          <w:rFonts w:ascii="Arial" w:hAnsi="Arial" w:cs="Arial"/>
          <w:color w:val="000000" w:themeColor="text1"/>
          <w:sz w:val="24"/>
          <w:szCs w:val="24"/>
        </w:rPr>
      </w:pPr>
    </w:p>
    <w:p w14:paraId="6748F583" w14:textId="77777777" w:rsidR="00355889" w:rsidRPr="00462074" w:rsidRDefault="00355889" w:rsidP="008453A4">
      <w:pPr>
        <w:spacing w:after="0" w:line="360" w:lineRule="auto"/>
        <w:jc w:val="both"/>
        <w:rPr>
          <w:rFonts w:ascii="Arial" w:hAnsi="Arial" w:cs="Arial"/>
          <w:color w:val="000000" w:themeColor="text1"/>
          <w:sz w:val="24"/>
          <w:szCs w:val="24"/>
        </w:rPr>
      </w:pPr>
    </w:p>
    <w:p w14:paraId="5B961829" w14:textId="2478427B" w:rsidR="00CA2270" w:rsidRPr="00462074" w:rsidRDefault="00E66E47" w:rsidP="005348F7">
      <w:pPr>
        <w:spacing w:after="0" w:line="360" w:lineRule="auto"/>
        <w:jc w:val="both"/>
        <w:rPr>
          <w:rFonts w:ascii="Arial" w:hAnsi="Arial" w:cs="Arial"/>
          <w:color w:val="000000" w:themeColor="text1"/>
          <w:sz w:val="24"/>
          <w:szCs w:val="24"/>
        </w:rPr>
      </w:pPr>
      <w:r w:rsidRPr="00462074">
        <w:rPr>
          <w:rFonts w:ascii="Arial" w:hAnsi="Arial" w:cs="Arial"/>
          <w:color w:val="000000" w:themeColor="text1"/>
          <w:sz w:val="24"/>
          <w:szCs w:val="24"/>
        </w:rPr>
        <w:t>Further more</w:t>
      </w:r>
      <w:r w:rsidR="005348F7" w:rsidRPr="00462074">
        <w:rPr>
          <w:rFonts w:ascii="Arial" w:hAnsi="Arial" w:cs="Arial"/>
          <w:color w:val="000000" w:themeColor="text1"/>
          <w:sz w:val="24"/>
          <w:szCs w:val="24"/>
        </w:rPr>
        <w:t xml:space="preserve"> </w:t>
      </w:r>
      <w:r w:rsidR="00BA6D46" w:rsidRPr="00462074">
        <w:rPr>
          <w:rFonts w:ascii="Arial" w:hAnsi="Arial" w:cs="Arial"/>
          <w:color w:val="000000" w:themeColor="text1"/>
          <w:sz w:val="24"/>
          <w:szCs w:val="24"/>
        </w:rPr>
        <w:t xml:space="preserve">Elijah </w:t>
      </w:r>
      <w:r w:rsidR="0025219D" w:rsidRPr="00462074">
        <w:rPr>
          <w:rFonts w:ascii="Arial" w:hAnsi="Arial" w:cs="Arial"/>
          <w:color w:val="000000" w:themeColor="text1"/>
          <w:sz w:val="24"/>
          <w:szCs w:val="24"/>
        </w:rPr>
        <w:t>attend</w:t>
      </w:r>
      <w:r w:rsidR="00BA6D46" w:rsidRPr="00462074">
        <w:rPr>
          <w:rFonts w:ascii="Arial" w:hAnsi="Arial" w:cs="Arial"/>
          <w:color w:val="000000" w:themeColor="text1"/>
          <w:sz w:val="24"/>
          <w:szCs w:val="24"/>
        </w:rPr>
        <w:t>ed</w:t>
      </w:r>
      <w:r w:rsidR="003300BC" w:rsidRPr="00462074">
        <w:rPr>
          <w:rFonts w:ascii="Arial" w:hAnsi="Arial" w:cs="Arial"/>
          <w:color w:val="000000" w:themeColor="text1"/>
          <w:sz w:val="24"/>
          <w:szCs w:val="24"/>
        </w:rPr>
        <w:t xml:space="preserve"> the local hospital to get his </w:t>
      </w:r>
      <w:r w:rsidR="00FB02CE" w:rsidRPr="00462074">
        <w:rPr>
          <w:rFonts w:ascii="Arial" w:hAnsi="Arial" w:cs="Arial"/>
          <w:color w:val="000000" w:themeColor="text1"/>
          <w:sz w:val="24"/>
          <w:szCs w:val="24"/>
        </w:rPr>
        <w:t>le</w:t>
      </w:r>
      <w:r w:rsidR="003300BC" w:rsidRPr="00462074">
        <w:rPr>
          <w:rFonts w:ascii="Arial" w:hAnsi="Arial" w:cs="Arial"/>
          <w:color w:val="000000" w:themeColor="text1"/>
          <w:sz w:val="24"/>
          <w:szCs w:val="24"/>
        </w:rPr>
        <w:t>g examined due to</w:t>
      </w:r>
      <w:r w:rsidR="00FB02CE" w:rsidRPr="00462074">
        <w:rPr>
          <w:rFonts w:ascii="Arial" w:hAnsi="Arial" w:cs="Arial"/>
          <w:color w:val="000000" w:themeColor="text1"/>
          <w:sz w:val="24"/>
          <w:szCs w:val="24"/>
        </w:rPr>
        <w:t xml:space="preserve"> the skin around his knee was </w:t>
      </w:r>
      <w:r w:rsidR="003300BC" w:rsidRPr="00462074">
        <w:rPr>
          <w:rFonts w:ascii="Arial" w:hAnsi="Arial" w:cs="Arial"/>
          <w:color w:val="000000" w:themeColor="text1"/>
          <w:sz w:val="24"/>
          <w:szCs w:val="24"/>
        </w:rPr>
        <w:t xml:space="preserve">discoloring and began to </w:t>
      </w:r>
      <w:r w:rsidR="0025219D" w:rsidRPr="00462074">
        <w:rPr>
          <w:rFonts w:ascii="Arial" w:hAnsi="Arial" w:cs="Arial"/>
          <w:color w:val="000000" w:themeColor="text1"/>
          <w:sz w:val="24"/>
          <w:szCs w:val="24"/>
        </w:rPr>
        <w:t>smell</w:t>
      </w:r>
      <w:r w:rsidR="00C742BB" w:rsidRPr="00462074">
        <w:rPr>
          <w:rFonts w:ascii="Arial" w:hAnsi="Arial" w:cs="Arial"/>
          <w:color w:val="000000" w:themeColor="text1"/>
          <w:sz w:val="24"/>
          <w:szCs w:val="24"/>
        </w:rPr>
        <w:t xml:space="preserve"> he was advised </w:t>
      </w:r>
      <w:r w:rsidR="003300BC" w:rsidRPr="00462074">
        <w:rPr>
          <w:rFonts w:ascii="Arial" w:hAnsi="Arial" w:cs="Arial"/>
          <w:color w:val="000000" w:themeColor="text1"/>
          <w:sz w:val="24"/>
          <w:szCs w:val="24"/>
        </w:rPr>
        <w:t xml:space="preserve">by his local hospital </w:t>
      </w:r>
      <w:r w:rsidR="00C742BB" w:rsidRPr="00462074">
        <w:rPr>
          <w:rFonts w:ascii="Arial" w:hAnsi="Arial" w:cs="Arial"/>
          <w:color w:val="000000" w:themeColor="text1"/>
          <w:sz w:val="24"/>
          <w:szCs w:val="24"/>
        </w:rPr>
        <w:t xml:space="preserve">it </w:t>
      </w:r>
      <w:r w:rsidR="00FB02CE" w:rsidRPr="00462074">
        <w:rPr>
          <w:rFonts w:ascii="Arial" w:hAnsi="Arial" w:cs="Arial"/>
          <w:color w:val="000000" w:themeColor="text1"/>
          <w:sz w:val="24"/>
          <w:szCs w:val="24"/>
        </w:rPr>
        <w:t>was nothing to worry about. El</w:t>
      </w:r>
      <w:r w:rsidR="005C770E" w:rsidRPr="00462074">
        <w:rPr>
          <w:rFonts w:ascii="Arial" w:hAnsi="Arial" w:cs="Arial"/>
          <w:color w:val="000000" w:themeColor="text1"/>
          <w:sz w:val="24"/>
          <w:szCs w:val="24"/>
        </w:rPr>
        <w:t>ijah returned to the hospital a</w:t>
      </w:r>
      <w:r w:rsidR="00FB02CE" w:rsidRPr="00462074">
        <w:rPr>
          <w:rFonts w:ascii="Arial" w:hAnsi="Arial" w:cs="Arial"/>
          <w:color w:val="000000" w:themeColor="text1"/>
          <w:sz w:val="24"/>
          <w:szCs w:val="24"/>
        </w:rPr>
        <w:t xml:space="preserve"> few day</w:t>
      </w:r>
      <w:r w:rsidR="00831FFD" w:rsidRPr="00462074">
        <w:rPr>
          <w:rFonts w:ascii="Arial" w:hAnsi="Arial" w:cs="Arial"/>
          <w:color w:val="000000" w:themeColor="text1"/>
          <w:sz w:val="24"/>
          <w:szCs w:val="24"/>
        </w:rPr>
        <w:t>s later because of his concern,</w:t>
      </w:r>
      <w:r w:rsidR="00FB02CE" w:rsidRPr="00462074">
        <w:rPr>
          <w:rFonts w:ascii="Arial" w:hAnsi="Arial" w:cs="Arial"/>
          <w:color w:val="000000" w:themeColor="text1"/>
          <w:sz w:val="24"/>
          <w:szCs w:val="24"/>
        </w:rPr>
        <w:t xml:space="preserve"> this time when they</w:t>
      </w:r>
      <w:r w:rsidR="00C742BB" w:rsidRPr="00462074">
        <w:rPr>
          <w:rFonts w:ascii="Arial" w:hAnsi="Arial" w:cs="Arial"/>
          <w:color w:val="000000" w:themeColor="text1"/>
          <w:sz w:val="24"/>
          <w:szCs w:val="24"/>
        </w:rPr>
        <w:t xml:space="preserve"> examined </w:t>
      </w:r>
      <w:r w:rsidR="00FB02CE" w:rsidRPr="00462074">
        <w:rPr>
          <w:rFonts w:ascii="Arial" w:hAnsi="Arial" w:cs="Arial"/>
          <w:color w:val="000000" w:themeColor="text1"/>
          <w:sz w:val="24"/>
          <w:szCs w:val="24"/>
        </w:rPr>
        <w:t xml:space="preserve">him again he was told he </w:t>
      </w:r>
      <w:r w:rsidR="006B118A" w:rsidRPr="00462074">
        <w:rPr>
          <w:rFonts w:ascii="Arial" w:hAnsi="Arial" w:cs="Arial"/>
          <w:color w:val="000000" w:themeColor="text1"/>
          <w:sz w:val="24"/>
          <w:szCs w:val="24"/>
        </w:rPr>
        <w:t>had</w:t>
      </w:r>
      <w:r w:rsidR="00FB02CE" w:rsidRPr="00462074">
        <w:rPr>
          <w:rFonts w:ascii="Arial" w:hAnsi="Arial" w:cs="Arial"/>
          <w:color w:val="000000" w:themeColor="text1"/>
          <w:sz w:val="24"/>
          <w:szCs w:val="24"/>
        </w:rPr>
        <w:t xml:space="preserve"> a gangrene and they </w:t>
      </w:r>
      <w:r w:rsidR="006B118A" w:rsidRPr="00462074">
        <w:rPr>
          <w:rFonts w:ascii="Arial" w:hAnsi="Arial" w:cs="Arial"/>
          <w:color w:val="000000" w:themeColor="text1"/>
          <w:sz w:val="24"/>
          <w:szCs w:val="24"/>
        </w:rPr>
        <w:t>needed</w:t>
      </w:r>
      <w:r w:rsidR="00FB02CE" w:rsidRPr="00462074">
        <w:rPr>
          <w:rFonts w:ascii="Arial" w:hAnsi="Arial" w:cs="Arial"/>
          <w:color w:val="000000" w:themeColor="text1"/>
          <w:sz w:val="24"/>
          <w:szCs w:val="24"/>
        </w:rPr>
        <w:t xml:space="preserve"> to operate </w:t>
      </w:r>
      <w:r w:rsidR="00831FFD" w:rsidRPr="00462074">
        <w:rPr>
          <w:rFonts w:ascii="Arial" w:hAnsi="Arial" w:cs="Arial"/>
          <w:color w:val="000000" w:themeColor="text1"/>
          <w:sz w:val="24"/>
          <w:szCs w:val="24"/>
        </w:rPr>
        <w:t>as soon as possible.</w:t>
      </w:r>
      <w:r w:rsidR="00B7556C" w:rsidRPr="00462074">
        <w:rPr>
          <w:rFonts w:ascii="Arial" w:hAnsi="Arial" w:cs="Arial"/>
          <w:color w:val="000000" w:themeColor="text1"/>
          <w:sz w:val="24"/>
          <w:szCs w:val="24"/>
        </w:rPr>
        <w:t xml:space="preserve"> In Elijahs case the </w:t>
      </w:r>
      <w:r w:rsidR="00E21AD3" w:rsidRPr="00462074">
        <w:rPr>
          <w:rFonts w:ascii="Arial" w:hAnsi="Arial" w:cs="Arial"/>
          <w:color w:val="000000" w:themeColor="text1"/>
          <w:sz w:val="24"/>
          <w:szCs w:val="24"/>
        </w:rPr>
        <w:t>doctor has a duty of care to the patient, the doctor</w:t>
      </w:r>
      <w:r w:rsidR="006B118A" w:rsidRPr="00462074">
        <w:rPr>
          <w:rFonts w:ascii="Arial" w:hAnsi="Arial" w:cs="Arial"/>
          <w:color w:val="000000" w:themeColor="text1"/>
          <w:sz w:val="24"/>
          <w:szCs w:val="24"/>
        </w:rPr>
        <w:t xml:space="preserve"> may have</w:t>
      </w:r>
      <w:r w:rsidR="00E21AD3" w:rsidRPr="00462074">
        <w:rPr>
          <w:rFonts w:ascii="Arial" w:hAnsi="Arial" w:cs="Arial"/>
          <w:color w:val="000000" w:themeColor="text1"/>
          <w:sz w:val="24"/>
          <w:szCs w:val="24"/>
        </w:rPr>
        <w:t xml:space="preserve"> breached his duty by falling below the reasonable standard of care</w:t>
      </w:r>
      <w:r w:rsidR="00B7556C" w:rsidRPr="00462074">
        <w:rPr>
          <w:rFonts w:ascii="Arial" w:hAnsi="Arial" w:cs="Arial"/>
          <w:color w:val="000000" w:themeColor="text1"/>
          <w:sz w:val="24"/>
          <w:szCs w:val="24"/>
        </w:rPr>
        <w:t xml:space="preserve"> by misdiagnosis in the first incident.</w:t>
      </w:r>
      <w:r w:rsidR="00632CA4" w:rsidRPr="00462074">
        <w:rPr>
          <w:rFonts w:ascii="Arial" w:hAnsi="Arial" w:cs="Arial"/>
          <w:color w:val="000000" w:themeColor="text1"/>
          <w:sz w:val="24"/>
          <w:szCs w:val="24"/>
          <w:shd w:val="clear" w:color="auto" w:fill="FFFFFF"/>
        </w:rPr>
        <w:t>(Health and Safety Executive, 1974)</w:t>
      </w:r>
      <w:r w:rsidRPr="00462074">
        <w:rPr>
          <w:rFonts w:ascii="Arial" w:hAnsi="Arial" w:cs="Arial"/>
          <w:color w:val="000000" w:themeColor="text1"/>
          <w:sz w:val="24"/>
          <w:szCs w:val="24"/>
        </w:rPr>
        <w:t>In addition</w:t>
      </w:r>
      <w:r w:rsidR="000E0175" w:rsidRPr="00462074">
        <w:rPr>
          <w:rFonts w:ascii="Arial" w:hAnsi="Arial" w:cs="Arial"/>
          <w:color w:val="000000" w:themeColor="text1"/>
          <w:sz w:val="24"/>
          <w:szCs w:val="24"/>
        </w:rPr>
        <w:t>, i</w:t>
      </w:r>
      <w:r w:rsidR="000E0175" w:rsidRPr="00462074">
        <w:rPr>
          <w:rFonts w:ascii="Arial" w:hAnsi="Arial" w:cs="Arial"/>
          <w:color w:val="000000" w:themeColor="text1"/>
          <w:sz w:val="24"/>
          <w:szCs w:val="24"/>
        </w:rPr>
        <w:t>f the delay in gangrene diagnosis is the result of clinical negligence or a failure to promptly treat a more serious health condition</w:t>
      </w:r>
      <w:r w:rsidR="00E21AD3" w:rsidRPr="00462074">
        <w:rPr>
          <w:rFonts w:ascii="Arial" w:hAnsi="Arial" w:cs="Arial"/>
          <w:color w:val="000000" w:themeColor="text1"/>
          <w:sz w:val="24"/>
          <w:szCs w:val="24"/>
        </w:rPr>
        <w:t xml:space="preserve"> </w:t>
      </w:r>
      <w:r w:rsidR="00C742BB" w:rsidRPr="00462074">
        <w:rPr>
          <w:rFonts w:ascii="Arial" w:hAnsi="Arial" w:cs="Arial"/>
          <w:color w:val="000000" w:themeColor="text1"/>
          <w:sz w:val="24"/>
          <w:szCs w:val="24"/>
        </w:rPr>
        <w:t>Elijah</w:t>
      </w:r>
      <w:r w:rsidR="003300BC" w:rsidRPr="00462074">
        <w:rPr>
          <w:rFonts w:ascii="Arial" w:hAnsi="Arial" w:cs="Arial"/>
          <w:color w:val="000000" w:themeColor="text1"/>
          <w:sz w:val="24"/>
          <w:szCs w:val="24"/>
        </w:rPr>
        <w:t xml:space="preserve"> may be able to</w:t>
      </w:r>
      <w:r w:rsidR="00291EC1" w:rsidRPr="00462074">
        <w:rPr>
          <w:rFonts w:ascii="Arial" w:hAnsi="Arial" w:cs="Arial"/>
          <w:color w:val="000000" w:themeColor="text1"/>
          <w:sz w:val="24"/>
          <w:szCs w:val="24"/>
        </w:rPr>
        <w:t xml:space="preserve"> fi</w:t>
      </w:r>
      <w:r w:rsidR="00546210" w:rsidRPr="00462074">
        <w:rPr>
          <w:rFonts w:ascii="Arial" w:hAnsi="Arial" w:cs="Arial"/>
          <w:color w:val="000000" w:themeColor="text1"/>
          <w:sz w:val="24"/>
          <w:szCs w:val="24"/>
        </w:rPr>
        <w:t xml:space="preserve">le a substantive case against his local hospital </w:t>
      </w:r>
      <w:r w:rsidR="00C40B06" w:rsidRPr="00462074">
        <w:rPr>
          <w:rFonts w:ascii="Arial" w:hAnsi="Arial" w:cs="Arial"/>
          <w:color w:val="000000" w:themeColor="text1"/>
          <w:sz w:val="24"/>
          <w:szCs w:val="24"/>
        </w:rPr>
        <w:t xml:space="preserve">for being </w:t>
      </w:r>
      <w:r w:rsidR="004B064F" w:rsidRPr="00462074">
        <w:rPr>
          <w:rFonts w:ascii="Arial" w:hAnsi="Arial" w:cs="Arial"/>
          <w:color w:val="000000" w:themeColor="text1"/>
          <w:sz w:val="24"/>
          <w:szCs w:val="24"/>
        </w:rPr>
        <w:t>a victim of medical</w:t>
      </w:r>
      <w:r w:rsidR="00C40B06" w:rsidRPr="00462074">
        <w:rPr>
          <w:rFonts w:ascii="Arial" w:hAnsi="Arial" w:cs="Arial"/>
          <w:color w:val="000000" w:themeColor="text1"/>
          <w:sz w:val="24"/>
          <w:szCs w:val="24"/>
        </w:rPr>
        <w:t xml:space="preserve"> negligence</w:t>
      </w:r>
      <w:r w:rsidR="007A048C" w:rsidRPr="00462074">
        <w:rPr>
          <w:rFonts w:ascii="Arial" w:hAnsi="Arial" w:cs="Arial"/>
          <w:color w:val="000000" w:themeColor="text1"/>
          <w:sz w:val="24"/>
          <w:szCs w:val="24"/>
        </w:rPr>
        <w:t>.</w:t>
      </w:r>
      <w:r w:rsidR="00440BDD" w:rsidRPr="00462074">
        <w:rPr>
          <w:rFonts w:ascii="Arial" w:hAnsi="Arial" w:cs="Arial"/>
          <w:color w:val="000000" w:themeColor="text1"/>
          <w:sz w:val="24"/>
          <w:szCs w:val="24"/>
        </w:rPr>
        <w:t xml:space="preserve"> [CITE]</w:t>
      </w:r>
    </w:p>
    <w:p w14:paraId="5808D357" w14:textId="489C6572" w:rsidR="000E0175" w:rsidRPr="00462074" w:rsidRDefault="000E0175" w:rsidP="00E95AEC">
      <w:pPr>
        <w:spacing w:after="0" w:line="360" w:lineRule="auto"/>
        <w:jc w:val="both"/>
        <w:rPr>
          <w:rFonts w:ascii="Arial" w:hAnsi="Arial" w:cs="Arial"/>
          <w:color w:val="000000" w:themeColor="text1"/>
          <w:sz w:val="24"/>
          <w:szCs w:val="24"/>
        </w:rPr>
      </w:pPr>
      <w:r w:rsidRPr="00462074">
        <w:rPr>
          <w:rFonts w:ascii="Arial" w:hAnsi="Arial" w:cs="Arial"/>
          <w:color w:val="000000" w:themeColor="text1"/>
          <w:sz w:val="24"/>
          <w:szCs w:val="24"/>
        </w:rPr>
        <w:t xml:space="preserve">On the hand </w:t>
      </w:r>
      <w:r w:rsidR="00E531AE" w:rsidRPr="00462074">
        <w:rPr>
          <w:rFonts w:ascii="Arial" w:hAnsi="Arial" w:cs="Arial"/>
          <w:color w:val="000000" w:themeColor="text1"/>
          <w:sz w:val="24"/>
          <w:szCs w:val="24"/>
        </w:rPr>
        <w:t xml:space="preserve">Elijah </w:t>
      </w:r>
      <w:r w:rsidR="00E531AE" w:rsidRPr="00462074">
        <w:rPr>
          <w:rFonts w:ascii="Arial" w:hAnsi="Arial" w:cs="Arial"/>
          <w:color w:val="000000" w:themeColor="text1"/>
          <w:sz w:val="24"/>
          <w:szCs w:val="24"/>
        </w:rPr>
        <w:t xml:space="preserve">claim against the GP Surgery hinges on the grounds of potential medical negligence, especially the conceded diagnosis of gangrene, which could be viewed as a break of the duty of care owed by medical professionals. Bolam v Friern Hospital the Executives Committee (1957) sets a perspective by outlining the standard of care expected from medical professionals without special knowledge or skill (Murray </w:t>
      </w:r>
      <w:r w:rsidR="00E531AE" w:rsidRPr="00462074">
        <w:rPr>
          <w:rFonts w:ascii="Arial" w:hAnsi="Arial" w:cs="Arial"/>
          <w:i/>
          <w:iCs/>
          <w:color w:val="000000" w:themeColor="text1"/>
          <w:sz w:val="24"/>
          <w:szCs w:val="24"/>
        </w:rPr>
        <w:t>et al.</w:t>
      </w:r>
      <w:r w:rsidR="00E531AE" w:rsidRPr="00462074">
        <w:rPr>
          <w:rFonts w:ascii="Arial" w:hAnsi="Arial" w:cs="Arial"/>
          <w:color w:val="000000" w:themeColor="text1"/>
          <w:sz w:val="24"/>
          <w:szCs w:val="24"/>
        </w:rPr>
        <w:t xml:space="preserve">, 2021). If Elijah can demonstrate that concede in diagnosing gangrene deviated </w:t>
      </w:r>
      <w:r w:rsidR="00E531AE" w:rsidRPr="00462074">
        <w:rPr>
          <w:rFonts w:ascii="Arial" w:hAnsi="Arial" w:cs="Arial"/>
          <w:color w:val="000000" w:themeColor="text1"/>
          <w:sz w:val="24"/>
          <w:szCs w:val="24"/>
        </w:rPr>
        <w:lastRenderedPageBreak/>
        <w:t>from the consensus inside the medical community he could have a</w:t>
      </w:r>
      <w:r w:rsidR="00E531AE" w:rsidRPr="00462074">
        <w:rPr>
          <w:rFonts w:ascii="Arial" w:hAnsi="Arial" w:cs="Arial"/>
          <w:color w:val="000000" w:themeColor="text1"/>
          <w:sz w:val="24"/>
          <w:szCs w:val="24"/>
        </w:rPr>
        <w:t xml:space="preserve"> compelling case for negligence In  addition Elijah </w:t>
      </w:r>
      <w:r w:rsidR="00291EC1" w:rsidRPr="00462074">
        <w:rPr>
          <w:rFonts w:ascii="Arial" w:hAnsi="Arial" w:cs="Arial"/>
          <w:color w:val="000000" w:themeColor="text1"/>
          <w:sz w:val="24"/>
          <w:szCs w:val="24"/>
        </w:rPr>
        <w:t>may</w:t>
      </w:r>
      <w:r w:rsidRPr="00462074">
        <w:rPr>
          <w:rFonts w:ascii="Arial" w:hAnsi="Arial" w:cs="Arial"/>
          <w:color w:val="000000" w:themeColor="text1"/>
          <w:sz w:val="24"/>
          <w:szCs w:val="24"/>
        </w:rPr>
        <w:t xml:space="preserve"> be able to</w:t>
      </w:r>
      <w:r w:rsidR="00291EC1" w:rsidRPr="00462074">
        <w:rPr>
          <w:rFonts w:ascii="Arial" w:hAnsi="Arial" w:cs="Arial"/>
          <w:color w:val="000000" w:themeColor="text1"/>
          <w:sz w:val="24"/>
          <w:szCs w:val="24"/>
        </w:rPr>
        <w:t xml:space="preserve"> seek compensation for additional medical costs, pain and suffering, and significantly incr</w:t>
      </w:r>
      <w:r w:rsidR="00831FFD" w:rsidRPr="00462074">
        <w:rPr>
          <w:rFonts w:ascii="Arial" w:hAnsi="Arial" w:cs="Arial"/>
          <w:color w:val="000000" w:themeColor="text1"/>
          <w:sz w:val="24"/>
          <w:szCs w:val="24"/>
        </w:rPr>
        <w:t>eased disability</w:t>
      </w:r>
      <w:r w:rsidR="00291EC1" w:rsidRPr="00462074">
        <w:rPr>
          <w:rFonts w:ascii="Arial" w:hAnsi="Arial" w:cs="Arial"/>
          <w:color w:val="000000" w:themeColor="text1"/>
          <w:sz w:val="24"/>
          <w:szCs w:val="24"/>
        </w:rPr>
        <w:t>.</w:t>
      </w:r>
      <w:r w:rsidR="0024276C" w:rsidRPr="00462074">
        <w:rPr>
          <w:rFonts w:ascii="Arial" w:hAnsi="Arial" w:cs="Arial"/>
          <w:color w:val="000000" w:themeColor="text1"/>
          <w:sz w:val="24"/>
          <w:szCs w:val="24"/>
        </w:rPr>
        <w:t>[cite]</w:t>
      </w:r>
      <w:r w:rsidR="00291EC1" w:rsidRPr="00462074">
        <w:rPr>
          <w:rFonts w:ascii="Arial" w:hAnsi="Arial" w:cs="Arial"/>
          <w:color w:val="000000" w:themeColor="text1"/>
          <w:sz w:val="24"/>
          <w:szCs w:val="24"/>
        </w:rPr>
        <w:t xml:space="preserve"> Investigating the complexity of this scenario requires a comprehensive evaluation of work safety protocols, clinical records</w:t>
      </w:r>
      <w:r w:rsidR="00CA0149" w:rsidRPr="00462074">
        <w:rPr>
          <w:rFonts w:ascii="Arial" w:hAnsi="Arial" w:cs="Arial"/>
          <w:color w:val="000000" w:themeColor="text1"/>
          <w:sz w:val="24"/>
          <w:szCs w:val="24"/>
        </w:rPr>
        <w:t>,</w:t>
      </w:r>
      <w:r w:rsidR="00291EC1" w:rsidRPr="00462074">
        <w:rPr>
          <w:rFonts w:ascii="Arial" w:hAnsi="Arial" w:cs="Arial"/>
          <w:color w:val="000000" w:themeColor="text1"/>
          <w:sz w:val="24"/>
          <w:szCs w:val="24"/>
        </w:rPr>
        <w:t xml:space="preserve"> and schedules</w:t>
      </w:r>
      <w:r w:rsidR="0045405C" w:rsidRPr="00462074">
        <w:rPr>
          <w:rFonts w:ascii="Arial" w:hAnsi="Arial" w:cs="Arial"/>
          <w:color w:val="000000" w:themeColor="text1"/>
          <w:sz w:val="24"/>
          <w:szCs w:val="24"/>
        </w:rPr>
        <w:t xml:space="preserve"> (Gulati </w:t>
      </w:r>
      <w:r w:rsidR="0045405C" w:rsidRPr="00462074">
        <w:rPr>
          <w:rFonts w:ascii="Arial" w:hAnsi="Arial" w:cs="Arial"/>
          <w:i/>
          <w:iCs/>
          <w:color w:val="000000" w:themeColor="text1"/>
          <w:sz w:val="24"/>
          <w:szCs w:val="24"/>
        </w:rPr>
        <w:t>et al.</w:t>
      </w:r>
      <w:r w:rsidR="0045405C" w:rsidRPr="00462074">
        <w:rPr>
          <w:rFonts w:ascii="Arial" w:hAnsi="Arial" w:cs="Arial"/>
          <w:color w:val="000000" w:themeColor="text1"/>
          <w:sz w:val="24"/>
          <w:szCs w:val="24"/>
        </w:rPr>
        <w:t>, 2020)</w:t>
      </w:r>
      <w:r w:rsidR="00E66E47" w:rsidRPr="00462074">
        <w:rPr>
          <w:rFonts w:ascii="Arial" w:hAnsi="Arial" w:cs="Arial"/>
          <w:color w:val="000000" w:themeColor="text1"/>
          <w:sz w:val="24"/>
          <w:szCs w:val="24"/>
        </w:rPr>
        <w:t xml:space="preserve">. </w:t>
      </w:r>
    </w:p>
    <w:p w14:paraId="31A71A9C" w14:textId="388AE948" w:rsidR="00575474" w:rsidRPr="00462074" w:rsidRDefault="00575474" w:rsidP="00E531AE">
      <w:pPr>
        <w:spacing w:after="0" w:line="360" w:lineRule="auto"/>
        <w:jc w:val="both"/>
        <w:rPr>
          <w:rFonts w:ascii="Arial" w:hAnsi="Arial" w:cs="Arial"/>
          <w:color w:val="000000" w:themeColor="text1"/>
          <w:sz w:val="24"/>
          <w:szCs w:val="24"/>
        </w:rPr>
      </w:pPr>
      <w:r w:rsidRPr="00462074">
        <w:rPr>
          <w:rFonts w:ascii="Arial" w:hAnsi="Arial" w:cs="Arial"/>
          <w:color w:val="000000" w:themeColor="text1"/>
          <w:sz w:val="24"/>
          <w:szCs w:val="24"/>
        </w:rPr>
        <w:t xml:space="preserve">Applicable </w:t>
      </w:r>
      <w:r w:rsidR="00E355E9" w:rsidRPr="00462074">
        <w:rPr>
          <w:rFonts w:ascii="Arial" w:hAnsi="Arial" w:cs="Arial"/>
          <w:color w:val="000000" w:themeColor="text1"/>
          <w:sz w:val="24"/>
          <w:szCs w:val="24"/>
        </w:rPr>
        <w:t>Defences</w:t>
      </w:r>
      <w:r w:rsidRPr="00462074">
        <w:rPr>
          <w:rFonts w:ascii="Arial" w:hAnsi="Arial" w:cs="Arial"/>
          <w:color w:val="000000" w:themeColor="text1"/>
          <w:sz w:val="24"/>
          <w:szCs w:val="24"/>
        </w:rPr>
        <w:t>:</w:t>
      </w:r>
      <w:r w:rsidR="007237EB" w:rsidRPr="00462074">
        <w:rPr>
          <w:rFonts w:ascii="Arial" w:hAnsi="Arial" w:cs="Arial"/>
          <w:color w:val="000000" w:themeColor="text1"/>
          <w:sz w:val="24"/>
          <w:szCs w:val="24"/>
        </w:rPr>
        <w:t xml:space="preserve"> </w:t>
      </w:r>
      <w:r w:rsidR="002E7A5D" w:rsidRPr="00462074">
        <w:rPr>
          <w:rFonts w:ascii="Arial" w:hAnsi="Arial" w:cs="Arial"/>
          <w:color w:val="000000" w:themeColor="text1"/>
          <w:sz w:val="24"/>
          <w:szCs w:val="24"/>
        </w:rPr>
        <w:t xml:space="preserve">Elijah's employer could </w:t>
      </w:r>
      <w:r w:rsidR="00E355E9" w:rsidRPr="00462074">
        <w:rPr>
          <w:rFonts w:ascii="Arial" w:hAnsi="Arial" w:cs="Arial"/>
          <w:color w:val="000000" w:themeColor="text1"/>
          <w:sz w:val="24"/>
          <w:szCs w:val="24"/>
        </w:rPr>
        <w:t>endeavour</w:t>
      </w:r>
      <w:r w:rsidR="002E7A5D" w:rsidRPr="00462074">
        <w:rPr>
          <w:rFonts w:ascii="Arial" w:hAnsi="Arial" w:cs="Arial"/>
          <w:color w:val="000000" w:themeColor="text1"/>
          <w:sz w:val="24"/>
          <w:szCs w:val="24"/>
        </w:rPr>
        <w:t xml:space="preserve"> to invoke a contributory </w:t>
      </w:r>
      <w:r w:rsidR="00E531AE" w:rsidRPr="00462074">
        <w:rPr>
          <w:rFonts w:ascii="Arial" w:hAnsi="Arial" w:cs="Arial"/>
          <w:color w:val="000000" w:themeColor="text1"/>
          <w:sz w:val="24"/>
          <w:szCs w:val="24"/>
        </w:rPr>
        <w:t xml:space="preserve">negligence for partial </w:t>
      </w:r>
      <w:r w:rsidR="002E7A5D" w:rsidRPr="00462074">
        <w:rPr>
          <w:rFonts w:ascii="Arial" w:hAnsi="Arial" w:cs="Arial"/>
          <w:color w:val="000000" w:themeColor="text1"/>
          <w:sz w:val="24"/>
          <w:szCs w:val="24"/>
        </w:rPr>
        <w:t xml:space="preserve">defense, contending that Elijah's demonstration of perusing a text while strolling contributed to the workplace event. However, the employer's overarching duty to furnish a safe work environment could supersede such </w:t>
      </w:r>
      <w:r w:rsidR="00E355E9" w:rsidRPr="00462074">
        <w:rPr>
          <w:rFonts w:ascii="Arial" w:hAnsi="Arial" w:cs="Arial"/>
          <w:color w:val="000000" w:themeColor="text1"/>
          <w:sz w:val="24"/>
          <w:szCs w:val="24"/>
        </w:rPr>
        <w:t>defences</w:t>
      </w:r>
      <w:r w:rsidR="003465CC" w:rsidRPr="00462074">
        <w:rPr>
          <w:rFonts w:ascii="Arial" w:hAnsi="Arial" w:cs="Arial"/>
          <w:color w:val="000000" w:themeColor="text1"/>
          <w:sz w:val="24"/>
          <w:szCs w:val="24"/>
        </w:rPr>
        <w:t xml:space="preserve"> (Campeau, Levi and Foglesong, 2021)</w:t>
      </w:r>
      <w:r w:rsidR="002E7A5D" w:rsidRPr="00462074">
        <w:rPr>
          <w:rFonts w:ascii="Arial" w:hAnsi="Arial" w:cs="Arial"/>
          <w:color w:val="000000" w:themeColor="text1"/>
          <w:sz w:val="24"/>
          <w:szCs w:val="24"/>
        </w:rPr>
        <w:t>. The standard here is that even if Elijah's actions assumed a section in the episode, the employer's essential responsibility is to ensure a secure workplace. Under the educating of comparative carelessness, Elijah's contributory actions, whenever proven, could relatively diminish any potential damages as opposed to by and large absolv</w:t>
      </w:r>
      <w:r w:rsidR="00C829DC" w:rsidRPr="00462074">
        <w:rPr>
          <w:rFonts w:ascii="Arial" w:hAnsi="Arial" w:cs="Arial"/>
          <w:color w:val="000000" w:themeColor="text1"/>
          <w:sz w:val="24"/>
          <w:szCs w:val="24"/>
        </w:rPr>
        <w:t>ing</w:t>
      </w:r>
      <w:r w:rsidR="002E7A5D" w:rsidRPr="00462074">
        <w:rPr>
          <w:rFonts w:ascii="Arial" w:hAnsi="Arial" w:cs="Arial"/>
          <w:color w:val="000000" w:themeColor="text1"/>
          <w:sz w:val="24"/>
          <w:szCs w:val="24"/>
        </w:rPr>
        <w:t xml:space="preserve"> the employer</w:t>
      </w:r>
      <w:r w:rsidR="003465CC" w:rsidRPr="00462074">
        <w:rPr>
          <w:rFonts w:ascii="Arial" w:hAnsi="Arial" w:cs="Arial"/>
          <w:color w:val="000000" w:themeColor="text1"/>
          <w:sz w:val="24"/>
          <w:szCs w:val="24"/>
        </w:rPr>
        <w:t xml:space="preserve"> (Heise and Nance, 2021)</w:t>
      </w:r>
      <w:r w:rsidR="002E7A5D" w:rsidRPr="00462074">
        <w:rPr>
          <w:rFonts w:ascii="Arial" w:hAnsi="Arial" w:cs="Arial"/>
          <w:color w:val="000000" w:themeColor="text1"/>
          <w:sz w:val="24"/>
          <w:szCs w:val="24"/>
        </w:rPr>
        <w:t>. Nonetheless, the employer's duty to provide a safe environment remains vital. If Elijah</w:t>
      </w:r>
      <w:r w:rsidR="007237EB" w:rsidRPr="00462074">
        <w:rPr>
          <w:rFonts w:ascii="Arial" w:hAnsi="Arial" w:cs="Arial"/>
          <w:color w:val="000000" w:themeColor="text1"/>
          <w:sz w:val="24"/>
          <w:szCs w:val="24"/>
        </w:rPr>
        <w:t xml:space="preserve"> can establish that the employe</w:t>
      </w:r>
      <w:r w:rsidR="002E7A5D" w:rsidRPr="00462074">
        <w:rPr>
          <w:rFonts w:ascii="Arial" w:hAnsi="Arial" w:cs="Arial"/>
          <w:color w:val="000000" w:themeColor="text1"/>
          <w:sz w:val="24"/>
          <w:szCs w:val="24"/>
        </w:rPr>
        <w:t>'s carelessness in keeping a safe workspace was a significant component, it could relieve the impact of contributory carelessness argu</w:t>
      </w:r>
      <w:r w:rsidR="007237EB" w:rsidRPr="00462074">
        <w:rPr>
          <w:rFonts w:ascii="Arial" w:hAnsi="Arial" w:cs="Arial"/>
          <w:color w:val="000000" w:themeColor="text1"/>
          <w:sz w:val="24"/>
          <w:szCs w:val="24"/>
        </w:rPr>
        <w:t>ments. Eventually, the employer</w:t>
      </w:r>
      <w:r w:rsidR="002E7A5D" w:rsidRPr="00462074">
        <w:rPr>
          <w:rFonts w:ascii="Arial" w:hAnsi="Arial" w:cs="Arial"/>
          <w:color w:val="000000" w:themeColor="text1"/>
          <w:sz w:val="24"/>
          <w:szCs w:val="24"/>
        </w:rPr>
        <w:t>s essential commitment to keep up with workplace safety could offset attempts to shift issue</w:t>
      </w:r>
      <w:r w:rsidR="00C829DC" w:rsidRPr="00462074">
        <w:rPr>
          <w:rFonts w:ascii="Arial" w:hAnsi="Arial" w:cs="Arial"/>
          <w:color w:val="000000" w:themeColor="text1"/>
          <w:sz w:val="24"/>
          <w:szCs w:val="24"/>
        </w:rPr>
        <w:t>s</w:t>
      </w:r>
      <w:r w:rsidR="002E7A5D" w:rsidRPr="00462074">
        <w:rPr>
          <w:rFonts w:ascii="Arial" w:hAnsi="Arial" w:cs="Arial"/>
          <w:color w:val="000000" w:themeColor="text1"/>
          <w:sz w:val="24"/>
          <w:szCs w:val="24"/>
        </w:rPr>
        <w:t xml:space="preserve"> onto the representative.</w:t>
      </w:r>
    </w:p>
    <w:p w14:paraId="7F0161D4" w14:textId="77777777" w:rsidR="00E531AE" w:rsidRPr="00462074" w:rsidRDefault="00E531AE" w:rsidP="00E531AE">
      <w:pPr>
        <w:pStyle w:val="Heading2"/>
        <w:ind w:firstLine="0"/>
        <w:rPr>
          <w:rFonts w:ascii="Arial" w:hAnsi="Arial" w:cs="Arial"/>
        </w:rPr>
      </w:pPr>
    </w:p>
    <w:p w14:paraId="670E4247" w14:textId="27017C11" w:rsidR="001C14D3" w:rsidRPr="00462074" w:rsidRDefault="00575474" w:rsidP="00E531AE">
      <w:pPr>
        <w:pStyle w:val="Heading2"/>
        <w:ind w:firstLine="0"/>
        <w:rPr>
          <w:rFonts w:ascii="Arial" w:hAnsi="Arial" w:cs="Arial"/>
        </w:rPr>
      </w:pPr>
      <w:r w:rsidRPr="00462074">
        <w:rPr>
          <w:rFonts w:ascii="Arial" w:hAnsi="Arial" w:cs="Arial"/>
        </w:rPr>
        <w:t>Conclusion:</w:t>
      </w:r>
      <w:r w:rsidR="00604458" w:rsidRPr="00462074">
        <w:rPr>
          <w:rFonts w:ascii="Arial" w:hAnsi="Arial" w:cs="Arial"/>
        </w:rPr>
        <w:t>In conclusion, Elijah's possible lawful claims against his employer encompass carelessness, break of statutory duty, and vicarious liability because of a working environment episode. To strengthen his case, Elijah must positively assemble significant proof. This includes documentation of the episode, clinical records, any communications associated with work environment safety, and details establishing the employer's duty of care.</w:t>
      </w:r>
      <w:r w:rsidR="007C5737" w:rsidRPr="00462074">
        <w:rPr>
          <w:rFonts w:ascii="Arial" w:hAnsi="Arial" w:cs="Arial"/>
        </w:rPr>
        <w:t xml:space="preserve"> Photographs, witness statements, and very capable opinions could further bolster his evidence. For the medical negligence claim against the GP Surgery, Elijah should compile medical records, report the schedule of events, and seek master medical opinions to establish a break of the duty of care owed to him. </w:t>
      </w:r>
      <w:r w:rsidR="00CA0149" w:rsidRPr="00462074">
        <w:rPr>
          <w:rFonts w:ascii="Arial" w:hAnsi="Arial" w:cs="Arial"/>
        </w:rPr>
        <w:t>Consulting with genuine professionals experienced in personal injury and clinical carelessness law is significant. They can give courses on the feasibility of his claims, likely lawful strategies, and the specific elements expected to substantiate each case. Timing is essential in pursuing lawful movement. Elijah should speedily start the bona fide process to satisfy any statutory time constraints and ensure an intensive investigation while the proof is fresh. Early action also demonstrates the seriousness of his claims. By consolidating a comprehensive proof social occasion approach with lawful counsel, Elijah can refresh the feasibility of his case and seek fitting compensation for the injuries and damages suffered.</w:t>
      </w:r>
    </w:p>
    <w:p w14:paraId="29119083" w14:textId="77777777" w:rsidR="001C14D3" w:rsidRPr="00462074" w:rsidRDefault="001C14D3">
      <w:pPr>
        <w:rPr>
          <w:rFonts w:ascii="Arial" w:hAnsi="Arial" w:cs="Arial"/>
          <w:color w:val="000000" w:themeColor="text1"/>
          <w:sz w:val="24"/>
          <w:szCs w:val="24"/>
        </w:rPr>
      </w:pPr>
      <w:r w:rsidRPr="00462074">
        <w:rPr>
          <w:rFonts w:ascii="Arial" w:hAnsi="Arial" w:cs="Arial"/>
          <w:color w:val="000000" w:themeColor="text1"/>
          <w:sz w:val="24"/>
          <w:szCs w:val="24"/>
        </w:rPr>
        <w:br w:type="page"/>
      </w:r>
    </w:p>
    <w:p w14:paraId="320490DE" w14:textId="77777777" w:rsidR="001D20E5" w:rsidRPr="00462074" w:rsidRDefault="001C14D3" w:rsidP="001D20E5">
      <w:pPr>
        <w:pStyle w:val="Heading1"/>
        <w:tabs>
          <w:tab w:val="left" w:pos="2038"/>
        </w:tabs>
        <w:rPr>
          <w:rFonts w:ascii="Arial" w:hAnsi="Arial" w:cs="Arial"/>
          <w:sz w:val="24"/>
          <w:szCs w:val="24"/>
        </w:rPr>
      </w:pPr>
      <w:r w:rsidRPr="00462074">
        <w:rPr>
          <w:rFonts w:ascii="Arial" w:hAnsi="Arial" w:cs="Arial"/>
          <w:sz w:val="24"/>
          <w:szCs w:val="24"/>
        </w:rPr>
        <w:lastRenderedPageBreak/>
        <w:t>References</w:t>
      </w:r>
      <w:r w:rsidR="00633D03" w:rsidRPr="00462074">
        <w:rPr>
          <w:rFonts w:ascii="Arial" w:hAnsi="Arial" w:cs="Arial"/>
          <w:sz w:val="24"/>
          <w:szCs w:val="24"/>
        </w:rPr>
        <w:tab/>
      </w:r>
    </w:p>
    <w:p w14:paraId="67ADC146" w14:textId="77777777" w:rsidR="00F742F8" w:rsidRPr="00462074" w:rsidRDefault="00F742F8" w:rsidP="001D20E5">
      <w:pPr>
        <w:pStyle w:val="NoSpacing"/>
        <w:rPr>
          <w:rFonts w:ascii="Arial" w:hAnsi="Arial" w:cs="Arial"/>
          <w:color w:val="000000" w:themeColor="text1"/>
          <w:sz w:val="24"/>
          <w:szCs w:val="24"/>
        </w:rPr>
      </w:pPr>
    </w:p>
    <w:p w14:paraId="0FDC958A" w14:textId="77777777" w:rsidR="00F742F8" w:rsidRPr="00462074" w:rsidRDefault="00F742F8" w:rsidP="001D20E5">
      <w:pPr>
        <w:pStyle w:val="NoSpacing"/>
        <w:rPr>
          <w:rFonts w:ascii="Arial" w:hAnsi="Arial" w:cs="Arial"/>
          <w:color w:val="000000" w:themeColor="text1"/>
          <w:sz w:val="24"/>
          <w:szCs w:val="24"/>
        </w:rPr>
      </w:pPr>
    </w:p>
    <w:p w14:paraId="1C619352" w14:textId="77777777" w:rsidR="00F742F8" w:rsidRPr="00462074" w:rsidRDefault="00F742F8" w:rsidP="00537CB3">
      <w:pPr>
        <w:spacing w:after="0" w:line="360" w:lineRule="auto"/>
        <w:ind w:left="720" w:hanging="720"/>
        <w:jc w:val="both"/>
        <w:rPr>
          <w:rFonts w:ascii="Arial" w:hAnsi="Arial" w:cs="Arial"/>
          <w:color w:val="000000" w:themeColor="text1"/>
          <w:sz w:val="24"/>
          <w:szCs w:val="24"/>
        </w:rPr>
      </w:pPr>
    </w:p>
    <w:p w14:paraId="665D6F81" w14:textId="77777777" w:rsidR="00F742F8" w:rsidRPr="00462074" w:rsidRDefault="00F742F8" w:rsidP="001D20E5">
      <w:pPr>
        <w:pStyle w:val="NoSpacing"/>
        <w:rPr>
          <w:rFonts w:ascii="Arial" w:hAnsi="Arial" w:cs="Arial"/>
          <w:color w:val="000000" w:themeColor="text1"/>
          <w:sz w:val="24"/>
          <w:szCs w:val="24"/>
        </w:rPr>
      </w:pPr>
    </w:p>
    <w:p w14:paraId="298B82FA" w14:textId="77777777" w:rsidR="00F742F8" w:rsidRPr="00462074" w:rsidRDefault="00F742F8" w:rsidP="001D20E5">
      <w:pPr>
        <w:pStyle w:val="NoSpacing"/>
        <w:rPr>
          <w:rFonts w:ascii="Arial" w:hAnsi="Arial" w:cs="Arial"/>
          <w:color w:val="000000" w:themeColor="text1"/>
          <w:sz w:val="24"/>
          <w:szCs w:val="24"/>
        </w:rPr>
      </w:pPr>
    </w:p>
    <w:p w14:paraId="682C85DD" w14:textId="77777777" w:rsidR="00F742F8" w:rsidRPr="00462074" w:rsidRDefault="00F742F8" w:rsidP="001D20E5">
      <w:pPr>
        <w:pStyle w:val="NoSpacing"/>
        <w:rPr>
          <w:rFonts w:ascii="Arial" w:hAnsi="Arial" w:cs="Arial"/>
          <w:color w:val="000000" w:themeColor="text1"/>
          <w:sz w:val="24"/>
          <w:szCs w:val="24"/>
        </w:rPr>
      </w:pPr>
    </w:p>
    <w:p w14:paraId="0F184F59" w14:textId="77777777" w:rsidR="00F742F8" w:rsidRPr="00462074" w:rsidRDefault="00F742F8" w:rsidP="001D20E5">
      <w:pPr>
        <w:pStyle w:val="NoSpacing"/>
        <w:rPr>
          <w:rFonts w:ascii="Arial" w:hAnsi="Arial" w:cs="Arial"/>
          <w:color w:val="000000" w:themeColor="text1"/>
          <w:sz w:val="24"/>
          <w:szCs w:val="24"/>
        </w:rPr>
      </w:pPr>
    </w:p>
    <w:p w14:paraId="32A8B790" w14:textId="77777777" w:rsidR="00F742F8" w:rsidRPr="00462074" w:rsidRDefault="00F742F8" w:rsidP="001D20E5">
      <w:pPr>
        <w:pStyle w:val="NoSpacing"/>
        <w:rPr>
          <w:rFonts w:ascii="Arial" w:hAnsi="Arial" w:cs="Arial"/>
          <w:color w:val="000000" w:themeColor="text1"/>
          <w:sz w:val="24"/>
          <w:szCs w:val="24"/>
        </w:rPr>
      </w:pPr>
    </w:p>
    <w:p w14:paraId="0D96EBED" w14:textId="550770A7" w:rsidR="00F742F8" w:rsidRPr="00462074" w:rsidRDefault="00F742F8"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 xml:space="preserve">                                                                                                                                                                                                                                                             </w:t>
      </w:r>
      <w:r w:rsidR="00462074">
        <w:rPr>
          <w:rFonts w:ascii="Arial" w:hAnsi="Arial" w:cs="Arial"/>
          <w:color w:val="000000" w:themeColor="text1"/>
          <w:sz w:val="24"/>
          <w:szCs w:val="24"/>
        </w:rPr>
        <w:t xml:space="preserve">                             </w:t>
      </w:r>
      <w:r w:rsidRPr="00462074">
        <w:rPr>
          <w:rFonts w:ascii="Arial" w:hAnsi="Arial" w:cs="Arial"/>
          <w:color w:val="000000" w:themeColor="text1"/>
          <w:sz w:val="24"/>
          <w:szCs w:val="24"/>
        </w:rPr>
        <w:t>Barak, M.P., Leon, Sebatian, K, Maguire, Edward, R. (2020) ‘Conceptual and empirical  obstacles in defining MS</w:t>
      </w:r>
      <w:r w:rsidRPr="00462074">
        <w:rPr>
          <w:rFonts w:ascii="Cambria Math" w:hAnsi="Cambria Math" w:cs="Cambria Math"/>
          <w:color w:val="000000" w:themeColor="text1"/>
          <w:sz w:val="24"/>
          <w:szCs w:val="24"/>
        </w:rPr>
        <w:t>‐</w:t>
      </w:r>
      <w:r w:rsidRPr="00462074">
        <w:rPr>
          <w:rFonts w:ascii="Arial" w:hAnsi="Arial" w:cs="Arial"/>
          <w:color w:val="000000" w:themeColor="text1"/>
          <w:sz w:val="24"/>
          <w:szCs w:val="24"/>
        </w:rPr>
        <w:t>13: Law</w:t>
      </w:r>
      <w:r w:rsidRPr="00462074">
        <w:rPr>
          <w:rFonts w:ascii="Cambria Math" w:hAnsi="Cambria Math" w:cs="Cambria Math"/>
          <w:color w:val="000000" w:themeColor="text1"/>
          <w:sz w:val="24"/>
          <w:szCs w:val="24"/>
        </w:rPr>
        <w:t>‐</w:t>
      </w:r>
      <w:r w:rsidRPr="00462074">
        <w:rPr>
          <w:rFonts w:ascii="Arial" w:hAnsi="Arial" w:cs="Arial"/>
          <w:color w:val="000000" w:themeColor="text1"/>
          <w:sz w:val="24"/>
          <w:szCs w:val="24"/>
        </w:rPr>
        <w:t xml:space="preserve">enforcement perspectives’, </w:t>
      </w:r>
      <w:r w:rsidRPr="00462074">
        <w:rPr>
          <w:rFonts w:ascii="Arial" w:hAnsi="Arial" w:cs="Arial"/>
          <w:i/>
          <w:iCs/>
          <w:color w:val="000000" w:themeColor="text1"/>
          <w:sz w:val="24"/>
          <w:szCs w:val="24"/>
        </w:rPr>
        <w:t>Criminology &amp; Public Policy</w:t>
      </w:r>
      <w:r w:rsidRPr="00462074">
        <w:rPr>
          <w:rFonts w:ascii="Arial" w:hAnsi="Arial" w:cs="Arial"/>
          <w:color w:val="000000" w:themeColor="text1"/>
          <w:sz w:val="24"/>
          <w:szCs w:val="24"/>
        </w:rPr>
        <w:t xml:space="preserve">, 19(2), pp. 563–589. </w:t>
      </w:r>
      <w:r w:rsidRPr="00462074">
        <w:rPr>
          <w:rFonts w:ascii="Arial" w:hAnsi="Arial" w:cs="Arial"/>
          <w:color w:val="000000" w:themeColor="text1"/>
          <w:sz w:val="24"/>
          <w:szCs w:val="24"/>
          <w:shd w:val="clear" w:color="auto" w:fill="FFFFFF"/>
        </w:rPr>
        <w:t>DOI: 10.1111/1745-9133.12493</w:t>
      </w:r>
      <w:r w:rsidRPr="00462074">
        <w:rPr>
          <w:rFonts w:ascii="Arial" w:hAnsi="Arial" w:cs="Arial"/>
          <w:color w:val="000000" w:themeColor="text1"/>
          <w:sz w:val="24"/>
          <w:szCs w:val="24"/>
        </w:rPr>
        <w:t xml:space="preserve">  </w:t>
      </w:r>
    </w:p>
    <w:p w14:paraId="71E5AA0D" w14:textId="77777777" w:rsidR="00F742F8" w:rsidRPr="00462074" w:rsidRDefault="00F742F8"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Boon-Kuo, L., Brodie, A</w:t>
      </w:r>
      <w:r w:rsidRPr="00462074">
        <w:rPr>
          <w:rFonts w:ascii="Arial" w:hAnsi="Arial" w:cs="Arial"/>
          <w:i/>
          <w:iCs/>
          <w:color w:val="000000" w:themeColor="text1"/>
          <w:sz w:val="24"/>
          <w:szCs w:val="24"/>
        </w:rPr>
        <w:t xml:space="preserve">., MC-Cann, J., Sentas, V., Weber,L. </w:t>
      </w:r>
      <w:r w:rsidRPr="00462074">
        <w:rPr>
          <w:rFonts w:ascii="Arial" w:hAnsi="Arial" w:cs="Arial"/>
          <w:color w:val="000000" w:themeColor="text1"/>
          <w:sz w:val="24"/>
          <w:szCs w:val="24"/>
        </w:rPr>
        <w:t xml:space="preserve"> (2021) ‘Policing biosecurity: police enforcement of special measures in New South Wales and Victoria during the COVID-19 pandemic’, </w:t>
      </w:r>
      <w:r w:rsidRPr="00462074">
        <w:rPr>
          <w:rFonts w:ascii="Arial" w:hAnsi="Arial" w:cs="Arial"/>
          <w:i/>
          <w:iCs/>
          <w:color w:val="000000" w:themeColor="text1"/>
          <w:sz w:val="24"/>
          <w:szCs w:val="24"/>
        </w:rPr>
        <w:t>Current Issues in Criminal Justice</w:t>
      </w:r>
      <w:r w:rsidRPr="00462074">
        <w:rPr>
          <w:rFonts w:ascii="Arial" w:hAnsi="Arial" w:cs="Arial"/>
          <w:color w:val="000000" w:themeColor="text1"/>
          <w:sz w:val="24"/>
          <w:szCs w:val="24"/>
        </w:rPr>
        <w:t xml:space="preserve">, 33(1), pp. 76–88. doi.org/10.1080/10345329.2020.1850144 </w:t>
      </w:r>
    </w:p>
    <w:p w14:paraId="12B9B574" w14:textId="55B8B7D3" w:rsidR="00F742F8" w:rsidRPr="00462074" w:rsidRDefault="00E531AE"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shd w:val="clear" w:color="auto" w:fill="FEF1C4"/>
        </w:rPr>
        <w:t>legislation.gov.uk (1974). </w:t>
      </w:r>
      <w:r w:rsidRPr="00462074">
        <w:rPr>
          <w:rFonts w:ascii="Arial" w:hAnsi="Arial" w:cs="Arial"/>
          <w:i/>
          <w:iCs/>
          <w:color w:val="000000" w:themeColor="text1"/>
          <w:sz w:val="24"/>
          <w:szCs w:val="24"/>
          <w:shd w:val="clear" w:color="auto" w:fill="FEF1C4"/>
        </w:rPr>
        <w:t>Health and Safety at Work etc. Act 1974</w:t>
      </w:r>
      <w:r w:rsidRPr="00462074">
        <w:rPr>
          <w:rFonts w:ascii="Arial" w:hAnsi="Arial" w:cs="Arial"/>
          <w:color w:val="000000" w:themeColor="text1"/>
          <w:sz w:val="24"/>
          <w:szCs w:val="24"/>
          <w:shd w:val="clear" w:color="auto" w:fill="FEF1C4"/>
        </w:rPr>
        <w:t>. [online] Legislation.gov.uk. Available at: https://www.legislation.gov.uk/ukpga/1974/37/contents.</w:t>
      </w:r>
    </w:p>
    <w:p w14:paraId="6446762E" w14:textId="5D2A0B2A" w:rsidR="00632CA4" w:rsidRPr="00462074" w:rsidRDefault="00632CA4" w:rsidP="001D20E5">
      <w:pPr>
        <w:spacing w:beforeAutospacing="1" w:after="0" w:afterAutospacing="1" w:line="240" w:lineRule="auto"/>
        <w:ind w:left="-360"/>
        <w:rPr>
          <w:rFonts w:ascii="Arial" w:hAnsi="Arial" w:cs="Arial"/>
          <w:color w:val="000000" w:themeColor="text1"/>
          <w:sz w:val="24"/>
          <w:szCs w:val="24"/>
          <w:shd w:val="clear" w:color="auto" w:fill="FEF1C4"/>
        </w:rPr>
      </w:pPr>
      <w:r w:rsidRPr="00462074">
        <w:rPr>
          <w:rFonts w:ascii="Arial" w:hAnsi="Arial" w:cs="Arial"/>
          <w:color w:val="000000" w:themeColor="text1"/>
          <w:sz w:val="24"/>
          <w:szCs w:val="24"/>
          <w:shd w:val="clear" w:color="auto" w:fill="FEF1C4"/>
        </w:rPr>
        <w:t>Health and Safety Executive (1974). </w:t>
      </w:r>
      <w:r w:rsidRPr="00462074">
        <w:rPr>
          <w:rFonts w:ascii="Arial" w:hAnsi="Arial" w:cs="Arial"/>
          <w:i/>
          <w:iCs/>
          <w:color w:val="000000" w:themeColor="text1"/>
          <w:sz w:val="24"/>
          <w:szCs w:val="24"/>
          <w:shd w:val="clear" w:color="auto" w:fill="FEF1C4"/>
        </w:rPr>
        <w:t>Health and Safety at Work Act 1974</w:t>
      </w:r>
      <w:r w:rsidRPr="00462074">
        <w:rPr>
          <w:rFonts w:ascii="Arial" w:hAnsi="Arial" w:cs="Arial"/>
          <w:color w:val="000000" w:themeColor="text1"/>
          <w:sz w:val="24"/>
          <w:szCs w:val="24"/>
          <w:shd w:val="clear" w:color="auto" w:fill="FEF1C4"/>
        </w:rPr>
        <w:t xml:space="preserve">. [online] Hse.gov.uk. Available at: </w:t>
      </w:r>
      <w:hyperlink r:id="rId8" w:history="1">
        <w:r w:rsidRPr="00462074">
          <w:rPr>
            <w:rStyle w:val="Hyperlink"/>
            <w:rFonts w:ascii="Arial" w:hAnsi="Arial" w:cs="Arial"/>
            <w:color w:val="000000" w:themeColor="text1"/>
            <w:sz w:val="24"/>
            <w:szCs w:val="24"/>
            <w:shd w:val="clear" w:color="auto" w:fill="FEF1C4"/>
          </w:rPr>
          <w:t>https://www.hse.gov.uk/legislation/hswa.htm</w:t>
        </w:r>
      </w:hyperlink>
      <w:r w:rsidRPr="00462074">
        <w:rPr>
          <w:rFonts w:ascii="Arial" w:hAnsi="Arial" w:cs="Arial"/>
          <w:color w:val="000000" w:themeColor="text1"/>
          <w:sz w:val="24"/>
          <w:szCs w:val="24"/>
          <w:shd w:val="clear" w:color="auto" w:fill="FEF1C4"/>
        </w:rPr>
        <w:t>.</w:t>
      </w:r>
    </w:p>
    <w:p w14:paraId="7F33194E" w14:textId="77777777" w:rsidR="00632CA4" w:rsidRPr="00462074" w:rsidRDefault="00632CA4"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shd w:val="clear" w:color="auto" w:fill="FEF1C4"/>
        </w:rPr>
        <w:t>Gov.UK (2013). </w:t>
      </w:r>
      <w:r w:rsidRPr="00462074">
        <w:rPr>
          <w:rFonts w:ascii="Arial" w:hAnsi="Arial" w:cs="Arial"/>
          <w:i/>
          <w:iCs/>
          <w:color w:val="000000" w:themeColor="text1"/>
          <w:sz w:val="24"/>
          <w:szCs w:val="24"/>
          <w:shd w:val="clear" w:color="auto" w:fill="FEF1C4"/>
        </w:rPr>
        <w:t>Employers’ liability insurance</w:t>
      </w:r>
      <w:r w:rsidRPr="00462074">
        <w:rPr>
          <w:rFonts w:ascii="Arial" w:hAnsi="Arial" w:cs="Arial"/>
          <w:color w:val="000000" w:themeColor="text1"/>
          <w:sz w:val="24"/>
          <w:szCs w:val="24"/>
          <w:shd w:val="clear" w:color="auto" w:fill="FEF1C4"/>
        </w:rPr>
        <w:t>. [online] GOV.UK. Available at: https://www.gov.uk/employers-liability-insurance.</w:t>
      </w:r>
      <w:r w:rsidR="00F742F8" w:rsidRPr="00462074">
        <w:rPr>
          <w:rFonts w:ascii="Arial" w:hAnsi="Arial" w:cs="Arial"/>
          <w:color w:val="000000" w:themeColor="text1"/>
          <w:sz w:val="24"/>
          <w:szCs w:val="24"/>
        </w:rPr>
        <w:t xml:space="preserve"> </w:t>
      </w:r>
    </w:p>
    <w:p w14:paraId="7820F194" w14:textId="5C542E49" w:rsidR="00F742F8" w:rsidRPr="00462074" w:rsidRDefault="00F742F8"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 xml:space="preserve">                                                                                                                                                                                                   </w:t>
      </w:r>
      <w:r w:rsidR="00632CA4" w:rsidRPr="00462074">
        <w:rPr>
          <w:rFonts w:ascii="Arial" w:hAnsi="Arial" w:cs="Arial"/>
          <w:color w:val="000000" w:themeColor="text1"/>
          <w:sz w:val="24"/>
          <w:szCs w:val="24"/>
          <w:shd w:val="clear" w:color="auto" w:fill="FEF1C4"/>
        </w:rPr>
        <w:t>ACAS (2019). </w:t>
      </w:r>
      <w:r w:rsidR="00632CA4" w:rsidRPr="00462074">
        <w:rPr>
          <w:rFonts w:ascii="Arial" w:hAnsi="Arial" w:cs="Arial"/>
          <w:i/>
          <w:iCs/>
          <w:color w:val="000000" w:themeColor="text1"/>
          <w:sz w:val="24"/>
          <w:szCs w:val="24"/>
          <w:shd w:val="clear" w:color="auto" w:fill="FEF1C4"/>
        </w:rPr>
        <w:t>Advice | Acas</w:t>
      </w:r>
      <w:r w:rsidR="00632CA4" w:rsidRPr="00462074">
        <w:rPr>
          <w:rFonts w:ascii="Arial" w:hAnsi="Arial" w:cs="Arial"/>
          <w:color w:val="000000" w:themeColor="text1"/>
          <w:sz w:val="24"/>
          <w:szCs w:val="24"/>
          <w:shd w:val="clear" w:color="auto" w:fill="FEF1C4"/>
        </w:rPr>
        <w:t>. [online] Acas.org.uk. Available at: https://www.acas.org.uk/advice.</w:t>
      </w:r>
    </w:p>
    <w:p w14:paraId="22E0A2EB" w14:textId="77777777" w:rsidR="00F742F8" w:rsidRPr="00462074" w:rsidRDefault="00F742F8"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 xml:space="preserve">                                                                                                                                                                                                                                                                                 Gulati, G., Cusack, A, Kelly, B.D., Shane, K., Dunne, C.P. (2020) ‘Experiences of people with intellectual disabilities encountering law enforcement officials as the suspects of crime–A narrative systematic review’, </w:t>
      </w:r>
      <w:r w:rsidRPr="00462074">
        <w:rPr>
          <w:rFonts w:ascii="Arial" w:hAnsi="Arial" w:cs="Arial"/>
          <w:i/>
          <w:iCs/>
          <w:color w:val="000000" w:themeColor="text1"/>
          <w:sz w:val="24"/>
          <w:szCs w:val="24"/>
        </w:rPr>
        <w:t>International journal of law and psychiatry</w:t>
      </w:r>
      <w:r w:rsidRPr="00462074">
        <w:rPr>
          <w:rFonts w:ascii="Arial" w:hAnsi="Arial" w:cs="Arial"/>
          <w:color w:val="000000" w:themeColor="text1"/>
          <w:sz w:val="24"/>
          <w:szCs w:val="24"/>
        </w:rPr>
        <w:t xml:space="preserve">, 71, p. 101609 </w:t>
      </w:r>
      <w:r w:rsidRPr="00462074">
        <w:rPr>
          <w:rFonts w:ascii="Arial" w:hAnsi="Arial" w:cs="Arial"/>
          <w:color w:val="000000" w:themeColor="text1"/>
          <w:sz w:val="24"/>
          <w:szCs w:val="24"/>
          <w:shd w:val="clear" w:color="auto" w:fill="FFFFFF"/>
        </w:rPr>
        <w:t>DOI: 10.1016/j.ijlp.2020.101609</w:t>
      </w:r>
      <w:r w:rsidRPr="00462074">
        <w:rPr>
          <w:rFonts w:ascii="Arial" w:hAnsi="Arial" w:cs="Arial"/>
          <w:color w:val="000000" w:themeColor="text1"/>
          <w:sz w:val="24"/>
          <w:szCs w:val="24"/>
        </w:rPr>
        <w:t xml:space="preserve">                                                                                                                                  </w:t>
      </w:r>
    </w:p>
    <w:p w14:paraId="1ED6D76E" w14:textId="77777777" w:rsidR="00F742F8" w:rsidRPr="00462074" w:rsidRDefault="00F742F8"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 xml:space="preserve">Hall, D.E. (2022) </w:t>
      </w:r>
      <w:r w:rsidRPr="00462074">
        <w:rPr>
          <w:rFonts w:ascii="Arial" w:hAnsi="Arial" w:cs="Arial"/>
          <w:i/>
          <w:iCs/>
          <w:color w:val="000000" w:themeColor="text1"/>
          <w:sz w:val="24"/>
          <w:szCs w:val="24"/>
        </w:rPr>
        <w:t>Criminal law and procedure</w:t>
      </w:r>
      <w:r w:rsidRPr="00462074">
        <w:rPr>
          <w:rFonts w:ascii="Arial" w:hAnsi="Arial" w:cs="Arial"/>
          <w:color w:val="000000" w:themeColor="text1"/>
          <w:sz w:val="24"/>
          <w:szCs w:val="24"/>
        </w:rPr>
        <w:t xml:space="preserve">. Cengage Learning.                                                                 </w:t>
      </w:r>
    </w:p>
    <w:p w14:paraId="33136A6F" w14:textId="77777777" w:rsidR="00F742F8" w:rsidRPr="00462074" w:rsidRDefault="00F742F8"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 xml:space="preserve">Heise, M. and Nance, J.P. (2021) ‘“Defund the (school) police”? bringing data to key school-to-prison pipeline claims’, </w:t>
      </w:r>
      <w:r w:rsidRPr="00462074">
        <w:rPr>
          <w:rFonts w:ascii="Arial" w:hAnsi="Arial" w:cs="Arial"/>
          <w:i/>
          <w:iCs/>
          <w:color w:val="000000" w:themeColor="text1"/>
          <w:sz w:val="24"/>
          <w:szCs w:val="24"/>
        </w:rPr>
        <w:t>The Journal of Criminal Law and Criminology (1973-)</w:t>
      </w:r>
      <w:r w:rsidRPr="00462074">
        <w:rPr>
          <w:rFonts w:ascii="Arial" w:hAnsi="Arial" w:cs="Arial"/>
          <w:color w:val="000000" w:themeColor="text1"/>
          <w:sz w:val="24"/>
          <w:szCs w:val="24"/>
        </w:rPr>
        <w:t xml:space="preserve">, 111(3), pp. 717–772.                                                                                                                                                                      </w:t>
      </w:r>
    </w:p>
    <w:p w14:paraId="0AE6E524" w14:textId="77777777" w:rsidR="00F742F8" w:rsidRPr="00462074" w:rsidRDefault="00F742F8"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 xml:space="preserve">Llinares, F.M. (2020) ‘Predictive policing: utopia or dystopia? On attitudes towards the use of big data algorithms for law enforcement’, </w:t>
      </w:r>
      <w:r w:rsidRPr="00462074">
        <w:rPr>
          <w:rFonts w:ascii="Arial" w:hAnsi="Arial" w:cs="Arial"/>
          <w:i/>
          <w:iCs/>
          <w:color w:val="000000" w:themeColor="text1"/>
          <w:sz w:val="24"/>
          <w:szCs w:val="24"/>
        </w:rPr>
        <w:t>IDP: revista de Internet, derecho y política= revista d’Internet, dret i política</w:t>
      </w:r>
      <w:r w:rsidRPr="00462074">
        <w:rPr>
          <w:rFonts w:ascii="Arial" w:hAnsi="Arial" w:cs="Arial"/>
          <w:color w:val="000000" w:themeColor="text1"/>
          <w:sz w:val="24"/>
          <w:szCs w:val="24"/>
        </w:rPr>
        <w:t xml:space="preserve">, (30), p. 5.                                                                                                                       </w:t>
      </w:r>
    </w:p>
    <w:p w14:paraId="56F14E20" w14:textId="77777777" w:rsidR="00F742F8" w:rsidRPr="00462074" w:rsidRDefault="00F742F8" w:rsidP="001D20E5">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lastRenderedPageBreak/>
        <w:t xml:space="preserve">Mason, G. (2022) ‘Blue Lives Matter and Hate Crime Law’, </w:t>
      </w:r>
      <w:r w:rsidRPr="00462074">
        <w:rPr>
          <w:rFonts w:ascii="Arial" w:hAnsi="Arial" w:cs="Arial"/>
          <w:i/>
          <w:iCs/>
          <w:color w:val="000000" w:themeColor="text1"/>
          <w:sz w:val="24"/>
          <w:szCs w:val="24"/>
        </w:rPr>
        <w:t>Race and Justice</w:t>
      </w:r>
      <w:r w:rsidRPr="00462074">
        <w:rPr>
          <w:rFonts w:ascii="Arial" w:hAnsi="Arial" w:cs="Arial"/>
          <w:color w:val="000000" w:themeColor="text1"/>
          <w:sz w:val="24"/>
          <w:szCs w:val="24"/>
        </w:rPr>
        <w:t xml:space="preserve">, 12(2), pp. 411–430.                                                                                                                                                                         </w:t>
      </w:r>
    </w:p>
    <w:p w14:paraId="16009C02" w14:textId="57156BA2" w:rsidR="00632CA4" w:rsidRPr="00462074" w:rsidRDefault="00632CA4" w:rsidP="00F742F8">
      <w:pPr>
        <w:spacing w:beforeAutospacing="1" w:after="0" w:afterAutospacing="1" w:line="240" w:lineRule="auto"/>
        <w:ind w:left="-360"/>
        <w:rPr>
          <w:rFonts w:ascii="Arial" w:hAnsi="Arial" w:cs="Arial"/>
          <w:color w:val="000000" w:themeColor="text1"/>
          <w:sz w:val="24"/>
          <w:szCs w:val="24"/>
          <w:shd w:val="clear" w:color="auto" w:fill="FEF1C4"/>
        </w:rPr>
      </w:pPr>
      <w:r w:rsidRPr="00462074">
        <w:rPr>
          <w:rFonts w:ascii="Arial" w:hAnsi="Arial" w:cs="Arial"/>
          <w:color w:val="000000" w:themeColor="text1"/>
          <w:sz w:val="24"/>
          <w:szCs w:val="24"/>
          <w:shd w:val="clear" w:color="auto" w:fill="FEF1C4"/>
        </w:rPr>
        <w:t>Eoc. (2010). </w:t>
      </w:r>
      <w:r w:rsidRPr="00462074">
        <w:rPr>
          <w:rFonts w:ascii="Arial" w:hAnsi="Arial" w:cs="Arial"/>
          <w:i/>
          <w:iCs/>
          <w:color w:val="000000" w:themeColor="text1"/>
          <w:sz w:val="24"/>
          <w:szCs w:val="24"/>
          <w:shd w:val="clear" w:color="auto" w:fill="FEF1C4"/>
        </w:rPr>
        <w:t>Employees Rights «EOC</w:t>
      </w:r>
      <w:r w:rsidRPr="00462074">
        <w:rPr>
          <w:rFonts w:ascii="Arial" w:hAnsi="Arial" w:cs="Arial"/>
          <w:color w:val="000000" w:themeColor="text1"/>
          <w:sz w:val="24"/>
          <w:szCs w:val="24"/>
          <w:shd w:val="clear" w:color="auto" w:fill="FEF1C4"/>
        </w:rPr>
        <w:t xml:space="preserve">. Eoc.org.uk. </w:t>
      </w:r>
      <w:hyperlink r:id="rId9" w:history="1">
        <w:r w:rsidRPr="00462074">
          <w:rPr>
            <w:rStyle w:val="Hyperlink"/>
            <w:rFonts w:ascii="Arial" w:hAnsi="Arial" w:cs="Arial"/>
            <w:color w:val="000000" w:themeColor="text1"/>
            <w:sz w:val="24"/>
            <w:szCs w:val="24"/>
            <w:shd w:val="clear" w:color="auto" w:fill="FEF1C4"/>
          </w:rPr>
          <w:t>https://www.eoc.org.uk/employees-rights/</w:t>
        </w:r>
      </w:hyperlink>
    </w:p>
    <w:p w14:paraId="41E15117" w14:textId="5E5C410F" w:rsidR="00462074" w:rsidRPr="00462074" w:rsidRDefault="00462074" w:rsidP="00F742F8">
      <w:pPr>
        <w:spacing w:beforeAutospacing="1" w:after="0" w:afterAutospacing="1" w:line="240" w:lineRule="auto"/>
        <w:ind w:left="-360"/>
        <w:rPr>
          <w:rFonts w:ascii="Arial" w:hAnsi="Arial" w:cs="Arial"/>
          <w:color w:val="000000" w:themeColor="text1"/>
          <w:sz w:val="24"/>
          <w:szCs w:val="24"/>
          <w:shd w:val="clear" w:color="auto" w:fill="FEF1C4"/>
        </w:rPr>
      </w:pPr>
      <w:r w:rsidRPr="00462074">
        <w:rPr>
          <w:rFonts w:ascii="Arial" w:hAnsi="Arial" w:cs="Arial"/>
          <w:color w:val="000000" w:themeColor="text1"/>
          <w:sz w:val="24"/>
          <w:szCs w:val="24"/>
          <w:shd w:val="clear" w:color="auto" w:fill="FEF1C4"/>
        </w:rPr>
        <w:t>Practical Law. (n.d.). </w:t>
      </w:r>
      <w:r w:rsidRPr="00462074">
        <w:rPr>
          <w:rFonts w:ascii="Arial" w:hAnsi="Arial" w:cs="Arial"/>
          <w:i/>
          <w:iCs/>
          <w:color w:val="000000" w:themeColor="text1"/>
          <w:sz w:val="24"/>
          <w:szCs w:val="24"/>
          <w:shd w:val="clear" w:color="auto" w:fill="FEF1C4"/>
        </w:rPr>
        <w:t>Claims in negligence: an overview</w:t>
      </w:r>
      <w:r w:rsidRPr="00462074">
        <w:rPr>
          <w:rFonts w:ascii="Arial" w:hAnsi="Arial" w:cs="Arial"/>
          <w:color w:val="000000" w:themeColor="text1"/>
          <w:sz w:val="24"/>
          <w:szCs w:val="24"/>
          <w:shd w:val="clear" w:color="auto" w:fill="FEF1C4"/>
        </w:rPr>
        <w:t>. [online] Available at: https://uk.practicallaw.thomsonreuters.com/9-504-0826?transitionType=Default&amp;contextData=(sc.Default).</w:t>
      </w:r>
    </w:p>
    <w:p w14:paraId="59BDE89B" w14:textId="77777777" w:rsidR="00F742F8" w:rsidRPr="00462074" w:rsidRDefault="00F742F8" w:rsidP="00F742F8">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Phillips, J., Water, J., westaby, C., Fowler, A., (2020) Emotional labour in criminal justice and criminology. Routledge.</w:t>
      </w:r>
    </w:p>
    <w:p w14:paraId="744A1FEE" w14:textId="77777777" w:rsidR="00F742F8" w:rsidRPr="00462074" w:rsidRDefault="00F742F8" w:rsidP="00F742F8">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Sheptycki, J. (2020) ‘The politics of policing a pandemic panic’, Australian &amp; New Zealand Journal of Criminology, 53(2), pp. 157–173.</w:t>
      </w:r>
    </w:p>
    <w:p w14:paraId="475AC5B9" w14:textId="77777777" w:rsidR="00F742F8" w:rsidRPr="00462074" w:rsidRDefault="00F742F8" w:rsidP="00F742F8">
      <w:pPr>
        <w:spacing w:beforeAutospacing="1" w:after="0" w:afterAutospacing="1" w:line="240" w:lineRule="auto"/>
        <w:ind w:left="-360"/>
        <w:rPr>
          <w:rFonts w:ascii="Arial" w:hAnsi="Arial" w:cs="Arial"/>
          <w:color w:val="000000" w:themeColor="text1"/>
          <w:sz w:val="24"/>
          <w:szCs w:val="24"/>
        </w:rPr>
      </w:pPr>
      <w:r w:rsidRPr="00462074">
        <w:rPr>
          <w:rFonts w:ascii="Arial" w:hAnsi="Arial" w:cs="Arial"/>
          <w:color w:val="000000" w:themeColor="text1"/>
          <w:sz w:val="24"/>
          <w:szCs w:val="24"/>
        </w:rPr>
        <w:t>Siregar, S.A., Siregar, G. and Lubis, M.A. (2020) ‘Criminological Perspective Of Street Crime’, Journal of Advanced Research in Dynamical and Control Systems-JARDCS, 12(6), pp. 603–611.</w:t>
      </w:r>
    </w:p>
    <w:p w14:paraId="3537844A" w14:textId="1533B413" w:rsidR="00F742F8" w:rsidRPr="00462074" w:rsidRDefault="00F742F8" w:rsidP="00F742F8">
      <w:pPr>
        <w:spacing w:beforeAutospacing="1" w:after="0" w:afterAutospacing="1" w:line="240" w:lineRule="auto"/>
        <w:ind w:left="-360"/>
        <w:rPr>
          <w:rFonts w:ascii="Arial" w:hAnsi="Arial" w:cs="Arial"/>
          <w:color w:val="000000" w:themeColor="text1"/>
          <w:sz w:val="24"/>
          <w:szCs w:val="24"/>
        </w:rPr>
      </w:pPr>
      <w:bookmarkStart w:id="0" w:name="_GoBack"/>
      <w:bookmarkEnd w:id="0"/>
      <w:r w:rsidRPr="00462074">
        <w:rPr>
          <w:rFonts w:ascii="Arial" w:hAnsi="Arial" w:cs="Arial"/>
          <w:color w:val="000000" w:themeColor="text1"/>
          <w:sz w:val="24"/>
          <w:szCs w:val="24"/>
        </w:rPr>
        <w:t xml:space="preserve">White, M.D. and </w:t>
      </w:r>
      <w:proofErr w:type="spellStart"/>
      <w:r w:rsidRPr="00462074">
        <w:rPr>
          <w:rFonts w:ascii="Arial" w:hAnsi="Arial" w:cs="Arial"/>
          <w:color w:val="000000" w:themeColor="text1"/>
          <w:sz w:val="24"/>
          <w:szCs w:val="24"/>
        </w:rPr>
        <w:t>Fradella</w:t>
      </w:r>
      <w:proofErr w:type="spellEnd"/>
      <w:r w:rsidRPr="00462074">
        <w:rPr>
          <w:rFonts w:ascii="Arial" w:hAnsi="Arial" w:cs="Arial"/>
          <w:color w:val="000000" w:themeColor="text1"/>
          <w:sz w:val="24"/>
          <w:szCs w:val="24"/>
        </w:rPr>
        <w:t xml:space="preserve">, H.F. (2020) ‘Policing a Pandemic: Stay-at-Home Orders and </w:t>
      </w:r>
      <w:proofErr w:type="gramStart"/>
      <w:r w:rsidRPr="00462074">
        <w:rPr>
          <w:rFonts w:ascii="Arial" w:hAnsi="Arial" w:cs="Arial"/>
          <w:color w:val="000000" w:themeColor="text1"/>
          <w:sz w:val="24"/>
          <w:szCs w:val="24"/>
        </w:rPr>
        <w:t>What</w:t>
      </w:r>
      <w:proofErr w:type="gramEnd"/>
      <w:r w:rsidRPr="00462074">
        <w:rPr>
          <w:rFonts w:ascii="Arial" w:hAnsi="Arial" w:cs="Arial"/>
          <w:color w:val="000000" w:themeColor="text1"/>
          <w:sz w:val="24"/>
          <w:szCs w:val="24"/>
        </w:rPr>
        <w:t xml:space="preserve"> they Mean for the Police’, Journal of Criminal Justice, 45(4), pp. 702–717.</w:t>
      </w:r>
    </w:p>
    <w:p w14:paraId="71E65102" w14:textId="77777777" w:rsidR="00E95AEC" w:rsidRPr="00462074" w:rsidRDefault="00E95AEC" w:rsidP="00F742F8">
      <w:pPr>
        <w:rPr>
          <w:rFonts w:ascii="Arial" w:hAnsi="Arial" w:cs="Arial"/>
          <w:color w:val="000000" w:themeColor="text1"/>
          <w:sz w:val="24"/>
          <w:szCs w:val="24"/>
        </w:rPr>
      </w:pPr>
    </w:p>
    <w:p w14:paraId="65DC5139" w14:textId="4BE80F93" w:rsidR="001C14D3" w:rsidRPr="00462074" w:rsidRDefault="001C14D3" w:rsidP="00CF5FA6">
      <w:pPr>
        <w:spacing w:after="0" w:line="360" w:lineRule="auto"/>
        <w:ind w:left="720" w:hanging="720"/>
        <w:jc w:val="both"/>
        <w:rPr>
          <w:rFonts w:ascii="Arial" w:hAnsi="Arial" w:cs="Arial"/>
          <w:color w:val="000000" w:themeColor="text1"/>
          <w:sz w:val="24"/>
          <w:szCs w:val="24"/>
        </w:rPr>
      </w:pPr>
    </w:p>
    <w:sectPr w:rsidR="001C14D3" w:rsidRPr="004620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C4A98A" w14:textId="77777777" w:rsidR="0065615F" w:rsidRDefault="0065615F" w:rsidP="00633D03">
      <w:pPr>
        <w:spacing w:after="0" w:line="240" w:lineRule="auto"/>
      </w:pPr>
      <w:r>
        <w:separator/>
      </w:r>
    </w:p>
  </w:endnote>
  <w:endnote w:type="continuationSeparator" w:id="0">
    <w:p w14:paraId="38C3AA3B" w14:textId="77777777" w:rsidR="0065615F" w:rsidRDefault="0065615F" w:rsidP="00633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75676A" w14:textId="77777777" w:rsidR="0065615F" w:rsidRDefault="0065615F" w:rsidP="00633D03">
      <w:pPr>
        <w:spacing w:after="0" w:line="240" w:lineRule="auto"/>
      </w:pPr>
      <w:r>
        <w:separator/>
      </w:r>
    </w:p>
  </w:footnote>
  <w:footnote w:type="continuationSeparator" w:id="0">
    <w:p w14:paraId="46D97C72" w14:textId="77777777" w:rsidR="0065615F" w:rsidRDefault="0065615F" w:rsidP="00633D0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2E064BD"/>
    <w:multiLevelType w:val="multilevel"/>
    <w:tmpl w:val="C3FAD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QyNDIyNTYyNzQ0MzJW0lEKTi0uzszPAykwqQUA3LnHyCwAAAA="/>
  </w:docVars>
  <w:rsids>
    <w:rsidRoot w:val="001D23A5"/>
    <w:rsid w:val="0000151A"/>
    <w:rsid w:val="00036488"/>
    <w:rsid w:val="00062104"/>
    <w:rsid w:val="000721A1"/>
    <w:rsid w:val="0007794C"/>
    <w:rsid w:val="00084DA3"/>
    <w:rsid w:val="00085B13"/>
    <w:rsid w:val="000D1073"/>
    <w:rsid w:val="000E0175"/>
    <w:rsid w:val="000F555D"/>
    <w:rsid w:val="001565E4"/>
    <w:rsid w:val="001650D2"/>
    <w:rsid w:val="00184326"/>
    <w:rsid w:val="00190966"/>
    <w:rsid w:val="001A207E"/>
    <w:rsid w:val="001C14D3"/>
    <w:rsid w:val="001D20E5"/>
    <w:rsid w:val="001D23A5"/>
    <w:rsid w:val="001E0360"/>
    <w:rsid w:val="0024276C"/>
    <w:rsid w:val="002448DA"/>
    <w:rsid w:val="002454E7"/>
    <w:rsid w:val="0025219D"/>
    <w:rsid w:val="002620C0"/>
    <w:rsid w:val="00291EC1"/>
    <w:rsid w:val="002929C7"/>
    <w:rsid w:val="002A6757"/>
    <w:rsid w:val="002C66D7"/>
    <w:rsid w:val="002E7A5D"/>
    <w:rsid w:val="00310C86"/>
    <w:rsid w:val="0032523E"/>
    <w:rsid w:val="003300BC"/>
    <w:rsid w:val="00343121"/>
    <w:rsid w:val="003465CC"/>
    <w:rsid w:val="003504BF"/>
    <w:rsid w:val="00355889"/>
    <w:rsid w:val="0038353C"/>
    <w:rsid w:val="003906A0"/>
    <w:rsid w:val="003A521C"/>
    <w:rsid w:val="003D0F0B"/>
    <w:rsid w:val="003D3BC1"/>
    <w:rsid w:val="003E48D5"/>
    <w:rsid w:val="003E73C4"/>
    <w:rsid w:val="00437A38"/>
    <w:rsid w:val="00440BDD"/>
    <w:rsid w:val="00451BBC"/>
    <w:rsid w:val="0045405C"/>
    <w:rsid w:val="00462074"/>
    <w:rsid w:val="004629EE"/>
    <w:rsid w:val="004B064F"/>
    <w:rsid w:val="004C1C1C"/>
    <w:rsid w:val="004D5B05"/>
    <w:rsid w:val="004D7A86"/>
    <w:rsid w:val="004E4BCE"/>
    <w:rsid w:val="004E54AE"/>
    <w:rsid w:val="005000DD"/>
    <w:rsid w:val="005348F7"/>
    <w:rsid w:val="00537CB3"/>
    <w:rsid w:val="0054553C"/>
    <w:rsid w:val="00546210"/>
    <w:rsid w:val="005512CA"/>
    <w:rsid w:val="00551F1D"/>
    <w:rsid w:val="0055514F"/>
    <w:rsid w:val="00563859"/>
    <w:rsid w:val="00570624"/>
    <w:rsid w:val="00575474"/>
    <w:rsid w:val="00593FFC"/>
    <w:rsid w:val="005B178F"/>
    <w:rsid w:val="005C770E"/>
    <w:rsid w:val="005E2022"/>
    <w:rsid w:val="005E5F43"/>
    <w:rsid w:val="005E7837"/>
    <w:rsid w:val="00604458"/>
    <w:rsid w:val="00632CA4"/>
    <w:rsid w:val="00633D03"/>
    <w:rsid w:val="00635D53"/>
    <w:rsid w:val="0065615F"/>
    <w:rsid w:val="006717D8"/>
    <w:rsid w:val="0068048F"/>
    <w:rsid w:val="00687833"/>
    <w:rsid w:val="006B118A"/>
    <w:rsid w:val="006C117C"/>
    <w:rsid w:val="006C63A3"/>
    <w:rsid w:val="006D699F"/>
    <w:rsid w:val="00722EAB"/>
    <w:rsid w:val="007237EB"/>
    <w:rsid w:val="00741531"/>
    <w:rsid w:val="00754152"/>
    <w:rsid w:val="00771B13"/>
    <w:rsid w:val="00780BE0"/>
    <w:rsid w:val="007A048C"/>
    <w:rsid w:val="007C3624"/>
    <w:rsid w:val="007C5737"/>
    <w:rsid w:val="007C6E50"/>
    <w:rsid w:val="007D6C6F"/>
    <w:rsid w:val="007E5491"/>
    <w:rsid w:val="00830E98"/>
    <w:rsid w:val="00831FFD"/>
    <w:rsid w:val="008453A4"/>
    <w:rsid w:val="00891396"/>
    <w:rsid w:val="00891AA7"/>
    <w:rsid w:val="00896E4E"/>
    <w:rsid w:val="008A40E0"/>
    <w:rsid w:val="008C45BF"/>
    <w:rsid w:val="008D298B"/>
    <w:rsid w:val="008E3CFC"/>
    <w:rsid w:val="009128A5"/>
    <w:rsid w:val="00917466"/>
    <w:rsid w:val="00933066"/>
    <w:rsid w:val="009368FB"/>
    <w:rsid w:val="0096753D"/>
    <w:rsid w:val="009C6A6F"/>
    <w:rsid w:val="009C75B9"/>
    <w:rsid w:val="009E4753"/>
    <w:rsid w:val="009F49DE"/>
    <w:rsid w:val="00A12133"/>
    <w:rsid w:val="00A22AF8"/>
    <w:rsid w:val="00A427EE"/>
    <w:rsid w:val="00A5458D"/>
    <w:rsid w:val="00A82FC2"/>
    <w:rsid w:val="00AA48C6"/>
    <w:rsid w:val="00AC4B4A"/>
    <w:rsid w:val="00AC7674"/>
    <w:rsid w:val="00AD7ADA"/>
    <w:rsid w:val="00AE6415"/>
    <w:rsid w:val="00B4748E"/>
    <w:rsid w:val="00B51D0C"/>
    <w:rsid w:val="00B7556C"/>
    <w:rsid w:val="00B86CF8"/>
    <w:rsid w:val="00B95D9B"/>
    <w:rsid w:val="00BA6D46"/>
    <w:rsid w:val="00C2240E"/>
    <w:rsid w:val="00C37575"/>
    <w:rsid w:val="00C400ED"/>
    <w:rsid w:val="00C40B06"/>
    <w:rsid w:val="00C742BB"/>
    <w:rsid w:val="00C76373"/>
    <w:rsid w:val="00C829DC"/>
    <w:rsid w:val="00CA0149"/>
    <w:rsid w:val="00CA2270"/>
    <w:rsid w:val="00CB56CF"/>
    <w:rsid w:val="00CD1510"/>
    <w:rsid w:val="00CE6CF1"/>
    <w:rsid w:val="00CF5FA6"/>
    <w:rsid w:val="00D01608"/>
    <w:rsid w:val="00D21964"/>
    <w:rsid w:val="00D568D8"/>
    <w:rsid w:val="00D60671"/>
    <w:rsid w:val="00DB62A6"/>
    <w:rsid w:val="00DC1B8D"/>
    <w:rsid w:val="00DD0B8F"/>
    <w:rsid w:val="00DF5CB3"/>
    <w:rsid w:val="00E21AD3"/>
    <w:rsid w:val="00E355E9"/>
    <w:rsid w:val="00E43B4E"/>
    <w:rsid w:val="00E531AE"/>
    <w:rsid w:val="00E53942"/>
    <w:rsid w:val="00E60CA7"/>
    <w:rsid w:val="00E66E47"/>
    <w:rsid w:val="00E71FDE"/>
    <w:rsid w:val="00E92BB6"/>
    <w:rsid w:val="00E95AEC"/>
    <w:rsid w:val="00F742F8"/>
    <w:rsid w:val="00F932DE"/>
    <w:rsid w:val="00F958B3"/>
    <w:rsid w:val="00F95D05"/>
    <w:rsid w:val="00FB02CE"/>
    <w:rsid w:val="00FB0489"/>
    <w:rsid w:val="00FB1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419762"/>
  <w15:chartTrackingRefBased/>
  <w15:docId w15:val="{23C2FFF4-35CA-4499-9213-3EA46A943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D01608"/>
    <w:pPr>
      <w:keepNext/>
      <w:keepLines/>
      <w:spacing w:before="240" w:after="0"/>
      <w:jc w:val="both"/>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9C6A6F"/>
    <w:pPr>
      <w:keepNext/>
      <w:keepLines/>
      <w:spacing w:after="0" w:line="360" w:lineRule="auto"/>
      <w:ind w:firstLine="720"/>
      <w:jc w:val="both"/>
      <w:outlineLvl w:val="1"/>
    </w:pPr>
    <w:rPr>
      <w:rFonts w:ascii="Times New Roman" w:eastAsiaTheme="majorEastAsia" w:hAnsi="Times New Roman" w:cs="Times New Roman"/>
      <w:color w:val="000000" w:themeColor="text1"/>
      <w:sz w:val="24"/>
      <w:szCs w:val="24"/>
    </w:rPr>
  </w:style>
  <w:style w:type="paragraph" w:styleId="Heading3">
    <w:name w:val="heading 3"/>
    <w:basedOn w:val="Normal"/>
    <w:next w:val="Normal"/>
    <w:link w:val="Heading3Char"/>
    <w:autoRedefine/>
    <w:uiPriority w:val="9"/>
    <w:unhideWhenUsed/>
    <w:qFormat/>
    <w:rsid w:val="00E71FDE"/>
    <w:pPr>
      <w:keepNext/>
      <w:keepLines/>
      <w:spacing w:before="120" w:after="120" w:line="360" w:lineRule="auto"/>
      <w:ind w:firstLine="720"/>
      <w:jc w:val="both"/>
      <w:outlineLvl w:val="2"/>
    </w:pPr>
    <w:rPr>
      <w:rFonts w:ascii="Times New Roman" w:eastAsiaTheme="majorEastAsia" w:hAnsi="Times New Roman"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C6A6F"/>
    <w:rPr>
      <w:rFonts w:ascii="Times New Roman" w:eastAsiaTheme="majorEastAsia" w:hAnsi="Times New Roman" w:cs="Times New Roman"/>
      <w:color w:val="000000" w:themeColor="text1"/>
      <w:sz w:val="24"/>
      <w:szCs w:val="24"/>
    </w:rPr>
  </w:style>
  <w:style w:type="character" w:customStyle="1" w:styleId="Heading1Char">
    <w:name w:val="Heading 1 Char"/>
    <w:basedOn w:val="DefaultParagraphFont"/>
    <w:link w:val="Heading1"/>
    <w:uiPriority w:val="9"/>
    <w:rsid w:val="00D01608"/>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E71FDE"/>
    <w:rPr>
      <w:rFonts w:ascii="Times New Roman" w:eastAsiaTheme="majorEastAsia" w:hAnsi="Times New Roman" w:cstheme="majorBidi"/>
      <w:b/>
      <w:i/>
      <w:color w:val="000000" w:themeColor="text1"/>
      <w:sz w:val="24"/>
      <w:szCs w:val="24"/>
    </w:rPr>
  </w:style>
  <w:style w:type="paragraph" w:styleId="ListParagraph">
    <w:name w:val="List Paragraph"/>
    <w:basedOn w:val="Normal"/>
    <w:uiPriority w:val="34"/>
    <w:qFormat/>
    <w:rsid w:val="001C14D3"/>
    <w:pPr>
      <w:ind w:left="720"/>
      <w:contextualSpacing/>
    </w:pPr>
  </w:style>
  <w:style w:type="paragraph" w:styleId="FootnoteText">
    <w:name w:val="footnote text"/>
    <w:basedOn w:val="Normal"/>
    <w:link w:val="FootnoteTextChar"/>
    <w:uiPriority w:val="99"/>
    <w:semiHidden/>
    <w:unhideWhenUsed/>
    <w:rsid w:val="00633D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3D03"/>
    <w:rPr>
      <w:sz w:val="20"/>
      <w:szCs w:val="20"/>
    </w:rPr>
  </w:style>
  <w:style w:type="character" w:styleId="FootnoteReference">
    <w:name w:val="footnote reference"/>
    <w:basedOn w:val="DefaultParagraphFont"/>
    <w:uiPriority w:val="99"/>
    <w:semiHidden/>
    <w:unhideWhenUsed/>
    <w:rsid w:val="00633D03"/>
    <w:rPr>
      <w:vertAlign w:val="superscript"/>
    </w:rPr>
  </w:style>
  <w:style w:type="character" w:styleId="Hyperlink">
    <w:name w:val="Hyperlink"/>
    <w:basedOn w:val="DefaultParagraphFont"/>
    <w:uiPriority w:val="99"/>
    <w:unhideWhenUsed/>
    <w:rsid w:val="00537CB3"/>
    <w:rPr>
      <w:color w:val="0563C1" w:themeColor="hyperlink"/>
      <w:u w:val="single"/>
    </w:rPr>
  </w:style>
  <w:style w:type="paragraph" w:styleId="NoSpacing">
    <w:name w:val="No Spacing"/>
    <w:uiPriority w:val="1"/>
    <w:qFormat/>
    <w:rsid w:val="00184326"/>
    <w:pPr>
      <w:spacing w:after="0" w:line="240" w:lineRule="auto"/>
    </w:pPr>
  </w:style>
  <w:style w:type="character" w:customStyle="1" w:styleId="personname">
    <w:name w:val="person_name"/>
    <w:basedOn w:val="DefaultParagraphFont"/>
    <w:rsid w:val="0007794C"/>
  </w:style>
  <w:style w:type="paragraph" w:styleId="NormalWeb">
    <w:name w:val="Normal (Web)"/>
    <w:basedOn w:val="Normal"/>
    <w:uiPriority w:val="99"/>
    <w:unhideWhenUsed/>
    <w:rsid w:val="005C77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0005770">
      <w:bodyDiv w:val="1"/>
      <w:marLeft w:val="0"/>
      <w:marRight w:val="0"/>
      <w:marTop w:val="0"/>
      <w:marBottom w:val="0"/>
      <w:divBdr>
        <w:top w:val="none" w:sz="0" w:space="0" w:color="auto"/>
        <w:left w:val="none" w:sz="0" w:space="0" w:color="auto"/>
        <w:bottom w:val="none" w:sz="0" w:space="0" w:color="auto"/>
        <w:right w:val="none" w:sz="0" w:space="0" w:color="auto"/>
      </w:divBdr>
      <w:divsChild>
        <w:div w:id="227224943">
          <w:marLeft w:val="0"/>
          <w:marRight w:val="0"/>
          <w:marTop w:val="0"/>
          <w:marBottom w:val="0"/>
          <w:divBdr>
            <w:top w:val="none" w:sz="0" w:space="0" w:color="auto"/>
            <w:left w:val="none" w:sz="0" w:space="0" w:color="auto"/>
            <w:bottom w:val="none" w:sz="0" w:space="0" w:color="auto"/>
            <w:right w:val="none" w:sz="0" w:space="0" w:color="auto"/>
          </w:divBdr>
          <w:divsChild>
            <w:div w:id="1119567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078363">
      <w:bodyDiv w:val="1"/>
      <w:marLeft w:val="0"/>
      <w:marRight w:val="0"/>
      <w:marTop w:val="0"/>
      <w:marBottom w:val="0"/>
      <w:divBdr>
        <w:top w:val="none" w:sz="0" w:space="0" w:color="auto"/>
        <w:left w:val="none" w:sz="0" w:space="0" w:color="auto"/>
        <w:bottom w:val="none" w:sz="0" w:space="0" w:color="auto"/>
        <w:right w:val="none" w:sz="0" w:space="0" w:color="auto"/>
      </w:divBdr>
    </w:div>
    <w:div w:id="1070730717">
      <w:bodyDiv w:val="1"/>
      <w:marLeft w:val="0"/>
      <w:marRight w:val="0"/>
      <w:marTop w:val="0"/>
      <w:marBottom w:val="0"/>
      <w:divBdr>
        <w:top w:val="none" w:sz="0" w:space="0" w:color="auto"/>
        <w:left w:val="none" w:sz="0" w:space="0" w:color="auto"/>
        <w:bottom w:val="none" w:sz="0" w:space="0" w:color="auto"/>
        <w:right w:val="none" w:sz="0" w:space="0" w:color="auto"/>
      </w:divBdr>
      <w:divsChild>
        <w:div w:id="1692027187">
          <w:marLeft w:val="0"/>
          <w:marRight w:val="0"/>
          <w:marTop w:val="0"/>
          <w:marBottom w:val="0"/>
          <w:divBdr>
            <w:top w:val="none" w:sz="0" w:space="0" w:color="auto"/>
            <w:left w:val="none" w:sz="0" w:space="0" w:color="auto"/>
            <w:bottom w:val="none" w:sz="0" w:space="0" w:color="auto"/>
            <w:right w:val="none" w:sz="0" w:space="0" w:color="auto"/>
          </w:divBdr>
          <w:divsChild>
            <w:div w:id="1233197970">
              <w:marLeft w:val="0"/>
              <w:marRight w:val="0"/>
              <w:marTop w:val="0"/>
              <w:marBottom w:val="240"/>
              <w:divBdr>
                <w:top w:val="none" w:sz="0" w:space="0" w:color="auto"/>
                <w:left w:val="none" w:sz="0" w:space="0" w:color="auto"/>
                <w:bottom w:val="none" w:sz="0" w:space="0" w:color="auto"/>
                <w:right w:val="none" w:sz="0" w:space="0" w:color="auto"/>
              </w:divBdr>
            </w:div>
            <w:div w:id="1167748223">
              <w:marLeft w:val="0"/>
              <w:marRight w:val="0"/>
              <w:marTop w:val="0"/>
              <w:marBottom w:val="240"/>
              <w:divBdr>
                <w:top w:val="none" w:sz="0" w:space="0" w:color="auto"/>
                <w:left w:val="none" w:sz="0" w:space="0" w:color="auto"/>
                <w:bottom w:val="none" w:sz="0" w:space="0" w:color="auto"/>
                <w:right w:val="none" w:sz="0" w:space="0" w:color="auto"/>
              </w:divBdr>
            </w:div>
            <w:div w:id="1602838938">
              <w:marLeft w:val="0"/>
              <w:marRight w:val="0"/>
              <w:marTop w:val="0"/>
              <w:marBottom w:val="240"/>
              <w:divBdr>
                <w:top w:val="none" w:sz="0" w:space="0" w:color="auto"/>
                <w:left w:val="none" w:sz="0" w:space="0" w:color="auto"/>
                <w:bottom w:val="none" w:sz="0" w:space="0" w:color="auto"/>
                <w:right w:val="none" w:sz="0" w:space="0" w:color="auto"/>
              </w:divBdr>
            </w:div>
            <w:div w:id="2091922983">
              <w:marLeft w:val="0"/>
              <w:marRight w:val="0"/>
              <w:marTop w:val="0"/>
              <w:marBottom w:val="240"/>
              <w:divBdr>
                <w:top w:val="none" w:sz="0" w:space="0" w:color="auto"/>
                <w:left w:val="none" w:sz="0" w:space="0" w:color="auto"/>
                <w:bottom w:val="none" w:sz="0" w:space="0" w:color="auto"/>
                <w:right w:val="none" w:sz="0" w:space="0" w:color="auto"/>
              </w:divBdr>
            </w:div>
            <w:div w:id="248930711">
              <w:marLeft w:val="0"/>
              <w:marRight w:val="0"/>
              <w:marTop w:val="0"/>
              <w:marBottom w:val="240"/>
              <w:divBdr>
                <w:top w:val="none" w:sz="0" w:space="0" w:color="auto"/>
                <w:left w:val="none" w:sz="0" w:space="0" w:color="auto"/>
                <w:bottom w:val="none" w:sz="0" w:space="0" w:color="auto"/>
                <w:right w:val="none" w:sz="0" w:space="0" w:color="auto"/>
              </w:divBdr>
            </w:div>
            <w:div w:id="96214688">
              <w:marLeft w:val="0"/>
              <w:marRight w:val="0"/>
              <w:marTop w:val="0"/>
              <w:marBottom w:val="240"/>
              <w:divBdr>
                <w:top w:val="none" w:sz="0" w:space="0" w:color="auto"/>
                <w:left w:val="none" w:sz="0" w:space="0" w:color="auto"/>
                <w:bottom w:val="none" w:sz="0" w:space="0" w:color="auto"/>
                <w:right w:val="none" w:sz="0" w:space="0" w:color="auto"/>
              </w:divBdr>
            </w:div>
            <w:div w:id="23212685">
              <w:marLeft w:val="0"/>
              <w:marRight w:val="0"/>
              <w:marTop w:val="0"/>
              <w:marBottom w:val="240"/>
              <w:divBdr>
                <w:top w:val="none" w:sz="0" w:space="0" w:color="auto"/>
                <w:left w:val="none" w:sz="0" w:space="0" w:color="auto"/>
                <w:bottom w:val="none" w:sz="0" w:space="0" w:color="auto"/>
                <w:right w:val="none" w:sz="0" w:space="0" w:color="auto"/>
              </w:divBdr>
            </w:div>
            <w:div w:id="1886983026">
              <w:marLeft w:val="0"/>
              <w:marRight w:val="0"/>
              <w:marTop w:val="0"/>
              <w:marBottom w:val="240"/>
              <w:divBdr>
                <w:top w:val="none" w:sz="0" w:space="0" w:color="auto"/>
                <w:left w:val="none" w:sz="0" w:space="0" w:color="auto"/>
                <w:bottom w:val="none" w:sz="0" w:space="0" w:color="auto"/>
                <w:right w:val="none" w:sz="0" w:space="0" w:color="auto"/>
              </w:divBdr>
            </w:div>
            <w:div w:id="300156504">
              <w:marLeft w:val="0"/>
              <w:marRight w:val="0"/>
              <w:marTop w:val="0"/>
              <w:marBottom w:val="240"/>
              <w:divBdr>
                <w:top w:val="none" w:sz="0" w:space="0" w:color="auto"/>
                <w:left w:val="none" w:sz="0" w:space="0" w:color="auto"/>
                <w:bottom w:val="none" w:sz="0" w:space="0" w:color="auto"/>
                <w:right w:val="none" w:sz="0" w:space="0" w:color="auto"/>
              </w:divBdr>
            </w:div>
            <w:div w:id="1697269535">
              <w:marLeft w:val="0"/>
              <w:marRight w:val="0"/>
              <w:marTop w:val="0"/>
              <w:marBottom w:val="240"/>
              <w:divBdr>
                <w:top w:val="none" w:sz="0" w:space="0" w:color="auto"/>
                <w:left w:val="none" w:sz="0" w:space="0" w:color="auto"/>
                <w:bottom w:val="none" w:sz="0" w:space="0" w:color="auto"/>
                <w:right w:val="none" w:sz="0" w:space="0" w:color="auto"/>
              </w:divBdr>
            </w:div>
            <w:div w:id="315912804">
              <w:marLeft w:val="0"/>
              <w:marRight w:val="0"/>
              <w:marTop w:val="0"/>
              <w:marBottom w:val="240"/>
              <w:divBdr>
                <w:top w:val="none" w:sz="0" w:space="0" w:color="auto"/>
                <w:left w:val="none" w:sz="0" w:space="0" w:color="auto"/>
                <w:bottom w:val="none" w:sz="0" w:space="0" w:color="auto"/>
                <w:right w:val="none" w:sz="0" w:space="0" w:color="auto"/>
              </w:divBdr>
            </w:div>
            <w:div w:id="456483871">
              <w:marLeft w:val="0"/>
              <w:marRight w:val="0"/>
              <w:marTop w:val="0"/>
              <w:marBottom w:val="240"/>
              <w:divBdr>
                <w:top w:val="none" w:sz="0" w:space="0" w:color="auto"/>
                <w:left w:val="none" w:sz="0" w:space="0" w:color="auto"/>
                <w:bottom w:val="none" w:sz="0" w:space="0" w:color="auto"/>
                <w:right w:val="none" w:sz="0" w:space="0" w:color="auto"/>
              </w:divBdr>
            </w:div>
            <w:div w:id="299266773">
              <w:marLeft w:val="0"/>
              <w:marRight w:val="0"/>
              <w:marTop w:val="0"/>
              <w:marBottom w:val="240"/>
              <w:divBdr>
                <w:top w:val="none" w:sz="0" w:space="0" w:color="auto"/>
                <w:left w:val="none" w:sz="0" w:space="0" w:color="auto"/>
                <w:bottom w:val="none" w:sz="0" w:space="0" w:color="auto"/>
                <w:right w:val="none" w:sz="0" w:space="0" w:color="auto"/>
              </w:divBdr>
            </w:div>
            <w:div w:id="313027754">
              <w:marLeft w:val="0"/>
              <w:marRight w:val="0"/>
              <w:marTop w:val="0"/>
              <w:marBottom w:val="240"/>
              <w:divBdr>
                <w:top w:val="none" w:sz="0" w:space="0" w:color="auto"/>
                <w:left w:val="none" w:sz="0" w:space="0" w:color="auto"/>
                <w:bottom w:val="none" w:sz="0" w:space="0" w:color="auto"/>
                <w:right w:val="none" w:sz="0" w:space="0" w:color="auto"/>
              </w:divBdr>
            </w:div>
            <w:div w:id="1433548815">
              <w:marLeft w:val="0"/>
              <w:marRight w:val="0"/>
              <w:marTop w:val="0"/>
              <w:marBottom w:val="240"/>
              <w:divBdr>
                <w:top w:val="none" w:sz="0" w:space="0" w:color="auto"/>
                <w:left w:val="none" w:sz="0" w:space="0" w:color="auto"/>
                <w:bottom w:val="none" w:sz="0" w:space="0" w:color="auto"/>
                <w:right w:val="none" w:sz="0" w:space="0" w:color="auto"/>
              </w:divBdr>
            </w:div>
            <w:div w:id="683554719">
              <w:marLeft w:val="0"/>
              <w:marRight w:val="0"/>
              <w:marTop w:val="0"/>
              <w:marBottom w:val="240"/>
              <w:divBdr>
                <w:top w:val="none" w:sz="0" w:space="0" w:color="auto"/>
                <w:left w:val="none" w:sz="0" w:space="0" w:color="auto"/>
                <w:bottom w:val="none" w:sz="0" w:space="0" w:color="auto"/>
                <w:right w:val="none" w:sz="0" w:space="0" w:color="auto"/>
              </w:divBdr>
            </w:div>
            <w:div w:id="1797598994">
              <w:marLeft w:val="0"/>
              <w:marRight w:val="0"/>
              <w:marTop w:val="0"/>
              <w:marBottom w:val="240"/>
              <w:divBdr>
                <w:top w:val="none" w:sz="0" w:space="0" w:color="auto"/>
                <w:left w:val="none" w:sz="0" w:space="0" w:color="auto"/>
                <w:bottom w:val="none" w:sz="0" w:space="0" w:color="auto"/>
                <w:right w:val="none" w:sz="0" w:space="0" w:color="auto"/>
              </w:divBdr>
            </w:div>
            <w:div w:id="1654481796">
              <w:marLeft w:val="0"/>
              <w:marRight w:val="0"/>
              <w:marTop w:val="0"/>
              <w:marBottom w:val="240"/>
              <w:divBdr>
                <w:top w:val="none" w:sz="0" w:space="0" w:color="auto"/>
                <w:left w:val="none" w:sz="0" w:space="0" w:color="auto"/>
                <w:bottom w:val="none" w:sz="0" w:space="0" w:color="auto"/>
                <w:right w:val="none" w:sz="0" w:space="0" w:color="auto"/>
              </w:divBdr>
            </w:div>
            <w:div w:id="1685859616">
              <w:marLeft w:val="0"/>
              <w:marRight w:val="0"/>
              <w:marTop w:val="0"/>
              <w:marBottom w:val="240"/>
              <w:divBdr>
                <w:top w:val="none" w:sz="0" w:space="0" w:color="auto"/>
                <w:left w:val="none" w:sz="0" w:space="0" w:color="auto"/>
                <w:bottom w:val="none" w:sz="0" w:space="0" w:color="auto"/>
                <w:right w:val="none" w:sz="0" w:space="0" w:color="auto"/>
              </w:divBdr>
            </w:div>
            <w:div w:id="117869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68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legislation/hswa.ht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oc.org.uk/employees-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0B4BC-1843-4736-85BA-415AED33B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2130</TotalTime>
  <Pages>7</Pages>
  <Words>1805</Words>
  <Characters>10564</Characters>
  <Application>Microsoft Office Word</Application>
  <DocSecurity>0</DocSecurity>
  <Lines>229</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NCW</dc:creator>
  <cp:keywords/>
  <dc:description/>
  <cp:lastModifiedBy>Windows User</cp:lastModifiedBy>
  <cp:revision>3</cp:revision>
  <dcterms:created xsi:type="dcterms:W3CDTF">2024-01-26T11:45:00Z</dcterms:created>
  <dcterms:modified xsi:type="dcterms:W3CDTF">2024-04-19T10:35:00Z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98f1c8e24104859195c37361256eba7835bf62fc9753fc976ea3e4181ba34a4e</vt:lpwstr>
  </property>
</Properties>
</file>