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A72D8" w14:textId="77777777" w:rsidR="003A7E41" w:rsidRPr="00B23F1A" w:rsidRDefault="003A7E41" w:rsidP="003A7E41">
      <w:pPr>
        <w:jc w:val="both"/>
        <w:rPr>
          <w:rFonts w:asciiTheme="minorBidi" w:hAnsiTheme="minorBidi"/>
          <w:sz w:val="24"/>
          <w:szCs w:val="24"/>
        </w:rPr>
      </w:pPr>
      <w:r w:rsidRPr="00B23F1A">
        <w:rPr>
          <w:rFonts w:asciiTheme="minorBidi" w:hAnsiTheme="minorBidi"/>
          <w:noProof/>
          <w:sz w:val="24"/>
          <w:szCs w:val="24"/>
        </w:rPr>
        <w:drawing>
          <wp:inline distT="0" distB="0" distL="0" distR="0" wp14:anchorId="4F00E2AF" wp14:editId="700524DF">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9A4B56B" w14:textId="77777777" w:rsidR="003A7E41" w:rsidRPr="00B23F1A" w:rsidRDefault="003A7E41" w:rsidP="003A7E41">
      <w:pPr>
        <w:jc w:val="both"/>
        <w:rPr>
          <w:rFonts w:asciiTheme="minorBidi" w:hAnsiTheme="minorBidi"/>
          <w:sz w:val="24"/>
          <w:szCs w:val="24"/>
        </w:rPr>
      </w:pPr>
    </w:p>
    <w:p w14:paraId="5ED08164" w14:textId="77777777" w:rsidR="003A7E41" w:rsidRPr="00B23F1A" w:rsidRDefault="003A7E41" w:rsidP="003A7E41">
      <w:pPr>
        <w:jc w:val="both"/>
        <w:rPr>
          <w:rFonts w:asciiTheme="minorBidi" w:hAnsiTheme="minorBidi"/>
          <w:sz w:val="24"/>
          <w:szCs w:val="24"/>
        </w:rPr>
      </w:pPr>
    </w:p>
    <w:p w14:paraId="3928AABC" w14:textId="77777777" w:rsidR="002837E4" w:rsidRDefault="003A7E41" w:rsidP="003A7E41">
      <w:pPr>
        <w:ind w:left="1440" w:firstLine="720"/>
        <w:jc w:val="both"/>
        <w:rPr>
          <w:rFonts w:asciiTheme="minorBidi" w:hAnsiTheme="minorBidi"/>
          <w:sz w:val="24"/>
          <w:szCs w:val="24"/>
        </w:rPr>
      </w:pPr>
      <w:r w:rsidRPr="00B23F1A">
        <w:rPr>
          <w:rFonts w:asciiTheme="minorBidi" w:hAnsiTheme="minorBidi"/>
          <w:sz w:val="24"/>
          <w:szCs w:val="24"/>
        </w:rPr>
        <w:t xml:space="preserve">          </w:t>
      </w:r>
    </w:p>
    <w:p w14:paraId="49C3159D" w14:textId="77777777" w:rsidR="002837E4" w:rsidRDefault="002837E4" w:rsidP="003A7E41">
      <w:pPr>
        <w:ind w:left="1440" w:firstLine="720"/>
        <w:jc w:val="both"/>
        <w:rPr>
          <w:rFonts w:asciiTheme="minorBidi" w:hAnsiTheme="minorBidi"/>
          <w:sz w:val="24"/>
          <w:szCs w:val="24"/>
        </w:rPr>
      </w:pPr>
    </w:p>
    <w:p w14:paraId="7AD8AE75" w14:textId="77777777" w:rsidR="002837E4" w:rsidRDefault="002837E4" w:rsidP="003A7E41">
      <w:pPr>
        <w:ind w:left="1440" w:firstLine="720"/>
        <w:jc w:val="both"/>
        <w:rPr>
          <w:rFonts w:asciiTheme="minorBidi" w:hAnsiTheme="minorBidi"/>
          <w:sz w:val="24"/>
          <w:szCs w:val="24"/>
        </w:rPr>
      </w:pPr>
    </w:p>
    <w:p w14:paraId="3873E0A1" w14:textId="77777777" w:rsidR="002837E4" w:rsidRDefault="002837E4" w:rsidP="003A7E41">
      <w:pPr>
        <w:ind w:left="1440" w:firstLine="720"/>
        <w:jc w:val="both"/>
        <w:rPr>
          <w:rFonts w:asciiTheme="minorBidi" w:hAnsiTheme="minorBidi"/>
          <w:sz w:val="24"/>
          <w:szCs w:val="24"/>
        </w:rPr>
      </w:pPr>
    </w:p>
    <w:p w14:paraId="069FA288" w14:textId="77777777" w:rsidR="002837E4" w:rsidRDefault="002837E4" w:rsidP="002837E4">
      <w:pPr>
        <w:ind w:left="1440" w:firstLine="720"/>
        <w:rPr>
          <w:rFonts w:asciiTheme="minorBidi" w:hAnsiTheme="minorBidi"/>
          <w:sz w:val="24"/>
          <w:szCs w:val="24"/>
        </w:rPr>
      </w:pPr>
    </w:p>
    <w:p w14:paraId="1F7EB703" w14:textId="77777777" w:rsidR="00187F79" w:rsidRPr="00187F79" w:rsidRDefault="00187F79" w:rsidP="00187F79">
      <w:pPr>
        <w:ind w:left="1440" w:firstLine="720"/>
        <w:rPr>
          <w:rFonts w:asciiTheme="minorBidi" w:hAnsiTheme="minorBidi"/>
          <w:b/>
          <w:bCs/>
          <w:sz w:val="24"/>
          <w:szCs w:val="24"/>
        </w:rPr>
      </w:pPr>
    </w:p>
    <w:p w14:paraId="0000CA06" w14:textId="5B3FA310" w:rsidR="003A7E41" w:rsidRPr="00187F79" w:rsidRDefault="00187F79" w:rsidP="00187F79">
      <w:pPr>
        <w:ind w:left="1440" w:firstLine="720"/>
        <w:jc w:val="center"/>
        <w:rPr>
          <w:rFonts w:asciiTheme="minorBidi" w:hAnsiTheme="minorBidi"/>
          <w:b/>
          <w:bCs/>
          <w:sz w:val="24"/>
          <w:szCs w:val="24"/>
        </w:rPr>
      </w:pPr>
      <w:r w:rsidRPr="00187F79">
        <w:rPr>
          <w:rFonts w:asciiTheme="minorBidi" w:hAnsiTheme="minorBidi"/>
          <w:b/>
          <w:bCs/>
          <w:sz w:val="24"/>
          <w:szCs w:val="24"/>
        </w:rPr>
        <w:t xml:space="preserve">Individual Report: </w:t>
      </w:r>
      <w:r w:rsidRPr="00187F79">
        <w:rPr>
          <w:rFonts w:ascii="Arial" w:hAnsi="Arial" w:cs="Arial"/>
          <w:b/>
          <w:bCs/>
          <w:sz w:val="22"/>
          <w:szCs w:val="22"/>
        </w:rPr>
        <w:t>Situational Analysis of Waitrose &amp; Partners as a Marketing Consultant</w:t>
      </w:r>
    </w:p>
    <w:p w14:paraId="17EE29D0" w14:textId="77777777" w:rsidR="002837E4" w:rsidRDefault="002837E4" w:rsidP="002837E4">
      <w:pPr>
        <w:ind w:left="1440" w:firstLine="720"/>
        <w:rPr>
          <w:rFonts w:asciiTheme="minorBidi" w:hAnsiTheme="minorBidi"/>
          <w:sz w:val="24"/>
          <w:szCs w:val="24"/>
        </w:rPr>
      </w:pPr>
    </w:p>
    <w:p w14:paraId="36101AA1" w14:textId="77777777" w:rsidR="002837E4" w:rsidRPr="00B23F1A" w:rsidRDefault="002837E4" w:rsidP="002837E4">
      <w:pPr>
        <w:ind w:left="1440" w:firstLine="720"/>
        <w:rPr>
          <w:rFonts w:asciiTheme="minorBidi" w:hAnsiTheme="minorBidi"/>
          <w:sz w:val="24"/>
          <w:szCs w:val="24"/>
        </w:rPr>
      </w:pPr>
    </w:p>
    <w:p w14:paraId="395302D9" w14:textId="77777777" w:rsidR="003A7E41" w:rsidRPr="00B23F1A" w:rsidRDefault="003A7E41" w:rsidP="003A7E41">
      <w:pPr>
        <w:jc w:val="both"/>
        <w:rPr>
          <w:rFonts w:asciiTheme="minorBidi" w:hAnsiTheme="minorBidi"/>
          <w:sz w:val="24"/>
          <w:szCs w:val="24"/>
        </w:rPr>
      </w:pPr>
    </w:p>
    <w:p w14:paraId="40A1214A" w14:textId="77777777" w:rsidR="003A7E41" w:rsidRPr="00B23F1A" w:rsidRDefault="003A7E41" w:rsidP="003A7E41">
      <w:pPr>
        <w:jc w:val="both"/>
        <w:rPr>
          <w:rFonts w:asciiTheme="minorBidi" w:hAnsiTheme="minorBidi"/>
          <w:sz w:val="24"/>
          <w:szCs w:val="24"/>
        </w:rPr>
      </w:pPr>
    </w:p>
    <w:p w14:paraId="0086EF13" w14:textId="77777777" w:rsidR="003A7E41" w:rsidRPr="00B23F1A" w:rsidRDefault="003A7E41" w:rsidP="003A7E41">
      <w:pPr>
        <w:jc w:val="both"/>
        <w:rPr>
          <w:rFonts w:asciiTheme="minorBidi" w:hAnsiTheme="minorBidi"/>
          <w:sz w:val="24"/>
          <w:szCs w:val="24"/>
        </w:rPr>
      </w:pPr>
    </w:p>
    <w:p w14:paraId="538E618D" w14:textId="6A4CB80E" w:rsidR="003A7E41" w:rsidRPr="00B23F1A" w:rsidRDefault="003A7E41" w:rsidP="003A7E41">
      <w:pPr>
        <w:jc w:val="both"/>
        <w:rPr>
          <w:rFonts w:asciiTheme="minorBidi" w:hAnsiTheme="minorBidi"/>
          <w:sz w:val="24"/>
          <w:szCs w:val="24"/>
        </w:rPr>
      </w:pPr>
      <w:r w:rsidRPr="00B23F1A">
        <w:rPr>
          <w:rFonts w:asciiTheme="minorBidi" w:hAnsiTheme="minorBidi"/>
          <w:sz w:val="24"/>
          <w:szCs w:val="24"/>
        </w:rPr>
        <w:t>Name</w:t>
      </w:r>
      <w:r>
        <w:rPr>
          <w:rFonts w:asciiTheme="minorBidi" w:hAnsiTheme="minorBidi"/>
          <w:sz w:val="24"/>
          <w:szCs w:val="24"/>
        </w:rPr>
        <w:t xml:space="preserve">: </w:t>
      </w:r>
      <w:r w:rsidRPr="003A7E41">
        <w:rPr>
          <w:rFonts w:asciiTheme="minorBidi" w:hAnsiTheme="minorBidi"/>
          <w:sz w:val="24"/>
          <w:szCs w:val="24"/>
        </w:rPr>
        <w:t>Laszlo Balogh</w:t>
      </w:r>
    </w:p>
    <w:p w14:paraId="18413A2A" w14:textId="65D8396E" w:rsidR="003A7E41" w:rsidRPr="00B23F1A" w:rsidRDefault="003A7E41" w:rsidP="003A7E41">
      <w:pPr>
        <w:jc w:val="both"/>
        <w:rPr>
          <w:rFonts w:asciiTheme="minorBidi" w:hAnsiTheme="minorBidi"/>
          <w:sz w:val="24"/>
          <w:szCs w:val="24"/>
        </w:rPr>
      </w:pPr>
      <w:r w:rsidRPr="00B23F1A">
        <w:rPr>
          <w:rFonts w:asciiTheme="minorBidi" w:hAnsiTheme="minorBidi"/>
          <w:sz w:val="24"/>
          <w:szCs w:val="24"/>
        </w:rPr>
        <w:t>Student ID</w:t>
      </w:r>
      <w:r>
        <w:rPr>
          <w:rFonts w:asciiTheme="minorBidi" w:hAnsiTheme="minorBidi"/>
          <w:sz w:val="24"/>
          <w:szCs w:val="24"/>
        </w:rPr>
        <w:t>: 2441884</w:t>
      </w:r>
    </w:p>
    <w:p w14:paraId="19611754" w14:textId="33130138" w:rsidR="003A7E41" w:rsidRPr="00B23F1A" w:rsidRDefault="003A7E41" w:rsidP="003A7E41">
      <w:pPr>
        <w:jc w:val="both"/>
        <w:rPr>
          <w:rFonts w:asciiTheme="minorBidi" w:hAnsiTheme="minorBidi"/>
          <w:sz w:val="24"/>
          <w:szCs w:val="24"/>
        </w:rPr>
      </w:pPr>
      <w:r w:rsidRPr="00B23F1A">
        <w:rPr>
          <w:rFonts w:asciiTheme="minorBidi" w:hAnsiTheme="minorBidi"/>
          <w:sz w:val="24"/>
          <w:szCs w:val="24"/>
        </w:rPr>
        <w:t>Module code</w:t>
      </w:r>
      <w:r>
        <w:rPr>
          <w:rFonts w:asciiTheme="minorBidi" w:hAnsiTheme="minorBidi"/>
          <w:sz w:val="24"/>
          <w:szCs w:val="24"/>
        </w:rPr>
        <w:t xml:space="preserve">: </w:t>
      </w:r>
      <w:r w:rsidRPr="003A7E41">
        <w:rPr>
          <w:rFonts w:asciiTheme="minorBidi" w:hAnsiTheme="minorBidi"/>
          <w:sz w:val="24"/>
          <w:szCs w:val="24"/>
        </w:rPr>
        <w:t>LCBB5015</w:t>
      </w:r>
    </w:p>
    <w:p w14:paraId="3CC8C297" w14:textId="2C1C7EF7" w:rsidR="003A7E41" w:rsidRPr="00B23F1A" w:rsidRDefault="003A7E41" w:rsidP="003A7E41">
      <w:pPr>
        <w:jc w:val="both"/>
        <w:rPr>
          <w:rFonts w:asciiTheme="minorBidi" w:hAnsiTheme="minorBidi"/>
          <w:sz w:val="24"/>
          <w:szCs w:val="24"/>
        </w:rPr>
      </w:pPr>
      <w:r w:rsidRPr="00B23F1A">
        <w:rPr>
          <w:rFonts w:asciiTheme="minorBidi" w:hAnsiTheme="minorBidi"/>
          <w:sz w:val="24"/>
          <w:szCs w:val="24"/>
        </w:rPr>
        <w:t>Module name</w:t>
      </w:r>
      <w:r>
        <w:rPr>
          <w:rFonts w:asciiTheme="minorBidi" w:hAnsiTheme="minorBidi"/>
          <w:sz w:val="24"/>
          <w:szCs w:val="24"/>
        </w:rPr>
        <w:t xml:space="preserve">: </w:t>
      </w:r>
      <w:r w:rsidR="002837E4" w:rsidRPr="002837E4">
        <w:rPr>
          <w:rFonts w:asciiTheme="minorBidi" w:hAnsiTheme="minorBidi"/>
          <w:sz w:val="24"/>
          <w:szCs w:val="24"/>
        </w:rPr>
        <w:t>Principles of Marketing</w:t>
      </w:r>
    </w:p>
    <w:p w14:paraId="7CDDE2DC" w14:textId="4717521A" w:rsidR="003A7E41" w:rsidRPr="00B23F1A" w:rsidRDefault="003A7E41" w:rsidP="003A7E41">
      <w:pPr>
        <w:jc w:val="both"/>
        <w:rPr>
          <w:rFonts w:asciiTheme="minorBidi" w:hAnsiTheme="minorBidi"/>
          <w:sz w:val="24"/>
          <w:szCs w:val="24"/>
        </w:rPr>
      </w:pPr>
      <w:r w:rsidRPr="00B23F1A">
        <w:rPr>
          <w:rFonts w:asciiTheme="minorBidi" w:hAnsiTheme="minorBidi"/>
          <w:sz w:val="24"/>
          <w:szCs w:val="24"/>
        </w:rPr>
        <w:t>Lecturer</w:t>
      </w:r>
      <w:r w:rsidR="002837E4">
        <w:rPr>
          <w:rFonts w:asciiTheme="minorBidi" w:hAnsiTheme="minorBidi"/>
          <w:sz w:val="24"/>
          <w:szCs w:val="24"/>
        </w:rPr>
        <w:t xml:space="preserve">: </w:t>
      </w:r>
      <w:r w:rsidR="002837E4" w:rsidRPr="002837E4">
        <w:rPr>
          <w:rFonts w:asciiTheme="minorBidi" w:hAnsiTheme="minorBidi"/>
          <w:sz w:val="24"/>
          <w:szCs w:val="24"/>
        </w:rPr>
        <w:t>Sinan He</w:t>
      </w:r>
    </w:p>
    <w:p w14:paraId="6755011D" w14:textId="77777777" w:rsidR="003A7E41" w:rsidRPr="00B23F1A" w:rsidRDefault="003A7E41" w:rsidP="003A7E41">
      <w:pPr>
        <w:jc w:val="both"/>
        <w:rPr>
          <w:rFonts w:asciiTheme="minorBidi" w:hAnsiTheme="minorBidi"/>
          <w:sz w:val="24"/>
          <w:szCs w:val="24"/>
        </w:rPr>
      </w:pPr>
    </w:p>
    <w:p w14:paraId="4318A4A7" w14:textId="77777777" w:rsidR="003A7E41" w:rsidRPr="00B23F1A" w:rsidRDefault="003A7E41" w:rsidP="003A7E41">
      <w:pPr>
        <w:jc w:val="both"/>
        <w:rPr>
          <w:rFonts w:asciiTheme="minorBidi" w:hAnsiTheme="minorBidi"/>
          <w:sz w:val="24"/>
          <w:szCs w:val="24"/>
        </w:rPr>
      </w:pPr>
    </w:p>
    <w:p w14:paraId="237182D2" w14:textId="77777777" w:rsidR="003A7E41" w:rsidRPr="00B23F1A" w:rsidRDefault="003A7E41" w:rsidP="003A7E41">
      <w:pPr>
        <w:jc w:val="both"/>
        <w:rPr>
          <w:rFonts w:asciiTheme="minorBidi" w:hAnsiTheme="minorBidi"/>
          <w:sz w:val="24"/>
          <w:szCs w:val="24"/>
        </w:rPr>
      </w:pPr>
    </w:p>
    <w:p w14:paraId="54B47832" w14:textId="77777777" w:rsidR="003A7E41" w:rsidRPr="00B23F1A" w:rsidRDefault="003A7E41" w:rsidP="003A7E41">
      <w:pPr>
        <w:jc w:val="both"/>
        <w:rPr>
          <w:rFonts w:asciiTheme="minorBidi" w:hAnsiTheme="minorBidi"/>
          <w:sz w:val="24"/>
          <w:szCs w:val="24"/>
        </w:rPr>
      </w:pPr>
    </w:p>
    <w:p w14:paraId="2A740210" w14:textId="77777777" w:rsidR="003A7E41" w:rsidRPr="00B23F1A" w:rsidRDefault="003A7E41" w:rsidP="003A7E41">
      <w:pPr>
        <w:jc w:val="both"/>
        <w:rPr>
          <w:rFonts w:asciiTheme="minorBidi" w:hAnsiTheme="minorBidi"/>
          <w:sz w:val="24"/>
          <w:szCs w:val="24"/>
        </w:rPr>
      </w:pPr>
    </w:p>
    <w:p w14:paraId="3F7FE8DE" w14:textId="77777777" w:rsidR="003A7E41" w:rsidRPr="00B23F1A" w:rsidRDefault="003A7E41" w:rsidP="003A7E41">
      <w:pPr>
        <w:jc w:val="both"/>
        <w:rPr>
          <w:rFonts w:asciiTheme="minorBidi" w:hAnsiTheme="minorBidi"/>
          <w:sz w:val="24"/>
          <w:szCs w:val="24"/>
        </w:rPr>
      </w:pPr>
    </w:p>
    <w:p w14:paraId="29156A4F" w14:textId="77777777" w:rsidR="003A7E41" w:rsidRPr="00B23F1A" w:rsidRDefault="003A7E41" w:rsidP="003A7E41">
      <w:pPr>
        <w:jc w:val="both"/>
        <w:rPr>
          <w:rFonts w:asciiTheme="minorBidi" w:hAnsiTheme="minorBidi"/>
          <w:sz w:val="24"/>
          <w:szCs w:val="24"/>
        </w:rPr>
      </w:pPr>
    </w:p>
    <w:sdt>
      <w:sdtPr>
        <w:rPr>
          <w:rFonts w:asciiTheme="minorHAnsi" w:eastAsiaTheme="minorEastAsia" w:hAnsiTheme="minorHAnsi" w:cstheme="minorBidi"/>
          <w:color w:val="auto"/>
          <w:sz w:val="22"/>
          <w:szCs w:val="22"/>
          <w:lang w:eastAsia="zh-CN"/>
        </w:rPr>
        <w:id w:val="941034994"/>
        <w:docPartObj>
          <w:docPartGallery w:val="Table of Contents"/>
          <w:docPartUnique/>
        </w:docPartObj>
      </w:sdtPr>
      <w:sdtEndPr>
        <w:rPr>
          <w:rFonts w:eastAsiaTheme="minorHAnsi"/>
          <w:b/>
          <w:bCs/>
          <w:noProof/>
          <w:sz w:val="21"/>
          <w:szCs w:val="21"/>
          <w:lang w:eastAsia="en-US"/>
        </w:rPr>
      </w:sdtEndPr>
      <w:sdtContent>
        <w:p w14:paraId="0AF19BBE" w14:textId="77777777" w:rsidR="003A7E41" w:rsidRDefault="003A7E41" w:rsidP="003A7E41">
          <w:pPr>
            <w:pStyle w:val="TOCHeading"/>
            <w:rPr>
              <w:noProof/>
            </w:rPr>
          </w:pPr>
          <w:r>
            <w:t>Contents</w:t>
          </w:r>
          <w:r>
            <w:rPr>
              <w:color w:val="0F4761" w:themeColor="accent1" w:themeShade="BF"/>
              <w:sz w:val="32"/>
              <w:szCs w:val="32"/>
              <w:lang w:val="en-US"/>
            </w:rPr>
            <w:fldChar w:fldCharType="begin"/>
          </w:r>
          <w:r>
            <w:instrText xml:space="preserve"> TOC \o "1-3" \h \z \u </w:instrText>
          </w:r>
          <w:r>
            <w:rPr>
              <w:color w:val="0F4761" w:themeColor="accent1" w:themeShade="BF"/>
              <w:sz w:val="32"/>
              <w:szCs w:val="32"/>
              <w:lang w:val="en-US"/>
            </w:rPr>
            <w:fldChar w:fldCharType="separate"/>
          </w:r>
        </w:p>
        <w:p w14:paraId="71F078CD" w14:textId="12D39EEE" w:rsidR="003A7E41" w:rsidRPr="008F3215" w:rsidRDefault="003A7E41" w:rsidP="003A7E41">
          <w:pPr>
            <w:pStyle w:val="TOC1"/>
            <w:tabs>
              <w:tab w:val="right" w:leader="dot" w:pos="9016"/>
            </w:tabs>
            <w:rPr>
              <w:noProof/>
              <w:kern w:val="2"/>
              <w14:ligatures w14:val="standardContextual"/>
            </w:rPr>
          </w:pPr>
          <w:hyperlink w:anchor="_Toc192924694" w:history="1">
            <w:r w:rsidRPr="008F3215">
              <w:rPr>
                <w:rStyle w:val="Hyperlink"/>
                <w:b/>
                <w:bCs/>
                <w:noProof/>
              </w:rPr>
              <w:t>1 Introduction</w:t>
            </w:r>
            <w:r w:rsidR="002837E4" w:rsidRPr="008F3215">
              <w:rPr>
                <w:noProof/>
                <w:webHidden/>
              </w:rPr>
              <w:t>…………………………………………………………</w:t>
            </w:r>
            <w:r w:rsidR="00E865DD" w:rsidRPr="008F3215">
              <w:rPr>
                <w:noProof/>
                <w:webHidden/>
              </w:rPr>
              <w:t>……………………………………………</w:t>
            </w:r>
            <w:r w:rsidR="002837E4" w:rsidRPr="008F3215">
              <w:rPr>
                <w:noProof/>
                <w:webHidden/>
              </w:rPr>
              <w:t>…</w:t>
            </w:r>
            <w:r w:rsidRPr="008F3215">
              <w:rPr>
                <w:b/>
                <w:bCs/>
                <w:noProof/>
                <w:webHidden/>
              </w:rPr>
              <w:fldChar w:fldCharType="begin"/>
            </w:r>
            <w:r w:rsidRPr="008F3215">
              <w:rPr>
                <w:b/>
                <w:bCs/>
                <w:noProof/>
                <w:webHidden/>
              </w:rPr>
              <w:instrText xml:space="preserve"> PAGEREF _Toc192924694 \h </w:instrText>
            </w:r>
            <w:r w:rsidRPr="008F3215">
              <w:rPr>
                <w:b/>
                <w:bCs/>
                <w:noProof/>
                <w:webHidden/>
              </w:rPr>
            </w:r>
            <w:r w:rsidRPr="008F3215">
              <w:rPr>
                <w:b/>
                <w:bCs/>
                <w:noProof/>
                <w:webHidden/>
              </w:rPr>
              <w:fldChar w:fldCharType="separate"/>
            </w:r>
            <w:r w:rsidRPr="008F3215">
              <w:rPr>
                <w:b/>
                <w:bCs/>
                <w:noProof/>
                <w:webHidden/>
              </w:rPr>
              <w:t>3</w:t>
            </w:r>
            <w:r w:rsidRPr="008F3215">
              <w:rPr>
                <w:b/>
                <w:bCs/>
                <w:noProof/>
                <w:webHidden/>
              </w:rPr>
              <w:fldChar w:fldCharType="end"/>
            </w:r>
          </w:hyperlink>
        </w:p>
        <w:p w14:paraId="05482CD9" w14:textId="2EF0707C" w:rsidR="003A7E41" w:rsidRPr="008F3215" w:rsidRDefault="003A7E41" w:rsidP="00E865DD">
          <w:pPr>
            <w:rPr>
              <w:noProof/>
              <w:sz w:val="22"/>
              <w:szCs w:val="22"/>
            </w:rPr>
          </w:pPr>
          <w:hyperlink w:anchor="_Toc192924695" w:history="1">
            <w:r w:rsidRPr="008F3215">
              <w:rPr>
                <w:rStyle w:val="Hyperlink"/>
                <w:b/>
                <w:bCs/>
                <w:noProof/>
                <w:sz w:val="22"/>
                <w:szCs w:val="22"/>
              </w:rPr>
              <w:t xml:space="preserve">2 </w:t>
            </w:r>
            <w:r w:rsidR="002837E4" w:rsidRPr="008F3215">
              <w:rPr>
                <w:rFonts w:cs="Arial"/>
                <w:b/>
                <w:bCs/>
                <w:noProof/>
                <w:sz w:val="22"/>
                <w:szCs w:val="22"/>
              </w:rPr>
              <w:t>Situational Analysis (SWOT)…………………………………………………………………</w:t>
            </w:r>
            <w:r w:rsidR="008F3215">
              <w:rPr>
                <w:rFonts w:cs="Arial"/>
                <w:b/>
                <w:bCs/>
                <w:noProof/>
                <w:sz w:val="22"/>
                <w:szCs w:val="22"/>
              </w:rPr>
              <w:t>…………….</w:t>
            </w:r>
            <w:r w:rsidRPr="008F3215">
              <w:rPr>
                <w:b/>
                <w:bCs/>
                <w:noProof/>
                <w:webHidden/>
                <w:sz w:val="22"/>
                <w:szCs w:val="22"/>
              </w:rPr>
              <w:fldChar w:fldCharType="begin"/>
            </w:r>
            <w:r w:rsidRPr="008F3215">
              <w:rPr>
                <w:b/>
                <w:bCs/>
                <w:noProof/>
                <w:webHidden/>
                <w:sz w:val="22"/>
                <w:szCs w:val="22"/>
              </w:rPr>
              <w:instrText xml:space="preserve"> PAGEREF _Toc192924695 \h </w:instrText>
            </w:r>
            <w:r w:rsidRPr="008F3215">
              <w:rPr>
                <w:b/>
                <w:bCs/>
                <w:noProof/>
                <w:webHidden/>
                <w:sz w:val="22"/>
                <w:szCs w:val="22"/>
              </w:rPr>
            </w:r>
            <w:r w:rsidRPr="008F3215">
              <w:rPr>
                <w:b/>
                <w:bCs/>
                <w:noProof/>
                <w:webHidden/>
                <w:sz w:val="22"/>
                <w:szCs w:val="22"/>
              </w:rPr>
              <w:fldChar w:fldCharType="separate"/>
            </w:r>
            <w:r w:rsidRPr="008F3215">
              <w:rPr>
                <w:b/>
                <w:bCs/>
                <w:noProof/>
                <w:webHidden/>
                <w:sz w:val="22"/>
                <w:szCs w:val="22"/>
              </w:rPr>
              <w:t>3</w:t>
            </w:r>
            <w:r w:rsidRPr="008F3215">
              <w:rPr>
                <w:b/>
                <w:bCs/>
                <w:noProof/>
                <w:webHidden/>
                <w:sz w:val="22"/>
                <w:szCs w:val="22"/>
              </w:rPr>
              <w:fldChar w:fldCharType="end"/>
            </w:r>
          </w:hyperlink>
        </w:p>
        <w:p w14:paraId="0817B335" w14:textId="1D6AB489" w:rsidR="00E865DD" w:rsidRPr="008F3215" w:rsidRDefault="00E865DD" w:rsidP="00E865DD">
          <w:pPr>
            <w:rPr>
              <w:rFonts w:cs="Arial"/>
              <w:b/>
              <w:bCs/>
              <w:noProof/>
              <w:sz w:val="22"/>
              <w:szCs w:val="22"/>
            </w:rPr>
          </w:pPr>
          <w:r w:rsidRPr="008F3215">
            <w:rPr>
              <w:rFonts w:cs="Arial"/>
              <w:b/>
              <w:bCs/>
              <w:noProof/>
              <w:sz w:val="22"/>
              <w:szCs w:val="22"/>
            </w:rPr>
            <w:t>3 Critical Analysis and Evaluation………………………………………………………</w:t>
          </w:r>
          <w:r w:rsidR="008F3215">
            <w:rPr>
              <w:rFonts w:cs="Arial"/>
              <w:b/>
              <w:bCs/>
              <w:noProof/>
              <w:sz w:val="22"/>
              <w:szCs w:val="22"/>
            </w:rPr>
            <w:t>…………..</w:t>
          </w:r>
          <w:r w:rsidRPr="008F3215">
            <w:rPr>
              <w:rFonts w:cs="Arial"/>
              <w:b/>
              <w:bCs/>
              <w:noProof/>
              <w:sz w:val="22"/>
              <w:szCs w:val="22"/>
            </w:rPr>
            <w:t>…….4</w:t>
          </w:r>
        </w:p>
        <w:p w14:paraId="56B667FA" w14:textId="3E7AA0D7" w:rsidR="00E865DD" w:rsidRPr="008F3215" w:rsidRDefault="00E865DD" w:rsidP="00E865DD">
          <w:pPr>
            <w:rPr>
              <w:rFonts w:cs="Arial"/>
              <w:b/>
              <w:bCs/>
              <w:noProof/>
              <w:sz w:val="22"/>
              <w:szCs w:val="22"/>
            </w:rPr>
          </w:pPr>
          <w:r w:rsidRPr="008F3215">
            <w:rPr>
              <w:rFonts w:cs="Arial"/>
              <w:b/>
              <w:bCs/>
              <w:noProof/>
              <w:sz w:val="22"/>
              <w:szCs w:val="22"/>
            </w:rPr>
            <w:t>4 Conclusion and Recommendations……………………………………………………</w:t>
          </w:r>
          <w:r w:rsidR="008F3215">
            <w:rPr>
              <w:rFonts w:cs="Arial"/>
              <w:b/>
              <w:bCs/>
              <w:noProof/>
              <w:sz w:val="22"/>
              <w:szCs w:val="22"/>
            </w:rPr>
            <w:t>………….</w:t>
          </w:r>
          <w:r w:rsidRPr="008F3215">
            <w:rPr>
              <w:rFonts w:cs="Arial"/>
              <w:b/>
              <w:bCs/>
              <w:noProof/>
              <w:sz w:val="22"/>
              <w:szCs w:val="22"/>
            </w:rPr>
            <w:t>…..</w:t>
          </w:r>
          <w:r w:rsidR="000D1A0A">
            <w:rPr>
              <w:rFonts w:cs="Arial"/>
              <w:b/>
              <w:bCs/>
              <w:noProof/>
              <w:sz w:val="22"/>
              <w:szCs w:val="22"/>
            </w:rPr>
            <w:t>5</w:t>
          </w:r>
        </w:p>
        <w:p w14:paraId="750A94B4" w14:textId="138FA514" w:rsidR="003A7E41" w:rsidRPr="008F3215" w:rsidRDefault="00E865DD" w:rsidP="003A7E41">
          <w:pPr>
            <w:pStyle w:val="TOC1"/>
            <w:tabs>
              <w:tab w:val="right" w:leader="dot" w:pos="9016"/>
            </w:tabs>
            <w:rPr>
              <w:noProof/>
              <w:kern w:val="2"/>
              <w14:ligatures w14:val="standardContextual"/>
            </w:rPr>
          </w:pPr>
          <w:r w:rsidRPr="008F3215">
            <w:rPr>
              <w:b/>
              <w:bCs/>
              <w:noProof/>
            </w:rPr>
            <w:t>5 References</w:t>
          </w:r>
          <w:r w:rsidRPr="008F3215">
            <w:rPr>
              <w:noProof/>
            </w:rPr>
            <w:t>……………………</w:t>
          </w:r>
          <w:r w:rsidR="008F3215">
            <w:rPr>
              <w:noProof/>
            </w:rPr>
            <w:t>………..</w:t>
          </w:r>
          <w:r w:rsidRPr="008F3215">
            <w:rPr>
              <w:noProof/>
            </w:rPr>
            <w:t>……………………………………………………………………</w:t>
          </w:r>
          <w:r w:rsidR="008F3215">
            <w:rPr>
              <w:noProof/>
            </w:rPr>
            <w:t>..</w:t>
          </w:r>
          <w:r w:rsidRPr="008F3215">
            <w:rPr>
              <w:noProof/>
            </w:rPr>
            <w:t>……</w:t>
          </w:r>
          <w:r w:rsidRPr="008F3215">
            <w:rPr>
              <w:b/>
              <w:bCs/>
              <w:noProof/>
            </w:rPr>
            <w:t>6</w:t>
          </w:r>
        </w:p>
        <w:p w14:paraId="31F7A3E5" w14:textId="77777777" w:rsidR="003A7E41" w:rsidRDefault="003A7E41" w:rsidP="003A7E41">
          <w:r>
            <w:rPr>
              <w:b/>
              <w:bCs/>
              <w:noProof/>
            </w:rPr>
            <w:fldChar w:fldCharType="end"/>
          </w:r>
        </w:p>
      </w:sdtContent>
    </w:sdt>
    <w:p w14:paraId="04574E41" w14:textId="77777777" w:rsidR="003A7E41" w:rsidRDefault="003A7E41" w:rsidP="003A7E41">
      <w:pPr>
        <w:jc w:val="both"/>
        <w:rPr>
          <w:rFonts w:asciiTheme="minorBidi" w:hAnsiTheme="minorBidi"/>
          <w:b/>
          <w:bCs/>
          <w:sz w:val="24"/>
          <w:szCs w:val="24"/>
        </w:rPr>
      </w:pPr>
    </w:p>
    <w:p w14:paraId="2461C0B9" w14:textId="77777777" w:rsidR="003A7E41" w:rsidRPr="00B23F1A" w:rsidRDefault="003A7E41" w:rsidP="003A7E41">
      <w:pPr>
        <w:jc w:val="both"/>
        <w:rPr>
          <w:rFonts w:asciiTheme="minorBidi" w:hAnsiTheme="minorBidi"/>
          <w:sz w:val="24"/>
          <w:szCs w:val="24"/>
        </w:rPr>
      </w:pPr>
    </w:p>
    <w:p w14:paraId="552B3A05" w14:textId="77777777" w:rsidR="003A7E41" w:rsidRPr="00B23F1A" w:rsidRDefault="003A7E41" w:rsidP="003A7E41">
      <w:pPr>
        <w:jc w:val="both"/>
        <w:rPr>
          <w:rFonts w:asciiTheme="minorBidi" w:hAnsiTheme="minorBidi"/>
          <w:sz w:val="24"/>
          <w:szCs w:val="24"/>
        </w:rPr>
      </w:pPr>
    </w:p>
    <w:p w14:paraId="765DB039" w14:textId="77777777" w:rsidR="003A7E41" w:rsidRPr="00B23F1A" w:rsidRDefault="003A7E41" w:rsidP="003A7E41">
      <w:pPr>
        <w:jc w:val="both"/>
        <w:rPr>
          <w:rFonts w:asciiTheme="minorBidi" w:hAnsiTheme="minorBidi"/>
          <w:sz w:val="24"/>
          <w:szCs w:val="24"/>
        </w:rPr>
      </w:pPr>
    </w:p>
    <w:p w14:paraId="033E75D1" w14:textId="77777777" w:rsidR="003A7E41" w:rsidRPr="00B23F1A" w:rsidRDefault="003A7E41" w:rsidP="003A7E41">
      <w:pPr>
        <w:jc w:val="both"/>
        <w:rPr>
          <w:rFonts w:asciiTheme="minorBidi" w:hAnsiTheme="minorBidi"/>
          <w:sz w:val="24"/>
          <w:szCs w:val="24"/>
        </w:rPr>
      </w:pPr>
    </w:p>
    <w:p w14:paraId="0E3A9730" w14:textId="77777777" w:rsidR="003A7E41" w:rsidRPr="00B23F1A" w:rsidRDefault="003A7E41" w:rsidP="003A7E41">
      <w:pPr>
        <w:jc w:val="both"/>
        <w:rPr>
          <w:rFonts w:asciiTheme="minorBidi" w:hAnsiTheme="minorBidi"/>
          <w:sz w:val="24"/>
          <w:szCs w:val="24"/>
        </w:rPr>
      </w:pPr>
    </w:p>
    <w:p w14:paraId="78C6D21F" w14:textId="77777777" w:rsidR="003A7E41" w:rsidRPr="00B23F1A" w:rsidRDefault="003A7E41" w:rsidP="003A7E41">
      <w:pPr>
        <w:jc w:val="both"/>
        <w:rPr>
          <w:rFonts w:asciiTheme="minorBidi" w:hAnsiTheme="minorBidi"/>
          <w:sz w:val="24"/>
          <w:szCs w:val="24"/>
        </w:rPr>
      </w:pPr>
    </w:p>
    <w:p w14:paraId="7E77DD41" w14:textId="77777777" w:rsidR="003A7E41" w:rsidRPr="00B23F1A" w:rsidRDefault="003A7E41" w:rsidP="003A7E41">
      <w:pPr>
        <w:jc w:val="both"/>
        <w:rPr>
          <w:rFonts w:asciiTheme="minorBidi" w:hAnsiTheme="minorBidi"/>
          <w:sz w:val="24"/>
          <w:szCs w:val="24"/>
        </w:rPr>
      </w:pPr>
    </w:p>
    <w:p w14:paraId="576FF954" w14:textId="77777777" w:rsidR="003A7E41" w:rsidRPr="00B23F1A" w:rsidRDefault="003A7E41" w:rsidP="003A7E41">
      <w:pPr>
        <w:jc w:val="both"/>
        <w:rPr>
          <w:rFonts w:asciiTheme="minorBidi" w:hAnsiTheme="minorBidi"/>
          <w:sz w:val="24"/>
          <w:szCs w:val="24"/>
        </w:rPr>
      </w:pPr>
    </w:p>
    <w:p w14:paraId="7DBCE8F3" w14:textId="77777777" w:rsidR="003A7E41" w:rsidRPr="00B23F1A" w:rsidRDefault="003A7E41" w:rsidP="003A7E41">
      <w:pPr>
        <w:jc w:val="both"/>
        <w:rPr>
          <w:rFonts w:asciiTheme="minorBidi" w:hAnsiTheme="minorBidi"/>
          <w:sz w:val="24"/>
          <w:szCs w:val="24"/>
        </w:rPr>
      </w:pPr>
    </w:p>
    <w:p w14:paraId="53419F86" w14:textId="77777777" w:rsidR="003A7E41" w:rsidRPr="00B23F1A" w:rsidRDefault="003A7E41" w:rsidP="003A7E41">
      <w:pPr>
        <w:jc w:val="both"/>
        <w:rPr>
          <w:rFonts w:asciiTheme="minorBidi" w:hAnsiTheme="minorBidi"/>
          <w:sz w:val="24"/>
          <w:szCs w:val="24"/>
        </w:rPr>
      </w:pPr>
    </w:p>
    <w:p w14:paraId="1791AB3A" w14:textId="77777777" w:rsidR="003A7E41" w:rsidRPr="00B23F1A" w:rsidRDefault="003A7E41" w:rsidP="003A7E41">
      <w:pPr>
        <w:jc w:val="both"/>
        <w:rPr>
          <w:rFonts w:asciiTheme="minorBidi" w:hAnsiTheme="minorBidi"/>
          <w:sz w:val="24"/>
          <w:szCs w:val="24"/>
        </w:rPr>
      </w:pPr>
    </w:p>
    <w:p w14:paraId="4A6297DA" w14:textId="77777777" w:rsidR="003A7E41" w:rsidRPr="00B23F1A" w:rsidRDefault="003A7E41" w:rsidP="003A7E41">
      <w:pPr>
        <w:jc w:val="both"/>
        <w:rPr>
          <w:rFonts w:asciiTheme="minorBidi" w:hAnsiTheme="minorBidi"/>
          <w:sz w:val="24"/>
          <w:szCs w:val="24"/>
        </w:rPr>
      </w:pPr>
    </w:p>
    <w:p w14:paraId="4368607C" w14:textId="77777777" w:rsidR="003A7E41" w:rsidRPr="00B23F1A" w:rsidRDefault="003A7E41" w:rsidP="003A7E41">
      <w:pPr>
        <w:jc w:val="both"/>
        <w:rPr>
          <w:rFonts w:asciiTheme="minorBidi" w:hAnsiTheme="minorBidi"/>
          <w:sz w:val="24"/>
          <w:szCs w:val="24"/>
        </w:rPr>
      </w:pPr>
    </w:p>
    <w:p w14:paraId="164A4A2B" w14:textId="77777777" w:rsidR="003A7E41" w:rsidRPr="00B23F1A" w:rsidRDefault="003A7E41" w:rsidP="003A7E41">
      <w:pPr>
        <w:jc w:val="both"/>
        <w:rPr>
          <w:rFonts w:asciiTheme="minorBidi" w:hAnsiTheme="minorBidi"/>
          <w:sz w:val="24"/>
          <w:szCs w:val="24"/>
        </w:rPr>
      </w:pPr>
    </w:p>
    <w:p w14:paraId="3B0C1449" w14:textId="77777777" w:rsidR="003A7E41" w:rsidRPr="00B23F1A" w:rsidRDefault="003A7E41" w:rsidP="003A7E41">
      <w:pPr>
        <w:jc w:val="both"/>
        <w:rPr>
          <w:rFonts w:asciiTheme="minorBidi" w:hAnsiTheme="minorBidi"/>
          <w:sz w:val="24"/>
          <w:szCs w:val="24"/>
        </w:rPr>
      </w:pPr>
    </w:p>
    <w:p w14:paraId="597304FE" w14:textId="77777777" w:rsidR="003A7E41" w:rsidRDefault="003A7E41" w:rsidP="003A7E41">
      <w:pPr>
        <w:jc w:val="both"/>
        <w:rPr>
          <w:rFonts w:asciiTheme="minorBidi" w:hAnsiTheme="minorBidi"/>
          <w:sz w:val="24"/>
          <w:szCs w:val="24"/>
        </w:rPr>
      </w:pPr>
    </w:p>
    <w:p w14:paraId="2C936143" w14:textId="77777777" w:rsidR="003A7E41" w:rsidRDefault="003A7E41" w:rsidP="003A7E41">
      <w:pPr>
        <w:jc w:val="both"/>
        <w:rPr>
          <w:rFonts w:asciiTheme="minorBidi" w:hAnsiTheme="minorBidi"/>
          <w:sz w:val="24"/>
          <w:szCs w:val="24"/>
        </w:rPr>
      </w:pPr>
    </w:p>
    <w:p w14:paraId="2D070AC7" w14:textId="77777777" w:rsidR="003A7E41" w:rsidRDefault="003A7E41" w:rsidP="003A7E41">
      <w:pPr>
        <w:jc w:val="both"/>
        <w:rPr>
          <w:rFonts w:asciiTheme="minorBidi" w:hAnsiTheme="minorBidi"/>
          <w:sz w:val="24"/>
          <w:szCs w:val="24"/>
        </w:rPr>
      </w:pPr>
    </w:p>
    <w:p w14:paraId="02353A0E" w14:textId="77777777" w:rsidR="003A7E41" w:rsidRDefault="003A7E41" w:rsidP="003A7E41">
      <w:pPr>
        <w:jc w:val="both"/>
        <w:rPr>
          <w:rFonts w:asciiTheme="minorBidi" w:hAnsiTheme="minorBidi"/>
          <w:sz w:val="24"/>
          <w:szCs w:val="24"/>
        </w:rPr>
      </w:pPr>
    </w:p>
    <w:p w14:paraId="198E8470" w14:textId="77777777" w:rsidR="000633F8" w:rsidRDefault="000633F8" w:rsidP="007A1A51">
      <w:pPr>
        <w:rPr>
          <w:rFonts w:ascii="Arial" w:hAnsi="Arial" w:cs="Arial"/>
          <w:sz w:val="22"/>
          <w:szCs w:val="22"/>
        </w:rPr>
      </w:pPr>
    </w:p>
    <w:p w14:paraId="7367E5D4" w14:textId="77777777" w:rsidR="002837E4" w:rsidRDefault="002837E4" w:rsidP="007A1A51">
      <w:pPr>
        <w:rPr>
          <w:rFonts w:ascii="Arial" w:hAnsi="Arial" w:cs="Arial"/>
          <w:sz w:val="22"/>
          <w:szCs w:val="22"/>
        </w:rPr>
      </w:pPr>
    </w:p>
    <w:p w14:paraId="473B4221" w14:textId="77777777" w:rsidR="002837E4" w:rsidRDefault="002837E4" w:rsidP="007A1A51">
      <w:pPr>
        <w:rPr>
          <w:rFonts w:ascii="Arial" w:hAnsi="Arial" w:cs="Arial"/>
          <w:sz w:val="22"/>
          <w:szCs w:val="22"/>
        </w:rPr>
      </w:pPr>
    </w:p>
    <w:p w14:paraId="02678C46" w14:textId="77777777" w:rsidR="002837E4" w:rsidRDefault="002837E4" w:rsidP="007A1A51">
      <w:pPr>
        <w:rPr>
          <w:rFonts w:ascii="Arial" w:hAnsi="Arial" w:cs="Arial"/>
          <w:sz w:val="22"/>
          <w:szCs w:val="22"/>
        </w:rPr>
      </w:pPr>
    </w:p>
    <w:p w14:paraId="2EA123BB" w14:textId="77777777" w:rsidR="002837E4" w:rsidRDefault="002837E4" w:rsidP="007A1A51">
      <w:pPr>
        <w:rPr>
          <w:rFonts w:ascii="Arial" w:hAnsi="Arial" w:cs="Arial"/>
          <w:sz w:val="22"/>
          <w:szCs w:val="22"/>
        </w:rPr>
      </w:pPr>
    </w:p>
    <w:p w14:paraId="171C25D6" w14:textId="23D181E7" w:rsidR="00056981" w:rsidRPr="00F51D13" w:rsidRDefault="00056981" w:rsidP="00F51D13">
      <w:pPr>
        <w:rPr>
          <w:rFonts w:ascii="Arial" w:hAnsi="Arial" w:cs="Arial"/>
          <w:b/>
          <w:bCs/>
          <w:sz w:val="22"/>
          <w:szCs w:val="22"/>
        </w:rPr>
      </w:pPr>
      <w:r w:rsidRPr="00F51D13">
        <w:rPr>
          <w:rFonts w:ascii="Arial" w:hAnsi="Arial" w:cs="Arial"/>
          <w:b/>
          <w:bCs/>
          <w:sz w:val="22"/>
          <w:szCs w:val="22"/>
        </w:rPr>
        <w:lastRenderedPageBreak/>
        <w:t>Individual</w:t>
      </w:r>
      <w:r w:rsidR="00D652F1" w:rsidRPr="00F51D13">
        <w:rPr>
          <w:rFonts w:ascii="Arial" w:hAnsi="Arial" w:cs="Arial"/>
          <w:b/>
          <w:bCs/>
          <w:sz w:val="22"/>
          <w:szCs w:val="22"/>
        </w:rPr>
        <w:t xml:space="preserve"> Report: </w:t>
      </w:r>
    </w:p>
    <w:p w14:paraId="07D4AE06" w14:textId="0D73EA06" w:rsidR="00D652F1" w:rsidRPr="00F51D13" w:rsidRDefault="00D652F1" w:rsidP="00F51D13">
      <w:pPr>
        <w:rPr>
          <w:rFonts w:ascii="Arial" w:hAnsi="Arial" w:cs="Arial"/>
          <w:b/>
          <w:bCs/>
          <w:sz w:val="22"/>
          <w:szCs w:val="22"/>
        </w:rPr>
      </w:pPr>
      <w:r w:rsidRPr="00F51D13">
        <w:rPr>
          <w:rFonts w:ascii="Arial" w:hAnsi="Arial" w:cs="Arial"/>
          <w:b/>
          <w:bCs/>
          <w:sz w:val="22"/>
          <w:szCs w:val="22"/>
        </w:rPr>
        <w:t>Situational Analysis of Waitrose &amp; Partners</w:t>
      </w:r>
      <w:r w:rsidR="00056981" w:rsidRPr="00F51D13">
        <w:rPr>
          <w:rFonts w:ascii="Arial" w:hAnsi="Arial" w:cs="Arial"/>
          <w:b/>
          <w:bCs/>
          <w:sz w:val="22"/>
          <w:szCs w:val="22"/>
        </w:rPr>
        <w:t xml:space="preserve"> as a</w:t>
      </w:r>
      <w:r w:rsidRPr="00F51D13">
        <w:rPr>
          <w:rFonts w:ascii="Arial" w:hAnsi="Arial" w:cs="Arial"/>
          <w:b/>
          <w:bCs/>
          <w:sz w:val="22"/>
          <w:szCs w:val="22"/>
        </w:rPr>
        <w:t xml:space="preserve"> Marketing Consultant</w:t>
      </w:r>
      <w:r w:rsidRPr="00F51D13">
        <w:rPr>
          <w:rFonts w:ascii="Arial" w:hAnsi="Arial" w:cs="Arial"/>
          <w:sz w:val="22"/>
          <w:szCs w:val="22"/>
        </w:rPr>
        <w:br/>
        <w:t>SWOT Situational Analysis and</w:t>
      </w:r>
      <w:r w:rsidR="005E139D" w:rsidRPr="00F51D13">
        <w:rPr>
          <w:rFonts w:ascii="Arial" w:hAnsi="Arial" w:cs="Arial"/>
          <w:sz w:val="22"/>
          <w:szCs w:val="22"/>
        </w:rPr>
        <w:t xml:space="preserve"> Marketing Decision</w:t>
      </w:r>
      <w:r w:rsidRPr="00F51D13">
        <w:rPr>
          <w:rFonts w:ascii="Arial" w:hAnsi="Arial" w:cs="Arial"/>
          <w:sz w:val="22"/>
          <w:szCs w:val="22"/>
        </w:rPr>
        <w:t xml:space="preserve"> Implications</w:t>
      </w:r>
      <w:r w:rsidR="00056981" w:rsidRPr="00F51D13">
        <w:rPr>
          <w:rFonts w:ascii="Arial" w:hAnsi="Arial" w:cs="Arial"/>
          <w:sz w:val="22"/>
          <w:szCs w:val="22"/>
        </w:rPr>
        <w:t xml:space="preserve"> </w:t>
      </w:r>
    </w:p>
    <w:p w14:paraId="0524DB7F" w14:textId="23BDE832" w:rsidR="00D652F1" w:rsidRPr="00F51D13" w:rsidRDefault="00D652F1" w:rsidP="00F51D13">
      <w:pPr>
        <w:rPr>
          <w:rFonts w:ascii="Arial" w:hAnsi="Arial" w:cs="Arial"/>
          <w:sz w:val="22"/>
          <w:szCs w:val="22"/>
        </w:rPr>
      </w:pPr>
    </w:p>
    <w:p w14:paraId="72055D44" w14:textId="77777777" w:rsidR="00D652F1" w:rsidRPr="00F51D13" w:rsidRDefault="00D652F1" w:rsidP="00F51D13">
      <w:pPr>
        <w:rPr>
          <w:rFonts w:ascii="Arial" w:hAnsi="Arial" w:cs="Arial"/>
          <w:b/>
          <w:bCs/>
          <w:sz w:val="22"/>
          <w:szCs w:val="22"/>
        </w:rPr>
      </w:pPr>
      <w:r w:rsidRPr="00F51D13">
        <w:rPr>
          <w:rFonts w:ascii="Arial" w:hAnsi="Arial" w:cs="Arial"/>
          <w:b/>
          <w:bCs/>
          <w:sz w:val="22"/>
          <w:szCs w:val="22"/>
        </w:rPr>
        <w:t>1. Introduction</w:t>
      </w:r>
    </w:p>
    <w:p w14:paraId="64311AF9" w14:textId="7846EA7F" w:rsidR="00420BB6" w:rsidRPr="00F51D13" w:rsidRDefault="00420BB6" w:rsidP="00F51D13">
      <w:pPr>
        <w:rPr>
          <w:rFonts w:ascii="Arial" w:hAnsi="Arial" w:cs="Arial"/>
          <w:sz w:val="22"/>
          <w:szCs w:val="22"/>
        </w:rPr>
      </w:pPr>
      <w:r w:rsidRPr="00F51D13">
        <w:rPr>
          <w:rFonts w:ascii="Arial" w:hAnsi="Arial" w:cs="Arial"/>
          <w:sz w:val="22"/>
          <w:szCs w:val="22"/>
        </w:rPr>
        <w:t>In the fiercely competitive UK supermarket business, Waitrose &amp; Partners is a premium grocery store (Smith and Sparks, 2020). Waitrose, the food retail division of the employee-owned John Lewis Partnership, holds a special place in the market thanks to its dedication to premium goods, ethical sourcing, and excellent customer service (Wood and McCarthy, 2014). The brand maintains a steady structural market share of between 4.5% and 5.0% of the UK supermarket industry, despite operating in a highly polarised market.</w:t>
      </w:r>
    </w:p>
    <w:p w14:paraId="43363B07" w14:textId="0AF3B91C" w:rsidR="00D652F1" w:rsidRPr="00F51D13" w:rsidRDefault="001808BE" w:rsidP="00F51D13">
      <w:pPr>
        <w:rPr>
          <w:rFonts w:ascii="Arial" w:hAnsi="Arial" w:cs="Arial"/>
          <w:sz w:val="22"/>
          <w:szCs w:val="22"/>
        </w:rPr>
      </w:pPr>
      <w:r w:rsidRPr="00F51D13">
        <w:rPr>
          <w:rFonts w:ascii="Arial" w:hAnsi="Arial" w:cs="Arial"/>
          <w:sz w:val="22"/>
          <w:szCs w:val="22"/>
        </w:rPr>
        <w:t xml:space="preserve">This report's main goal is to perform a thorough situational analysis of Waitrose using the SWOT (Strengths, Weaknesses, Opportunities, Threats) framework. Strategic planning needs a healthy alignment between internal organisational strengths and dynamic external marketplace variables, as per accepted marketing management theory (Kotler and Keller, 2016). This </w:t>
      </w:r>
      <w:r w:rsidR="00D45044">
        <w:rPr>
          <w:rFonts w:ascii="Arial" w:hAnsi="Arial" w:cs="Arial"/>
          <w:sz w:val="22"/>
          <w:szCs w:val="22"/>
        </w:rPr>
        <w:t>report</w:t>
      </w:r>
      <w:r w:rsidRPr="00F51D13">
        <w:rPr>
          <w:rFonts w:ascii="Arial" w:hAnsi="Arial" w:cs="Arial"/>
          <w:sz w:val="22"/>
          <w:szCs w:val="22"/>
        </w:rPr>
        <w:t xml:space="preserve"> underlines the strategic consequences of Waitrose's marketing strategies and provides practical, data-driven advice to safeguard its market position against growing industry threats by assessing these different dimensions.</w:t>
      </w:r>
    </w:p>
    <w:p w14:paraId="72827ADC" w14:textId="77777777" w:rsidR="001808BE" w:rsidRPr="00F51D13" w:rsidRDefault="001808BE" w:rsidP="00F51D13">
      <w:pPr>
        <w:rPr>
          <w:rFonts w:ascii="Arial" w:hAnsi="Arial" w:cs="Arial"/>
          <w:sz w:val="22"/>
          <w:szCs w:val="22"/>
        </w:rPr>
      </w:pPr>
    </w:p>
    <w:p w14:paraId="128348A6" w14:textId="77777777" w:rsidR="00D652F1" w:rsidRPr="00F51D13" w:rsidRDefault="00D652F1" w:rsidP="00F51D13">
      <w:pPr>
        <w:rPr>
          <w:rFonts w:ascii="Arial" w:hAnsi="Arial" w:cs="Arial"/>
          <w:b/>
          <w:bCs/>
          <w:sz w:val="22"/>
          <w:szCs w:val="22"/>
        </w:rPr>
      </w:pPr>
      <w:r w:rsidRPr="00F51D13">
        <w:rPr>
          <w:rFonts w:ascii="Arial" w:hAnsi="Arial" w:cs="Arial"/>
          <w:b/>
          <w:bCs/>
          <w:sz w:val="22"/>
          <w:szCs w:val="22"/>
        </w:rPr>
        <w:t>2. Situational Analysis (SWOT)</w:t>
      </w:r>
    </w:p>
    <w:p w14:paraId="6D54C50E" w14:textId="77777777" w:rsidR="001808BE" w:rsidRPr="00F51D13" w:rsidRDefault="00D652F1" w:rsidP="00F51D13">
      <w:pPr>
        <w:rPr>
          <w:rFonts w:ascii="Arial" w:hAnsi="Arial" w:cs="Arial"/>
          <w:sz w:val="22"/>
          <w:szCs w:val="22"/>
        </w:rPr>
      </w:pPr>
      <w:r w:rsidRPr="00F51D13">
        <w:rPr>
          <w:rFonts w:ascii="Arial" w:hAnsi="Arial" w:cs="Arial"/>
          <w:sz w:val="22"/>
          <w:szCs w:val="22"/>
        </w:rPr>
        <w:t>Strengths (Internal)</w:t>
      </w:r>
      <w:r w:rsidR="001808BE" w:rsidRPr="00F51D13">
        <w:rPr>
          <w:rFonts w:ascii="Arial" w:hAnsi="Arial" w:cs="Arial"/>
          <w:sz w:val="22"/>
          <w:szCs w:val="22"/>
        </w:rPr>
        <w:t xml:space="preserve"> </w:t>
      </w:r>
    </w:p>
    <w:p w14:paraId="60DC5636" w14:textId="45016132" w:rsidR="001808BE" w:rsidRPr="00F51D13" w:rsidRDefault="001808BE" w:rsidP="00F51D13">
      <w:pPr>
        <w:rPr>
          <w:rFonts w:ascii="Arial" w:hAnsi="Arial" w:cs="Arial"/>
          <w:sz w:val="22"/>
          <w:szCs w:val="22"/>
        </w:rPr>
      </w:pPr>
      <w:r w:rsidRPr="00F51D13">
        <w:rPr>
          <w:rFonts w:ascii="Arial" w:hAnsi="Arial" w:cs="Arial"/>
          <w:sz w:val="22"/>
          <w:szCs w:val="22"/>
        </w:rPr>
        <w:t>High brand equity is produced by premium brand equity, which is based on quality and royal warrants (Swoboda et al., 2013). Inelastic Target Demographic: Maintains a high level of client loyalty among wealthy groups that are less affected by slight price changes. Employees are co-owners under this unique partnership ownership model, which immediately promotes better customer service and employee motivation. Ethical and Sustainable Proof: Strict animal welfare regulations and close ties with British farmers demonstrate business social responsibility</w:t>
      </w:r>
      <w:r w:rsidR="00D45044">
        <w:rPr>
          <w:rFonts w:ascii="Arial" w:hAnsi="Arial" w:cs="Arial"/>
          <w:sz w:val="22"/>
          <w:szCs w:val="22"/>
        </w:rPr>
        <w:t xml:space="preserve"> </w:t>
      </w:r>
      <w:r w:rsidR="00D45044" w:rsidRPr="00F51D13">
        <w:rPr>
          <w:rFonts w:ascii="Arial" w:hAnsi="Arial" w:cs="Arial"/>
          <w:sz w:val="22"/>
          <w:szCs w:val="22"/>
        </w:rPr>
        <w:t>(Wood and McCarthy, 2014).</w:t>
      </w:r>
    </w:p>
    <w:p w14:paraId="10B471B5" w14:textId="77777777" w:rsidR="00D652F1" w:rsidRPr="00F51D13" w:rsidRDefault="00D652F1" w:rsidP="00F51D13">
      <w:pPr>
        <w:rPr>
          <w:rFonts w:ascii="Arial" w:hAnsi="Arial" w:cs="Arial"/>
          <w:sz w:val="22"/>
          <w:szCs w:val="22"/>
        </w:rPr>
      </w:pPr>
      <w:r w:rsidRPr="00F51D13">
        <w:rPr>
          <w:rFonts w:ascii="Arial" w:hAnsi="Arial" w:cs="Arial"/>
          <w:sz w:val="22"/>
          <w:szCs w:val="22"/>
        </w:rPr>
        <w:t>Weaknesses (Internal)</w:t>
      </w:r>
    </w:p>
    <w:p w14:paraId="310ACF7B" w14:textId="2FE58A23" w:rsidR="001808BE" w:rsidRPr="00F51D13" w:rsidRDefault="00042B5D" w:rsidP="00F51D13">
      <w:pPr>
        <w:rPr>
          <w:rFonts w:ascii="Arial" w:hAnsi="Arial" w:cs="Arial"/>
          <w:sz w:val="22"/>
          <w:szCs w:val="22"/>
        </w:rPr>
      </w:pPr>
      <w:r w:rsidRPr="00F51D13">
        <w:rPr>
          <w:rFonts w:ascii="Arial" w:hAnsi="Arial" w:cs="Arial"/>
          <w:sz w:val="22"/>
          <w:szCs w:val="22"/>
        </w:rPr>
        <w:t>High Price Perception: During macroeconomic downturns, permanent premium pricing causes structural vulnerability (Wood and McCarthy, 2014). Skewed Geographic Footprint: Nationwide volume scalability is limited by the high concentration of retail locations in London and the South East. Excessive Online Fulfilment Costs: Relocating from its previous logistics agreement with Ocado revealed increased operating expenses for each delivery order. Complex company Decision-Making: Occasionally, the democratic partnership framework could block quick, defensive company changes.</w:t>
      </w:r>
    </w:p>
    <w:p w14:paraId="7E5779D4" w14:textId="77777777" w:rsidR="009921D1" w:rsidRDefault="009921D1" w:rsidP="00F51D13">
      <w:pPr>
        <w:rPr>
          <w:rFonts w:ascii="Arial" w:hAnsi="Arial" w:cs="Arial"/>
          <w:sz w:val="22"/>
          <w:szCs w:val="22"/>
        </w:rPr>
      </w:pPr>
    </w:p>
    <w:p w14:paraId="08E69075" w14:textId="772916AA" w:rsidR="00D652F1" w:rsidRPr="00F51D13" w:rsidRDefault="00D652F1" w:rsidP="00F51D13">
      <w:pPr>
        <w:rPr>
          <w:rFonts w:ascii="Arial" w:hAnsi="Arial" w:cs="Arial"/>
          <w:sz w:val="22"/>
          <w:szCs w:val="22"/>
        </w:rPr>
      </w:pPr>
      <w:r w:rsidRPr="00F51D13">
        <w:rPr>
          <w:rFonts w:ascii="Arial" w:hAnsi="Arial" w:cs="Arial"/>
          <w:sz w:val="22"/>
          <w:szCs w:val="22"/>
        </w:rPr>
        <w:lastRenderedPageBreak/>
        <w:t>Opportunities (External)</w:t>
      </w:r>
    </w:p>
    <w:p w14:paraId="24721A46" w14:textId="271D7385" w:rsidR="00042B5D" w:rsidRPr="00F51D13" w:rsidRDefault="00042B5D" w:rsidP="00F51D13">
      <w:pPr>
        <w:rPr>
          <w:rFonts w:ascii="Arial" w:hAnsi="Arial" w:cs="Arial"/>
          <w:sz w:val="22"/>
          <w:szCs w:val="22"/>
        </w:rPr>
      </w:pPr>
      <w:r w:rsidRPr="00F51D13">
        <w:rPr>
          <w:rFonts w:ascii="Arial" w:hAnsi="Arial" w:cs="Arial"/>
          <w:sz w:val="22"/>
          <w:szCs w:val="22"/>
        </w:rPr>
        <w:t>Ultra-Fast Delivery Ecosystems: Increasing alliances with third-party rapid-delivery aggregators catches instantaneous, convenience-driven urban shopping baskets. Value-Tier Premium Innovation: By improving tiers such as Essential Waitrose, trade-down spending may be captured without undermining fundamental impressions of luxury. The Health and Wellness Megatrend: Consumer demand for plant-based, organic, clean-label, and functional foods has been steadily rising. Data-Driven Hyper-Personalization: Applying highly tailored loyalty benefits by using first-party mobile application analytics (Hooley et al., 2020).</w:t>
      </w:r>
    </w:p>
    <w:p w14:paraId="56961D77" w14:textId="77777777" w:rsidR="00D652F1" w:rsidRPr="00F51D13" w:rsidRDefault="00D652F1" w:rsidP="00F51D13">
      <w:pPr>
        <w:rPr>
          <w:rFonts w:ascii="Arial" w:hAnsi="Arial" w:cs="Arial"/>
          <w:sz w:val="22"/>
          <w:szCs w:val="22"/>
        </w:rPr>
      </w:pPr>
      <w:r w:rsidRPr="00F51D13">
        <w:rPr>
          <w:rFonts w:ascii="Arial" w:hAnsi="Arial" w:cs="Arial"/>
          <w:sz w:val="22"/>
          <w:szCs w:val="22"/>
        </w:rPr>
        <w:t>Threats (External)</w:t>
      </w:r>
    </w:p>
    <w:p w14:paraId="3D025B00" w14:textId="6BD27CBE" w:rsidR="00042B5D" w:rsidRPr="00F51D13" w:rsidRDefault="00042B5D" w:rsidP="00F51D13">
      <w:pPr>
        <w:rPr>
          <w:rFonts w:ascii="Arial" w:hAnsi="Arial" w:cs="Arial"/>
          <w:sz w:val="22"/>
          <w:szCs w:val="22"/>
        </w:rPr>
      </w:pPr>
      <w:r w:rsidRPr="00F51D13">
        <w:rPr>
          <w:rFonts w:ascii="Arial" w:hAnsi="Arial" w:cs="Arial"/>
          <w:sz w:val="22"/>
          <w:szCs w:val="22"/>
        </w:rPr>
        <w:t>Hard discount stores are aggressively encroaching on middle-class consumers' budgets by quickly growing premium private brands (Nenycz and Romaniuk, 2016). Persistent Cost-of-Living Pressures: Long-term inflationary issues that lead to historical brand supporters' structural trade-down behaviour.  Price Matching: When market leaders use aggressive price-matching tactics, premium gross margins are significantly compressed. Growing Supply Chain Shocks: Growing expenses associated with geopolitical and environmental compliance in global food supply networks.</w:t>
      </w:r>
    </w:p>
    <w:p w14:paraId="42F77C8C" w14:textId="7FFBDDBA" w:rsidR="00D652F1" w:rsidRPr="00F51D13" w:rsidRDefault="00D652F1" w:rsidP="00F51D13">
      <w:pPr>
        <w:rPr>
          <w:rFonts w:ascii="Arial" w:hAnsi="Arial" w:cs="Arial"/>
          <w:sz w:val="22"/>
          <w:szCs w:val="22"/>
        </w:rPr>
      </w:pPr>
    </w:p>
    <w:p w14:paraId="2B71E831" w14:textId="77777777" w:rsidR="00D652F1" w:rsidRPr="00F51D13" w:rsidRDefault="00D652F1" w:rsidP="00F51D13">
      <w:pPr>
        <w:rPr>
          <w:rFonts w:ascii="Arial" w:hAnsi="Arial" w:cs="Arial"/>
          <w:b/>
          <w:bCs/>
          <w:sz w:val="22"/>
          <w:szCs w:val="22"/>
        </w:rPr>
      </w:pPr>
      <w:r w:rsidRPr="00F51D13">
        <w:rPr>
          <w:rFonts w:ascii="Arial" w:hAnsi="Arial" w:cs="Arial"/>
          <w:b/>
          <w:bCs/>
          <w:sz w:val="22"/>
          <w:szCs w:val="22"/>
        </w:rPr>
        <w:t>3. Critical Analysis and Evaluation</w:t>
      </w:r>
    </w:p>
    <w:p w14:paraId="7D58F819" w14:textId="399475BF" w:rsidR="0064320F" w:rsidRPr="00F51D13" w:rsidRDefault="0064320F" w:rsidP="00F51D13">
      <w:pPr>
        <w:rPr>
          <w:rFonts w:ascii="Arial" w:hAnsi="Arial" w:cs="Arial"/>
          <w:sz w:val="22"/>
          <w:szCs w:val="22"/>
        </w:rPr>
      </w:pPr>
      <w:r w:rsidRPr="00F51D13">
        <w:rPr>
          <w:rFonts w:ascii="Arial" w:hAnsi="Arial" w:cs="Arial"/>
          <w:sz w:val="22"/>
          <w:szCs w:val="22"/>
        </w:rPr>
        <w:t xml:space="preserve">Internal Resources and Marketing Choices </w:t>
      </w:r>
      <w:r w:rsidRPr="00F51D13">
        <w:rPr>
          <w:rFonts w:ascii="Arial" w:hAnsi="Arial" w:cs="Arial"/>
          <w:sz w:val="22"/>
          <w:szCs w:val="22"/>
        </w:rPr>
        <w:br/>
        <w:t>According to the Resource-Based View (RBV) theory, an organization can only create a long-term competitive advantage if it has access to resources that are Valuable, Rare, Inimitable, and Non-substitutable (VRIN) (Barney, 1991). These requirements are substantially met by Waitrose's co-ownership structure and the ensuing customer service culture, which serve as an advantage that public limited rivals find difficult to match (Grant, 2021). Therefore, instead of trying cost leadership, marketing leadership must adopt a Differentiation Strategy due to this internal reality (Porter, 1985). Narrative-driven initiatives that highlight food provenance, farming ethics, and culinary quality should take precedence over straightforward price promotion in marketing communications. However, when the external economy experiences recessionary pressures, the internal weakness of "high price perception" presents a serious concern. A totally rigid premium identity runs the danger of alienating the middle-market population as consumers deal with falling real incomes. Waitrose uses strategic, data-driven value changes to lessen this without permanently harming its luxury margins (Hooley et al., 2020).</w:t>
      </w:r>
    </w:p>
    <w:p w14:paraId="2F8B3FFE" w14:textId="05162FE6" w:rsidR="00D652F1" w:rsidRPr="00F51D13" w:rsidRDefault="0064320F" w:rsidP="00F51D13">
      <w:pPr>
        <w:rPr>
          <w:rFonts w:ascii="Arial" w:hAnsi="Arial" w:cs="Arial"/>
          <w:sz w:val="22"/>
          <w:szCs w:val="22"/>
        </w:rPr>
      </w:pPr>
      <w:r w:rsidRPr="00F51D13">
        <w:rPr>
          <w:rFonts w:ascii="Arial" w:hAnsi="Arial" w:cs="Arial"/>
          <w:sz w:val="22"/>
          <w:szCs w:val="22"/>
        </w:rPr>
        <w:t xml:space="preserve">According to Porter's Five Forces, the UK grocery market has a very intense level of competitive competition, which significantly reduces industry margins (Porter, 2008). Waitrose no longer has a stronghold on easily available luxury foods due to the rise of premium private labels among budget stores, such as Aldi's Specially Selected line (Smith </w:t>
      </w:r>
      <w:r w:rsidRPr="00F51D13">
        <w:rPr>
          <w:rFonts w:ascii="Arial" w:hAnsi="Arial" w:cs="Arial"/>
          <w:sz w:val="22"/>
          <w:szCs w:val="22"/>
        </w:rPr>
        <w:lastRenderedPageBreak/>
        <w:t>and Sparks, 2020). Convenience and digital integration are now the main priorities of marketing management to counteract these market realities. The brand transforms its primary offering from an exclusive weekly destination to a flexible, everyday luxury environment by embracing the "health and wellness" and "ultra-fast delivery" prospects. By making this strategy change, Waitrose can avoid geographical restrictions and become a direct part of urban professionals' buying habits.</w:t>
      </w:r>
    </w:p>
    <w:p w14:paraId="6910A781" w14:textId="201CAEAC" w:rsidR="00D652F1" w:rsidRPr="00F51D13" w:rsidRDefault="00D652F1" w:rsidP="00F51D13">
      <w:pPr>
        <w:rPr>
          <w:rFonts w:ascii="Arial" w:hAnsi="Arial" w:cs="Arial"/>
          <w:sz w:val="22"/>
          <w:szCs w:val="22"/>
        </w:rPr>
      </w:pPr>
    </w:p>
    <w:p w14:paraId="3EF6FDAB" w14:textId="77777777" w:rsidR="00D652F1" w:rsidRPr="00F51D13" w:rsidRDefault="00D652F1" w:rsidP="00F51D13">
      <w:pPr>
        <w:rPr>
          <w:rFonts w:ascii="Arial" w:hAnsi="Arial" w:cs="Arial"/>
          <w:b/>
          <w:bCs/>
          <w:sz w:val="22"/>
          <w:szCs w:val="22"/>
        </w:rPr>
      </w:pPr>
      <w:r w:rsidRPr="00F51D13">
        <w:rPr>
          <w:rFonts w:ascii="Arial" w:hAnsi="Arial" w:cs="Arial"/>
          <w:b/>
          <w:bCs/>
          <w:sz w:val="22"/>
          <w:szCs w:val="22"/>
        </w:rPr>
        <w:t>4. Conclusion and Recommendations</w:t>
      </w:r>
    </w:p>
    <w:p w14:paraId="086588B5" w14:textId="75A422AB" w:rsidR="00472D39" w:rsidRPr="00F51D13" w:rsidRDefault="00472D39" w:rsidP="00F51D13">
      <w:pPr>
        <w:rPr>
          <w:rFonts w:ascii="Arial" w:eastAsia="Times New Roman" w:hAnsi="Arial" w:cs="Arial"/>
          <w:kern w:val="0"/>
          <w:sz w:val="22"/>
          <w:szCs w:val="22"/>
          <w:lang w:eastAsia="en-GB"/>
          <w14:ligatures w14:val="none"/>
        </w:rPr>
      </w:pPr>
      <w:r w:rsidRPr="00F51D13">
        <w:rPr>
          <w:rFonts w:ascii="Arial" w:eastAsia="Times New Roman" w:hAnsi="Arial" w:cs="Arial"/>
          <w:kern w:val="0"/>
          <w:sz w:val="22"/>
          <w:szCs w:val="22"/>
          <w:lang w:eastAsia="en-GB"/>
          <w14:ligatures w14:val="none"/>
        </w:rPr>
        <w:t xml:space="preserve">Waitrose's market position is based on its strong brand equity, outstanding service standards, and ethical sourcing policies, according to the situational analysis (Swoboda et al., 2013). However, an external retail environment characterised by fierce price wars and shifting customer behaviour constantly puts strain on these internal skills (Smith and Sparks, 2020). Although its premium positioning shields it from direct price wars, market stagnation might occur if it does not adjust to developments in digital convenience (Wood and McCarthy, 2014). </w:t>
      </w:r>
      <w:r w:rsidRPr="00F51D13">
        <w:rPr>
          <w:rFonts w:ascii="Arial" w:eastAsia="Times New Roman" w:hAnsi="Arial" w:cs="Arial"/>
          <w:kern w:val="0"/>
          <w:sz w:val="22"/>
          <w:szCs w:val="22"/>
          <w:lang w:eastAsia="en-GB"/>
          <w14:ligatures w14:val="none"/>
        </w:rPr>
        <w:br/>
      </w:r>
      <w:r w:rsidRPr="00F51D13">
        <w:rPr>
          <w:rFonts w:ascii="Arial" w:eastAsia="Times New Roman" w:hAnsi="Arial" w:cs="Arial"/>
          <w:b/>
          <w:bCs/>
          <w:kern w:val="0"/>
          <w:sz w:val="22"/>
          <w:szCs w:val="22"/>
          <w:lang w:eastAsia="en-GB"/>
          <w14:ligatures w14:val="none"/>
        </w:rPr>
        <w:t>Strategic Suggestions</w:t>
      </w:r>
      <w:r w:rsidR="00FB62C3" w:rsidRPr="00F51D13">
        <w:rPr>
          <w:rFonts w:ascii="Arial" w:eastAsia="Times New Roman" w:hAnsi="Arial" w:cs="Arial"/>
          <w:b/>
          <w:bCs/>
          <w:kern w:val="0"/>
          <w:sz w:val="22"/>
          <w:szCs w:val="22"/>
          <w:lang w:eastAsia="en-GB"/>
          <w14:ligatures w14:val="none"/>
        </w:rPr>
        <w:t>:</w:t>
      </w:r>
      <w:r w:rsidRPr="00F51D13">
        <w:rPr>
          <w:rFonts w:ascii="Arial" w:eastAsia="Times New Roman" w:hAnsi="Arial" w:cs="Arial"/>
          <w:kern w:val="0"/>
          <w:sz w:val="22"/>
          <w:szCs w:val="22"/>
          <w:lang w:eastAsia="en-GB"/>
          <w14:ligatures w14:val="none"/>
        </w:rPr>
        <w:br/>
        <w:t xml:space="preserve">1. Expand Digital Fast-Fulfillment Systems: To overcome geographical restrictions and increase commuter spending, strengthen quick-commerce alliances among suburban hubs. </w:t>
      </w:r>
      <w:r w:rsidRPr="00F51D13">
        <w:rPr>
          <w:rFonts w:ascii="Arial" w:eastAsia="Times New Roman" w:hAnsi="Arial" w:cs="Arial"/>
          <w:kern w:val="0"/>
          <w:sz w:val="22"/>
          <w:szCs w:val="22"/>
          <w:lang w:eastAsia="en-GB"/>
          <w14:ligatures w14:val="none"/>
        </w:rPr>
        <w:br/>
        <w:t>2. Personalised Loyalty Rewards: Protect the brand from mid-market attrition by using predictive analytics in the myWaitrose platform to provide dynamic, customised pricing.</w:t>
      </w:r>
    </w:p>
    <w:p w14:paraId="3E61C6D3" w14:textId="56650206" w:rsidR="00472D39" w:rsidRPr="00F51D13" w:rsidRDefault="00FB62C3" w:rsidP="00F51D13">
      <w:pPr>
        <w:rPr>
          <w:rFonts w:ascii="Arial" w:eastAsia="Times New Roman" w:hAnsi="Arial" w:cs="Arial"/>
          <w:kern w:val="0"/>
          <w:sz w:val="22"/>
          <w:szCs w:val="22"/>
          <w:lang w:eastAsia="en-GB"/>
          <w14:ligatures w14:val="none"/>
        </w:rPr>
      </w:pPr>
      <w:r w:rsidRPr="00F51D13">
        <w:rPr>
          <w:rFonts w:ascii="Arial" w:hAnsi="Arial" w:cs="Arial"/>
          <w:sz w:val="22"/>
          <w:szCs w:val="22"/>
        </w:rPr>
        <w:t>3. Innovative Nutrition Spaces: To distinguish its product catalogue from typical supermarket private brands, introduce distinctive, scientifically supported functional wellness lines.</w:t>
      </w:r>
    </w:p>
    <w:p w14:paraId="0B093A28" w14:textId="77777777" w:rsidR="00D652F1" w:rsidRPr="00F51D13" w:rsidRDefault="00D652F1" w:rsidP="00F51D13">
      <w:pPr>
        <w:rPr>
          <w:rFonts w:ascii="Arial" w:hAnsi="Arial" w:cs="Arial"/>
          <w:b/>
          <w:bCs/>
          <w:sz w:val="22"/>
          <w:szCs w:val="22"/>
        </w:rPr>
      </w:pPr>
      <w:r w:rsidRPr="00F51D13">
        <w:rPr>
          <w:rFonts w:ascii="Arial" w:hAnsi="Arial" w:cs="Arial"/>
          <w:b/>
          <w:bCs/>
          <w:sz w:val="22"/>
          <w:szCs w:val="22"/>
        </w:rPr>
        <w:t>Reflection on Situational Analysis</w:t>
      </w:r>
    </w:p>
    <w:p w14:paraId="7665BD21" w14:textId="37C750CC" w:rsidR="00D652F1" w:rsidRPr="00F51D13" w:rsidRDefault="00FB62C3" w:rsidP="00F51D13">
      <w:pPr>
        <w:rPr>
          <w:rFonts w:ascii="Arial" w:hAnsi="Arial" w:cs="Arial"/>
          <w:sz w:val="22"/>
          <w:szCs w:val="22"/>
        </w:rPr>
      </w:pPr>
      <w:r w:rsidRPr="00F51D13">
        <w:rPr>
          <w:rFonts w:ascii="Arial" w:hAnsi="Arial" w:cs="Arial"/>
          <w:sz w:val="22"/>
          <w:szCs w:val="22"/>
        </w:rPr>
        <w:t xml:space="preserve">A key element of modern strategic planning is doing situational analysis on a frequent basis (Kotler and Keller, 2016). Corporate choices run the danger of becoming insular in the absence of structured frameworks like SWOT, depending on previous achievements while disregarding new competitive disruptions (Mintzberg and Waters, 1985). </w:t>
      </w:r>
      <w:r w:rsidR="000D1A0A" w:rsidRPr="00F51D13">
        <w:rPr>
          <w:rFonts w:ascii="Arial" w:hAnsi="Arial" w:cs="Arial"/>
          <w:sz w:val="22"/>
          <w:szCs w:val="22"/>
        </w:rPr>
        <w:t>To</w:t>
      </w:r>
      <w:r w:rsidRPr="00F51D13">
        <w:rPr>
          <w:rFonts w:ascii="Arial" w:hAnsi="Arial" w:cs="Arial"/>
          <w:sz w:val="22"/>
          <w:szCs w:val="22"/>
        </w:rPr>
        <w:t xml:space="preserve"> ensure long-term corporate agility and market performance, situational analysis compels a company to assess its internal strengths against outside factors.</w:t>
      </w:r>
    </w:p>
    <w:p w14:paraId="58D7075B" w14:textId="77777777" w:rsidR="00E865DD" w:rsidRPr="00F51D13" w:rsidRDefault="00E865DD" w:rsidP="00F51D13">
      <w:pPr>
        <w:rPr>
          <w:rFonts w:ascii="Arial" w:hAnsi="Arial" w:cs="Arial"/>
          <w:sz w:val="22"/>
          <w:szCs w:val="22"/>
        </w:rPr>
      </w:pPr>
    </w:p>
    <w:p w14:paraId="0973187A" w14:textId="77777777" w:rsidR="000D1A0A" w:rsidRDefault="000D1A0A" w:rsidP="00F51D13">
      <w:pPr>
        <w:rPr>
          <w:rFonts w:ascii="Arial" w:hAnsi="Arial" w:cs="Arial"/>
          <w:b/>
          <w:bCs/>
          <w:sz w:val="22"/>
          <w:szCs w:val="22"/>
        </w:rPr>
      </w:pPr>
    </w:p>
    <w:p w14:paraId="59A4F7B6" w14:textId="77777777" w:rsidR="000D1A0A" w:rsidRDefault="000D1A0A" w:rsidP="00F51D13">
      <w:pPr>
        <w:rPr>
          <w:rFonts w:ascii="Arial" w:hAnsi="Arial" w:cs="Arial"/>
          <w:b/>
          <w:bCs/>
          <w:sz w:val="22"/>
          <w:szCs w:val="22"/>
        </w:rPr>
      </w:pPr>
    </w:p>
    <w:p w14:paraId="6772CA4E" w14:textId="77777777" w:rsidR="000D1A0A" w:rsidRDefault="000D1A0A" w:rsidP="00F51D13">
      <w:pPr>
        <w:rPr>
          <w:rFonts w:ascii="Arial" w:hAnsi="Arial" w:cs="Arial"/>
          <w:b/>
          <w:bCs/>
          <w:sz w:val="22"/>
          <w:szCs w:val="22"/>
        </w:rPr>
      </w:pPr>
    </w:p>
    <w:p w14:paraId="4A681638" w14:textId="77777777" w:rsidR="000D1A0A" w:rsidRDefault="000D1A0A" w:rsidP="00F51D13">
      <w:pPr>
        <w:rPr>
          <w:rFonts w:ascii="Arial" w:hAnsi="Arial" w:cs="Arial"/>
          <w:b/>
          <w:bCs/>
          <w:sz w:val="22"/>
          <w:szCs w:val="22"/>
        </w:rPr>
      </w:pPr>
    </w:p>
    <w:p w14:paraId="48B154D4" w14:textId="77777777" w:rsidR="000D1A0A" w:rsidRDefault="000D1A0A" w:rsidP="00F51D13">
      <w:pPr>
        <w:rPr>
          <w:rFonts w:ascii="Arial" w:hAnsi="Arial" w:cs="Arial"/>
          <w:b/>
          <w:bCs/>
          <w:sz w:val="22"/>
          <w:szCs w:val="22"/>
        </w:rPr>
      </w:pPr>
    </w:p>
    <w:p w14:paraId="46A55FBE" w14:textId="77777777" w:rsidR="000D1A0A" w:rsidRDefault="000D1A0A" w:rsidP="00F51D13">
      <w:pPr>
        <w:rPr>
          <w:rFonts w:ascii="Arial" w:hAnsi="Arial" w:cs="Arial"/>
          <w:b/>
          <w:bCs/>
          <w:sz w:val="22"/>
          <w:szCs w:val="22"/>
        </w:rPr>
      </w:pPr>
    </w:p>
    <w:p w14:paraId="0E31701D" w14:textId="77777777" w:rsidR="000D1A0A" w:rsidRDefault="000D1A0A" w:rsidP="00F51D13">
      <w:pPr>
        <w:rPr>
          <w:rFonts w:ascii="Arial" w:hAnsi="Arial" w:cs="Arial"/>
          <w:b/>
          <w:bCs/>
          <w:sz w:val="22"/>
          <w:szCs w:val="22"/>
        </w:rPr>
      </w:pPr>
    </w:p>
    <w:p w14:paraId="38159798" w14:textId="5156E8E5" w:rsidR="00D652F1" w:rsidRDefault="00D652F1" w:rsidP="00F51D13">
      <w:pPr>
        <w:rPr>
          <w:rFonts w:ascii="Arial" w:hAnsi="Arial" w:cs="Arial"/>
          <w:b/>
          <w:bCs/>
          <w:sz w:val="22"/>
          <w:szCs w:val="22"/>
        </w:rPr>
      </w:pPr>
      <w:r w:rsidRPr="00F51D13">
        <w:rPr>
          <w:rFonts w:ascii="Arial" w:hAnsi="Arial" w:cs="Arial"/>
          <w:b/>
          <w:bCs/>
          <w:sz w:val="22"/>
          <w:szCs w:val="22"/>
        </w:rPr>
        <w:lastRenderedPageBreak/>
        <w:t>5. References</w:t>
      </w:r>
    </w:p>
    <w:p w14:paraId="2AD2A46C" w14:textId="77777777" w:rsidR="000D1A0A" w:rsidRPr="00F51D13" w:rsidRDefault="000D1A0A" w:rsidP="00F51D13">
      <w:pPr>
        <w:rPr>
          <w:rFonts w:ascii="Arial" w:hAnsi="Arial" w:cs="Arial"/>
          <w:b/>
          <w:bCs/>
          <w:sz w:val="22"/>
          <w:szCs w:val="22"/>
        </w:rPr>
      </w:pPr>
    </w:p>
    <w:p w14:paraId="2F657EC2"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Barney, J. (1991). Firm resources and sustained competitive advantage. </w:t>
      </w:r>
      <w:r w:rsidRPr="00F51D13">
        <w:rPr>
          <w:rFonts w:ascii="Arial" w:hAnsi="Arial" w:cs="Arial"/>
          <w:i/>
          <w:iCs/>
          <w:sz w:val="22"/>
          <w:szCs w:val="22"/>
        </w:rPr>
        <w:t>Journal of Management</w:t>
      </w:r>
      <w:r w:rsidRPr="00F51D13">
        <w:rPr>
          <w:rFonts w:ascii="Arial" w:hAnsi="Arial" w:cs="Arial"/>
          <w:sz w:val="22"/>
          <w:szCs w:val="22"/>
        </w:rPr>
        <w:t>, 17(1), pp. 99-120.</w:t>
      </w:r>
    </w:p>
    <w:p w14:paraId="70D33E56" w14:textId="77777777" w:rsidR="00F51D13" w:rsidRPr="00F51D13" w:rsidRDefault="00F51D13" w:rsidP="00F51D13">
      <w:pPr>
        <w:rPr>
          <w:rFonts w:ascii="Arial" w:hAnsi="Arial" w:cs="Arial"/>
          <w:sz w:val="22"/>
          <w:szCs w:val="22"/>
        </w:rPr>
      </w:pPr>
    </w:p>
    <w:p w14:paraId="63BC9877"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Grant, R.M. (2021). </w:t>
      </w:r>
      <w:r w:rsidRPr="00F51D13">
        <w:rPr>
          <w:rFonts w:ascii="Arial" w:hAnsi="Arial" w:cs="Arial"/>
          <w:i/>
          <w:iCs/>
          <w:sz w:val="22"/>
          <w:szCs w:val="22"/>
        </w:rPr>
        <w:t>Contemporary Strategy Analysis</w:t>
      </w:r>
      <w:r w:rsidRPr="00F51D13">
        <w:rPr>
          <w:rFonts w:ascii="Arial" w:hAnsi="Arial" w:cs="Arial"/>
          <w:sz w:val="22"/>
          <w:szCs w:val="22"/>
        </w:rPr>
        <w:t xml:space="preserve">. 11th </w:t>
      </w:r>
      <w:proofErr w:type="spellStart"/>
      <w:r w:rsidRPr="00F51D13">
        <w:rPr>
          <w:rFonts w:ascii="Arial" w:hAnsi="Arial" w:cs="Arial"/>
          <w:sz w:val="22"/>
          <w:szCs w:val="22"/>
        </w:rPr>
        <w:t>edn</w:t>
      </w:r>
      <w:proofErr w:type="spellEnd"/>
      <w:r w:rsidRPr="00F51D13">
        <w:rPr>
          <w:rFonts w:ascii="Arial" w:hAnsi="Arial" w:cs="Arial"/>
          <w:sz w:val="22"/>
          <w:szCs w:val="22"/>
        </w:rPr>
        <w:t>. Hoboken: Wiley.</w:t>
      </w:r>
    </w:p>
    <w:p w14:paraId="5531EBB7"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Hooley, G., Nicoulaud, B., Piercy, N.F. and Close, A. (2020). </w:t>
      </w:r>
      <w:r w:rsidRPr="00F51D13">
        <w:rPr>
          <w:rFonts w:ascii="Arial" w:hAnsi="Arial" w:cs="Arial"/>
          <w:i/>
          <w:iCs/>
          <w:sz w:val="22"/>
          <w:szCs w:val="22"/>
        </w:rPr>
        <w:t>Marketing Strategy and Competitive Positioning</w:t>
      </w:r>
      <w:r w:rsidRPr="00F51D13">
        <w:rPr>
          <w:rFonts w:ascii="Arial" w:hAnsi="Arial" w:cs="Arial"/>
          <w:sz w:val="22"/>
          <w:szCs w:val="22"/>
        </w:rPr>
        <w:t xml:space="preserve">. 7th </w:t>
      </w:r>
      <w:proofErr w:type="spellStart"/>
      <w:r w:rsidRPr="00F51D13">
        <w:rPr>
          <w:rFonts w:ascii="Arial" w:hAnsi="Arial" w:cs="Arial"/>
          <w:sz w:val="22"/>
          <w:szCs w:val="22"/>
        </w:rPr>
        <w:t>edn</w:t>
      </w:r>
      <w:proofErr w:type="spellEnd"/>
      <w:r w:rsidRPr="00F51D13">
        <w:rPr>
          <w:rFonts w:ascii="Arial" w:hAnsi="Arial" w:cs="Arial"/>
          <w:sz w:val="22"/>
          <w:szCs w:val="22"/>
        </w:rPr>
        <w:t>. Harlow: Pearson.</w:t>
      </w:r>
    </w:p>
    <w:p w14:paraId="172F73B8" w14:textId="77777777" w:rsidR="00F51D13" w:rsidRPr="00F51D13" w:rsidRDefault="00F51D13" w:rsidP="00F51D13">
      <w:pPr>
        <w:rPr>
          <w:rFonts w:ascii="Arial" w:hAnsi="Arial" w:cs="Arial"/>
          <w:sz w:val="22"/>
          <w:szCs w:val="22"/>
        </w:rPr>
      </w:pPr>
    </w:p>
    <w:p w14:paraId="772CA731"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Kotler, P. and Keller, K.L. (2016). </w:t>
      </w:r>
      <w:r w:rsidRPr="00F51D13">
        <w:rPr>
          <w:rFonts w:ascii="Arial" w:hAnsi="Arial" w:cs="Arial"/>
          <w:i/>
          <w:iCs/>
          <w:sz w:val="22"/>
          <w:szCs w:val="22"/>
        </w:rPr>
        <w:t>Marketing Management</w:t>
      </w:r>
      <w:r w:rsidRPr="00F51D13">
        <w:rPr>
          <w:rFonts w:ascii="Arial" w:hAnsi="Arial" w:cs="Arial"/>
          <w:sz w:val="22"/>
          <w:szCs w:val="22"/>
        </w:rPr>
        <w:t xml:space="preserve">. 15th </w:t>
      </w:r>
      <w:proofErr w:type="spellStart"/>
      <w:r w:rsidRPr="00F51D13">
        <w:rPr>
          <w:rFonts w:ascii="Arial" w:hAnsi="Arial" w:cs="Arial"/>
          <w:sz w:val="22"/>
          <w:szCs w:val="22"/>
        </w:rPr>
        <w:t>edn</w:t>
      </w:r>
      <w:proofErr w:type="spellEnd"/>
      <w:r w:rsidRPr="00F51D13">
        <w:rPr>
          <w:rFonts w:ascii="Arial" w:hAnsi="Arial" w:cs="Arial"/>
          <w:sz w:val="22"/>
          <w:szCs w:val="22"/>
        </w:rPr>
        <w:t>. Boston: Pearson.</w:t>
      </w:r>
    </w:p>
    <w:p w14:paraId="0716E93B"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Mintzberg, H. and Waters, J.A. (1985). Of strategies, deliberate and emergent. </w:t>
      </w:r>
      <w:r w:rsidRPr="00F51D13">
        <w:rPr>
          <w:rFonts w:ascii="Arial" w:hAnsi="Arial" w:cs="Arial"/>
          <w:i/>
          <w:iCs/>
          <w:sz w:val="22"/>
          <w:szCs w:val="22"/>
        </w:rPr>
        <w:t>Strategic Management Journal</w:t>
      </w:r>
      <w:r w:rsidRPr="00F51D13">
        <w:rPr>
          <w:rFonts w:ascii="Arial" w:hAnsi="Arial" w:cs="Arial"/>
          <w:sz w:val="22"/>
          <w:szCs w:val="22"/>
        </w:rPr>
        <w:t>, 6(3), pp. 257-272.</w:t>
      </w:r>
    </w:p>
    <w:p w14:paraId="77FE5682" w14:textId="332D3F8B" w:rsidR="00157189" w:rsidRPr="00F51D13" w:rsidRDefault="00157189" w:rsidP="00F51D13">
      <w:pPr>
        <w:rPr>
          <w:rFonts w:ascii="Arial" w:hAnsi="Arial" w:cs="Arial"/>
          <w:sz w:val="22"/>
          <w:szCs w:val="22"/>
        </w:rPr>
      </w:pPr>
      <w:r w:rsidRPr="00F51D13">
        <w:rPr>
          <w:rFonts w:ascii="Arial" w:hAnsi="Arial" w:cs="Arial"/>
          <w:sz w:val="22"/>
          <w:szCs w:val="22"/>
        </w:rPr>
        <w:t>Nenycz-Thiel, M. and Romaniuk, J., 2016. Understanding premium private labels: A consumer categorisation approach. </w:t>
      </w:r>
      <w:r w:rsidRPr="00F51D13">
        <w:rPr>
          <w:rFonts w:ascii="Arial" w:hAnsi="Arial" w:cs="Arial"/>
          <w:i/>
          <w:iCs/>
          <w:sz w:val="22"/>
          <w:szCs w:val="22"/>
        </w:rPr>
        <w:t>Journal of Retailing and Consumer Services</w:t>
      </w:r>
      <w:r w:rsidRPr="00F51D13">
        <w:rPr>
          <w:rFonts w:ascii="Arial" w:hAnsi="Arial" w:cs="Arial"/>
          <w:sz w:val="22"/>
          <w:szCs w:val="22"/>
        </w:rPr>
        <w:t>, </w:t>
      </w:r>
      <w:r w:rsidRPr="00F51D13">
        <w:rPr>
          <w:rFonts w:ascii="Arial" w:hAnsi="Arial" w:cs="Arial"/>
          <w:i/>
          <w:iCs/>
          <w:sz w:val="22"/>
          <w:szCs w:val="22"/>
        </w:rPr>
        <w:t>29</w:t>
      </w:r>
      <w:r w:rsidRPr="00F51D13">
        <w:rPr>
          <w:rFonts w:ascii="Arial" w:hAnsi="Arial" w:cs="Arial"/>
          <w:sz w:val="22"/>
          <w:szCs w:val="22"/>
        </w:rPr>
        <w:t>, pp.22-30.</w:t>
      </w:r>
    </w:p>
    <w:p w14:paraId="14FE3B9A"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Porter, M.E. (1985). </w:t>
      </w:r>
      <w:r w:rsidRPr="00F51D13">
        <w:rPr>
          <w:rFonts w:ascii="Arial" w:hAnsi="Arial" w:cs="Arial"/>
          <w:i/>
          <w:iCs/>
          <w:sz w:val="22"/>
          <w:szCs w:val="22"/>
        </w:rPr>
        <w:t>Competitive Advantage: Creating and Sustaining Superior Performance</w:t>
      </w:r>
      <w:r w:rsidRPr="00F51D13">
        <w:rPr>
          <w:rFonts w:ascii="Arial" w:hAnsi="Arial" w:cs="Arial"/>
          <w:sz w:val="22"/>
          <w:szCs w:val="22"/>
        </w:rPr>
        <w:t>. New York: Free Press.</w:t>
      </w:r>
    </w:p>
    <w:p w14:paraId="6C4A935E" w14:textId="77777777" w:rsidR="00F51D13" w:rsidRPr="00F51D13" w:rsidRDefault="00F51D13" w:rsidP="00F51D13">
      <w:pPr>
        <w:rPr>
          <w:rFonts w:ascii="Arial" w:hAnsi="Arial" w:cs="Arial"/>
          <w:sz w:val="22"/>
          <w:szCs w:val="22"/>
        </w:rPr>
      </w:pPr>
    </w:p>
    <w:p w14:paraId="78413B23"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Porter, M.E. (2008). The five competitive forces that shape strategy. </w:t>
      </w:r>
      <w:r w:rsidRPr="00F51D13">
        <w:rPr>
          <w:rFonts w:ascii="Arial" w:hAnsi="Arial" w:cs="Arial"/>
          <w:i/>
          <w:iCs/>
          <w:sz w:val="22"/>
          <w:szCs w:val="22"/>
        </w:rPr>
        <w:t>Harvard Business Review</w:t>
      </w:r>
      <w:r w:rsidRPr="00F51D13">
        <w:rPr>
          <w:rFonts w:ascii="Arial" w:hAnsi="Arial" w:cs="Arial"/>
          <w:sz w:val="22"/>
          <w:szCs w:val="22"/>
        </w:rPr>
        <w:t>, 86(1), pp. 78-93.</w:t>
      </w:r>
    </w:p>
    <w:p w14:paraId="2962671B" w14:textId="77777777" w:rsidR="00F51D13" w:rsidRPr="00F51D13" w:rsidRDefault="00F51D13" w:rsidP="00F51D13">
      <w:pPr>
        <w:rPr>
          <w:rFonts w:ascii="Arial" w:hAnsi="Arial" w:cs="Arial"/>
          <w:sz w:val="22"/>
          <w:szCs w:val="22"/>
        </w:rPr>
      </w:pPr>
    </w:p>
    <w:p w14:paraId="7986B6C1"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Smith, J. and Sparks, L. (2020). The grocery retail market in the UK: Structural changes and consumer dynamics. </w:t>
      </w:r>
      <w:r w:rsidRPr="00F51D13">
        <w:rPr>
          <w:rFonts w:ascii="Arial" w:hAnsi="Arial" w:cs="Arial"/>
          <w:i/>
          <w:iCs/>
          <w:sz w:val="22"/>
          <w:szCs w:val="22"/>
        </w:rPr>
        <w:t>International Review of Retail, Distribution and Consumer Research</w:t>
      </w:r>
      <w:r w:rsidRPr="00F51D13">
        <w:rPr>
          <w:rFonts w:ascii="Arial" w:hAnsi="Arial" w:cs="Arial"/>
          <w:sz w:val="22"/>
          <w:szCs w:val="22"/>
        </w:rPr>
        <w:t>, 30(5), pp. 451-470.</w:t>
      </w:r>
    </w:p>
    <w:p w14:paraId="248E4827" w14:textId="77777777" w:rsidR="00F51D13" w:rsidRPr="00F51D13" w:rsidRDefault="00F51D13" w:rsidP="00F51D13">
      <w:pPr>
        <w:rPr>
          <w:rFonts w:ascii="Arial" w:hAnsi="Arial" w:cs="Arial"/>
          <w:sz w:val="22"/>
          <w:szCs w:val="22"/>
        </w:rPr>
      </w:pPr>
    </w:p>
    <w:p w14:paraId="401E12DC"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Swoboda, B., </w:t>
      </w:r>
      <w:proofErr w:type="spellStart"/>
      <w:r w:rsidRPr="00F51D13">
        <w:rPr>
          <w:rFonts w:ascii="Arial" w:hAnsi="Arial" w:cs="Arial"/>
          <w:sz w:val="22"/>
          <w:szCs w:val="22"/>
        </w:rPr>
        <w:t>Haelsig</w:t>
      </w:r>
      <w:proofErr w:type="spellEnd"/>
      <w:r w:rsidRPr="00F51D13">
        <w:rPr>
          <w:rFonts w:ascii="Arial" w:hAnsi="Arial" w:cs="Arial"/>
          <w:sz w:val="22"/>
          <w:szCs w:val="22"/>
        </w:rPr>
        <w:t xml:space="preserve">, F., Schramm-Klein, E. and Elsner, S. (2013). Influence of internal and external corporate reputation on sector-specific consumer loyalty. </w:t>
      </w:r>
      <w:r w:rsidRPr="00F51D13">
        <w:rPr>
          <w:rFonts w:ascii="Arial" w:hAnsi="Arial" w:cs="Arial"/>
          <w:i/>
          <w:iCs/>
          <w:sz w:val="22"/>
          <w:szCs w:val="22"/>
        </w:rPr>
        <w:t>Journal of Business Research</w:t>
      </w:r>
      <w:r w:rsidRPr="00F51D13">
        <w:rPr>
          <w:rFonts w:ascii="Arial" w:hAnsi="Arial" w:cs="Arial"/>
          <w:sz w:val="22"/>
          <w:szCs w:val="22"/>
        </w:rPr>
        <w:t>, 66(11), pp. 2317-2326.</w:t>
      </w:r>
    </w:p>
    <w:p w14:paraId="1C6CE0C8" w14:textId="77777777" w:rsidR="00F51D13" w:rsidRPr="00F51D13" w:rsidRDefault="00F51D13" w:rsidP="00F51D13">
      <w:pPr>
        <w:rPr>
          <w:rFonts w:ascii="Arial" w:hAnsi="Arial" w:cs="Arial"/>
          <w:sz w:val="22"/>
          <w:szCs w:val="22"/>
        </w:rPr>
      </w:pPr>
    </w:p>
    <w:p w14:paraId="5CC6486E" w14:textId="77777777" w:rsidR="00D652F1" w:rsidRPr="00F51D13" w:rsidRDefault="00D652F1" w:rsidP="00F51D13">
      <w:pPr>
        <w:rPr>
          <w:rFonts w:ascii="Arial" w:hAnsi="Arial" w:cs="Arial"/>
          <w:sz w:val="22"/>
          <w:szCs w:val="22"/>
        </w:rPr>
      </w:pPr>
      <w:r w:rsidRPr="00F51D13">
        <w:rPr>
          <w:rFonts w:ascii="Arial" w:hAnsi="Arial" w:cs="Arial"/>
          <w:sz w:val="22"/>
          <w:szCs w:val="22"/>
        </w:rPr>
        <w:t xml:space="preserve">Wood, S. and McCarthy, D. (2014). The UK grocery market: Analysing the food desert and premium luxury polarization. </w:t>
      </w:r>
      <w:r w:rsidRPr="00F51D13">
        <w:rPr>
          <w:rFonts w:ascii="Arial" w:hAnsi="Arial" w:cs="Arial"/>
          <w:i/>
          <w:iCs/>
          <w:sz w:val="22"/>
          <w:szCs w:val="22"/>
        </w:rPr>
        <w:t>Applied Geography</w:t>
      </w:r>
      <w:r w:rsidRPr="00F51D13">
        <w:rPr>
          <w:rFonts w:ascii="Arial" w:hAnsi="Arial" w:cs="Arial"/>
          <w:sz w:val="22"/>
          <w:szCs w:val="22"/>
        </w:rPr>
        <w:t>, 47, pp. 112-122.</w:t>
      </w:r>
    </w:p>
    <w:p w14:paraId="3DD57AE1" w14:textId="4C420E1E" w:rsidR="00D652F1" w:rsidRPr="00E865DD" w:rsidRDefault="00D652F1" w:rsidP="00E865DD">
      <w:pPr>
        <w:ind w:left="720"/>
        <w:rPr>
          <w:rFonts w:ascii="Arial" w:hAnsi="Arial" w:cs="Arial"/>
          <w:sz w:val="22"/>
          <w:szCs w:val="22"/>
        </w:rPr>
      </w:pPr>
    </w:p>
    <w:p w14:paraId="1D424220" w14:textId="77777777" w:rsidR="000633F8" w:rsidRPr="004968DF" w:rsidRDefault="000633F8" w:rsidP="007A1A51">
      <w:pPr>
        <w:rPr>
          <w:rFonts w:ascii="Arial" w:hAnsi="Arial" w:cs="Arial"/>
          <w:sz w:val="22"/>
          <w:szCs w:val="22"/>
        </w:rPr>
      </w:pPr>
    </w:p>
    <w:sectPr w:rsidR="000633F8" w:rsidRPr="004968D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83DDA" w14:textId="77777777" w:rsidR="001E3669" w:rsidRDefault="001E3669" w:rsidP="002837E4">
      <w:pPr>
        <w:spacing w:line="240" w:lineRule="auto"/>
      </w:pPr>
      <w:r>
        <w:separator/>
      </w:r>
    </w:p>
  </w:endnote>
  <w:endnote w:type="continuationSeparator" w:id="0">
    <w:p w14:paraId="564FE8C2" w14:textId="77777777" w:rsidR="001E3669" w:rsidRDefault="001E3669" w:rsidP="00283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007523"/>
      <w:docPartObj>
        <w:docPartGallery w:val="Page Numbers (Bottom of Page)"/>
        <w:docPartUnique/>
      </w:docPartObj>
    </w:sdtPr>
    <w:sdtContent>
      <w:p w14:paraId="2757DAEC" w14:textId="66B4E52A" w:rsidR="00E865DD" w:rsidRDefault="00E865DD">
        <w:pPr>
          <w:pStyle w:val="Footer"/>
          <w:jc w:val="center"/>
        </w:pPr>
        <w:r>
          <w:fldChar w:fldCharType="begin"/>
        </w:r>
        <w:r>
          <w:instrText>PAGE   \* MERGEFORMAT</w:instrText>
        </w:r>
        <w:r>
          <w:fldChar w:fldCharType="separate"/>
        </w:r>
        <w:r>
          <w:t>2</w:t>
        </w:r>
        <w:r>
          <w:fldChar w:fldCharType="end"/>
        </w:r>
      </w:p>
    </w:sdtContent>
  </w:sdt>
  <w:p w14:paraId="3284D0DD" w14:textId="77777777" w:rsidR="00E865DD" w:rsidRDefault="00E86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84AA6" w14:textId="77777777" w:rsidR="001E3669" w:rsidRDefault="001E3669" w:rsidP="002837E4">
      <w:pPr>
        <w:spacing w:line="240" w:lineRule="auto"/>
      </w:pPr>
      <w:r>
        <w:separator/>
      </w:r>
    </w:p>
  </w:footnote>
  <w:footnote w:type="continuationSeparator" w:id="0">
    <w:p w14:paraId="762E292F" w14:textId="77777777" w:rsidR="001E3669" w:rsidRDefault="001E3669" w:rsidP="002837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04AC"/>
    <w:multiLevelType w:val="multilevel"/>
    <w:tmpl w:val="B59EF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C4F3F"/>
    <w:multiLevelType w:val="multilevel"/>
    <w:tmpl w:val="BEF8D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411C6F"/>
    <w:multiLevelType w:val="multilevel"/>
    <w:tmpl w:val="2AC40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2B3154"/>
    <w:multiLevelType w:val="multilevel"/>
    <w:tmpl w:val="5038C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80768D"/>
    <w:multiLevelType w:val="multilevel"/>
    <w:tmpl w:val="C2EEC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425784"/>
    <w:multiLevelType w:val="multilevel"/>
    <w:tmpl w:val="7CC0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63236C"/>
    <w:multiLevelType w:val="multilevel"/>
    <w:tmpl w:val="18BC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BE6A03"/>
    <w:multiLevelType w:val="multilevel"/>
    <w:tmpl w:val="7A3E3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1511DA"/>
    <w:multiLevelType w:val="multilevel"/>
    <w:tmpl w:val="010C8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2153DA"/>
    <w:multiLevelType w:val="multilevel"/>
    <w:tmpl w:val="3C366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47225C"/>
    <w:multiLevelType w:val="multilevel"/>
    <w:tmpl w:val="D3D2B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515F10"/>
    <w:multiLevelType w:val="multilevel"/>
    <w:tmpl w:val="617EB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5538044">
    <w:abstractNumId w:val="9"/>
  </w:num>
  <w:num w:numId="2" w16cid:durableId="1771661755">
    <w:abstractNumId w:val="5"/>
  </w:num>
  <w:num w:numId="3" w16cid:durableId="776364721">
    <w:abstractNumId w:val="11"/>
  </w:num>
  <w:num w:numId="4" w16cid:durableId="428156839">
    <w:abstractNumId w:val="8"/>
  </w:num>
  <w:num w:numId="5" w16cid:durableId="736635019">
    <w:abstractNumId w:val="10"/>
  </w:num>
  <w:num w:numId="6" w16cid:durableId="918708303">
    <w:abstractNumId w:val="2"/>
  </w:num>
  <w:num w:numId="7" w16cid:durableId="1813256098">
    <w:abstractNumId w:val="0"/>
  </w:num>
  <w:num w:numId="8" w16cid:durableId="621696272">
    <w:abstractNumId w:val="6"/>
  </w:num>
  <w:num w:numId="9" w16cid:durableId="1478917295">
    <w:abstractNumId w:val="1"/>
  </w:num>
  <w:num w:numId="10" w16cid:durableId="367069141">
    <w:abstractNumId w:val="3"/>
  </w:num>
  <w:num w:numId="11" w16cid:durableId="2077776720">
    <w:abstractNumId w:val="4"/>
  </w:num>
  <w:num w:numId="12" w16cid:durableId="12379809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A51"/>
    <w:rsid w:val="00042B5D"/>
    <w:rsid w:val="00056981"/>
    <w:rsid w:val="000633F8"/>
    <w:rsid w:val="0007574D"/>
    <w:rsid w:val="000977F1"/>
    <w:rsid w:val="000D1A0A"/>
    <w:rsid w:val="00157189"/>
    <w:rsid w:val="001808BE"/>
    <w:rsid w:val="00187F79"/>
    <w:rsid w:val="00196E08"/>
    <w:rsid w:val="001E3669"/>
    <w:rsid w:val="00254268"/>
    <w:rsid w:val="002837E4"/>
    <w:rsid w:val="003A600A"/>
    <w:rsid w:val="003A7E41"/>
    <w:rsid w:val="003C7150"/>
    <w:rsid w:val="003D09D8"/>
    <w:rsid w:val="00413313"/>
    <w:rsid w:val="00420BB6"/>
    <w:rsid w:val="00472D39"/>
    <w:rsid w:val="004968DF"/>
    <w:rsid w:val="0052647D"/>
    <w:rsid w:val="0055699C"/>
    <w:rsid w:val="005E139D"/>
    <w:rsid w:val="0064320F"/>
    <w:rsid w:val="007A1A51"/>
    <w:rsid w:val="00862A55"/>
    <w:rsid w:val="008F3215"/>
    <w:rsid w:val="00956E0A"/>
    <w:rsid w:val="00987726"/>
    <w:rsid w:val="009921D1"/>
    <w:rsid w:val="009D518E"/>
    <w:rsid w:val="00B85477"/>
    <w:rsid w:val="00C90387"/>
    <w:rsid w:val="00D45044"/>
    <w:rsid w:val="00D652F1"/>
    <w:rsid w:val="00E46615"/>
    <w:rsid w:val="00E600F2"/>
    <w:rsid w:val="00E865DD"/>
    <w:rsid w:val="00F043D8"/>
    <w:rsid w:val="00F11B74"/>
    <w:rsid w:val="00F51D13"/>
    <w:rsid w:val="00FB62C3"/>
    <w:rsid w:val="00FC0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17724D"/>
  <w15:chartTrackingRefBased/>
  <w15:docId w15:val="{6F1AE4E0-5FD3-4E2B-826F-0B499C5F3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1"/>
        <w:szCs w:val="21"/>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8F"/>
  </w:style>
  <w:style w:type="paragraph" w:styleId="Heading1">
    <w:name w:val="heading 1"/>
    <w:basedOn w:val="Normal"/>
    <w:next w:val="Normal"/>
    <w:link w:val="Heading1Char"/>
    <w:uiPriority w:val="9"/>
    <w:qFormat/>
    <w:rsid w:val="00FC018F"/>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C018F"/>
    <w:pPr>
      <w:keepNext/>
      <w:keepLines/>
      <w:spacing w:before="8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C018F"/>
    <w:pPr>
      <w:keepNext/>
      <w:keepLines/>
      <w:spacing w:before="8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C018F"/>
    <w:pPr>
      <w:keepNext/>
      <w:keepLines/>
      <w:spacing w:before="8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C018F"/>
    <w:pPr>
      <w:keepNext/>
      <w:keepLines/>
      <w:spacing w:before="4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C018F"/>
    <w:pPr>
      <w:keepNext/>
      <w:keepLines/>
      <w:spacing w:before="4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C018F"/>
    <w:pPr>
      <w:keepNext/>
      <w:keepLines/>
      <w:spacing w:before="4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C018F"/>
    <w:pPr>
      <w:keepNext/>
      <w:keepLines/>
      <w:spacing w:before="4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C018F"/>
    <w:pPr>
      <w:keepNext/>
      <w:keepLines/>
      <w:spacing w:before="4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8F"/>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C018F"/>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C018F"/>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C018F"/>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C018F"/>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C018F"/>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C018F"/>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C018F"/>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C018F"/>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FC018F"/>
    <w:pPr>
      <w:spacing w:line="240" w:lineRule="auto"/>
    </w:pPr>
    <w:rPr>
      <w:b/>
      <w:bCs/>
      <w:smallCaps/>
      <w:color w:val="595959" w:themeColor="text1" w:themeTint="A6"/>
    </w:rPr>
  </w:style>
  <w:style w:type="paragraph" w:styleId="Title">
    <w:name w:val="Title"/>
    <w:basedOn w:val="Normal"/>
    <w:next w:val="Normal"/>
    <w:link w:val="TitleChar"/>
    <w:uiPriority w:val="10"/>
    <w:qFormat/>
    <w:rsid w:val="00FC018F"/>
    <w:pPr>
      <w:spacing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C018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C018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C018F"/>
    <w:rPr>
      <w:rFonts w:asciiTheme="majorHAnsi" w:eastAsiaTheme="majorEastAsia" w:hAnsiTheme="majorHAnsi" w:cstheme="majorBidi"/>
      <w:sz w:val="30"/>
      <w:szCs w:val="30"/>
    </w:rPr>
  </w:style>
  <w:style w:type="character" w:styleId="Strong">
    <w:name w:val="Strong"/>
    <w:basedOn w:val="DefaultParagraphFont"/>
    <w:uiPriority w:val="22"/>
    <w:qFormat/>
    <w:rsid w:val="00FC018F"/>
    <w:rPr>
      <w:b/>
      <w:bCs/>
    </w:rPr>
  </w:style>
  <w:style w:type="character" w:styleId="Emphasis">
    <w:name w:val="Emphasis"/>
    <w:basedOn w:val="DefaultParagraphFont"/>
    <w:uiPriority w:val="20"/>
    <w:qFormat/>
    <w:rsid w:val="00FC018F"/>
    <w:rPr>
      <w:i/>
      <w:iCs/>
      <w:color w:val="4EA72E" w:themeColor="accent6"/>
    </w:rPr>
  </w:style>
  <w:style w:type="paragraph" w:styleId="NoSpacing">
    <w:name w:val="No Spacing"/>
    <w:uiPriority w:val="1"/>
    <w:qFormat/>
    <w:rsid w:val="00FC018F"/>
    <w:pPr>
      <w:spacing w:line="240" w:lineRule="auto"/>
    </w:pPr>
  </w:style>
  <w:style w:type="paragraph" w:styleId="ListParagraph">
    <w:name w:val="List Paragraph"/>
    <w:basedOn w:val="Normal"/>
    <w:uiPriority w:val="34"/>
    <w:qFormat/>
    <w:rsid w:val="00FC018F"/>
    <w:pPr>
      <w:ind w:left="720"/>
      <w:contextualSpacing/>
    </w:pPr>
  </w:style>
  <w:style w:type="paragraph" w:styleId="Quote">
    <w:name w:val="Quote"/>
    <w:basedOn w:val="Normal"/>
    <w:next w:val="Normal"/>
    <w:link w:val="QuoteChar"/>
    <w:uiPriority w:val="29"/>
    <w:qFormat/>
    <w:rsid w:val="00FC018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C018F"/>
    <w:rPr>
      <w:i/>
      <w:iCs/>
      <w:color w:val="262626" w:themeColor="text1" w:themeTint="D9"/>
    </w:rPr>
  </w:style>
  <w:style w:type="paragraph" w:styleId="IntenseQuote">
    <w:name w:val="Intense Quote"/>
    <w:basedOn w:val="Normal"/>
    <w:next w:val="Normal"/>
    <w:link w:val="IntenseQuoteChar"/>
    <w:uiPriority w:val="30"/>
    <w:qFormat/>
    <w:rsid w:val="00FC018F"/>
    <w:pPr>
      <w:spacing w:before="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C018F"/>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FC018F"/>
    <w:rPr>
      <w:i/>
      <w:iCs/>
    </w:rPr>
  </w:style>
  <w:style w:type="character" w:styleId="IntenseEmphasis">
    <w:name w:val="Intense Emphasis"/>
    <w:basedOn w:val="DefaultParagraphFont"/>
    <w:uiPriority w:val="21"/>
    <w:qFormat/>
    <w:rsid w:val="00FC018F"/>
    <w:rPr>
      <w:b/>
      <w:bCs/>
      <w:i/>
      <w:iCs/>
    </w:rPr>
  </w:style>
  <w:style w:type="character" w:styleId="SubtleReference">
    <w:name w:val="Subtle Reference"/>
    <w:basedOn w:val="DefaultParagraphFont"/>
    <w:uiPriority w:val="31"/>
    <w:qFormat/>
    <w:rsid w:val="00FC018F"/>
    <w:rPr>
      <w:smallCaps/>
      <w:color w:val="595959" w:themeColor="text1" w:themeTint="A6"/>
    </w:rPr>
  </w:style>
  <w:style w:type="character" w:styleId="IntenseReference">
    <w:name w:val="Intense Reference"/>
    <w:basedOn w:val="DefaultParagraphFont"/>
    <w:uiPriority w:val="32"/>
    <w:qFormat/>
    <w:rsid w:val="00FC018F"/>
    <w:rPr>
      <w:b/>
      <w:bCs/>
      <w:smallCaps/>
      <w:color w:val="4EA72E" w:themeColor="accent6"/>
    </w:rPr>
  </w:style>
  <w:style w:type="character" w:styleId="BookTitle">
    <w:name w:val="Book Title"/>
    <w:basedOn w:val="DefaultParagraphFont"/>
    <w:uiPriority w:val="33"/>
    <w:qFormat/>
    <w:rsid w:val="00FC018F"/>
    <w:rPr>
      <w:b/>
      <w:bCs/>
      <w:caps w:val="0"/>
      <w:smallCaps/>
      <w:spacing w:val="7"/>
      <w:sz w:val="21"/>
      <w:szCs w:val="21"/>
    </w:rPr>
  </w:style>
  <w:style w:type="paragraph" w:styleId="TOCHeading">
    <w:name w:val="TOC Heading"/>
    <w:basedOn w:val="Heading1"/>
    <w:next w:val="Normal"/>
    <w:uiPriority w:val="39"/>
    <w:unhideWhenUsed/>
    <w:qFormat/>
    <w:rsid w:val="00FC018F"/>
    <w:pPr>
      <w:outlineLvl w:val="9"/>
    </w:pPr>
  </w:style>
  <w:style w:type="character" w:styleId="Hyperlink">
    <w:name w:val="Hyperlink"/>
    <w:basedOn w:val="DefaultParagraphFont"/>
    <w:uiPriority w:val="99"/>
    <w:unhideWhenUsed/>
    <w:rsid w:val="0055699C"/>
    <w:rPr>
      <w:color w:val="467886" w:themeColor="hyperlink"/>
      <w:u w:val="single"/>
    </w:rPr>
  </w:style>
  <w:style w:type="character" w:styleId="UnresolvedMention">
    <w:name w:val="Unresolved Mention"/>
    <w:basedOn w:val="DefaultParagraphFont"/>
    <w:uiPriority w:val="99"/>
    <w:semiHidden/>
    <w:unhideWhenUsed/>
    <w:rsid w:val="0055699C"/>
    <w:rPr>
      <w:color w:val="605E5C"/>
      <w:shd w:val="clear" w:color="auto" w:fill="E1DFDD"/>
    </w:rPr>
  </w:style>
  <w:style w:type="paragraph" w:styleId="NormalWeb">
    <w:name w:val="Normal (Web)"/>
    <w:basedOn w:val="Normal"/>
    <w:uiPriority w:val="99"/>
    <w:semiHidden/>
    <w:unhideWhenUsed/>
    <w:rsid w:val="00E600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1">
    <w:name w:val="toc 1"/>
    <w:basedOn w:val="Normal"/>
    <w:next w:val="Normal"/>
    <w:autoRedefine/>
    <w:uiPriority w:val="39"/>
    <w:unhideWhenUsed/>
    <w:rsid w:val="003A7E41"/>
    <w:pPr>
      <w:spacing w:after="100" w:line="259" w:lineRule="auto"/>
    </w:pPr>
    <w:rPr>
      <w:rFonts w:eastAsiaTheme="minorEastAsia"/>
      <w:kern w:val="0"/>
      <w:sz w:val="22"/>
      <w:szCs w:val="22"/>
      <w:lang w:eastAsia="zh-CN"/>
      <w14:ligatures w14:val="none"/>
    </w:rPr>
  </w:style>
  <w:style w:type="paragraph" w:styleId="TOC2">
    <w:name w:val="toc 2"/>
    <w:basedOn w:val="Normal"/>
    <w:next w:val="Normal"/>
    <w:autoRedefine/>
    <w:uiPriority w:val="39"/>
    <w:unhideWhenUsed/>
    <w:rsid w:val="003A7E41"/>
    <w:pPr>
      <w:spacing w:after="100" w:line="259" w:lineRule="auto"/>
      <w:ind w:left="220"/>
    </w:pPr>
    <w:rPr>
      <w:rFonts w:eastAsiaTheme="minorEastAsia"/>
      <w:kern w:val="0"/>
      <w:sz w:val="22"/>
      <w:szCs w:val="22"/>
      <w:lang w:eastAsia="zh-CN"/>
      <w14:ligatures w14:val="none"/>
    </w:rPr>
  </w:style>
  <w:style w:type="paragraph" w:styleId="Header">
    <w:name w:val="header"/>
    <w:basedOn w:val="Normal"/>
    <w:link w:val="HeaderChar"/>
    <w:uiPriority w:val="99"/>
    <w:unhideWhenUsed/>
    <w:rsid w:val="002837E4"/>
    <w:pPr>
      <w:tabs>
        <w:tab w:val="center" w:pos="4513"/>
        <w:tab w:val="right" w:pos="9026"/>
      </w:tabs>
      <w:spacing w:line="240" w:lineRule="auto"/>
    </w:pPr>
  </w:style>
  <w:style w:type="character" w:customStyle="1" w:styleId="HeaderChar">
    <w:name w:val="Header Char"/>
    <w:basedOn w:val="DefaultParagraphFont"/>
    <w:link w:val="Header"/>
    <w:uiPriority w:val="99"/>
    <w:rsid w:val="002837E4"/>
  </w:style>
  <w:style w:type="paragraph" w:styleId="Footer">
    <w:name w:val="footer"/>
    <w:basedOn w:val="Normal"/>
    <w:link w:val="FooterChar"/>
    <w:uiPriority w:val="99"/>
    <w:unhideWhenUsed/>
    <w:rsid w:val="002837E4"/>
    <w:pPr>
      <w:tabs>
        <w:tab w:val="center" w:pos="4513"/>
        <w:tab w:val="right" w:pos="9026"/>
      </w:tabs>
      <w:spacing w:line="240" w:lineRule="auto"/>
    </w:pPr>
  </w:style>
  <w:style w:type="character" w:customStyle="1" w:styleId="FooterChar">
    <w:name w:val="Footer Char"/>
    <w:basedOn w:val="DefaultParagraphFont"/>
    <w:link w:val="Footer"/>
    <w:uiPriority w:val="99"/>
    <w:rsid w:val="00283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073C7-9032-42BA-ADB4-D91C474D0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6</Pages>
  <Words>1461</Words>
  <Characters>8331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Balogh (2441884)</dc:creator>
  <cp:keywords/>
  <dc:description/>
  <cp:lastModifiedBy>Laszlo Balogh (2441884)</cp:lastModifiedBy>
  <cp:revision>20</cp:revision>
  <dcterms:created xsi:type="dcterms:W3CDTF">2026-07-04T11:42:00Z</dcterms:created>
  <dcterms:modified xsi:type="dcterms:W3CDTF">2026-07-15T13:24:00Z</dcterms:modified>
</cp:coreProperties>
</file>