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14879" w14:textId="5CB76553" w:rsidR="00764BFC" w:rsidRPr="008C55EC" w:rsidRDefault="00764BFC" w:rsidP="00764BFC">
      <w:pPr>
        <w:jc w:val="center"/>
        <w:rPr>
          <w:rFonts w:ascii="Arial" w:hAnsi="Arial"/>
          <w:color w:val="000000" w:themeColor="text1"/>
          <w:sz w:val="32"/>
          <w:szCs w:val="28"/>
          <w:lang w:val="en-IN"/>
        </w:rPr>
      </w:pPr>
      <w:r w:rsidRPr="008C55EC">
        <w:rPr>
          <w:rFonts w:ascii="Arial" w:hAnsi="Arial"/>
          <w:color w:val="000000" w:themeColor="text1"/>
          <w:sz w:val="32"/>
          <w:szCs w:val="28"/>
        </w:rPr>
        <w:drawing>
          <wp:inline distT="0" distB="0" distL="0" distR="0" wp14:anchorId="1EB9438D" wp14:editId="043768AD">
            <wp:extent cx="3384550" cy="1352550"/>
            <wp:effectExtent l="0" t="0" r="6350" b="0"/>
            <wp:docPr id="1493444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63261209" w14:textId="77777777" w:rsidR="00764BFC" w:rsidRPr="008C55EC" w:rsidRDefault="00764BFC" w:rsidP="00764BFC">
      <w:pPr>
        <w:jc w:val="center"/>
        <w:rPr>
          <w:rFonts w:ascii="Arial" w:hAnsi="Arial"/>
          <w:color w:val="000000" w:themeColor="text1"/>
          <w:sz w:val="32"/>
          <w:szCs w:val="28"/>
          <w:lang w:val="en-IN"/>
        </w:rPr>
      </w:pPr>
    </w:p>
    <w:p w14:paraId="468ED96E" w14:textId="77777777" w:rsidR="00764BFC" w:rsidRPr="008C55EC" w:rsidRDefault="00764BFC" w:rsidP="00764BFC">
      <w:pPr>
        <w:jc w:val="center"/>
        <w:rPr>
          <w:rFonts w:ascii="Arial" w:hAnsi="Arial"/>
          <w:b/>
          <w:bCs/>
          <w:color w:val="000000" w:themeColor="text1"/>
          <w:sz w:val="32"/>
          <w:szCs w:val="28"/>
          <w:lang w:val="en-IN"/>
        </w:rPr>
      </w:pPr>
      <w:r w:rsidRPr="008C55EC">
        <w:rPr>
          <w:rFonts w:ascii="Arial" w:hAnsi="Arial"/>
          <w:b/>
          <w:bCs/>
          <w:color w:val="000000" w:themeColor="text1"/>
          <w:sz w:val="32"/>
          <w:szCs w:val="28"/>
          <w:lang w:val="en-IN"/>
        </w:rPr>
        <w:t>Master of Business Administration (MBA)</w:t>
      </w:r>
    </w:p>
    <w:p w14:paraId="71383BF5" w14:textId="77777777" w:rsidR="00764BFC" w:rsidRPr="008C55EC" w:rsidRDefault="00764BFC" w:rsidP="00764BFC">
      <w:pPr>
        <w:jc w:val="center"/>
        <w:rPr>
          <w:rFonts w:ascii="Arial" w:hAnsi="Arial"/>
          <w:b/>
          <w:bCs/>
          <w:color w:val="000000" w:themeColor="text1"/>
          <w:sz w:val="32"/>
          <w:szCs w:val="28"/>
          <w:lang w:val="en-IN"/>
        </w:rPr>
      </w:pPr>
      <w:r w:rsidRPr="008C55EC">
        <w:rPr>
          <w:rFonts w:ascii="Arial" w:hAnsi="Arial"/>
          <w:b/>
          <w:bCs/>
          <w:color w:val="000000" w:themeColor="text1"/>
          <w:sz w:val="32"/>
          <w:szCs w:val="28"/>
          <w:lang w:val="en-IN"/>
        </w:rPr>
        <w:t xml:space="preserve">Module Title: </w:t>
      </w:r>
      <w:r w:rsidRPr="008C55EC">
        <w:rPr>
          <w:rFonts w:ascii="Arial" w:hAnsi="Arial"/>
          <w:color w:val="000000" w:themeColor="text1"/>
          <w:sz w:val="32"/>
          <w:szCs w:val="28"/>
        </w:rPr>
        <w:t xml:space="preserve">International Business Concepts </w:t>
      </w:r>
    </w:p>
    <w:p w14:paraId="15610E88" w14:textId="77777777" w:rsidR="00764BFC" w:rsidRPr="008C55EC" w:rsidRDefault="00764BFC" w:rsidP="00764BFC">
      <w:pPr>
        <w:jc w:val="center"/>
        <w:rPr>
          <w:rFonts w:ascii="Arial" w:hAnsi="Arial"/>
          <w:color w:val="000000" w:themeColor="text1"/>
          <w:sz w:val="32"/>
          <w:szCs w:val="28"/>
        </w:rPr>
      </w:pPr>
      <w:r w:rsidRPr="008C55EC">
        <w:rPr>
          <w:rFonts w:ascii="Arial" w:hAnsi="Arial"/>
          <w:b/>
          <w:bCs/>
          <w:color w:val="000000" w:themeColor="text1"/>
          <w:sz w:val="32"/>
          <w:szCs w:val="28"/>
          <w:lang w:val="en-IN"/>
        </w:rPr>
        <w:t xml:space="preserve">Module Code: </w:t>
      </w:r>
      <w:r w:rsidRPr="008C55EC">
        <w:rPr>
          <w:rFonts w:ascii="Arial" w:hAnsi="Arial"/>
          <w:color w:val="000000" w:themeColor="text1"/>
          <w:sz w:val="32"/>
          <w:szCs w:val="28"/>
        </w:rPr>
        <w:t>LCMB7034</w:t>
      </w:r>
    </w:p>
    <w:p w14:paraId="477739DE" w14:textId="77777777" w:rsidR="00764BFC" w:rsidRPr="008C55EC" w:rsidRDefault="00764BFC" w:rsidP="00764BFC">
      <w:pPr>
        <w:jc w:val="center"/>
        <w:rPr>
          <w:rFonts w:ascii="Arial" w:hAnsi="Arial"/>
          <w:b/>
          <w:bCs/>
          <w:color w:val="000000" w:themeColor="text1"/>
          <w:sz w:val="32"/>
          <w:szCs w:val="28"/>
          <w:lang w:val="en-IN"/>
        </w:rPr>
      </w:pPr>
    </w:p>
    <w:p w14:paraId="43F3D7E9" w14:textId="77777777" w:rsidR="00764BFC" w:rsidRPr="008C55EC" w:rsidRDefault="00764BFC" w:rsidP="00764BFC">
      <w:pPr>
        <w:jc w:val="center"/>
        <w:rPr>
          <w:rFonts w:ascii="Arial" w:hAnsi="Arial"/>
          <w:color w:val="000000" w:themeColor="text1"/>
          <w:sz w:val="32"/>
          <w:szCs w:val="28"/>
          <w:lang w:val="en-IN"/>
        </w:rPr>
      </w:pPr>
    </w:p>
    <w:p w14:paraId="7CAECC73" w14:textId="6DB7106A" w:rsidR="00764BFC" w:rsidRPr="008C55EC" w:rsidRDefault="00764BFC" w:rsidP="00764BFC">
      <w:pPr>
        <w:jc w:val="center"/>
        <w:rPr>
          <w:rFonts w:ascii="Arial" w:hAnsi="Arial"/>
          <w:color w:val="000000" w:themeColor="text1"/>
          <w:sz w:val="32"/>
          <w:szCs w:val="28"/>
        </w:rPr>
      </w:pPr>
      <w:r w:rsidRPr="008C55EC">
        <w:rPr>
          <w:rFonts w:ascii="Arial" w:hAnsi="Arial"/>
          <w:b/>
          <w:bCs/>
          <w:color w:val="000000" w:themeColor="text1"/>
          <w:sz w:val="32"/>
          <w:szCs w:val="28"/>
          <w:lang w:val="en-IN"/>
        </w:rPr>
        <w:t>Assessment Title:</w:t>
      </w:r>
      <w:r w:rsidRPr="008C55EC">
        <w:rPr>
          <w:rFonts w:ascii="Arial" w:hAnsi="Arial"/>
          <w:b/>
          <w:bCs/>
          <w:color w:val="000000" w:themeColor="text1"/>
          <w:sz w:val="32"/>
          <w:szCs w:val="28"/>
          <w:lang w:val="en-IN"/>
        </w:rPr>
        <w:t xml:space="preserve"> </w:t>
      </w:r>
      <w:r w:rsidRPr="008C55EC">
        <w:rPr>
          <w:rFonts w:ascii="Arial" w:hAnsi="Arial"/>
          <w:color w:val="000000" w:themeColor="text1"/>
          <w:sz w:val="32"/>
          <w:szCs w:val="28"/>
        </w:rPr>
        <w:t>A Strategic Evaluation of Market Attractiveness and Entry Mode</w:t>
      </w:r>
    </w:p>
    <w:p w14:paraId="58E64A91" w14:textId="77777777" w:rsidR="00764BFC" w:rsidRPr="008C55EC" w:rsidRDefault="00764BFC" w:rsidP="00764BFC">
      <w:pPr>
        <w:jc w:val="center"/>
        <w:rPr>
          <w:rFonts w:ascii="Arial" w:hAnsi="Arial"/>
          <w:b/>
          <w:bCs/>
          <w:color w:val="000000" w:themeColor="text1"/>
          <w:sz w:val="32"/>
          <w:szCs w:val="28"/>
          <w:lang w:val="en-IN"/>
        </w:rPr>
      </w:pPr>
    </w:p>
    <w:p w14:paraId="15C78102" w14:textId="0FFC61DB" w:rsidR="00764BFC" w:rsidRPr="008C55EC" w:rsidRDefault="00764BFC" w:rsidP="00764BFC">
      <w:pPr>
        <w:jc w:val="center"/>
        <w:rPr>
          <w:rFonts w:ascii="Arial" w:hAnsi="Arial"/>
          <w:b/>
          <w:bCs/>
          <w:color w:val="000000" w:themeColor="text1"/>
          <w:sz w:val="32"/>
          <w:szCs w:val="28"/>
        </w:rPr>
      </w:pPr>
      <w:r w:rsidRPr="008C55EC">
        <w:rPr>
          <w:rFonts w:ascii="Arial" w:hAnsi="Arial"/>
          <w:b/>
          <w:bCs/>
          <w:color w:val="000000" w:themeColor="text1"/>
          <w:sz w:val="32"/>
          <w:szCs w:val="28"/>
          <w:lang w:val="en-IN"/>
        </w:rPr>
        <w:t xml:space="preserve">Company Selected: </w:t>
      </w:r>
      <w:r w:rsidRPr="008C55EC">
        <w:rPr>
          <w:rFonts w:ascii="Arial" w:hAnsi="Arial"/>
          <w:color w:val="000000" w:themeColor="text1"/>
          <w:sz w:val="32"/>
          <w:szCs w:val="28"/>
          <w:lang w:val="en-IN"/>
        </w:rPr>
        <w:t>Costco Wholesale Corporation</w:t>
      </w:r>
      <w:r w:rsidRPr="008C55EC">
        <w:rPr>
          <w:rFonts w:ascii="Arial" w:hAnsi="Arial"/>
          <w:b/>
          <w:bCs/>
          <w:color w:val="000000" w:themeColor="text1"/>
          <w:sz w:val="32"/>
          <w:szCs w:val="28"/>
        </w:rPr>
        <w:br/>
        <w:t xml:space="preserve">Selected Country: </w:t>
      </w:r>
      <w:r w:rsidRPr="008C55EC">
        <w:rPr>
          <w:rFonts w:ascii="Arial" w:hAnsi="Arial"/>
          <w:color w:val="000000" w:themeColor="text1"/>
          <w:sz w:val="32"/>
          <w:szCs w:val="28"/>
        </w:rPr>
        <w:t>Germany</w:t>
      </w:r>
    </w:p>
    <w:p w14:paraId="21ACE586" w14:textId="77777777" w:rsidR="00764BFC" w:rsidRPr="008C55EC" w:rsidRDefault="00764BFC" w:rsidP="00764BFC">
      <w:pPr>
        <w:jc w:val="center"/>
        <w:rPr>
          <w:rFonts w:ascii="Arial" w:hAnsi="Arial"/>
          <w:color w:val="000000" w:themeColor="text1"/>
          <w:sz w:val="32"/>
          <w:szCs w:val="28"/>
          <w:lang w:val="en-IN"/>
        </w:rPr>
      </w:pPr>
    </w:p>
    <w:p w14:paraId="00EDF736" w14:textId="77777777" w:rsidR="00764BFC" w:rsidRPr="008C55EC" w:rsidRDefault="00764BFC" w:rsidP="00764BFC">
      <w:pPr>
        <w:jc w:val="center"/>
        <w:rPr>
          <w:rFonts w:ascii="Arial" w:hAnsi="Arial"/>
          <w:b/>
          <w:bCs/>
          <w:color w:val="000000" w:themeColor="text1"/>
          <w:sz w:val="32"/>
          <w:szCs w:val="28"/>
        </w:rPr>
      </w:pPr>
      <w:r w:rsidRPr="008C55EC">
        <w:rPr>
          <w:rFonts w:ascii="Arial" w:hAnsi="Arial"/>
          <w:b/>
          <w:bCs/>
          <w:color w:val="000000" w:themeColor="text1"/>
          <w:sz w:val="32"/>
          <w:szCs w:val="28"/>
        </w:rPr>
        <w:t xml:space="preserve">Student Name: </w:t>
      </w:r>
      <w:r w:rsidRPr="008C55EC">
        <w:rPr>
          <w:rFonts w:ascii="Arial" w:hAnsi="Arial"/>
          <w:color w:val="000000" w:themeColor="text1"/>
          <w:sz w:val="32"/>
          <w:szCs w:val="28"/>
        </w:rPr>
        <w:t>Darshil Rana</w:t>
      </w:r>
    </w:p>
    <w:p w14:paraId="44318891" w14:textId="77777777" w:rsidR="00764BFC" w:rsidRPr="008C55EC" w:rsidRDefault="00764BFC" w:rsidP="00764BFC">
      <w:pPr>
        <w:jc w:val="center"/>
        <w:rPr>
          <w:rFonts w:ascii="Arial" w:hAnsi="Arial"/>
          <w:b/>
          <w:bCs/>
          <w:color w:val="000000" w:themeColor="text1"/>
          <w:sz w:val="32"/>
          <w:szCs w:val="28"/>
        </w:rPr>
      </w:pPr>
      <w:r w:rsidRPr="008C55EC">
        <w:rPr>
          <w:rFonts w:ascii="Arial" w:hAnsi="Arial"/>
          <w:b/>
          <w:bCs/>
          <w:color w:val="000000" w:themeColor="text1"/>
          <w:sz w:val="32"/>
          <w:szCs w:val="28"/>
        </w:rPr>
        <w:t xml:space="preserve">Student ID: </w:t>
      </w:r>
      <w:r w:rsidRPr="008C55EC">
        <w:rPr>
          <w:rFonts w:ascii="Arial" w:hAnsi="Arial"/>
          <w:color w:val="000000" w:themeColor="text1"/>
          <w:sz w:val="32"/>
          <w:szCs w:val="28"/>
        </w:rPr>
        <w:t>2529562</w:t>
      </w:r>
    </w:p>
    <w:p w14:paraId="3B50F420" w14:textId="77777777" w:rsidR="00764BFC" w:rsidRPr="008C55EC" w:rsidRDefault="00764BFC" w:rsidP="00764BFC">
      <w:pPr>
        <w:jc w:val="center"/>
        <w:rPr>
          <w:rFonts w:ascii="Arial" w:hAnsi="Arial"/>
          <w:color w:val="000000" w:themeColor="text1"/>
          <w:sz w:val="32"/>
          <w:szCs w:val="28"/>
          <w:lang w:val="en-IN"/>
        </w:rPr>
      </w:pPr>
    </w:p>
    <w:p w14:paraId="2BB23F93" w14:textId="77777777" w:rsidR="00764BFC" w:rsidRPr="008C55EC" w:rsidRDefault="00764BFC" w:rsidP="00764BFC">
      <w:pPr>
        <w:jc w:val="center"/>
        <w:rPr>
          <w:rFonts w:ascii="Arial" w:hAnsi="Arial"/>
          <w:color w:val="000000" w:themeColor="text1"/>
          <w:sz w:val="32"/>
          <w:szCs w:val="28"/>
          <w:lang w:val="en-IN"/>
        </w:rPr>
      </w:pPr>
      <w:r w:rsidRPr="008C55EC">
        <w:rPr>
          <w:rFonts w:ascii="Arial" w:hAnsi="Arial"/>
          <w:b/>
          <w:bCs/>
          <w:color w:val="000000" w:themeColor="text1"/>
          <w:sz w:val="32"/>
          <w:szCs w:val="28"/>
          <w:lang w:val="en-IN"/>
        </w:rPr>
        <w:t>Lecturer Name:</w:t>
      </w:r>
      <w:r w:rsidRPr="008C55EC">
        <w:rPr>
          <w:rFonts w:ascii="Arial" w:hAnsi="Arial"/>
          <w:color w:val="000000" w:themeColor="text1"/>
          <w:sz w:val="32"/>
          <w:szCs w:val="28"/>
          <w:lang w:val="en-IN"/>
        </w:rPr>
        <w:t xml:space="preserve"> </w:t>
      </w:r>
      <w:r w:rsidRPr="008C55EC">
        <w:rPr>
          <w:rFonts w:ascii="Arial" w:hAnsi="Arial"/>
          <w:color w:val="000000" w:themeColor="text1"/>
          <w:sz w:val="32"/>
          <w:szCs w:val="28"/>
        </w:rPr>
        <w:t>Gladius Kulothungan</w:t>
      </w:r>
    </w:p>
    <w:p w14:paraId="703DBCF9" w14:textId="77777777" w:rsidR="00764BFC" w:rsidRPr="008C55EC" w:rsidRDefault="00764BFC" w:rsidP="00764BFC">
      <w:pPr>
        <w:jc w:val="center"/>
        <w:rPr>
          <w:rFonts w:ascii="Arial" w:hAnsi="Arial"/>
          <w:color w:val="000000" w:themeColor="text1"/>
          <w:sz w:val="32"/>
          <w:szCs w:val="28"/>
          <w:lang w:val="en-US"/>
        </w:rPr>
      </w:pPr>
    </w:p>
    <w:p w14:paraId="1044CC5E" w14:textId="77777777" w:rsidR="00764BFC" w:rsidRPr="008C55EC" w:rsidRDefault="00764BFC" w:rsidP="00D612DB">
      <w:pPr>
        <w:jc w:val="center"/>
        <w:rPr>
          <w:rFonts w:ascii="Arial" w:hAnsi="Arial"/>
          <w:color w:val="000000" w:themeColor="text1"/>
          <w:sz w:val="32"/>
          <w:szCs w:val="28"/>
          <w:lang w:val="en-IN"/>
        </w:rPr>
      </w:pPr>
    </w:p>
    <w:p w14:paraId="2C348074" w14:textId="47D191B2" w:rsidR="00D612DB" w:rsidRPr="008C55EC" w:rsidRDefault="00D612DB" w:rsidP="00764BFC">
      <w:pPr>
        <w:jc w:val="center"/>
        <w:rPr>
          <w:rFonts w:ascii="Arial" w:hAnsi="Arial"/>
          <w:noProof/>
          <w:sz w:val="32"/>
          <w:szCs w:val="28"/>
          <w:lang w:val="en-IN"/>
        </w:rPr>
      </w:pPr>
    </w:p>
    <w:p w14:paraId="74CA1AF8" w14:textId="77777777" w:rsidR="00764BFC" w:rsidRPr="008C55EC" w:rsidRDefault="00764BFC">
      <w:pPr>
        <w:pStyle w:val="TOCHeading"/>
        <w:rPr>
          <w:rFonts w:ascii="Arial" w:eastAsia="Arial" w:hAnsi="Arial" w:cs="Arial"/>
          <w:b w:val="0"/>
          <w:color w:val="auto"/>
          <w:sz w:val="24"/>
          <w:szCs w:val="22"/>
        </w:rPr>
      </w:pPr>
    </w:p>
    <w:sdt>
      <w:sdtPr>
        <w:rPr>
          <w:rFonts w:ascii="Arial" w:eastAsia="Arial" w:hAnsi="Arial" w:cs="Arial"/>
          <w:b w:val="0"/>
          <w:color w:val="auto"/>
          <w:sz w:val="24"/>
          <w:szCs w:val="22"/>
        </w:rPr>
        <w:id w:val="-1188983286"/>
        <w:docPartObj>
          <w:docPartGallery w:val="Table of Contents"/>
          <w:docPartUnique/>
        </w:docPartObj>
      </w:sdtPr>
      <w:sdtEndPr>
        <w:rPr>
          <w:bCs/>
          <w:noProof/>
        </w:rPr>
      </w:sdtEndPr>
      <w:sdtContent>
        <w:p w14:paraId="168ABBBA" w14:textId="22FD91AB" w:rsidR="00D612DB" w:rsidRPr="008C55EC" w:rsidRDefault="00D612DB">
          <w:pPr>
            <w:pStyle w:val="TOCHeading"/>
            <w:rPr>
              <w:rFonts w:ascii="Arial" w:hAnsi="Arial" w:cs="Arial"/>
            </w:rPr>
          </w:pPr>
          <w:r w:rsidRPr="008C55EC">
            <w:rPr>
              <w:rFonts w:ascii="Arial" w:hAnsi="Arial" w:cs="Arial"/>
            </w:rPr>
            <w:t>Table of Contents</w:t>
          </w:r>
        </w:p>
        <w:p w14:paraId="0B2DD588" w14:textId="501E9334" w:rsidR="008C55EC" w:rsidRDefault="00D612DB">
          <w:pPr>
            <w:pStyle w:val="TOC1"/>
            <w:tabs>
              <w:tab w:val="right" w:leader="dot" w:pos="9016"/>
            </w:tabs>
            <w:rPr>
              <w:rFonts w:asciiTheme="minorHAnsi" w:eastAsiaTheme="minorEastAsia" w:hAnsiTheme="minorHAnsi" w:cstheme="minorBidi"/>
              <w:noProof/>
              <w:kern w:val="2"/>
              <w:szCs w:val="24"/>
              <w:lang w:val="en-US" w:eastAsia="en-US"/>
              <w14:ligatures w14:val="standardContextual"/>
            </w:rPr>
          </w:pPr>
          <w:r w:rsidRPr="008C55EC">
            <w:rPr>
              <w:rFonts w:ascii="Arial" w:hAnsi="Arial"/>
            </w:rPr>
            <w:fldChar w:fldCharType="begin"/>
          </w:r>
          <w:r w:rsidRPr="008C55EC">
            <w:rPr>
              <w:rFonts w:ascii="Arial" w:hAnsi="Arial"/>
            </w:rPr>
            <w:instrText xml:space="preserve"> TOC \o "1-3" \h \z \u </w:instrText>
          </w:r>
          <w:r w:rsidRPr="008C55EC">
            <w:rPr>
              <w:rFonts w:ascii="Arial" w:hAnsi="Arial"/>
            </w:rPr>
            <w:fldChar w:fldCharType="separate"/>
          </w:r>
          <w:hyperlink w:anchor="_Toc237509309" w:history="1">
            <w:r w:rsidR="008C55EC" w:rsidRPr="00675E6B">
              <w:rPr>
                <w:rStyle w:val="Hyperlink"/>
                <w:rFonts w:ascii="Arial" w:hAnsi="Arial"/>
                <w:noProof/>
                <w:lang w:val="en-IN"/>
              </w:rPr>
              <w:t>Section 1</w:t>
            </w:r>
            <w:r w:rsidR="008C55EC">
              <w:rPr>
                <w:noProof/>
                <w:webHidden/>
              </w:rPr>
              <w:tab/>
            </w:r>
            <w:r w:rsidR="008C55EC">
              <w:rPr>
                <w:noProof/>
                <w:webHidden/>
              </w:rPr>
              <w:fldChar w:fldCharType="begin"/>
            </w:r>
            <w:r w:rsidR="008C55EC">
              <w:rPr>
                <w:noProof/>
                <w:webHidden/>
              </w:rPr>
              <w:instrText xml:space="preserve"> PAGEREF _Toc237509309 \h </w:instrText>
            </w:r>
            <w:r w:rsidR="008C55EC">
              <w:rPr>
                <w:noProof/>
                <w:webHidden/>
              </w:rPr>
            </w:r>
            <w:r w:rsidR="008C55EC">
              <w:rPr>
                <w:noProof/>
                <w:webHidden/>
              </w:rPr>
              <w:fldChar w:fldCharType="separate"/>
            </w:r>
            <w:r w:rsidR="008C55EC">
              <w:rPr>
                <w:noProof/>
                <w:webHidden/>
              </w:rPr>
              <w:t>4</w:t>
            </w:r>
            <w:r w:rsidR="008C55EC">
              <w:rPr>
                <w:noProof/>
                <w:webHidden/>
              </w:rPr>
              <w:fldChar w:fldCharType="end"/>
            </w:r>
          </w:hyperlink>
        </w:p>
        <w:p w14:paraId="78658949" w14:textId="2B57A1C9" w:rsidR="008C55EC" w:rsidRDefault="008C55EC">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0" w:history="1">
            <w:r w:rsidRPr="00675E6B">
              <w:rPr>
                <w:rStyle w:val="Hyperlink"/>
                <w:rFonts w:ascii="Arial" w:hAnsi="Arial"/>
                <w:noProof/>
                <w:lang w:val="en-IN"/>
              </w:rPr>
              <w:t>1. Organisational Classification and Global Strategy</w:t>
            </w:r>
            <w:r>
              <w:rPr>
                <w:noProof/>
                <w:webHidden/>
              </w:rPr>
              <w:tab/>
            </w:r>
            <w:r>
              <w:rPr>
                <w:noProof/>
                <w:webHidden/>
              </w:rPr>
              <w:fldChar w:fldCharType="begin"/>
            </w:r>
            <w:r>
              <w:rPr>
                <w:noProof/>
                <w:webHidden/>
              </w:rPr>
              <w:instrText xml:space="preserve"> PAGEREF _Toc237509310 \h </w:instrText>
            </w:r>
            <w:r>
              <w:rPr>
                <w:noProof/>
                <w:webHidden/>
              </w:rPr>
            </w:r>
            <w:r>
              <w:rPr>
                <w:noProof/>
                <w:webHidden/>
              </w:rPr>
              <w:fldChar w:fldCharType="separate"/>
            </w:r>
            <w:r>
              <w:rPr>
                <w:noProof/>
                <w:webHidden/>
              </w:rPr>
              <w:t>4</w:t>
            </w:r>
            <w:r>
              <w:rPr>
                <w:noProof/>
                <w:webHidden/>
              </w:rPr>
              <w:fldChar w:fldCharType="end"/>
            </w:r>
          </w:hyperlink>
        </w:p>
        <w:p w14:paraId="6A50AF47" w14:textId="3180FEE6"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1" w:history="1">
            <w:r w:rsidRPr="00675E6B">
              <w:rPr>
                <w:rStyle w:val="Hyperlink"/>
                <w:rFonts w:ascii="Arial" w:hAnsi="Arial"/>
                <w:noProof/>
                <w:lang w:val="en-IN"/>
              </w:rPr>
              <w:t>1.1 Introduction to Costco</w:t>
            </w:r>
            <w:r>
              <w:rPr>
                <w:noProof/>
                <w:webHidden/>
              </w:rPr>
              <w:tab/>
            </w:r>
            <w:r>
              <w:rPr>
                <w:noProof/>
                <w:webHidden/>
              </w:rPr>
              <w:fldChar w:fldCharType="begin"/>
            </w:r>
            <w:r>
              <w:rPr>
                <w:noProof/>
                <w:webHidden/>
              </w:rPr>
              <w:instrText xml:space="preserve"> PAGEREF _Toc237509311 \h </w:instrText>
            </w:r>
            <w:r>
              <w:rPr>
                <w:noProof/>
                <w:webHidden/>
              </w:rPr>
            </w:r>
            <w:r>
              <w:rPr>
                <w:noProof/>
                <w:webHidden/>
              </w:rPr>
              <w:fldChar w:fldCharType="separate"/>
            </w:r>
            <w:r>
              <w:rPr>
                <w:noProof/>
                <w:webHidden/>
              </w:rPr>
              <w:t>4</w:t>
            </w:r>
            <w:r>
              <w:rPr>
                <w:noProof/>
                <w:webHidden/>
              </w:rPr>
              <w:fldChar w:fldCharType="end"/>
            </w:r>
          </w:hyperlink>
        </w:p>
        <w:p w14:paraId="34611714" w14:textId="1C483911"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2" w:history="1">
            <w:r w:rsidRPr="00675E6B">
              <w:rPr>
                <w:rStyle w:val="Hyperlink"/>
                <w:rFonts w:ascii="Arial" w:hAnsi="Arial"/>
                <w:noProof/>
                <w:lang w:val="en-IN"/>
              </w:rPr>
              <w:t>1.2 Bartlett and Ghoshal Analysis</w:t>
            </w:r>
            <w:r>
              <w:rPr>
                <w:noProof/>
                <w:webHidden/>
              </w:rPr>
              <w:tab/>
            </w:r>
            <w:r>
              <w:rPr>
                <w:noProof/>
                <w:webHidden/>
              </w:rPr>
              <w:fldChar w:fldCharType="begin"/>
            </w:r>
            <w:r>
              <w:rPr>
                <w:noProof/>
                <w:webHidden/>
              </w:rPr>
              <w:instrText xml:space="preserve"> PAGEREF _Toc237509312 \h </w:instrText>
            </w:r>
            <w:r>
              <w:rPr>
                <w:noProof/>
                <w:webHidden/>
              </w:rPr>
            </w:r>
            <w:r>
              <w:rPr>
                <w:noProof/>
                <w:webHidden/>
              </w:rPr>
              <w:fldChar w:fldCharType="separate"/>
            </w:r>
            <w:r>
              <w:rPr>
                <w:noProof/>
                <w:webHidden/>
              </w:rPr>
              <w:t>5</w:t>
            </w:r>
            <w:r>
              <w:rPr>
                <w:noProof/>
                <w:webHidden/>
              </w:rPr>
              <w:fldChar w:fldCharType="end"/>
            </w:r>
          </w:hyperlink>
        </w:p>
        <w:p w14:paraId="0BBF1D68" w14:textId="4115995E"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3" w:history="1">
            <w:r w:rsidRPr="00675E6B">
              <w:rPr>
                <w:rStyle w:val="Hyperlink"/>
                <w:rFonts w:ascii="Arial" w:hAnsi="Arial"/>
                <w:noProof/>
                <w:lang w:val="en-IN"/>
              </w:rPr>
              <w:t>1.3 Global Configuration and Competitive Advantage</w:t>
            </w:r>
            <w:r>
              <w:rPr>
                <w:noProof/>
                <w:webHidden/>
              </w:rPr>
              <w:tab/>
            </w:r>
            <w:r>
              <w:rPr>
                <w:noProof/>
                <w:webHidden/>
              </w:rPr>
              <w:fldChar w:fldCharType="begin"/>
            </w:r>
            <w:r>
              <w:rPr>
                <w:noProof/>
                <w:webHidden/>
              </w:rPr>
              <w:instrText xml:space="preserve"> PAGEREF _Toc237509313 \h </w:instrText>
            </w:r>
            <w:r>
              <w:rPr>
                <w:noProof/>
                <w:webHidden/>
              </w:rPr>
            </w:r>
            <w:r>
              <w:rPr>
                <w:noProof/>
                <w:webHidden/>
              </w:rPr>
              <w:fldChar w:fldCharType="separate"/>
            </w:r>
            <w:r>
              <w:rPr>
                <w:noProof/>
                <w:webHidden/>
              </w:rPr>
              <w:t>6</w:t>
            </w:r>
            <w:r>
              <w:rPr>
                <w:noProof/>
                <w:webHidden/>
              </w:rPr>
              <w:fldChar w:fldCharType="end"/>
            </w:r>
          </w:hyperlink>
        </w:p>
        <w:p w14:paraId="3DD7C8AB" w14:textId="2399AF87" w:rsidR="008C55EC" w:rsidRDefault="008C55EC">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4" w:history="1">
            <w:r w:rsidRPr="00675E6B">
              <w:rPr>
                <w:rStyle w:val="Hyperlink"/>
                <w:rFonts w:ascii="Arial" w:hAnsi="Arial"/>
                <w:noProof/>
                <w:lang w:val="en-IN"/>
              </w:rPr>
              <w:t>2. Macro-Environmental Appraisal and Market Attractiveness</w:t>
            </w:r>
            <w:r>
              <w:rPr>
                <w:noProof/>
                <w:webHidden/>
              </w:rPr>
              <w:tab/>
            </w:r>
            <w:r>
              <w:rPr>
                <w:noProof/>
                <w:webHidden/>
              </w:rPr>
              <w:fldChar w:fldCharType="begin"/>
            </w:r>
            <w:r>
              <w:rPr>
                <w:noProof/>
                <w:webHidden/>
              </w:rPr>
              <w:instrText xml:space="preserve"> PAGEREF _Toc237509314 \h </w:instrText>
            </w:r>
            <w:r>
              <w:rPr>
                <w:noProof/>
                <w:webHidden/>
              </w:rPr>
            </w:r>
            <w:r>
              <w:rPr>
                <w:noProof/>
                <w:webHidden/>
              </w:rPr>
              <w:fldChar w:fldCharType="separate"/>
            </w:r>
            <w:r>
              <w:rPr>
                <w:noProof/>
                <w:webHidden/>
              </w:rPr>
              <w:t>6</w:t>
            </w:r>
            <w:r>
              <w:rPr>
                <w:noProof/>
                <w:webHidden/>
              </w:rPr>
              <w:fldChar w:fldCharType="end"/>
            </w:r>
          </w:hyperlink>
        </w:p>
        <w:p w14:paraId="1A3A1034" w14:textId="574AFA54"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5" w:history="1">
            <w:r w:rsidRPr="00675E6B">
              <w:rPr>
                <w:rStyle w:val="Hyperlink"/>
                <w:rFonts w:ascii="Arial" w:hAnsi="Arial"/>
                <w:noProof/>
                <w:lang w:val="en-IN"/>
              </w:rPr>
              <w:t>2.1 Introduction</w:t>
            </w:r>
            <w:r>
              <w:rPr>
                <w:noProof/>
                <w:webHidden/>
              </w:rPr>
              <w:tab/>
            </w:r>
            <w:r>
              <w:rPr>
                <w:noProof/>
                <w:webHidden/>
              </w:rPr>
              <w:fldChar w:fldCharType="begin"/>
            </w:r>
            <w:r>
              <w:rPr>
                <w:noProof/>
                <w:webHidden/>
              </w:rPr>
              <w:instrText xml:space="preserve"> PAGEREF _Toc237509315 \h </w:instrText>
            </w:r>
            <w:r>
              <w:rPr>
                <w:noProof/>
                <w:webHidden/>
              </w:rPr>
            </w:r>
            <w:r>
              <w:rPr>
                <w:noProof/>
                <w:webHidden/>
              </w:rPr>
              <w:fldChar w:fldCharType="separate"/>
            </w:r>
            <w:r>
              <w:rPr>
                <w:noProof/>
                <w:webHidden/>
              </w:rPr>
              <w:t>6</w:t>
            </w:r>
            <w:r>
              <w:rPr>
                <w:noProof/>
                <w:webHidden/>
              </w:rPr>
              <w:fldChar w:fldCharType="end"/>
            </w:r>
          </w:hyperlink>
        </w:p>
        <w:p w14:paraId="408C6AB1" w14:textId="258DA18B"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6" w:history="1">
            <w:r w:rsidRPr="00675E6B">
              <w:rPr>
                <w:rStyle w:val="Hyperlink"/>
                <w:rFonts w:ascii="Arial" w:hAnsi="Arial"/>
                <w:noProof/>
                <w:lang w:val="en-IN"/>
              </w:rPr>
              <w:t>2.2 Political Environment</w:t>
            </w:r>
            <w:r>
              <w:rPr>
                <w:noProof/>
                <w:webHidden/>
              </w:rPr>
              <w:tab/>
            </w:r>
            <w:r>
              <w:rPr>
                <w:noProof/>
                <w:webHidden/>
              </w:rPr>
              <w:fldChar w:fldCharType="begin"/>
            </w:r>
            <w:r>
              <w:rPr>
                <w:noProof/>
                <w:webHidden/>
              </w:rPr>
              <w:instrText xml:space="preserve"> PAGEREF _Toc237509316 \h </w:instrText>
            </w:r>
            <w:r>
              <w:rPr>
                <w:noProof/>
                <w:webHidden/>
              </w:rPr>
            </w:r>
            <w:r>
              <w:rPr>
                <w:noProof/>
                <w:webHidden/>
              </w:rPr>
              <w:fldChar w:fldCharType="separate"/>
            </w:r>
            <w:r>
              <w:rPr>
                <w:noProof/>
                <w:webHidden/>
              </w:rPr>
              <w:t>7</w:t>
            </w:r>
            <w:r>
              <w:rPr>
                <w:noProof/>
                <w:webHidden/>
              </w:rPr>
              <w:fldChar w:fldCharType="end"/>
            </w:r>
          </w:hyperlink>
        </w:p>
        <w:p w14:paraId="65E5CCEF" w14:textId="1BA89410"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7" w:history="1">
            <w:r w:rsidRPr="00675E6B">
              <w:rPr>
                <w:rStyle w:val="Hyperlink"/>
                <w:rFonts w:ascii="Arial" w:hAnsi="Arial"/>
                <w:noProof/>
                <w:lang w:val="en-IN"/>
              </w:rPr>
              <w:t>2.3 Economic Environment</w:t>
            </w:r>
            <w:r>
              <w:rPr>
                <w:noProof/>
                <w:webHidden/>
              </w:rPr>
              <w:tab/>
            </w:r>
            <w:r>
              <w:rPr>
                <w:noProof/>
                <w:webHidden/>
              </w:rPr>
              <w:fldChar w:fldCharType="begin"/>
            </w:r>
            <w:r>
              <w:rPr>
                <w:noProof/>
                <w:webHidden/>
              </w:rPr>
              <w:instrText xml:space="preserve"> PAGEREF _Toc237509317 \h </w:instrText>
            </w:r>
            <w:r>
              <w:rPr>
                <w:noProof/>
                <w:webHidden/>
              </w:rPr>
            </w:r>
            <w:r>
              <w:rPr>
                <w:noProof/>
                <w:webHidden/>
              </w:rPr>
              <w:fldChar w:fldCharType="separate"/>
            </w:r>
            <w:r>
              <w:rPr>
                <w:noProof/>
                <w:webHidden/>
              </w:rPr>
              <w:t>10</w:t>
            </w:r>
            <w:r>
              <w:rPr>
                <w:noProof/>
                <w:webHidden/>
              </w:rPr>
              <w:fldChar w:fldCharType="end"/>
            </w:r>
          </w:hyperlink>
        </w:p>
        <w:p w14:paraId="3BF3D55A" w14:textId="4776DFB5"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8" w:history="1">
            <w:r w:rsidRPr="00675E6B">
              <w:rPr>
                <w:rStyle w:val="Hyperlink"/>
                <w:rFonts w:ascii="Arial" w:hAnsi="Arial"/>
                <w:noProof/>
                <w:lang w:val="en-IN"/>
              </w:rPr>
              <w:t>2.4 Legal Environment</w:t>
            </w:r>
            <w:r>
              <w:rPr>
                <w:noProof/>
                <w:webHidden/>
              </w:rPr>
              <w:tab/>
            </w:r>
            <w:r>
              <w:rPr>
                <w:noProof/>
                <w:webHidden/>
              </w:rPr>
              <w:fldChar w:fldCharType="begin"/>
            </w:r>
            <w:r>
              <w:rPr>
                <w:noProof/>
                <w:webHidden/>
              </w:rPr>
              <w:instrText xml:space="preserve"> PAGEREF _Toc237509318 \h </w:instrText>
            </w:r>
            <w:r>
              <w:rPr>
                <w:noProof/>
                <w:webHidden/>
              </w:rPr>
            </w:r>
            <w:r>
              <w:rPr>
                <w:noProof/>
                <w:webHidden/>
              </w:rPr>
              <w:fldChar w:fldCharType="separate"/>
            </w:r>
            <w:r>
              <w:rPr>
                <w:noProof/>
                <w:webHidden/>
              </w:rPr>
              <w:t>11</w:t>
            </w:r>
            <w:r>
              <w:rPr>
                <w:noProof/>
                <w:webHidden/>
              </w:rPr>
              <w:fldChar w:fldCharType="end"/>
            </w:r>
          </w:hyperlink>
        </w:p>
        <w:p w14:paraId="144CA016" w14:textId="28889A07"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19" w:history="1">
            <w:r w:rsidRPr="00675E6B">
              <w:rPr>
                <w:rStyle w:val="Hyperlink"/>
                <w:rFonts w:ascii="Arial" w:hAnsi="Arial"/>
                <w:noProof/>
                <w:lang w:val="en-IN"/>
              </w:rPr>
              <w:t>2.5 Cultural Environment</w:t>
            </w:r>
            <w:r>
              <w:rPr>
                <w:noProof/>
                <w:webHidden/>
              </w:rPr>
              <w:tab/>
            </w:r>
            <w:r>
              <w:rPr>
                <w:noProof/>
                <w:webHidden/>
              </w:rPr>
              <w:fldChar w:fldCharType="begin"/>
            </w:r>
            <w:r>
              <w:rPr>
                <w:noProof/>
                <w:webHidden/>
              </w:rPr>
              <w:instrText xml:space="preserve"> PAGEREF _Toc237509319 \h </w:instrText>
            </w:r>
            <w:r>
              <w:rPr>
                <w:noProof/>
                <w:webHidden/>
              </w:rPr>
            </w:r>
            <w:r>
              <w:rPr>
                <w:noProof/>
                <w:webHidden/>
              </w:rPr>
              <w:fldChar w:fldCharType="separate"/>
            </w:r>
            <w:r>
              <w:rPr>
                <w:noProof/>
                <w:webHidden/>
              </w:rPr>
              <w:t>13</w:t>
            </w:r>
            <w:r>
              <w:rPr>
                <w:noProof/>
                <w:webHidden/>
              </w:rPr>
              <w:fldChar w:fldCharType="end"/>
            </w:r>
          </w:hyperlink>
        </w:p>
        <w:p w14:paraId="5AA61CEB" w14:textId="120B3B9B"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0" w:history="1">
            <w:r w:rsidRPr="00675E6B">
              <w:rPr>
                <w:rStyle w:val="Hyperlink"/>
                <w:rFonts w:ascii="Arial" w:hAnsi="Arial"/>
                <w:noProof/>
                <w:lang w:val="en-IN"/>
              </w:rPr>
              <w:t>2.6 Critical Synthesis Using Dunning's OLI Framework</w:t>
            </w:r>
            <w:r>
              <w:rPr>
                <w:noProof/>
                <w:webHidden/>
              </w:rPr>
              <w:tab/>
            </w:r>
            <w:r>
              <w:rPr>
                <w:noProof/>
                <w:webHidden/>
              </w:rPr>
              <w:fldChar w:fldCharType="begin"/>
            </w:r>
            <w:r>
              <w:rPr>
                <w:noProof/>
                <w:webHidden/>
              </w:rPr>
              <w:instrText xml:space="preserve"> PAGEREF _Toc237509320 \h </w:instrText>
            </w:r>
            <w:r>
              <w:rPr>
                <w:noProof/>
                <w:webHidden/>
              </w:rPr>
            </w:r>
            <w:r>
              <w:rPr>
                <w:noProof/>
                <w:webHidden/>
              </w:rPr>
              <w:fldChar w:fldCharType="separate"/>
            </w:r>
            <w:r>
              <w:rPr>
                <w:noProof/>
                <w:webHidden/>
              </w:rPr>
              <w:t>15</w:t>
            </w:r>
            <w:r>
              <w:rPr>
                <w:noProof/>
                <w:webHidden/>
              </w:rPr>
              <w:fldChar w:fldCharType="end"/>
            </w:r>
          </w:hyperlink>
        </w:p>
        <w:p w14:paraId="31B054AA" w14:textId="465361DD"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1" w:history="1">
            <w:r w:rsidRPr="00675E6B">
              <w:rPr>
                <w:rStyle w:val="Hyperlink"/>
                <w:rFonts w:ascii="Arial" w:hAnsi="Arial"/>
                <w:noProof/>
                <w:lang w:val="en-IN"/>
              </w:rPr>
              <w:t>2.7 Overall Market Attractiveness</w:t>
            </w:r>
            <w:r>
              <w:rPr>
                <w:noProof/>
                <w:webHidden/>
              </w:rPr>
              <w:tab/>
            </w:r>
            <w:r>
              <w:rPr>
                <w:noProof/>
                <w:webHidden/>
              </w:rPr>
              <w:fldChar w:fldCharType="begin"/>
            </w:r>
            <w:r>
              <w:rPr>
                <w:noProof/>
                <w:webHidden/>
              </w:rPr>
              <w:instrText xml:space="preserve"> PAGEREF _Toc237509321 \h </w:instrText>
            </w:r>
            <w:r>
              <w:rPr>
                <w:noProof/>
                <w:webHidden/>
              </w:rPr>
            </w:r>
            <w:r>
              <w:rPr>
                <w:noProof/>
                <w:webHidden/>
              </w:rPr>
              <w:fldChar w:fldCharType="separate"/>
            </w:r>
            <w:r>
              <w:rPr>
                <w:noProof/>
                <w:webHidden/>
              </w:rPr>
              <w:t>17</w:t>
            </w:r>
            <w:r>
              <w:rPr>
                <w:noProof/>
                <w:webHidden/>
              </w:rPr>
              <w:fldChar w:fldCharType="end"/>
            </w:r>
          </w:hyperlink>
        </w:p>
        <w:p w14:paraId="54ACC9CF" w14:textId="744C8B6A" w:rsidR="008C55EC" w:rsidRDefault="008C55EC">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2" w:history="1">
            <w:r w:rsidRPr="00675E6B">
              <w:rPr>
                <w:rStyle w:val="Hyperlink"/>
                <w:rFonts w:ascii="Arial" w:hAnsi="Arial"/>
                <w:noProof/>
                <w:lang w:val="en-IN"/>
              </w:rPr>
              <w:t>3. Entry Mode Strategy and Strategic Synthesis</w:t>
            </w:r>
            <w:r>
              <w:rPr>
                <w:noProof/>
                <w:webHidden/>
              </w:rPr>
              <w:tab/>
            </w:r>
            <w:r>
              <w:rPr>
                <w:noProof/>
                <w:webHidden/>
              </w:rPr>
              <w:fldChar w:fldCharType="begin"/>
            </w:r>
            <w:r>
              <w:rPr>
                <w:noProof/>
                <w:webHidden/>
              </w:rPr>
              <w:instrText xml:space="preserve"> PAGEREF _Toc237509322 \h </w:instrText>
            </w:r>
            <w:r>
              <w:rPr>
                <w:noProof/>
                <w:webHidden/>
              </w:rPr>
            </w:r>
            <w:r>
              <w:rPr>
                <w:noProof/>
                <w:webHidden/>
              </w:rPr>
              <w:fldChar w:fldCharType="separate"/>
            </w:r>
            <w:r>
              <w:rPr>
                <w:noProof/>
                <w:webHidden/>
              </w:rPr>
              <w:t>17</w:t>
            </w:r>
            <w:r>
              <w:rPr>
                <w:noProof/>
                <w:webHidden/>
              </w:rPr>
              <w:fldChar w:fldCharType="end"/>
            </w:r>
          </w:hyperlink>
        </w:p>
        <w:p w14:paraId="03C6F20E" w14:textId="41EB02E7"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3" w:history="1">
            <w:r w:rsidRPr="00675E6B">
              <w:rPr>
                <w:rStyle w:val="Hyperlink"/>
                <w:rFonts w:ascii="Arial" w:hAnsi="Arial"/>
                <w:noProof/>
                <w:lang w:val="en-IN"/>
              </w:rPr>
              <w:t>3.1 Historical Entry Pattern</w:t>
            </w:r>
            <w:r>
              <w:rPr>
                <w:noProof/>
                <w:webHidden/>
              </w:rPr>
              <w:tab/>
            </w:r>
            <w:r>
              <w:rPr>
                <w:noProof/>
                <w:webHidden/>
              </w:rPr>
              <w:fldChar w:fldCharType="begin"/>
            </w:r>
            <w:r>
              <w:rPr>
                <w:noProof/>
                <w:webHidden/>
              </w:rPr>
              <w:instrText xml:space="preserve"> PAGEREF _Toc237509323 \h </w:instrText>
            </w:r>
            <w:r>
              <w:rPr>
                <w:noProof/>
                <w:webHidden/>
              </w:rPr>
            </w:r>
            <w:r>
              <w:rPr>
                <w:noProof/>
                <w:webHidden/>
              </w:rPr>
              <w:fldChar w:fldCharType="separate"/>
            </w:r>
            <w:r>
              <w:rPr>
                <w:noProof/>
                <w:webHidden/>
              </w:rPr>
              <w:t>17</w:t>
            </w:r>
            <w:r>
              <w:rPr>
                <w:noProof/>
                <w:webHidden/>
              </w:rPr>
              <w:fldChar w:fldCharType="end"/>
            </w:r>
          </w:hyperlink>
        </w:p>
        <w:p w14:paraId="0240AD20" w14:textId="496F35DC"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4" w:history="1">
            <w:r w:rsidRPr="00675E6B">
              <w:rPr>
                <w:rStyle w:val="Hyperlink"/>
                <w:rFonts w:ascii="Arial" w:hAnsi="Arial"/>
                <w:noProof/>
                <w:lang w:val="en-IN"/>
              </w:rPr>
              <w:t>3.2 Strategic Suitability for Germany</w:t>
            </w:r>
            <w:r>
              <w:rPr>
                <w:noProof/>
                <w:webHidden/>
              </w:rPr>
              <w:tab/>
            </w:r>
            <w:r>
              <w:rPr>
                <w:noProof/>
                <w:webHidden/>
              </w:rPr>
              <w:fldChar w:fldCharType="begin"/>
            </w:r>
            <w:r>
              <w:rPr>
                <w:noProof/>
                <w:webHidden/>
              </w:rPr>
              <w:instrText xml:space="preserve"> PAGEREF _Toc237509324 \h </w:instrText>
            </w:r>
            <w:r>
              <w:rPr>
                <w:noProof/>
                <w:webHidden/>
              </w:rPr>
            </w:r>
            <w:r>
              <w:rPr>
                <w:noProof/>
                <w:webHidden/>
              </w:rPr>
              <w:fldChar w:fldCharType="separate"/>
            </w:r>
            <w:r>
              <w:rPr>
                <w:noProof/>
                <w:webHidden/>
              </w:rPr>
              <w:t>18</w:t>
            </w:r>
            <w:r>
              <w:rPr>
                <w:noProof/>
                <w:webHidden/>
              </w:rPr>
              <w:fldChar w:fldCharType="end"/>
            </w:r>
          </w:hyperlink>
        </w:p>
        <w:p w14:paraId="063E5449" w14:textId="1723BF0C" w:rsidR="008C55EC" w:rsidRDefault="008C55EC">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5" w:history="1">
            <w:r w:rsidRPr="00675E6B">
              <w:rPr>
                <w:rStyle w:val="Hyperlink"/>
                <w:rFonts w:ascii="Arial" w:hAnsi="Arial"/>
                <w:noProof/>
                <w:lang w:val="en-IN"/>
              </w:rPr>
              <w:t>3.3 Alternative Entry Modes and Strategic Recommendation</w:t>
            </w:r>
            <w:r>
              <w:rPr>
                <w:noProof/>
                <w:webHidden/>
              </w:rPr>
              <w:tab/>
            </w:r>
            <w:r>
              <w:rPr>
                <w:noProof/>
                <w:webHidden/>
              </w:rPr>
              <w:fldChar w:fldCharType="begin"/>
            </w:r>
            <w:r>
              <w:rPr>
                <w:noProof/>
                <w:webHidden/>
              </w:rPr>
              <w:instrText xml:space="preserve"> PAGEREF _Toc237509325 \h </w:instrText>
            </w:r>
            <w:r>
              <w:rPr>
                <w:noProof/>
                <w:webHidden/>
              </w:rPr>
            </w:r>
            <w:r>
              <w:rPr>
                <w:noProof/>
                <w:webHidden/>
              </w:rPr>
              <w:fldChar w:fldCharType="separate"/>
            </w:r>
            <w:r>
              <w:rPr>
                <w:noProof/>
                <w:webHidden/>
              </w:rPr>
              <w:t>20</w:t>
            </w:r>
            <w:r>
              <w:rPr>
                <w:noProof/>
                <w:webHidden/>
              </w:rPr>
              <w:fldChar w:fldCharType="end"/>
            </w:r>
          </w:hyperlink>
        </w:p>
        <w:p w14:paraId="203415B8" w14:textId="2744F312" w:rsidR="008C55EC" w:rsidRDefault="008C55EC">
          <w:pPr>
            <w:pStyle w:val="TOC1"/>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6" w:history="1">
            <w:r w:rsidRPr="00675E6B">
              <w:rPr>
                <w:rStyle w:val="Hyperlink"/>
                <w:rFonts w:ascii="Arial" w:hAnsi="Arial"/>
                <w:noProof/>
                <w:lang w:val="en-IN"/>
              </w:rPr>
              <w:t>Section 2: Reflective Account Using Gibbs Reflective Cycle</w:t>
            </w:r>
            <w:r>
              <w:rPr>
                <w:noProof/>
                <w:webHidden/>
              </w:rPr>
              <w:tab/>
            </w:r>
            <w:r>
              <w:rPr>
                <w:noProof/>
                <w:webHidden/>
              </w:rPr>
              <w:fldChar w:fldCharType="begin"/>
            </w:r>
            <w:r>
              <w:rPr>
                <w:noProof/>
                <w:webHidden/>
              </w:rPr>
              <w:instrText xml:space="preserve"> PAGEREF _Toc237509326 \h </w:instrText>
            </w:r>
            <w:r>
              <w:rPr>
                <w:noProof/>
                <w:webHidden/>
              </w:rPr>
            </w:r>
            <w:r>
              <w:rPr>
                <w:noProof/>
                <w:webHidden/>
              </w:rPr>
              <w:fldChar w:fldCharType="separate"/>
            </w:r>
            <w:r>
              <w:rPr>
                <w:noProof/>
                <w:webHidden/>
              </w:rPr>
              <w:t>22</w:t>
            </w:r>
            <w:r>
              <w:rPr>
                <w:noProof/>
                <w:webHidden/>
              </w:rPr>
              <w:fldChar w:fldCharType="end"/>
            </w:r>
          </w:hyperlink>
        </w:p>
        <w:p w14:paraId="0931E9DD" w14:textId="4497EA00" w:rsidR="008C55EC" w:rsidRDefault="008C55EC">
          <w:pPr>
            <w:pStyle w:val="TOC1"/>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7" w:history="1">
            <w:r w:rsidRPr="00675E6B">
              <w:rPr>
                <w:rStyle w:val="Hyperlink"/>
                <w:rFonts w:ascii="Arial" w:hAnsi="Arial"/>
                <w:noProof/>
                <w:lang w:val="en-IN"/>
              </w:rPr>
              <w:t>References</w:t>
            </w:r>
            <w:r>
              <w:rPr>
                <w:noProof/>
                <w:webHidden/>
              </w:rPr>
              <w:tab/>
            </w:r>
            <w:r>
              <w:rPr>
                <w:noProof/>
                <w:webHidden/>
              </w:rPr>
              <w:fldChar w:fldCharType="begin"/>
            </w:r>
            <w:r>
              <w:rPr>
                <w:noProof/>
                <w:webHidden/>
              </w:rPr>
              <w:instrText xml:space="preserve"> PAGEREF _Toc237509327 \h </w:instrText>
            </w:r>
            <w:r>
              <w:rPr>
                <w:noProof/>
                <w:webHidden/>
              </w:rPr>
            </w:r>
            <w:r>
              <w:rPr>
                <w:noProof/>
                <w:webHidden/>
              </w:rPr>
              <w:fldChar w:fldCharType="separate"/>
            </w:r>
            <w:r>
              <w:rPr>
                <w:noProof/>
                <w:webHidden/>
              </w:rPr>
              <w:t>26</w:t>
            </w:r>
            <w:r>
              <w:rPr>
                <w:noProof/>
                <w:webHidden/>
              </w:rPr>
              <w:fldChar w:fldCharType="end"/>
            </w:r>
          </w:hyperlink>
        </w:p>
        <w:p w14:paraId="5AE56617" w14:textId="71C005A2" w:rsidR="008C55EC" w:rsidRDefault="008C55EC">
          <w:pPr>
            <w:pStyle w:val="TOC1"/>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37509328" w:history="1">
            <w:r w:rsidRPr="00675E6B">
              <w:rPr>
                <w:rStyle w:val="Hyperlink"/>
                <w:rFonts w:ascii="Arial" w:hAnsi="Arial"/>
                <w:noProof/>
                <w:lang w:val="en-IN"/>
              </w:rPr>
              <w:t>Appendices</w:t>
            </w:r>
            <w:r>
              <w:rPr>
                <w:noProof/>
                <w:webHidden/>
              </w:rPr>
              <w:tab/>
            </w:r>
            <w:r>
              <w:rPr>
                <w:noProof/>
                <w:webHidden/>
              </w:rPr>
              <w:fldChar w:fldCharType="begin"/>
            </w:r>
            <w:r>
              <w:rPr>
                <w:noProof/>
                <w:webHidden/>
              </w:rPr>
              <w:instrText xml:space="preserve"> PAGEREF _Toc237509328 \h </w:instrText>
            </w:r>
            <w:r>
              <w:rPr>
                <w:noProof/>
                <w:webHidden/>
              </w:rPr>
            </w:r>
            <w:r>
              <w:rPr>
                <w:noProof/>
                <w:webHidden/>
              </w:rPr>
              <w:fldChar w:fldCharType="separate"/>
            </w:r>
            <w:r>
              <w:rPr>
                <w:noProof/>
                <w:webHidden/>
              </w:rPr>
              <w:t>33</w:t>
            </w:r>
            <w:r>
              <w:rPr>
                <w:noProof/>
                <w:webHidden/>
              </w:rPr>
              <w:fldChar w:fldCharType="end"/>
            </w:r>
          </w:hyperlink>
        </w:p>
        <w:p w14:paraId="6350896D" w14:textId="2D8A554A" w:rsidR="00D612DB" w:rsidRPr="008C55EC" w:rsidRDefault="00D612DB">
          <w:pPr>
            <w:rPr>
              <w:rFonts w:ascii="Arial" w:hAnsi="Arial"/>
            </w:rPr>
          </w:pPr>
          <w:r w:rsidRPr="008C55EC">
            <w:rPr>
              <w:rFonts w:ascii="Arial" w:hAnsi="Arial"/>
              <w:b/>
              <w:bCs/>
              <w:noProof/>
            </w:rPr>
            <w:fldChar w:fldCharType="end"/>
          </w:r>
        </w:p>
      </w:sdtContent>
    </w:sdt>
    <w:p w14:paraId="3B7967AD" w14:textId="40CB8D81" w:rsidR="00D612DB" w:rsidRPr="008C55EC" w:rsidRDefault="00D612DB">
      <w:pPr>
        <w:spacing w:after="160" w:line="278" w:lineRule="auto"/>
        <w:jc w:val="left"/>
        <w:rPr>
          <w:rFonts w:ascii="Arial" w:hAnsi="Arial"/>
          <w:color w:val="000000" w:themeColor="text1"/>
          <w:lang w:val="en-IN"/>
        </w:rPr>
      </w:pPr>
      <w:r w:rsidRPr="008C55EC">
        <w:rPr>
          <w:rFonts w:ascii="Arial" w:hAnsi="Arial"/>
          <w:color w:val="000000" w:themeColor="text1"/>
          <w:lang w:val="en-IN"/>
        </w:rPr>
        <w:br w:type="page"/>
      </w:r>
    </w:p>
    <w:p w14:paraId="5C005F89" w14:textId="0B23E6FC" w:rsidR="00D612DB" w:rsidRPr="008C55EC" w:rsidRDefault="00D612DB" w:rsidP="00D612DB">
      <w:pPr>
        <w:pStyle w:val="TOCHeading"/>
        <w:rPr>
          <w:rFonts w:ascii="Arial" w:hAnsi="Arial" w:cs="Arial"/>
          <w:lang w:val="en-IN"/>
        </w:rPr>
      </w:pPr>
      <w:r w:rsidRPr="008C55EC">
        <w:rPr>
          <w:rFonts w:ascii="Arial" w:hAnsi="Arial" w:cs="Arial"/>
          <w:lang w:val="en-IN"/>
        </w:rPr>
        <w:lastRenderedPageBreak/>
        <w:t>Table of Figures</w:t>
      </w:r>
    </w:p>
    <w:p w14:paraId="7619719B" w14:textId="6E692BFA"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r w:rsidRPr="008C55EC">
        <w:rPr>
          <w:rFonts w:ascii="Arial" w:hAnsi="Arial"/>
          <w:color w:val="000000" w:themeColor="text1"/>
          <w:lang w:val="en-IN"/>
        </w:rPr>
        <w:fldChar w:fldCharType="begin"/>
      </w:r>
      <w:r w:rsidRPr="008C55EC">
        <w:rPr>
          <w:rFonts w:ascii="Arial" w:hAnsi="Arial"/>
          <w:color w:val="000000" w:themeColor="text1"/>
          <w:lang w:val="en-IN"/>
        </w:rPr>
        <w:instrText xml:space="preserve"> TOC \h \z \c "Figure" </w:instrText>
      </w:r>
      <w:r w:rsidRPr="008C55EC">
        <w:rPr>
          <w:rFonts w:ascii="Arial" w:hAnsi="Arial"/>
          <w:color w:val="000000" w:themeColor="text1"/>
          <w:lang w:val="en-IN"/>
        </w:rPr>
        <w:fldChar w:fldCharType="separate"/>
      </w:r>
      <w:hyperlink w:anchor="_Toc236141275" w:history="1">
        <w:r w:rsidRPr="008C55EC">
          <w:rPr>
            <w:rStyle w:val="Hyperlink"/>
            <w:rFonts w:ascii="Arial" w:hAnsi="Arial"/>
            <w:noProof/>
          </w:rPr>
          <w:t>Figure 1: Costco Wholesale Corporation</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_Toc236141275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4</w:t>
        </w:r>
        <w:r w:rsidRPr="008C55EC">
          <w:rPr>
            <w:rFonts w:ascii="Arial" w:hAnsi="Arial"/>
            <w:noProof/>
            <w:webHidden/>
          </w:rPr>
          <w:fldChar w:fldCharType="end"/>
        </w:r>
      </w:hyperlink>
    </w:p>
    <w:p w14:paraId="49283155" w14:textId="64A3B2D2"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76" w:history="1">
        <w:r w:rsidRPr="008C55EC">
          <w:rPr>
            <w:rStyle w:val="Hyperlink"/>
            <w:rFonts w:ascii="Arial" w:hAnsi="Arial"/>
            <w:noProof/>
          </w:rPr>
          <w:t>Figure 2: Costco Wholesale Corporation Consolidated Statements of Income (Fiscal Years 2023–2025)</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_Toc236141276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4</w:t>
        </w:r>
        <w:r w:rsidRPr="008C55EC">
          <w:rPr>
            <w:rFonts w:ascii="Arial" w:hAnsi="Arial"/>
            <w:noProof/>
            <w:webHidden/>
          </w:rPr>
          <w:fldChar w:fldCharType="end"/>
        </w:r>
      </w:hyperlink>
    </w:p>
    <w:p w14:paraId="25F9649E" w14:textId="3EAF487A"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77" w:history="1">
        <w:r w:rsidRPr="008C55EC">
          <w:rPr>
            <w:rStyle w:val="Hyperlink"/>
            <w:rFonts w:ascii="Arial" w:hAnsi="Arial"/>
            <w:noProof/>
          </w:rPr>
          <w:t>Figure 3: Bartlett and Ghoshal Analysis</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_Toc236141277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5</w:t>
        </w:r>
        <w:r w:rsidRPr="008C55EC">
          <w:rPr>
            <w:rFonts w:ascii="Arial" w:hAnsi="Arial"/>
            <w:noProof/>
            <w:webHidden/>
          </w:rPr>
          <w:fldChar w:fldCharType="end"/>
        </w:r>
      </w:hyperlink>
    </w:p>
    <w:p w14:paraId="6B95D9F6" w14:textId="68FFBD8D"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78" w:history="1">
        <w:r w:rsidRPr="008C55EC">
          <w:rPr>
            <w:rStyle w:val="Hyperlink"/>
            <w:rFonts w:ascii="Arial" w:hAnsi="Arial"/>
            <w:noProof/>
          </w:rPr>
          <w:t>Figure 4: PELC Framework</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_Toc236141278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7</w:t>
        </w:r>
        <w:r w:rsidRPr="008C55EC">
          <w:rPr>
            <w:rFonts w:ascii="Arial" w:hAnsi="Arial"/>
            <w:noProof/>
            <w:webHidden/>
          </w:rPr>
          <w:fldChar w:fldCharType="end"/>
        </w:r>
      </w:hyperlink>
    </w:p>
    <w:p w14:paraId="6ED7A707" w14:textId="48141C69"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79" w:history="1">
        <w:r w:rsidRPr="008C55EC">
          <w:rPr>
            <w:rStyle w:val="Hyperlink"/>
            <w:rFonts w:ascii="Arial" w:hAnsi="Arial"/>
            <w:noProof/>
          </w:rPr>
          <w:t xml:space="preserve">Figure 5: Germany’s </w:t>
        </w:r>
        <w:r w:rsidRPr="008C55EC">
          <w:rPr>
            <w:rStyle w:val="Hyperlink"/>
            <w:rFonts w:ascii="Arial" w:hAnsi="Arial"/>
            <w:noProof/>
            <w:lang w:val="en-IN"/>
          </w:rPr>
          <w:t xml:space="preserve">Government Effectiveness </w:t>
        </w:r>
        <w:r w:rsidRPr="008C55EC">
          <w:rPr>
            <w:rStyle w:val="Hyperlink"/>
            <w:rFonts w:ascii="Arial" w:hAnsi="Arial"/>
            <w:noProof/>
          </w:rPr>
          <w:t xml:space="preserve"> Percentile Rank</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_Toc236141279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8</w:t>
        </w:r>
        <w:r w:rsidRPr="008C55EC">
          <w:rPr>
            <w:rFonts w:ascii="Arial" w:hAnsi="Arial"/>
            <w:noProof/>
            <w:webHidden/>
          </w:rPr>
          <w:fldChar w:fldCharType="end"/>
        </w:r>
      </w:hyperlink>
    </w:p>
    <w:p w14:paraId="622FB0B3" w14:textId="0681F9B9"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80" w:history="1">
        <w:r w:rsidRPr="008C55EC">
          <w:rPr>
            <w:rStyle w:val="Hyperlink"/>
            <w:rFonts w:ascii="Arial" w:hAnsi="Arial"/>
            <w:noProof/>
          </w:rPr>
          <w:t>Figure 6: Germany’s Rule of Law Percentile Rank</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_Toc236141280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8</w:t>
        </w:r>
        <w:r w:rsidRPr="008C55EC">
          <w:rPr>
            <w:rFonts w:ascii="Arial" w:hAnsi="Arial"/>
            <w:noProof/>
            <w:webHidden/>
          </w:rPr>
          <w:fldChar w:fldCharType="end"/>
        </w:r>
      </w:hyperlink>
    </w:p>
    <w:p w14:paraId="5A9AB84A" w14:textId="5201B9C3"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81" w:history="1">
        <w:r w:rsidRPr="008C55EC">
          <w:rPr>
            <w:rStyle w:val="Hyperlink"/>
            <w:rFonts w:ascii="Arial" w:hAnsi="Arial"/>
            <w:noProof/>
          </w:rPr>
          <w:t>Figure 7: Cultural Dimensions of Hofstede</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_Toc236141281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13</w:t>
        </w:r>
        <w:r w:rsidRPr="008C55EC">
          <w:rPr>
            <w:rFonts w:ascii="Arial" w:hAnsi="Arial"/>
            <w:noProof/>
            <w:webHidden/>
          </w:rPr>
          <w:fldChar w:fldCharType="end"/>
        </w:r>
      </w:hyperlink>
    </w:p>
    <w:p w14:paraId="7C9CD2FC" w14:textId="67CB72BA"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82" w:history="1">
        <w:r w:rsidRPr="008C55EC">
          <w:rPr>
            <w:rStyle w:val="Hyperlink"/>
            <w:rFonts w:ascii="Arial" w:hAnsi="Arial"/>
            <w:noProof/>
          </w:rPr>
          <w:t>Figure 8: Dunning's OLI Framework</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_Toc236141282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15</w:t>
        </w:r>
        <w:r w:rsidRPr="008C55EC">
          <w:rPr>
            <w:rFonts w:ascii="Arial" w:hAnsi="Arial"/>
            <w:noProof/>
            <w:webHidden/>
          </w:rPr>
          <w:fldChar w:fldCharType="end"/>
        </w:r>
      </w:hyperlink>
    </w:p>
    <w:p w14:paraId="2757012A" w14:textId="4649AD8A"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83" w:history="1">
        <w:r w:rsidRPr="008C55EC">
          <w:rPr>
            <w:rStyle w:val="Hyperlink"/>
            <w:rFonts w:ascii="Arial" w:hAnsi="Arial"/>
            <w:noProof/>
          </w:rPr>
          <w:t>Figure 9: Schwarz Group revenue and employment growth in 2024.</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_Toc236141283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16</w:t>
        </w:r>
        <w:r w:rsidRPr="008C55EC">
          <w:rPr>
            <w:rFonts w:ascii="Arial" w:hAnsi="Arial"/>
            <w:noProof/>
            <w:webHidden/>
          </w:rPr>
          <w:fldChar w:fldCharType="end"/>
        </w:r>
      </w:hyperlink>
    </w:p>
    <w:p w14:paraId="4FD46639" w14:textId="15FC7028" w:rsidR="00D612DB" w:rsidRPr="008C55EC" w:rsidRDefault="00D612DB">
      <w:pPr>
        <w:pStyle w:val="TableofFigures"/>
        <w:tabs>
          <w:tab w:val="right" w:leader="dot" w:pos="9016"/>
        </w:tabs>
        <w:rPr>
          <w:rFonts w:ascii="Arial" w:eastAsiaTheme="minorEastAsia" w:hAnsi="Arial"/>
          <w:noProof/>
          <w:kern w:val="2"/>
          <w:szCs w:val="24"/>
          <w:lang w:val="en-IN"/>
          <w14:ligatures w14:val="standardContextual"/>
        </w:rPr>
      </w:pPr>
      <w:hyperlink w:anchor="_Toc236141284" w:history="1">
        <w:r w:rsidRPr="008C55EC">
          <w:rPr>
            <w:rStyle w:val="Hyperlink"/>
            <w:rFonts w:ascii="Arial" w:hAnsi="Arial"/>
            <w:noProof/>
          </w:rPr>
          <w:t>Figure 10: Gibbs Reflective Cycle</w:t>
        </w:r>
        <w:r w:rsidRPr="008C55EC">
          <w:rPr>
            <w:rFonts w:ascii="Arial" w:hAnsi="Arial"/>
            <w:noProof/>
            <w:webHidden/>
          </w:rPr>
          <w:tab/>
        </w:r>
        <w:r w:rsidRPr="008C55EC">
          <w:rPr>
            <w:rFonts w:ascii="Arial" w:hAnsi="Arial"/>
            <w:noProof/>
            <w:webHidden/>
          </w:rPr>
          <w:fldChar w:fldCharType="begin"/>
        </w:r>
        <w:r w:rsidRPr="008C55EC">
          <w:rPr>
            <w:rFonts w:ascii="Arial" w:hAnsi="Arial"/>
            <w:noProof/>
            <w:webHidden/>
          </w:rPr>
          <w:instrText xml:space="preserve"> PAGEREF _Toc236141284 \h </w:instrText>
        </w:r>
        <w:r w:rsidRPr="008C55EC">
          <w:rPr>
            <w:rFonts w:ascii="Arial" w:hAnsi="Arial"/>
            <w:noProof/>
            <w:webHidden/>
          </w:rPr>
        </w:r>
        <w:r w:rsidRPr="008C55EC">
          <w:rPr>
            <w:rFonts w:ascii="Arial" w:hAnsi="Arial"/>
            <w:noProof/>
            <w:webHidden/>
          </w:rPr>
          <w:fldChar w:fldCharType="separate"/>
        </w:r>
        <w:r w:rsidRPr="008C55EC">
          <w:rPr>
            <w:rFonts w:ascii="Arial" w:hAnsi="Arial"/>
            <w:noProof/>
            <w:webHidden/>
          </w:rPr>
          <w:t>22</w:t>
        </w:r>
        <w:r w:rsidRPr="008C55EC">
          <w:rPr>
            <w:rFonts w:ascii="Arial" w:hAnsi="Arial"/>
            <w:noProof/>
            <w:webHidden/>
          </w:rPr>
          <w:fldChar w:fldCharType="end"/>
        </w:r>
      </w:hyperlink>
    </w:p>
    <w:p w14:paraId="7D301A99" w14:textId="22627ADD" w:rsidR="00D612DB" w:rsidRPr="008C55EC" w:rsidRDefault="00D612DB" w:rsidP="00D612DB">
      <w:pPr>
        <w:rPr>
          <w:rFonts w:ascii="Arial" w:hAnsi="Arial"/>
          <w:color w:val="000000" w:themeColor="text1"/>
          <w:lang w:val="en-IN"/>
        </w:rPr>
      </w:pPr>
      <w:r w:rsidRPr="008C55EC">
        <w:rPr>
          <w:rFonts w:ascii="Arial" w:hAnsi="Arial"/>
          <w:color w:val="000000" w:themeColor="text1"/>
          <w:lang w:val="en-IN"/>
        </w:rPr>
        <w:fldChar w:fldCharType="end"/>
      </w:r>
    </w:p>
    <w:p w14:paraId="4E06C71E" w14:textId="77777777" w:rsidR="00D612DB" w:rsidRPr="008C55EC" w:rsidRDefault="00D612DB">
      <w:pPr>
        <w:spacing w:after="160" w:line="278" w:lineRule="auto"/>
        <w:jc w:val="left"/>
        <w:rPr>
          <w:rFonts w:ascii="Arial" w:eastAsiaTheme="majorEastAsia" w:hAnsi="Arial"/>
          <w:b/>
          <w:color w:val="000000" w:themeColor="text1"/>
          <w:sz w:val="28"/>
          <w:szCs w:val="40"/>
          <w:lang w:val="en-IN"/>
        </w:rPr>
      </w:pPr>
      <w:r w:rsidRPr="008C55EC">
        <w:rPr>
          <w:rFonts w:ascii="Arial" w:hAnsi="Arial"/>
          <w:lang w:val="en-IN"/>
        </w:rPr>
        <w:br w:type="page"/>
      </w:r>
    </w:p>
    <w:p w14:paraId="453A872F" w14:textId="155DE429" w:rsidR="00787715" w:rsidRPr="008C55EC" w:rsidRDefault="00787715" w:rsidP="00787715">
      <w:pPr>
        <w:pStyle w:val="Heading1"/>
        <w:rPr>
          <w:rFonts w:ascii="Arial" w:hAnsi="Arial" w:cs="Arial"/>
          <w:lang w:val="en-IN"/>
        </w:rPr>
      </w:pPr>
      <w:bookmarkStart w:id="0" w:name="_Toc237509309"/>
      <w:r w:rsidRPr="008C55EC">
        <w:rPr>
          <w:rFonts w:ascii="Arial" w:hAnsi="Arial" w:cs="Arial"/>
          <w:lang w:val="en-IN"/>
        </w:rPr>
        <w:lastRenderedPageBreak/>
        <w:t>Section 1</w:t>
      </w:r>
      <w:bookmarkEnd w:id="0"/>
    </w:p>
    <w:p w14:paraId="3F31FD04" w14:textId="31528163" w:rsidR="00FA543D" w:rsidRPr="008C55EC" w:rsidRDefault="00FA543D" w:rsidP="00787715">
      <w:pPr>
        <w:pStyle w:val="Heading2"/>
        <w:rPr>
          <w:rFonts w:ascii="Arial" w:hAnsi="Arial" w:cs="Arial"/>
          <w:lang w:val="en-IN"/>
        </w:rPr>
      </w:pPr>
      <w:bookmarkStart w:id="1" w:name="_Toc237509310"/>
      <w:r w:rsidRPr="008C55EC">
        <w:rPr>
          <w:rFonts w:ascii="Arial" w:hAnsi="Arial" w:cs="Arial"/>
          <w:lang w:val="en-IN"/>
        </w:rPr>
        <w:t>1. Organisational Classification and Global Strategy</w:t>
      </w:r>
      <w:bookmarkEnd w:id="1"/>
      <w:r w:rsidRPr="008C55EC">
        <w:rPr>
          <w:rFonts w:ascii="Arial" w:hAnsi="Arial" w:cs="Arial"/>
          <w:lang w:val="en-IN"/>
        </w:rPr>
        <w:t xml:space="preserve"> </w:t>
      </w:r>
    </w:p>
    <w:p w14:paraId="4E1E3C5D" w14:textId="20650128" w:rsidR="00AE0496" w:rsidRPr="008C55EC" w:rsidRDefault="00787715" w:rsidP="00787715">
      <w:pPr>
        <w:pStyle w:val="Heading3"/>
        <w:rPr>
          <w:rFonts w:ascii="Arial" w:hAnsi="Arial" w:cs="Arial"/>
          <w:lang w:val="en-IN"/>
        </w:rPr>
      </w:pPr>
      <w:bookmarkStart w:id="2" w:name="_Toc237509311"/>
      <w:r w:rsidRPr="008C55EC">
        <w:rPr>
          <w:rFonts w:ascii="Arial" w:hAnsi="Arial" w:cs="Arial"/>
          <w:lang w:val="en-IN"/>
        </w:rPr>
        <w:t xml:space="preserve">1.1 </w:t>
      </w:r>
      <w:r w:rsidR="00FA543D" w:rsidRPr="008C55EC">
        <w:rPr>
          <w:rFonts w:ascii="Arial" w:hAnsi="Arial" w:cs="Arial"/>
          <w:lang w:val="en-IN"/>
        </w:rPr>
        <w:t>Introduction to Costco</w:t>
      </w:r>
      <w:bookmarkEnd w:id="2"/>
    </w:p>
    <w:p w14:paraId="0CE13066" w14:textId="77777777" w:rsidR="00EF404A" w:rsidRPr="008C55EC" w:rsidRDefault="00EF404A" w:rsidP="00EF404A">
      <w:pPr>
        <w:keepNext/>
        <w:jc w:val="center"/>
        <w:rPr>
          <w:rFonts w:ascii="Arial" w:hAnsi="Arial"/>
          <w:color w:val="000000" w:themeColor="text1"/>
        </w:rPr>
      </w:pPr>
      <w:r w:rsidRPr="008C55EC">
        <w:rPr>
          <w:rFonts w:ascii="Arial" w:hAnsi="Arial"/>
          <w:noProof/>
          <w:color w:val="000000" w:themeColor="text1"/>
        </w:rPr>
        <w:drawing>
          <wp:inline distT="0" distB="0" distL="0" distR="0" wp14:anchorId="2C842E40" wp14:editId="2D69BEB0">
            <wp:extent cx="3788067" cy="2190750"/>
            <wp:effectExtent l="0" t="0" r="3175" b="0"/>
            <wp:docPr id="1484471160" name="Picture 2" descr="US retail giant Costco to set up global capability centre in India, to  employ 1000 people, sources say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US retail giant Costco to set up global capability centre in India, to  employ 1000 people, sources say | Reu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1721" cy="2192863"/>
                    </a:xfrm>
                    <a:prstGeom prst="rect">
                      <a:avLst/>
                    </a:prstGeom>
                    <a:noFill/>
                    <a:ln>
                      <a:noFill/>
                    </a:ln>
                  </pic:spPr>
                </pic:pic>
              </a:graphicData>
            </a:graphic>
          </wp:inline>
        </w:drawing>
      </w:r>
    </w:p>
    <w:p w14:paraId="36D42118" w14:textId="007C4302" w:rsidR="00EF404A" w:rsidRPr="008C55EC" w:rsidRDefault="00EF404A" w:rsidP="00EF404A">
      <w:pPr>
        <w:pStyle w:val="Caption"/>
        <w:jc w:val="center"/>
        <w:rPr>
          <w:rFonts w:ascii="Arial" w:hAnsi="Arial"/>
          <w:b/>
          <w:bCs/>
          <w:i w:val="0"/>
          <w:iCs w:val="0"/>
          <w:color w:val="000000" w:themeColor="text1"/>
          <w:sz w:val="24"/>
          <w:szCs w:val="24"/>
        </w:rPr>
      </w:pPr>
      <w:bookmarkStart w:id="3" w:name="_Toc236141275"/>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1</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Costco Wholesale Corporation</w:t>
      </w:r>
      <w:bookmarkEnd w:id="3"/>
    </w:p>
    <w:p w14:paraId="622F884B" w14:textId="02DEC0E5" w:rsidR="00EF404A" w:rsidRPr="008C55EC" w:rsidRDefault="00EF404A" w:rsidP="00EF404A">
      <w:pPr>
        <w:jc w:val="center"/>
        <w:rPr>
          <w:rFonts w:ascii="Arial" w:hAnsi="Arial"/>
          <w:color w:val="000000" w:themeColor="text1"/>
          <w:lang w:val="en-IN"/>
        </w:rPr>
      </w:pPr>
      <w:r w:rsidRPr="008C55EC">
        <w:rPr>
          <w:rFonts w:ascii="Arial" w:hAnsi="Arial"/>
          <w:color w:val="000000" w:themeColor="text1"/>
          <w:lang w:val="en-IN"/>
        </w:rPr>
        <w:t>(Source: Sadam and B, 2025)</w:t>
      </w:r>
    </w:p>
    <w:p w14:paraId="25E40272" w14:textId="795DC36D" w:rsidR="00DB5BD1" w:rsidRPr="008C55EC" w:rsidRDefault="005D3243" w:rsidP="00DB5BD1">
      <w:pPr>
        <w:rPr>
          <w:rFonts w:ascii="Arial" w:hAnsi="Arial"/>
          <w:color w:val="000000" w:themeColor="text1"/>
          <w:lang w:val="en-IN"/>
        </w:rPr>
      </w:pPr>
      <w:r w:rsidRPr="008C55EC">
        <w:rPr>
          <w:rFonts w:ascii="Arial" w:hAnsi="Arial"/>
          <w:color w:val="000000" w:themeColor="text1"/>
        </w:rPr>
        <w:t xml:space="preserve">Costco Wholesale Corporation is a low-margin, high-volume, recurring-membership, warehouse retailer with a business model that has the distinction of being one of the largest in the world. The company was established in 1983 and has grown to be a multinational enterprise with over 900 warehouses in 14 countries and a highly standardised operating model </w:t>
      </w:r>
      <w:r w:rsidR="00CA6777" w:rsidRPr="008C55EC">
        <w:rPr>
          <w:rFonts w:ascii="Arial" w:hAnsi="Arial"/>
          <w:color w:val="000000" w:themeColor="text1"/>
        </w:rPr>
        <w:t>(Costco, 2026a)</w:t>
      </w:r>
      <w:r w:rsidR="00DB5BD1" w:rsidRPr="008C55EC">
        <w:rPr>
          <w:rFonts w:ascii="Arial" w:hAnsi="Arial"/>
          <w:color w:val="000000" w:themeColor="text1"/>
          <w:lang w:val="en-IN"/>
        </w:rPr>
        <w:t xml:space="preserve">. </w:t>
      </w:r>
    </w:p>
    <w:p w14:paraId="6A0A2970" w14:textId="77777777" w:rsidR="00EF404A" w:rsidRPr="008C55EC" w:rsidRDefault="00DB5BD1" w:rsidP="00EF404A">
      <w:pPr>
        <w:keepNext/>
        <w:rPr>
          <w:rFonts w:ascii="Arial" w:hAnsi="Arial"/>
          <w:color w:val="000000" w:themeColor="text1"/>
        </w:rPr>
      </w:pPr>
      <w:r w:rsidRPr="008C55EC">
        <w:rPr>
          <w:rFonts w:ascii="Arial" w:hAnsi="Arial"/>
          <w:noProof/>
          <w:color w:val="000000" w:themeColor="text1"/>
          <w:lang w:val="en-IN"/>
        </w:rPr>
        <w:drawing>
          <wp:inline distT="0" distB="0" distL="0" distR="0" wp14:anchorId="07951EF9" wp14:editId="6A6147B3">
            <wp:extent cx="5731510" cy="1804670"/>
            <wp:effectExtent l="0" t="0" r="2540" b="5080"/>
            <wp:docPr id="2093950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50574" name=""/>
                    <pic:cNvPicPr/>
                  </pic:nvPicPr>
                  <pic:blipFill>
                    <a:blip r:embed="rId10"/>
                    <a:stretch>
                      <a:fillRect/>
                    </a:stretch>
                  </pic:blipFill>
                  <pic:spPr>
                    <a:xfrm>
                      <a:off x="0" y="0"/>
                      <a:ext cx="5731510" cy="1804670"/>
                    </a:xfrm>
                    <a:prstGeom prst="rect">
                      <a:avLst/>
                    </a:prstGeom>
                  </pic:spPr>
                </pic:pic>
              </a:graphicData>
            </a:graphic>
          </wp:inline>
        </w:drawing>
      </w:r>
    </w:p>
    <w:p w14:paraId="78ED3FEC" w14:textId="752F4544" w:rsidR="00DB5BD1" w:rsidRPr="008C55EC" w:rsidRDefault="00EF404A" w:rsidP="00EF404A">
      <w:pPr>
        <w:pStyle w:val="Caption"/>
        <w:jc w:val="center"/>
        <w:rPr>
          <w:rFonts w:ascii="Arial" w:hAnsi="Arial"/>
          <w:b/>
          <w:bCs/>
          <w:i w:val="0"/>
          <w:iCs w:val="0"/>
          <w:color w:val="000000" w:themeColor="text1"/>
          <w:sz w:val="24"/>
          <w:szCs w:val="24"/>
          <w:lang w:val="en-IN"/>
        </w:rPr>
      </w:pPr>
      <w:bookmarkStart w:id="4" w:name="_Toc236141276"/>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2</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Costco Wholesale Corporation Consolidated Statements of Income (Fiscal Years 2023–2025)</w:t>
      </w:r>
      <w:bookmarkEnd w:id="4"/>
    </w:p>
    <w:p w14:paraId="0B3C06B3" w14:textId="7A01B774" w:rsidR="00787715" w:rsidRPr="008C55EC" w:rsidRDefault="00787715" w:rsidP="00787715">
      <w:pPr>
        <w:jc w:val="center"/>
        <w:rPr>
          <w:rFonts w:ascii="Arial" w:hAnsi="Arial"/>
          <w:color w:val="000000" w:themeColor="text1"/>
          <w:lang w:val="en-IN"/>
        </w:rPr>
      </w:pPr>
      <w:r w:rsidRPr="008C55EC">
        <w:rPr>
          <w:rFonts w:ascii="Arial" w:hAnsi="Arial"/>
          <w:color w:val="000000" w:themeColor="text1"/>
          <w:lang w:val="en-IN"/>
        </w:rPr>
        <w:t>(Source: Costco Wholesale Corporation, 2025)</w:t>
      </w:r>
    </w:p>
    <w:p w14:paraId="3541FB84" w14:textId="77896154"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By fiscal 2025, Costco had a revenue of about US </w:t>
      </w:r>
      <w:r w:rsidR="00787715" w:rsidRPr="008C55EC">
        <w:rPr>
          <w:rFonts w:ascii="Arial" w:hAnsi="Arial"/>
          <w:color w:val="000000" w:themeColor="text1"/>
          <w:lang w:val="en-IN"/>
        </w:rPr>
        <w:t>$</w:t>
      </w:r>
      <w:r w:rsidRPr="008C55EC">
        <w:rPr>
          <w:rFonts w:ascii="Arial" w:hAnsi="Arial"/>
          <w:color w:val="000000" w:themeColor="text1"/>
          <w:lang w:val="en-IN"/>
        </w:rPr>
        <w:t xml:space="preserve">275 billion, of which international operations comprised about 27 percent of net sales, which shows that overseas </w:t>
      </w:r>
      <w:r w:rsidRPr="008C55EC">
        <w:rPr>
          <w:rFonts w:ascii="Arial" w:hAnsi="Arial"/>
          <w:color w:val="000000" w:themeColor="text1"/>
          <w:lang w:val="en-IN"/>
        </w:rPr>
        <w:lastRenderedPageBreak/>
        <w:t xml:space="preserve">expansion has become a major factor in its long term growth strategy (Costco Wholesale Corporation, 2025). </w:t>
      </w:r>
    </w:p>
    <w:p w14:paraId="3F5AD344" w14:textId="77777777" w:rsidR="005D3243" w:rsidRPr="008C55EC" w:rsidRDefault="005D3243" w:rsidP="00787715">
      <w:pPr>
        <w:pStyle w:val="Heading3"/>
        <w:rPr>
          <w:rFonts w:ascii="Arial" w:hAnsi="Arial" w:cs="Arial"/>
          <w:lang w:val="en-IN"/>
        </w:rPr>
      </w:pPr>
      <w:bookmarkStart w:id="5" w:name="_Toc237509312"/>
      <w:r w:rsidRPr="008C55EC">
        <w:rPr>
          <w:rFonts w:ascii="Arial" w:hAnsi="Arial" w:cs="Arial"/>
          <w:lang w:val="en-IN"/>
        </w:rPr>
        <w:t>1.2 Bartlett and Ghoshal Analysis</w:t>
      </w:r>
      <w:bookmarkEnd w:id="5"/>
    </w:p>
    <w:p w14:paraId="2353CD60" w14:textId="77777777" w:rsidR="00EF404A" w:rsidRPr="008C55EC" w:rsidRDefault="00EF404A" w:rsidP="00EF404A">
      <w:pPr>
        <w:keepNext/>
        <w:rPr>
          <w:rFonts w:ascii="Arial" w:hAnsi="Arial"/>
          <w:color w:val="000000" w:themeColor="text1"/>
        </w:rPr>
      </w:pPr>
      <w:r w:rsidRPr="008C55EC">
        <w:rPr>
          <w:rFonts w:ascii="Arial" w:hAnsi="Arial"/>
          <w:noProof/>
          <w:color w:val="000000" w:themeColor="text1"/>
          <w:lang w:val="en-IN"/>
        </w:rPr>
        <w:drawing>
          <wp:inline distT="0" distB="0" distL="0" distR="0" wp14:anchorId="4758021C" wp14:editId="5997406D">
            <wp:extent cx="5667375" cy="3373755"/>
            <wp:effectExtent l="0" t="0" r="9525" b="0"/>
            <wp:docPr id="12524464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5559" cy="3378627"/>
                    </a:xfrm>
                    <a:prstGeom prst="rect">
                      <a:avLst/>
                    </a:prstGeom>
                    <a:noFill/>
                  </pic:spPr>
                </pic:pic>
              </a:graphicData>
            </a:graphic>
          </wp:inline>
        </w:drawing>
      </w:r>
    </w:p>
    <w:p w14:paraId="4B140948" w14:textId="4CD0387D" w:rsidR="00EF404A" w:rsidRPr="008C55EC" w:rsidRDefault="00EF404A" w:rsidP="00EF404A">
      <w:pPr>
        <w:pStyle w:val="Caption"/>
        <w:jc w:val="center"/>
        <w:rPr>
          <w:rFonts w:ascii="Arial" w:hAnsi="Arial"/>
          <w:b/>
          <w:bCs/>
          <w:i w:val="0"/>
          <w:iCs w:val="0"/>
          <w:color w:val="000000" w:themeColor="text1"/>
          <w:sz w:val="24"/>
          <w:szCs w:val="24"/>
          <w:lang w:val="en-IN"/>
        </w:rPr>
      </w:pPr>
      <w:bookmarkStart w:id="6" w:name="_Toc236141277"/>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3</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Bartlett and Ghoshal Analysis</w:t>
      </w:r>
      <w:bookmarkEnd w:id="6"/>
    </w:p>
    <w:p w14:paraId="1CB2BC1B" w14:textId="5EEB1EA9" w:rsidR="00EF404A" w:rsidRPr="008C55EC" w:rsidRDefault="00EF404A" w:rsidP="00EF404A">
      <w:pPr>
        <w:jc w:val="center"/>
        <w:rPr>
          <w:rFonts w:ascii="Arial" w:hAnsi="Arial"/>
          <w:color w:val="000000" w:themeColor="text1"/>
          <w:lang w:val="en-IN"/>
        </w:rPr>
      </w:pPr>
      <w:r w:rsidRPr="008C55EC">
        <w:rPr>
          <w:rFonts w:ascii="Arial" w:hAnsi="Arial"/>
          <w:color w:val="000000" w:themeColor="text1"/>
          <w:lang w:val="en-IN"/>
        </w:rPr>
        <w:t xml:space="preserve">(Source: </w:t>
      </w:r>
      <w:r w:rsidRPr="008C55EC">
        <w:rPr>
          <w:rFonts w:ascii="Arial" w:hAnsi="Arial"/>
          <w:color w:val="000000" w:themeColor="text1"/>
        </w:rPr>
        <w:t>Lema, Saka-</w:t>
      </w:r>
      <w:proofErr w:type="spellStart"/>
      <w:r w:rsidRPr="008C55EC">
        <w:rPr>
          <w:rFonts w:ascii="Arial" w:hAnsi="Arial"/>
          <w:color w:val="000000" w:themeColor="text1"/>
        </w:rPr>
        <w:t>Helmhout</w:t>
      </w:r>
      <w:proofErr w:type="spellEnd"/>
      <w:r w:rsidRPr="008C55EC">
        <w:rPr>
          <w:rFonts w:ascii="Arial" w:hAnsi="Arial"/>
          <w:color w:val="000000" w:themeColor="text1"/>
        </w:rPr>
        <w:t xml:space="preserve"> and Elango, 2015)</w:t>
      </w:r>
    </w:p>
    <w:p w14:paraId="1A67A927" w14:textId="433E1A04"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Bartlett and Ghoshal categorize multinational enterprises as international, multidomestic, global or transnational based on the degree to which they are globally integrated and locally responsive (Fonseca and Kogut, 2023). Costco can be described as having a Global Strategy with the main source of competitive advantage being global integration. Its centralised procurement, globally sourced sourcing, uniform warehouse form and uniform membership model create economies of scale, build supplier bargaining power and cost leadership but retain operational efficiency (Costco, 2026b).</w:t>
      </w:r>
    </w:p>
    <w:p w14:paraId="15D101A8"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Nevertheless, the attempt to categorize Costco as either global oversimplifies its international strategy. Hill claims that total standardisation is hardly ever possible due to institutional and consumer divergences that need selective adaptation whereas Peng insists on adjusting to host-country environments. Costco exhibits fewer transnational features with local sourcing of products and adapting merchandise, but maintains its globally integrated warehouse and membership business (Costco, 2026b).</w:t>
      </w:r>
    </w:p>
    <w:p w14:paraId="0E393E42" w14:textId="77777777" w:rsidR="005D3243" w:rsidRPr="008C55EC" w:rsidRDefault="005D3243" w:rsidP="00787715">
      <w:pPr>
        <w:pStyle w:val="Heading3"/>
        <w:rPr>
          <w:rFonts w:ascii="Arial" w:hAnsi="Arial" w:cs="Arial"/>
          <w:lang w:val="en-IN"/>
        </w:rPr>
      </w:pPr>
      <w:bookmarkStart w:id="7" w:name="_Toc237509313"/>
      <w:r w:rsidRPr="008C55EC">
        <w:rPr>
          <w:rFonts w:ascii="Arial" w:hAnsi="Arial" w:cs="Arial"/>
          <w:lang w:val="en-IN"/>
        </w:rPr>
        <w:lastRenderedPageBreak/>
        <w:t>1.3 Global Configuration and Competitive Advantage</w:t>
      </w:r>
      <w:bookmarkEnd w:id="7"/>
    </w:p>
    <w:p w14:paraId="4516349B"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global structure of Costco combines centralised buying, an effective global supply chain, standardised warehouse operations and own-label brand, Kirkland Signature, into a competitive system that complements each other. Instead of fighting with large product diversity, Costco focuses the purchasing power of few high volume items, enhancing supplier bargaining power and lowering the cost of procurement (Singh, 2025). Such a combined arrangement produces sustainable cost leadership and Kirkland Signature also produces differentiation by producing high perceived quality at competitive prices.</w:t>
      </w:r>
    </w:p>
    <w:p w14:paraId="7FECF4D9"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However, too much standardisation could limit responsiveness in culturally different retail markets like Germany where consumer expectations, regulatory demands and competitive forces are not the same as those in the markets where Costco has developed. Costco might need to selectively adapt without losing its globally integrated model as compared to competitors like Aldi, whose strategy is developed upon deep local market knowledge. Thus, the competitive advantage of Costco is not just in its international operation but in the effective integration of global efficiencies with thoughtful localisation, which offers a solid strategic base to possible expansion into Germany (Kolhe, 2023).</w:t>
      </w:r>
    </w:p>
    <w:p w14:paraId="407A212B" w14:textId="77777777" w:rsidR="005D3243" w:rsidRPr="008C55EC" w:rsidRDefault="005D3243" w:rsidP="00787715">
      <w:pPr>
        <w:pStyle w:val="Heading2"/>
        <w:rPr>
          <w:rFonts w:ascii="Arial" w:hAnsi="Arial" w:cs="Arial"/>
          <w:lang w:val="en-IN"/>
        </w:rPr>
      </w:pPr>
      <w:bookmarkStart w:id="8" w:name="_Toc237509314"/>
      <w:r w:rsidRPr="008C55EC">
        <w:rPr>
          <w:rFonts w:ascii="Arial" w:hAnsi="Arial" w:cs="Arial"/>
          <w:lang w:val="en-IN"/>
        </w:rPr>
        <w:t>2. Macro-Environmental Appraisal and Market Attractiveness</w:t>
      </w:r>
      <w:bookmarkEnd w:id="8"/>
    </w:p>
    <w:p w14:paraId="28573DAC" w14:textId="77777777" w:rsidR="005D3243" w:rsidRPr="008C55EC" w:rsidRDefault="005D3243" w:rsidP="00787715">
      <w:pPr>
        <w:pStyle w:val="Heading3"/>
        <w:rPr>
          <w:rFonts w:ascii="Arial" w:hAnsi="Arial" w:cs="Arial"/>
          <w:lang w:val="en-IN"/>
        </w:rPr>
      </w:pPr>
      <w:bookmarkStart w:id="9" w:name="_Toc237509315"/>
      <w:r w:rsidRPr="008C55EC">
        <w:rPr>
          <w:rFonts w:ascii="Arial" w:hAnsi="Arial" w:cs="Arial"/>
          <w:lang w:val="en-IN"/>
        </w:rPr>
        <w:t>2.1 Introduction</w:t>
      </w:r>
      <w:bookmarkEnd w:id="9"/>
    </w:p>
    <w:p w14:paraId="35E5BB2A" w14:textId="75BD75B5"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International market entry cannot be </w:t>
      </w:r>
      <w:r w:rsidR="004D674D" w:rsidRPr="008C55EC">
        <w:rPr>
          <w:rFonts w:ascii="Arial" w:hAnsi="Arial"/>
          <w:color w:val="000000" w:themeColor="text1"/>
          <w:lang w:val="en-IN"/>
        </w:rPr>
        <w:t>developed</w:t>
      </w:r>
      <w:r w:rsidRPr="008C55EC">
        <w:rPr>
          <w:rFonts w:ascii="Arial" w:hAnsi="Arial"/>
          <w:color w:val="000000" w:themeColor="text1"/>
          <w:lang w:val="en-IN"/>
        </w:rPr>
        <w:t xml:space="preserve"> without macro-environmental analysis since host-country institutions influence the level of investment risk and strategic success. According to the Eclectic Paradigm and Institutional Theory, developed by Dunning, multinational enterprises have to match the firm-specific benefits with the location-specific circumstances (Gini and Agala, 2023). Thus, an analysis of the macro-environment in Germany is essential in determining the potential of Costco to expand internationally. </w:t>
      </w:r>
    </w:p>
    <w:p w14:paraId="7D84C5CB" w14:textId="77777777" w:rsidR="00A1683A" w:rsidRPr="008C55EC" w:rsidRDefault="00A1683A" w:rsidP="00A1683A">
      <w:pPr>
        <w:keepNext/>
        <w:jc w:val="center"/>
        <w:rPr>
          <w:rFonts w:ascii="Arial" w:hAnsi="Arial"/>
          <w:color w:val="000000" w:themeColor="text1"/>
        </w:rPr>
      </w:pPr>
      <w:r w:rsidRPr="008C55EC">
        <w:rPr>
          <w:rFonts w:ascii="Arial" w:hAnsi="Arial"/>
          <w:noProof/>
          <w:color w:val="000000" w:themeColor="text1"/>
          <w:lang w:val="en-IN"/>
        </w:rPr>
        <w:lastRenderedPageBreak/>
        <w:drawing>
          <wp:inline distT="0" distB="0" distL="0" distR="0" wp14:anchorId="3E879E1A" wp14:editId="7FF0E777">
            <wp:extent cx="4714875" cy="3143250"/>
            <wp:effectExtent l="0" t="0" r="9525" b="0"/>
            <wp:docPr id="638770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14983" cy="3143322"/>
                    </a:xfrm>
                    <a:prstGeom prst="rect">
                      <a:avLst/>
                    </a:prstGeom>
                    <a:noFill/>
                  </pic:spPr>
                </pic:pic>
              </a:graphicData>
            </a:graphic>
          </wp:inline>
        </w:drawing>
      </w:r>
    </w:p>
    <w:p w14:paraId="2B7DF097" w14:textId="22614741" w:rsidR="00A1683A" w:rsidRPr="008C55EC" w:rsidRDefault="00A1683A" w:rsidP="00A1683A">
      <w:pPr>
        <w:pStyle w:val="Caption"/>
        <w:jc w:val="center"/>
        <w:rPr>
          <w:rFonts w:ascii="Arial" w:hAnsi="Arial"/>
          <w:b/>
          <w:bCs/>
          <w:i w:val="0"/>
          <w:iCs w:val="0"/>
          <w:color w:val="000000" w:themeColor="text1"/>
          <w:sz w:val="24"/>
          <w:szCs w:val="24"/>
        </w:rPr>
      </w:pPr>
      <w:bookmarkStart w:id="10" w:name="_Toc236141278"/>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Pr="008C55EC">
        <w:rPr>
          <w:rFonts w:ascii="Arial" w:hAnsi="Arial"/>
          <w:b/>
          <w:bCs/>
          <w:i w:val="0"/>
          <w:iCs w:val="0"/>
          <w:noProof/>
          <w:color w:val="000000" w:themeColor="text1"/>
          <w:sz w:val="24"/>
          <w:szCs w:val="24"/>
        </w:rPr>
        <w:t>4</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PELC Framework</w:t>
      </w:r>
      <w:bookmarkEnd w:id="10"/>
    </w:p>
    <w:p w14:paraId="480AB9AF" w14:textId="7B936BCE" w:rsidR="00A1683A" w:rsidRPr="008C55EC" w:rsidRDefault="00A1683A" w:rsidP="00A1683A">
      <w:pPr>
        <w:jc w:val="center"/>
        <w:rPr>
          <w:rFonts w:ascii="Arial" w:hAnsi="Arial"/>
          <w:color w:val="000000" w:themeColor="text1"/>
          <w:lang w:val="en-IN"/>
        </w:rPr>
      </w:pPr>
      <w:r w:rsidRPr="008C55EC">
        <w:rPr>
          <w:rFonts w:ascii="Arial" w:hAnsi="Arial"/>
          <w:color w:val="000000" w:themeColor="text1"/>
          <w:lang w:val="en-IN"/>
        </w:rPr>
        <w:t>(Source: Self-developed)</w:t>
      </w:r>
    </w:p>
    <w:p w14:paraId="4949FF44" w14:textId="77777777" w:rsidR="005D3243" w:rsidRPr="008C55EC" w:rsidRDefault="005D3243" w:rsidP="00787715">
      <w:pPr>
        <w:pStyle w:val="Heading3"/>
        <w:rPr>
          <w:rFonts w:ascii="Arial" w:hAnsi="Arial" w:cs="Arial"/>
          <w:lang w:val="en-IN"/>
        </w:rPr>
      </w:pPr>
      <w:bookmarkStart w:id="11" w:name="_Toc237509316"/>
      <w:r w:rsidRPr="008C55EC">
        <w:rPr>
          <w:rFonts w:ascii="Arial" w:hAnsi="Arial" w:cs="Arial"/>
          <w:lang w:val="en-IN"/>
        </w:rPr>
        <w:t>2.2 Political Environment</w:t>
      </w:r>
      <w:bookmarkEnd w:id="11"/>
    </w:p>
    <w:p w14:paraId="36D2B8B5"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Costco has a Long-Term Investment Dedication which is backed by Institutional Stability.</w:t>
      </w:r>
    </w:p>
    <w:p w14:paraId="4D04CBE6"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political climate in Germany is also strategically favourable to Costco since its warehouse-club model is costly to start-up and needs long-term commitment. In comparison to asset-light retailers, Costco has to build warehouses, create supplier networks and build membership adoption before it can get returns (Johnson, 2025). Thus, the predictability of politics has a direct impact on the attractiveness of investments.</w:t>
      </w:r>
    </w:p>
    <w:p w14:paraId="21A08E3F" w14:textId="26EE4B24" w:rsidR="009B1247"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Germany is a highly institutionalized country with one of the best governance systems in the world. </w:t>
      </w:r>
    </w:p>
    <w:p w14:paraId="19713051" w14:textId="77777777" w:rsidR="00EF404A" w:rsidRPr="008C55EC" w:rsidRDefault="009B1247" w:rsidP="00EF404A">
      <w:pPr>
        <w:keepNext/>
        <w:rPr>
          <w:rFonts w:ascii="Arial" w:hAnsi="Arial"/>
          <w:color w:val="000000" w:themeColor="text1"/>
        </w:rPr>
      </w:pPr>
      <w:r w:rsidRPr="008C55EC">
        <w:rPr>
          <w:rFonts w:ascii="Arial" w:hAnsi="Arial"/>
          <w:noProof/>
          <w:color w:val="000000" w:themeColor="text1"/>
          <w:lang w:val="en-IN"/>
        </w:rPr>
        <w:lastRenderedPageBreak/>
        <w:drawing>
          <wp:inline distT="0" distB="0" distL="0" distR="0" wp14:anchorId="1DDF57B4" wp14:editId="7812F0B2">
            <wp:extent cx="5731510" cy="3044190"/>
            <wp:effectExtent l="0" t="0" r="2540" b="3810"/>
            <wp:docPr id="207893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30972" name=""/>
                    <pic:cNvPicPr/>
                  </pic:nvPicPr>
                  <pic:blipFill>
                    <a:blip r:embed="rId13"/>
                    <a:stretch>
                      <a:fillRect/>
                    </a:stretch>
                  </pic:blipFill>
                  <pic:spPr>
                    <a:xfrm>
                      <a:off x="0" y="0"/>
                      <a:ext cx="5731510" cy="3044190"/>
                    </a:xfrm>
                    <a:prstGeom prst="rect">
                      <a:avLst/>
                    </a:prstGeom>
                  </pic:spPr>
                </pic:pic>
              </a:graphicData>
            </a:graphic>
          </wp:inline>
        </w:drawing>
      </w:r>
    </w:p>
    <w:p w14:paraId="45E9A6C4" w14:textId="2C3B4D7D" w:rsidR="009B1247" w:rsidRPr="008C55EC" w:rsidRDefault="00EF404A" w:rsidP="00EF404A">
      <w:pPr>
        <w:pStyle w:val="Caption"/>
        <w:jc w:val="center"/>
        <w:rPr>
          <w:rFonts w:ascii="Arial" w:hAnsi="Arial"/>
          <w:b/>
          <w:bCs/>
          <w:i w:val="0"/>
          <w:iCs w:val="0"/>
          <w:color w:val="000000" w:themeColor="text1"/>
          <w:sz w:val="24"/>
          <w:szCs w:val="24"/>
          <w:lang w:val="en-IN"/>
        </w:rPr>
      </w:pPr>
      <w:bookmarkStart w:id="12" w:name="_Toc236141279"/>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5</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xml:space="preserve">: Germany’s </w:t>
      </w:r>
      <w:r w:rsidRPr="008C55EC">
        <w:rPr>
          <w:rFonts w:ascii="Arial" w:hAnsi="Arial"/>
          <w:b/>
          <w:bCs/>
          <w:i w:val="0"/>
          <w:iCs w:val="0"/>
          <w:color w:val="000000" w:themeColor="text1"/>
          <w:sz w:val="24"/>
          <w:szCs w:val="24"/>
          <w:lang w:val="en-IN"/>
        </w:rPr>
        <w:t xml:space="preserve">Government Effectiveness </w:t>
      </w:r>
      <w:r w:rsidRPr="008C55EC">
        <w:rPr>
          <w:rFonts w:ascii="Arial" w:hAnsi="Arial"/>
          <w:b/>
          <w:bCs/>
          <w:i w:val="0"/>
          <w:iCs w:val="0"/>
          <w:color w:val="000000" w:themeColor="text1"/>
          <w:sz w:val="24"/>
          <w:szCs w:val="24"/>
        </w:rPr>
        <w:t xml:space="preserve"> Percentile Rank</w:t>
      </w:r>
      <w:bookmarkEnd w:id="12"/>
    </w:p>
    <w:p w14:paraId="02D86704" w14:textId="6A33C3BA" w:rsidR="009B1247" w:rsidRPr="008C55EC" w:rsidRDefault="009B1247" w:rsidP="009B1247">
      <w:pPr>
        <w:jc w:val="center"/>
        <w:rPr>
          <w:rFonts w:ascii="Arial" w:hAnsi="Arial"/>
          <w:color w:val="000000" w:themeColor="text1"/>
          <w:lang w:val="en-IN"/>
        </w:rPr>
      </w:pPr>
      <w:r w:rsidRPr="008C55EC">
        <w:rPr>
          <w:rFonts w:ascii="Arial" w:hAnsi="Arial"/>
          <w:color w:val="000000" w:themeColor="text1"/>
          <w:lang w:val="en-IN"/>
        </w:rPr>
        <w:t xml:space="preserve">(Source: </w:t>
      </w:r>
      <w:r w:rsidRPr="008C55EC">
        <w:rPr>
          <w:rFonts w:ascii="Arial" w:hAnsi="Arial"/>
          <w:color w:val="000000" w:themeColor="text1"/>
        </w:rPr>
        <w:t>Trading Economics, 2026)</w:t>
      </w:r>
    </w:p>
    <w:p w14:paraId="5DD04B8C" w14:textId="77777777" w:rsidR="00EF404A" w:rsidRPr="008C55EC" w:rsidRDefault="009B1247" w:rsidP="00EF404A">
      <w:pPr>
        <w:keepNext/>
        <w:rPr>
          <w:rFonts w:ascii="Arial" w:hAnsi="Arial"/>
          <w:color w:val="000000" w:themeColor="text1"/>
        </w:rPr>
      </w:pPr>
      <w:r w:rsidRPr="008C55EC">
        <w:rPr>
          <w:rFonts w:ascii="Arial" w:hAnsi="Arial"/>
          <w:noProof/>
          <w:color w:val="000000" w:themeColor="text1"/>
          <w:lang w:val="en-IN"/>
        </w:rPr>
        <w:drawing>
          <wp:inline distT="0" distB="0" distL="0" distR="0" wp14:anchorId="5C7C7D5C" wp14:editId="2EE21867">
            <wp:extent cx="5616427" cy="4801016"/>
            <wp:effectExtent l="0" t="0" r="3810" b="0"/>
            <wp:docPr id="978218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18051" name=""/>
                    <pic:cNvPicPr/>
                  </pic:nvPicPr>
                  <pic:blipFill>
                    <a:blip r:embed="rId14"/>
                    <a:stretch>
                      <a:fillRect/>
                    </a:stretch>
                  </pic:blipFill>
                  <pic:spPr>
                    <a:xfrm>
                      <a:off x="0" y="0"/>
                      <a:ext cx="5616427" cy="4801016"/>
                    </a:xfrm>
                    <a:prstGeom prst="rect">
                      <a:avLst/>
                    </a:prstGeom>
                  </pic:spPr>
                </pic:pic>
              </a:graphicData>
            </a:graphic>
          </wp:inline>
        </w:drawing>
      </w:r>
    </w:p>
    <w:p w14:paraId="21A7A251" w14:textId="73D3BFDC" w:rsidR="009B1247" w:rsidRPr="008C55EC" w:rsidRDefault="00EF404A" w:rsidP="00EF404A">
      <w:pPr>
        <w:pStyle w:val="Caption"/>
        <w:jc w:val="center"/>
        <w:rPr>
          <w:rFonts w:ascii="Arial" w:hAnsi="Arial"/>
          <w:b/>
          <w:bCs/>
          <w:i w:val="0"/>
          <w:iCs w:val="0"/>
          <w:color w:val="000000" w:themeColor="text1"/>
          <w:sz w:val="24"/>
          <w:szCs w:val="24"/>
          <w:lang w:val="en-IN"/>
        </w:rPr>
      </w:pPr>
      <w:bookmarkStart w:id="13" w:name="_Toc236141280"/>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6</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Germany’s Rule of Law Percentile Rank</w:t>
      </w:r>
      <w:bookmarkEnd w:id="13"/>
    </w:p>
    <w:p w14:paraId="610CF45B" w14:textId="19796B54" w:rsidR="009B1247" w:rsidRPr="008C55EC" w:rsidRDefault="009B1247" w:rsidP="009B1247">
      <w:pPr>
        <w:jc w:val="center"/>
        <w:rPr>
          <w:rFonts w:ascii="Arial" w:hAnsi="Arial"/>
          <w:color w:val="000000" w:themeColor="text1"/>
          <w:lang w:val="en-IN"/>
        </w:rPr>
      </w:pPr>
      <w:r w:rsidRPr="008C55EC">
        <w:rPr>
          <w:rFonts w:ascii="Arial" w:hAnsi="Arial"/>
          <w:color w:val="000000" w:themeColor="text1"/>
        </w:rPr>
        <w:lastRenderedPageBreak/>
        <w:t>(Source: Geo Factbook, 2025)</w:t>
      </w:r>
    </w:p>
    <w:p w14:paraId="3C817562"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Worldwide Governance Indicators provided by the World Bank put Germany at above global average in all six dimensions of governance, such as government effectiveness (86th percentile) and rule of law (92nd percentile) (Kaufmann and Kraay, 2024). This minimizes the political uncertainty among the foreign investors.</w:t>
      </w:r>
    </w:p>
    <w:p w14:paraId="4D810C3D" w14:textId="4520AE7A" w:rsidR="005D3243" w:rsidRPr="008C55EC" w:rsidRDefault="005D3243" w:rsidP="00DF6599">
      <w:pPr>
        <w:rPr>
          <w:rFonts w:ascii="Arial" w:hAnsi="Arial"/>
          <w:color w:val="000000" w:themeColor="text1"/>
          <w:lang w:val="en-IN"/>
        </w:rPr>
      </w:pPr>
      <w:r w:rsidRPr="008C55EC">
        <w:rPr>
          <w:rFonts w:ascii="Arial" w:hAnsi="Arial"/>
          <w:color w:val="000000" w:themeColor="text1"/>
          <w:lang w:val="en-IN"/>
        </w:rPr>
        <w:t xml:space="preserve">Following the OLI framework of Dunning, institutional stability generates location advantages by </w:t>
      </w:r>
      <w:r w:rsidR="00787715" w:rsidRPr="008C55EC">
        <w:rPr>
          <w:rFonts w:ascii="Arial" w:hAnsi="Arial"/>
          <w:color w:val="000000" w:themeColor="text1"/>
          <w:lang w:val="en-IN"/>
        </w:rPr>
        <w:t>ensuring</w:t>
      </w:r>
      <w:r w:rsidRPr="008C55EC">
        <w:rPr>
          <w:rFonts w:ascii="Arial" w:hAnsi="Arial"/>
          <w:color w:val="000000" w:themeColor="text1"/>
          <w:lang w:val="en-IN"/>
        </w:rPr>
        <w:t xml:space="preserve"> investment and facilitating long-term capital allocation (</w:t>
      </w:r>
      <w:proofErr w:type="spellStart"/>
      <w:r w:rsidRPr="008C55EC">
        <w:rPr>
          <w:rFonts w:ascii="Arial" w:hAnsi="Arial"/>
          <w:color w:val="000000" w:themeColor="text1"/>
          <w:lang w:val="en-IN"/>
        </w:rPr>
        <w:t>Batschauer</w:t>
      </w:r>
      <w:proofErr w:type="spellEnd"/>
      <w:r w:rsidRPr="008C55EC">
        <w:rPr>
          <w:rFonts w:ascii="Arial" w:hAnsi="Arial"/>
          <w:color w:val="000000" w:themeColor="text1"/>
          <w:lang w:val="en-IN"/>
        </w:rPr>
        <w:t xml:space="preserve"> da Cruz, Floriani and Amal, 2022).</w:t>
      </w:r>
    </w:p>
    <w:p w14:paraId="6ABF5F9E" w14:textId="77777777" w:rsidR="005D3243" w:rsidRPr="008C55EC" w:rsidRDefault="005D3243" w:rsidP="00DF6599">
      <w:pPr>
        <w:rPr>
          <w:rFonts w:ascii="Arial" w:hAnsi="Arial"/>
          <w:color w:val="000000" w:themeColor="text1"/>
          <w:lang w:val="en-IN"/>
        </w:rPr>
      </w:pPr>
      <w:r w:rsidRPr="008C55EC">
        <w:rPr>
          <w:rFonts w:ascii="Arial" w:hAnsi="Arial"/>
          <w:color w:val="000000" w:themeColor="text1"/>
          <w:lang w:val="en-IN"/>
        </w:rPr>
        <w:t>Nonetheless, Costco has to attain legitimacy by adapting to the demands of corporate responsibility in Germany (Gustafsson, Schilling-Vacaflor and Lenschow, 2022).</w:t>
      </w:r>
    </w:p>
    <w:p w14:paraId="4AC419F9" w14:textId="77777777" w:rsidR="005D3243" w:rsidRPr="008C55EC" w:rsidRDefault="005D3243" w:rsidP="00DF6599">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Germany encourages the control-based entry mode of Costco, yet it needs to be adapted locally to succeed.</w:t>
      </w:r>
    </w:p>
    <w:p w14:paraId="60253CAC"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EU Integration Creates Strategic Scale Beyond the German Market</w:t>
      </w:r>
    </w:p>
    <w:p w14:paraId="0F957CD0" w14:textId="41082BCF"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political importance of Germany goes beyond the domestic demand as EU membership makes it a strategic entry point into the European Single Market, which has access to some 450 million consumers due to the free flow of goods, services and capital (European Commission, 2026</w:t>
      </w:r>
      <w:r w:rsidR="00D612DB" w:rsidRPr="008C55EC">
        <w:rPr>
          <w:rFonts w:ascii="Arial" w:hAnsi="Arial"/>
          <w:color w:val="000000" w:themeColor="text1"/>
          <w:lang w:val="en-IN"/>
        </w:rPr>
        <w:t>a</w:t>
      </w:r>
      <w:r w:rsidRPr="008C55EC">
        <w:rPr>
          <w:rFonts w:ascii="Arial" w:hAnsi="Arial"/>
          <w:color w:val="000000" w:themeColor="text1"/>
          <w:lang w:val="en-IN"/>
        </w:rPr>
        <w:t xml:space="preserve">). In the case of Costco, this improves economies of scale since Germany can operate as a regional distribution </w:t>
      </w:r>
      <w:proofErr w:type="spellStart"/>
      <w:r w:rsidRPr="008C55EC">
        <w:rPr>
          <w:rFonts w:ascii="Arial" w:hAnsi="Arial"/>
          <w:color w:val="000000" w:themeColor="text1"/>
          <w:lang w:val="en-IN"/>
        </w:rPr>
        <w:t>center</w:t>
      </w:r>
      <w:proofErr w:type="spellEnd"/>
      <w:r w:rsidRPr="008C55EC">
        <w:rPr>
          <w:rFonts w:ascii="Arial" w:hAnsi="Arial"/>
          <w:color w:val="000000" w:themeColor="text1"/>
          <w:lang w:val="en-IN"/>
        </w:rPr>
        <w:t xml:space="preserve"> and not just a national market. EU integration, however, also adds compliance requirements in food safety, competition, sustainability and consumer protection. According to the Institutional Theory, multinational enterprises gain legitimacy by accommodating host-country institutions instead of exporting the home-country practices to the foreign country (Kauppi, 2022). Strategic implication: Costco ought to set up operations in Germany that are fully compliant with the EU regulations to enable it to expand into Europe in future.</w:t>
      </w:r>
    </w:p>
    <w:p w14:paraId="74E1E15F"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Regulatory Politics Increase Sustainability and Supply-Chain Pressure</w:t>
      </w:r>
    </w:p>
    <w:p w14:paraId="4DD4CB55" w14:textId="4986A8C6" w:rsidR="00787715" w:rsidRPr="008C55EC" w:rsidRDefault="004D674D" w:rsidP="005D3243">
      <w:pPr>
        <w:rPr>
          <w:rFonts w:ascii="Arial" w:hAnsi="Arial"/>
          <w:color w:val="000000" w:themeColor="text1"/>
          <w:lang w:val="en-IN"/>
        </w:rPr>
      </w:pPr>
      <w:r w:rsidRPr="008C55EC">
        <w:rPr>
          <w:rFonts w:ascii="Arial" w:hAnsi="Arial"/>
          <w:color w:val="000000" w:themeColor="text1"/>
        </w:rPr>
        <w:t xml:space="preserve">German political priorities are increasingly focused </w:t>
      </w:r>
      <w:r w:rsidR="005D3243" w:rsidRPr="008C55EC">
        <w:rPr>
          <w:rFonts w:ascii="Arial" w:hAnsi="Arial"/>
          <w:color w:val="000000" w:themeColor="text1"/>
          <w:lang w:val="en-IN"/>
        </w:rPr>
        <w:t xml:space="preserve">on sustainability with the Supply Chain Due Diligence Act, which obliges companies to address human-rights and environmental risks throughout supply chains (BAFA, 2026). This heightens compliance requirements, but the global sourcing of Costco allows it to exert greater control over suppliers, and sustainability can be a source of competitive legitimacy instead of a regulatory requirement (Kauppi, 2022). </w:t>
      </w:r>
    </w:p>
    <w:p w14:paraId="188FE0FE" w14:textId="11D25A09"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Costco can use sustainability governance as a tool to enhance consumer confidence and regulatory authority.</w:t>
      </w:r>
    </w:p>
    <w:p w14:paraId="62B71DE7" w14:textId="77777777" w:rsidR="005D3243" w:rsidRPr="008C55EC" w:rsidRDefault="005D3243" w:rsidP="00787715">
      <w:pPr>
        <w:pStyle w:val="Heading3"/>
        <w:rPr>
          <w:rFonts w:ascii="Arial" w:hAnsi="Arial" w:cs="Arial"/>
          <w:lang w:val="en-IN"/>
        </w:rPr>
      </w:pPr>
      <w:bookmarkStart w:id="14" w:name="_Toc237509317"/>
      <w:r w:rsidRPr="008C55EC">
        <w:rPr>
          <w:rFonts w:ascii="Arial" w:hAnsi="Arial" w:cs="Arial"/>
          <w:lang w:val="en-IN"/>
        </w:rPr>
        <w:lastRenderedPageBreak/>
        <w:t>2.3 Economic Environment</w:t>
      </w:r>
      <w:bookmarkEnd w:id="14"/>
    </w:p>
    <w:p w14:paraId="26031883"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Macroeconomic Conditions Create a Value Opportunity but Increase Entry Uncertainty</w:t>
      </w:r>
    </w:p>
    <w:p w14:paraId="5FD01B27"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Germany is a potentially appealing yet strategically challenging market to Costco due to its high population of consumers </w:t>
      </w:r>
      <w:proofErr w:type="spellStart"/>
      <w:r w:rsidRPr="008C55EC">
        <w:rPr>
          <w:rFonts w:ascii="Arial" w:hAnsi="Arial"/>
          <w:color w:val="000000" w:themeColor="text1"/>
          <w:lang w:val="en-IN"/>
        </w:rPr>
        <w:t>favoring</w:t>
      </w:r>
      <w:proofErr w:type="spellEnd"/>
      <w:r w:rsidRPr="008C55EC">
        <w:rPr>
          <w:rFonts w:ascii="Arial" w:hAnsi="Arial"/>
          <w:color w:val="000000" w:themeColor="text1"/>
          <w:lang w:val="en-IN"/>
        </w:rPr>
        <w:t xml:space="preserve"> warehouse shopping and low economic performance raising doubts about the success of its membership uptake (McCluskey and Barton, 2020). The GDP of Germany increased slightly by 0.2 percent in 2025 following two years of decline, indicating economic strength but low growth rates in the short-term (Federal Statistical Office of Germany, 2026). This poses a strategic dilemma to Costco: the size of the German market and the purchasing power justify a long-term investment, but the stagnant growth can undermine the readiness of consumers to invest in the retail purchase on a membership basis.</w:t>
      </w:r>
    </w:p>
    <w:p w14:paraId="4DAE7E89"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Economic attractiveness, on the basis of market-seeking FDI, is not merely about the market size but also sustainable returns. The membership structure of Costco demands an initial commitment of the consumer, and therefore, confidence and value of the perceived worthiness is paramount to its adoption. Thus, the economic environment in Germany </w:t>
      </w:r>
      <w:proofErr w:type="spellStart"/>
      <w:r w:rsidRPr="008C55EC">
        <w:rPr>
          <w:rFonts w:ascii="Arial" w:hAnsi="Arial"/>
          <w:color w:val="000000" w:themeColor="text1"/>
          <w:lang w:val="en-IN"/>
        </w:rPr>
        <w:t>favors</w:t>
      </w:r>
      <w:proofErr w:type="spellEnd"/>
      <w:r w:rsidRPr="008C55EC">
        <w:rPr>
          <w:rFonts w:ascii="Arial" w:hAnsi="Arial"/>
          <w:color w:val="000000" w:themeColor="text1"/>
          <w:lang w:val="en-IN"/>
        </w:rPr>
        <w:t xml:space="preserve"> entry of Costco provided it provides better value.</w:t>
      </w:r>
    </w:p>
    <w:p w14:paraId="3A391FAB"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Costco needs to first focus on wealthy metropolitan areas where the purchasing power and acceptance of membership is the highest.</w:t>
      </w:r>
    </w:p>
    <w:p w14:paraId="3C80AB0E"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Consumer Spending and Warehouse Retail Viability</w:t>
      </w:r>
    </w:p>
    <w:p w14:paraId="2F2EF9F3"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economic pressures in Germany can make the Costco value proposition even stronger since inflation has made consumers more sensitive to the price-performance relations. Nevertheless, this is not a very long-term opportunity as German consumers already have access to highly efficient discount retailers without membership fees. Thus, the problem that Costco is facing is not the low prices but persuading the consumers that the membership will bring more economic value in terms of quality, exclusiveness and bulk savings (‌Kumar, 2026).</w:t>
      </w:r>
    </w:p>
    <w:p w14:paraId="3837AC28"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Applying the Resource-Based View, the strength of Costco will be determined by the ability of its integrated system of procurement scale, Kirkland Signature products and membership loyalty, to offer functions that can hardly be imitated by competitors (Liu, 2025). The revenue of membership amounted to about US$4.8 billion in fiscal 2024, which emphasizes that customer retention is not just an element of the operations of Costco but its core to profitability (</w:t>
      </w:r>
      <w:proofErr w:type="spellStart"/>
      <w:r w:rsidRPr="008C55EC">
        <w:rPr>
          <w:rFonts w:ascii="Arial" w:hAnsi="Arial"/>
          <w:color w:val="000000" w:themeColor="text1"/>
          <w:lang w:val="en-IN"/>
        </w:rPr>
        <w:t>Vanaik</w:t>
      </w:r>
      <w:proofErr w:type="spellEnd"/>
      <w:r w:rsidRPr="008C55EC">
        <w:rPr>
          <w:rFonts w:ascii="Arial" w:hAnsi="Arial"/>
          <w:color w:val="000000" w:themeColor="text1"/>
          <w:lang w:val="en-IN"/>
        </w:rPr>
        <w:t xml:space="preserve">, 2024). </w:t>
      </w:r>
    </w:p>
    <w:p w14:paraId="4AD43BF1"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lastRenderedPageBreak/>
        <w:t>Strategic implication:</w:t>
      </w:r>
      <w:r w:rsidRPr="008C55EC">
        <w:rPr>
          <w:rFonts w:ascii="Arial" w:hAnsi="Arial"/>
          <w:color w:val="000000" w:themeColor="text1"/>
          <w:lang w:val="en-IN"/>
        </w:rPr>
        <w:t xml:space="preserve"> Costco needs to market membership as a long-term home investment as opposed to an incremental consumer expense.</w:t>
      </w:r>
    </w:p>
    <w:p w14:paraId="4B0C7C58"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Logistics Infrastructure Supports Operational Fit but Not Differentiation</w:t>
      </w:r>
    </w:p>
    <w:p w14:paraId="390B161C"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logistics potentials in Germany are highly consistent with the high-volume operating model of Costco. The Logistics Performance Index by the World Bank assesses infrastructure, the efficacy of customs, reliability of shipments and the competence of logistics, which is critical to the inventory-based Costco business model. Logistics capability, however, is available to all large retailers that are present in Germany and thus cannot in isolation generate competitive advantage (World Bank, 2026).</w:t>
      </w:r>
    </w:p>
    <w:p w14:paraId="795BF75A"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Germany offers Costco an effective operating platform, however, sustainable advantage will require integrating German infrastructure with the global procurement system and membership ecosystem at Costco (</w:t>
      </w:r>
      <w:proofErr w:type="spellStart"/>
      <w:r w:rsidRPr="008C55EC">
        <w:rPr>
          <w:rFonts w:ascii="Arial" w:hAnsi="Arial"/>
          <w:color w:val="000000" w:themeColor="text1"/>
          <w:lang w:val="en-IN"/>
        </w:rPr>
        <w:t>Pokharna</w:t>
      </w:r>
      <w:proofErr w:type="spellEnd"/>
      <w:r w:rsidRPr="008C55EC">
        <w:rPr>
          <w:rFonts w:ascii="Arial" w:hAnsi="Arial"/>
          <w:color w:val="000000" w:themeColor="text1"/>
          <w:lang w:val="en-IN"/>
        </w:rPr>
        <w:t>, 2025).</w:t>
      </w:r>
    </w:p>
    <w:p w14:paraId="582D26F6" w14:textId="1AAF88AD"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The economic environment of Germany therefore gives a reason to consider entry but the success of Costco depends on </w:t>
      </w:r>
      <w:r w:rsidR="004D674D" w:rsidRPr="008C55EC">
        <w:rPr>
          <w:rFonts w:ascii="Arial" w:hAnsi="Arial"/>
          <w:color w:val="000000" w:themeColor="text1"/>
        </w:rPr>
        <w:t xml:space="preserve">effective implementation capability </w:t>
      </w:r>
      <w:r w:rsidRPr="008C55EC">
        <w:rPr>
          <w:rFonts w:ascii="Arial" w:hAnsi="Arial"/>
          <w:color w:val="000000" w:themeColor="text1"/>
          <w:lang w:val="en-IN"/>
        </w:rPr>
        <w:t>and not economic attractiveness.</w:t>
      </w:r>
    </w:p>
    <w:p w14:paraId="573CA187" w14:textId="77777777" w:rsidR="005D3243" w:rsidRPr="008C55EC" w:rsidRDefault="005D3243" w:rsidP="00787715">
      <w:pPr>
        <w:pStyle w:val="Heading3"/>
        <w:rPr>
          <w:rFonts w:ascii="Arial" w:hAnsi="Arial" w:cs="Arial"/>
          <w:lang w:val="en-IN"/>
        </w:rPr>
      </w:pPr>
      <w:bookmarkStart w:id="15" w:name="_Toc237509318"/>
      <w:r w:rsidRPr="008C55EC">
        <w:rPr>
          <w:rFonts w:ascii="Arial" w:hAnsi="Arial" w:cs="Arial"/>
          <w:lang w:val="en-IN"/>
        </w:rPr>
        <w:t>2.4 Legal Environment</w:t>
      </w:r>
      <w:bookmarkEnd w:id="15"/>
    </w:p>
    <w:p w14:paraId="4C0DA30A"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Regulatory Discipline Strengthens Costco's Control-Based Entry Logic</w:t>
      </w:r>
    </w:p>
    <w:p w14:paraId="42349F28"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The legal environment in Germany makes foreign retailers less attractive to operate in, but supports the use of wholly owned entry strategy by Costco due to the high-quality regulation that </w:t>
      </w:r>
      <w:proofErr w:type="spellStart"/>
      <w:r w:rsidRPr="008C55EC">
        <w:rPr>
          <w:rFonts w:ascii="Arial" w:hAnsi="Arial"/>
          <w:color w:val="000000" w:themeColor="text1"/>
          <w:lang w:val="en-IN"/>
        </w:rPr>
        <w:t>favors</w:t>
      </w:r>
      <w:proofErr w:type="spellEnd"/>
      <w:r w:rsidRPr="008C55EC">
        <w:rPr>
          <w:rFonts w:ascii="Arial" w:hAnsi="Arial"/>
          <w:color w:val="000000" w:themeColor="text1"/>
          <w:lang w:val="en-IN"/>
        </w:rPr>
        <w:t xml:space="preserve"> companies that have continuity in terms of quality, compliance and supply-chain governance (IACMR, 2022). These requirements contribute to operational control being strategically valuable instead of a barrier to entry (Muller, 2025).</w:t>
      </w:r>
    </w:p>
    <w:p w14:paraId="77CAAA47"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Employment Law: Cost Efficiency Versus Service Quality</w:t>
      </w:r>
    </w:p>
    <w:p w14:paraId="34F36373"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labour regulations of Germany are also a major factor that Costco should take into account since its warehouse format requires immense participation of its employees in terms of customer service, stock control and logistics processes. The minimum wage was raised to at least 12.82 per hour by law in 2025 and good employment protection raises labour expenses (Federal Government of Germany, 2024).</w:t>
      </w:r>
    </w:p>
    <w:p w14:paraId="783AFDC7"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lastRenderedPageBreak/>
        <w:t>The labour system of Germany presents a threat to the cost-minimisation strategy of Costco but can reinforce the service differentiation with the help of workforce stability and service quality uniformity (Kauppi, 2022).</w:t>
      </w:r>
    </w:p>
    <w:p w14:paraId="0A26B4AE" w14:textId="2565BF77" w:rsidR="005D3243" w:rsidRPr="008C55EC" w:rsidRDefault="004D674D" w:rsidP="005D3243">
      <w:pPr>
        <w:rPr>
          <w:rFonts w:ascii="Arial" w:hAnsi="Arial"/>
          <w:color w:val="000000" w:themeColor="text1"/>
          <w:lang w:val="en-IN"/>
        </w:rPr>
      </w:pPr>
      <w:r w:rsidRPr="008C55EC">
        <w:rPr>
          <w:rFonts w:ascii="Arial" w:hAnsi="Arial"/>
          <w:b/>
          <w:bCs/>
          <w:color w:val="000000" w:themeColor="text1"/>
        </w:rPr>
        <w:t>Strategic implication</w:t>
      </w:r>
      <w:r w:rsidR="005D3243" w:rsidRPr="008C55EC">
        <w:rPr>
          <w:rFonts w:ascii="Arial" w:hAnsi="Arial"/>
          <w:b/>
          <w:bCs/>
          <w:color w:val="000000" w:themeColor="text1"/>
          <w:lang w:val="en-IN"/>
        </w:rPr>
        <w:t>:</w:t>
      </w:r>
      <w:r w:rsidR="005D3243" w:rsidRPr="008C55EC">
        <w:rPr>
          <w:rFonts w:ascii="Arial" w:hAnsi="Arial"/>
          <w:color w:val="000000" w:themeColor="text1"/>
          <w:lang w:val="en-IN"/>
        </w:rPr>
        <w:t xml:space="preserve"> Costco should compete through employee productivity and service quality rather than lower labour expenditure.</w:t>
      </w:r>
    </w:p>
    <w:p w14:paraId="09EE3495"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Competition Law: Entry Through Creation Rather Than Acquisition</w:t>
      </w:r>
    </w:p>
    <w:p w14:paraId="1263E28B"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competition system in Germany is strategically relevant since the grocery retail market is extremely concentrated and under active observation of the Federal Cartel Office (</w:t>
      </w:r>
      <w:proofErr w:type="spellStart"/>
      <w:r w:rsidRPr="008C55EC">
        <w:rPr>
          <w:rFonts w:ascii="Arial" w:hAnsi="Arial"/>
          <w:color w:val="000000" w:themeColor="text1"/>
          <w:lang w:val="en-IN"/>
        </w:rPr>
        <w:t>Bundeskartellamt</w:t>
      </w:r>
      <w:proofErr w:type="spellEnd"/>
      <w:r w:rsidRPr="008C55EC">
        <w:rPr>
          <w:rFonts w:ascii="Arial" w:hAnsi="Arial"/>
          <w:color w:val="000000" w:themeColor="text1"/>
          <w:lang w:val="en-IN"/>
        </w:rPr>
        <w:t>, 2026). Therefore, acquisitions can lead to regulatory scrutiny and integration issues. In the framework of the Transaction Cost Economics, Greenfield investment would provide more protection of the proprietary operating model of Costco and minimise reliance on outside companies (Rindfleisch, 2020).</w:t>
      </w:r>
    </w:p>
    <w:p w14:paraId="1CF69AA2"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Implication on Costco:</w:t>
      </w:r>
      <w:r w:rsidRPr="008C55EC">
        <w:rPr>
          <w:rFonts w:ascii="Arial" w:hAnsi="Arial"/>
          <w:color w:val="000000" w:themeColor="text1"/>
          <w:lang w:val="en-IN"/>
        </w:rPr>
        <w:t xml:space="preserve"> Competition law indirectly reinforces the mode of historical entry of Costco since the construction of its own operations does not expose the company to integration risks and does not limit its strategic freedom.</w:t>
      </w:r>
    </w:p>
    <w:p w14:paraId="3B96EBCE"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Consumer Protection, Food Standards and Product Liability: Compliance as Differentiation</w:t>
      </w:r>
    </w:p>
    <w:p w14:paraId="27E10518" w14:textId="7185683B"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strict EU food regulations will enforce Costco to have traceability, accountability and product safety of its Kirkland Signature products. The EU General Food Law also puts the burden on retailers to guarantee food safety along the supply chain (European Commission, 2026</w:t>
      </w:r>
      <w:r w:rsidR="00D612DB" w:rsidRPr="008C55EC">
        <w:rPr>
          <w:rFonts w:ascii="Arial" w:hAnsi="Arial"/>
          <w:color w:val="000000" w:themeColor="text1"/>
          <w:lang w:val="en-IN"/>
        </w:rPr>
        <w:t>b</w:t>
      </w:r>
      <w:r w:rsidRPr="008C55EC">
        <w:rPr>
          <w:rFonts w:ascii="Arial" w:hAnsi="Arial"/>
          <w:color w:val="000000" w:themeColor="text1"/>
          <w:lang w:val="en-IN"/>
        </w:rPr>
        <w:t xml:space="preserve">). </w:t>
      </w:r>
    </w:p>
    <w:p w14:paraId="7E8D3997"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Even though compliance makes managing suppliers more complex, it is in line with the current focus of Costco on quality assurance (</w:t>
      </w:r>
      <w:proofErr w:type="spellStart"/>
      <w:r w:rsidRPr="008C55EC">
        <w:rPr>
          <w:rFonts w:ascii="Arial" w:hAnsi="Arial"/>
          <w:color w:val="000000" w:themeColor="text1"/>
          <w:lang w:val="en-IN"/>
        </w:rPr>
        <w:t>Abyaneh</w:t>
      </w:r>
      <w:proofErr w:type="spellEnd"/>
      <w:r w:rsidRPr="008C55EC">
        <w:rPr>
          <w:rFonts w:ascii="Arial" w:hAnsi="Arial"/>
          <w:color w:val="000000" w:themeColor="text1"/>
          <w:lang w:val="en-IN"/>
        </w:rPr>
        <w:t xml:space="preserve"> et al., 2025). This presents an opportunity since reliability and transparency of products are of high value to German consumers.</w:t>
      </w:r>
    </w:p>
    <w:p w14:paraId="0AE747D3" w14:textId="05BED1F9" w:rsidR="005D3243" w:rsidRPr="008C55EC" w:rsidRDefault="004D674D" w:rsidP="005D3243">
      <w:pPr>
        <w:rPr>
          <w:rFonts w:ascii="Arial" w:hAnsi="Arial"/>
          <w:color w:val="000000" w:themeColor="text1"/>
          <w:lang w:val="en-IN"/>
        </w:rPr>
      </w:pPr>
      <w:r w:rsidRPr="008C55EC">
        <w:rPr>
          <w:rFonts w:ascii="Arial" w:hAnsi="Arial"/>
          <w:b/>
          <w:bCs/>
          <w:color w:val="000000" w:themeColor="text1"/>
          <w:lang w:val="en-IN"/>
        </w:rPr>
        <w:t>Strategic implication</w:t>
      </w:r>
      <w:r w:rsidR="005D3243" w:rsidRPr="008C55EC">
        <w:rPr>
          <w:rFonts w:ascii="Arial" w:hAnsi="Arial"/>
          <w:b/>
          <w:bCs/>
          <w:color w:val="000000" w:themeColor="text1"/>
          <w:lang w:val="en-IN"/>
        </w:rPr>
        <w:t>:</w:t>
      </w:r>
      <w:r w:rsidR="005D3243" w:rsidRPr="008C55EC">
        <w:rPr>
          <w:rFonts w:ascii="Arial" w:hAnsi="Arial"/>
          <w:color w:val="000000" w:themeColor="text1"/>
          <w:lang w:val="en-IN"/>
        </w:rPr>
        <w:t xml:space="preserve"> Regulatory compliance must be placed as a demonstration of Kirkland quality as opposed to being seen as a cost.</w:t>
      </w:r>
    </w:p>
    <w:p w14:paraId="65BB27C4"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Environmental Regulation and Strategic Adaptation</w:t>
      </w:r>
    </w:p>
    <w:p w14:paraId="57F17A4B"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Packaging Act in Germany poses a threat to the bulk-packaging model of Costco due to its high recycling requirements (ZSVR, 2026). However, recyclable packaging, responsible sourcing and transparent sustainability reporting can transform compliance into competitive differentiation.</w:t>
      </w:r>
    </w:p>
    <w:p w14:paraId="65ED8542" w14:textId="77777777" w:rsidR="005D3243" w:rsidRPr="008C55EC" w:rsidRDefault="005D3243" w:rsidP="00787715">
      <w:pPr>
        <w:pStyle w:val="Heading3"/>
        <w:rPr>
          <w:rFonts w:ascii="Arial" w:hAnsi="Arial" w:cs="Arial"/>
          <w:lang w:val="en-IN"/>
        </w:rPr>
      </w:pPr>
      <w:bookmarkStart w:id="16" w:name="_Toc237509319"/>
      <w:r w:rsidRPr="008C55EC">
        <w:rPr>
          <w:rFonts w:ascii="Arial" w:hAnsi="Arial" w:cs="Arial"/>
          <w:lang w:val="en-IN"/>
        </w:rPr>
        <w:lastRenderedPageBreak/>
        <w:t>2.5 Cultural Environment</w:t>
      </w:r>
      <w:bookmarkEnd w:id="16"/>
    </w:p>
    <w:p w14:paraId="641E1209"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Consumer Value Orientation and Membership Acceptance</w:t>
      </w:r>
    </w:p>
    <w:p w14:paraId="70A6D409"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cultural environment in Germany offers a strategic fit and behavioural challenge to Costco due to the fact that the consumers are interested in economic efficiency, but its membership model demands a different purchase commitment than the conventional German retail formats. Value consciousness is a major aspect of German grocery behaviour, and Aldi and Lidl have attained market leadership by offering low prices and gaining consumer trust. The share of grocery sales is about 36% of the retailer-owned brands, which means that consumers are not hesitant to use the brands that provide quality and value to consumers (NIQ, 2024).</w:t>
      </w:r>
    </w:p>
    <w:p w14:paraId="4B214545"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This presents a chance since Kirkland Signature falls into the German tendency of high-value personal brands. Nonetheless, the problem faced by Costco is persuading customers that annual membership fee offers more economic advantages than the current competitors like Aldi and Lidl do (Schmidt, Martinez and Martinez, 2024).</w:t>
      </w:r>
    </w:p>
    <w:p w14:paraId="42C20CFB" w14:textId="77777777" w:rsidR="00A1683A" w:rsidRPr="008C55EC" w:rsidRDefault="00A1683A" w:rsidP="00A1683A">
      <w:pPr>
        <w:keepNext/>
        <w:jc w:val="center"/>
        <w:rPr>
          <w:rFonts w:ascii="Arial" w:hAnsi="Arial"/>
          <w:color w:val="000000" w:themeColor="text1"/>
        </w:rPr>
      </w:pPr>
      <w:r w:rsidRPr="008C55EC">
        <w:rPr>
          <w:rFonts w:ascii="Arial" w:hAnsi="Arial"/>
          <w:noProof/>
          <w:color w:val="000000" w:themeColor="text1"/>
          <w:lang w:val="en-IN"/>
        </w:rPr>
        <w:drawing>
          <wp:inline distT="0" distB="0" distL="0" distR="0" wp14:anchorId="6B456AF5" wp14:editId="446DD826">
            <wp:extent cx="4598035" cy="3803847"/>
            <wp:effectExtent l="0" t="0" r="0" b="6350"/>
            <wp:docPr id="583235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35422" name=""/>
                    <pic:cNvPicPr/>
                  </pic:nvPicPr>
                  <pic:blipFill>
                    <a:blip r:embed="rId15"/>
                    <a:stretch>
                      <a:fillRect/>
                    </a:stretch>
                  </pic:blipFill>
                  <pic:spPr>
                    <a:xfrm>
                      <a:off x="0" y="0"/>
                      <a:ext cx="4601694" cy="3806874"/>
                    </a:xfrm>
                    <a:prstGeom prst="rect">
                      <a:avLst/>
                    </a:prstGeom>
                  </pic:spPr>
                </pic:pic>
              </a:graphicData>
            </a:graphic>
          </wp:inline>
        </w:drawing>
      </w:r>
    </w:p>
    <w:p w14:paraId="0E6FD034" w14:textId="43D4739B" w:rsidR="00A1683A" w:rsidRPr="008C55EC" w:rsidRDefault="00A1683A" w:rsidP="00A1683A">
      <w:pPr>
        <w:pStyle w:val="Caption"/>
        <w:jc w:val="center"/>
        <w:rPr>
          <w:rFonts w:ascii="Arial" w:hAnsi="Arial"/>
          <w:b/>
          <w:bCs/>
          <w:i w:val="0"/>
          <w:iCs w:val="0"/>
          <w:color w:val="000000" w:themeColor="text1"/>
          <w:sz w:val="24"/>
          <w:szCs w:val="24"/>
        </w:rPr>
      </w:pPr>
      <w:bookmarkStart w:id="17" w:name="_Toc236141281"/>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Pr="008C55EC">
        <w:rPr>
          <w:rFonts w:ascii="Arial" w:hAnsi="Arial"/>
          <w:b/>
          <w:bCs/>
          <w:i w:val="0"/>
          <w:iCs w:val="0"/>
          <w:noProof/>
          <w:color w:val="000000" w:themeColor="text1"/>
          <w:sz w:val="24"/>
          <w:szCs w:val="24"/>
        </w:rPr>
        <w:t>7</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Cultural Dimensions of Hofstede</w:t>
      </w:r>
      <w:bookmarkEnd w:id="17"/>
    </w:p>
    <w:p w14:paraId="14B1D826" w14:textId="3A29E9F5" w:rsidR="00A1683A" w:rsidRPr="008C55EC" w:rsidRDefault="00A1683A" w:rsidP="00A1683A">
      <w:pPr>
        <w:jc w:val="center"/>
        <w:rPr>
          <w:rFonts w:ascii="Arial" w:hAnsi="Arial"/>
          <w:color w:val="000000" w:themeColor="text1"/>
          <w:lang w:val="en-IN"/>
        </w:rPr>
      </w:pPr>
      <w:r w:rsidRPr="008C55EC">
        <w:rPr>
          <w:rFonts w:ascii="Arial" w:hAnsi="Arial"/>
          <w:color w:val="000000" w:themeColor="text1"/>
          <w:lang w:val="en-IN"/>
        </w:rPr>
        <w:t>(Source:</w:t>
      </w:r>
      <w:proofErr w:type="spellStart"/>
      <w:r w:rsidRPr="008C55EC">
        <w:rPr>
          <w:rFonts w:ascii="Arial" w:hAnsi="Arial"/>
          <w:color w:val="000000" w:themeColor="text1"/>
        </w:rPr>
        <w:t>Theculturefactor</w:t>
      </w:r>
      <w:proofErr w:type="spellEnd"/>
      <w:r w:rsidRPr="008C55EC">
        <w:rPr>
          <w:rFonts w:ascii="Arial" w:hAnsi="Arial"/>
          <w:color w:val="000000" w:themeColor="text1"/>
        </w:rPr>
        <w:t>, 2020)</w:t>
      </w:r>
    </w:p>
    <w:p w14:paraId="566B4666"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This challenge is further explained by the Cultural Dimensions of Hofstede. The uncertainty avoidance in Germany is relatively high (65), which implies that consumers </w:t>
      </w:r>
      <w:r w:rsidRPr="008C55EC">
        <w:rPr>
          <w:rFonts w:ascii="Arial" w:hAnsi="Arial"/>
          <w:color w:val="000000" w:themeColor="text1"/>
          <w:lang w:val="en-IN"/>
        </w:rPr>
        <w:lastRenderedPageBreak/>
        <w:t>like reliability and predictability. Thus, to perceive risk as lower, Costco needs to show actual savings, quality of products and explicit benefits of membership instead of just counting on the recognition of the global brand (</w:t>
      </w:r>
      <w:proofErr w:type="spellStart"/>
      <w:r w:rsidRPr="008C55EC">
        <w:rPr>
          <w:rFonts w:ascii="Arial" w:hAnsi="Arial"/>
          <w:color w:val="000000" w:themeColor="text1"/>
          <w:lang w:val="en-IN"/>
        </w:rPr>
        <w:t>Żemojtel</w:t>
      </w:r>
      <w:proofErr w:type="spellEnd"/>
      <w:r w:rsidRPr="008C55EC">
        <w:rPr>
          <w:rFonts w:ascii="Arial" w:hAnsi="Arial"/>
          <w:color w:val="000000" w:themeColor="text1"/>
          <w:lang w:val="en-IN"/>
        </w:rPr>
        <w:t>-Piotrowska and Piotrowski, 2023).</w:t>
      </w:r>
    </w:p>
    <w:p w14:paraId="6C78AB31"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Costco needs to frame membership as a sensible financial choice with clear savings data behind it and not as a luxury shopping experience.</w:t>
      </w:r>
    </w:p>
    <w:p w14:paraId="6C4C6578"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Sustainability Expectations and Consumption Compatibility</w:t>
      </w:r>
    </w:p>
    <w:p w14:paraId="49DD915F"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sustainability-based culture of Germany poses a challenge and an opportunity to the warehouse model of Costco. The German consumers are highly environmentally conscious, which is supported by the Packaging Act (</w:t>
      </w:r>
      <w:proofErr w:type="spellStart"/>
      <w:r w:rsidRPr="008C55EC">
        <w:rPr>
          <w:rFonts w:ascii="Arial" w:hAnsi="Arial"/>
          <w:color w:val="000000" w:themeColor="text1"/>
          <w:lang w:val="en-IN"/>
        </w:rPr>
        <w:t>VerpackG</w:t>
      </w:r>
      <w:proofErr w:type="spellEnd"/>
      <w:r w:rsidRPr="008C55EC">
        <w:rPr>
          <w:rFonts w:ascii="Arial" w:hAnsi="Arial"/>
          <w:color w:val="000000" w:themeColor="text1"/>
          <w:lang w:val="en-IN"/>
        </w:rPr>
        <w:t>) that obliges companies that bring packaging into the market to join waste-management systems (ZSVR, 2026).</w:t>
      </w:r>
    </w:p>
    <w:p w14:paraId="541ECF30" w14:textId="317831F9"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This poses a strain in that the bulk-purchasing concept of Costco is based on </w:t>
      </w:r>
      <w:r w:rsidR="004D674D" w:rsidRPr="008C55EC">
        <w:rPr>
          <w:rFonts w:ascii="Arial" w:hAnsi="Arial"/>
          <w:color w:val="000000" w:themeColor="text1"/>
        </w:rPr>
        <w:t>the ability to purchase larger package volumes</w:t>
      </w:r>
      <w:r w:rsidRPr="008C55EC">
        <w:rPr>
          <w:rFonts w:ascii="Arial" w:hAnsi="Arial"/>
          <w:color w:val="000000" w:themeColor="text1"/>
          <w:lang w:val="en-IN"/>
        </w:rPr>
        <w:t>, which can be inconsistent with consumer issues about waste. Nonetheless, it also generates sustainability advantages in the form of reduced shopping excursions, effective logistics and a decreased number of transport trips per unit bought. The strategic question is not thus whether the model of Costco is sustainable, but whether it can communicate these benefits according to the German expectations (Barrett, 2024).</w:t>
      </w:r>
    </w:p>
    <w:p w14:paraId="3CFF50EF"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Strategic implication: To enhance cultural legitimacy, Costco ought to enhance the use of recyclable packaging and communicate supply-chain sustainability.</w:t>
      </w:r>
    </w:p>
    <w:p w14:paraId="29D0BB44"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Digital Behaviour and Retail Adaptation</w:t>
      </w:r>
    </w:p>
    <w:p w14:paraId="47ACDC65"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growing digital adoption in Germany puts a strain on Costco to enhance its digital presence without losing its differentiation that is rooted in a warehouse. Consumers are getting more and more demanding of digital product information, digital payments and convenient communication channels. Nevertheless, the warehouse experience and membership relationship are the competitive advantage of Costco (Nadales, 2020). Costco should thus avoid complete digital transformation but seek to adapt selectively, maintaining global consistency but addressing the needs of German consumers.</w:t>
      </w:r>
    </w:p>
    <w:p w14:paraId="4D8FED7A" w14:textId="77777777" w:rsidR="005D3243" w:rsidRPr="008C55EC" w:rsidRDefault="005D3243" w:rsidP="00787715">
      <w:pPr>
        <w:pStyle w:val="Heading3"/>
        <w:rPr>
          <w:rFonts w:ascii="Arial" w:hAnsi="Arial" w:cs="Arial"/>
          <w:lang w:val="en-IN"/>
        </w:rPr>
      </w:pPr>
      <w:bookmarkStart w:id="18" w:name="_Toc237509320"/>
      <w:r w:rsidRPr="008C55EC">
        <w:rPr>
          <w:rFonts w:ascii="Arial" w:hAnsi="Arial" w:cs="Arial"/>
          <w:lang w:val="en-IN"/>
        </w:rPr>
        <w:lastRenderedPageBreak/>
        <w:t>2.6 Critical Synthesis Using Dunning's OLI Framework</w:t>
      </w:r>
      <w:bookmarkEnd w:id="18"/>
    </w:p>
    <w:p w14:paraId="5A2EA3FD" w14:textId="77777777" w:rsidR="00EF404A" w:rsidRPr="008C55EC" w:rsidRDefault="00EF404A" w:rsidP="00EF404A">
      <w:pPr>
        <w:keepNext/>
        <w:rPr>
          <w:rFonts w:ascii="Arial" w:hAnsi="Arial"/>
          <w:color w:val="000000" w:themeColor="text1"/>
        </w:rPr>
      </w:pPr>
      <w:r w:rsidRPr="008C55EC">
        <w:rPr>
          <w:rFonts w:ascii="Arial" w:hAnsi="Arial"/>
          <w:noProof/>
          <w:color w:val="000000" w:themeColor="text1"/>
        </w:rPr>
        <w:drawing>
          <wp:inline distT="0" distB="0" distL="0" distR="0" wp14:anchorId="156CCB1B" wp14:editId="41B0528E">
            <wp:extent cx="5731510" cy="3183890"/>
            <wp:effectExtent l="0" t="0" r="2540" b="0"/>
            <wp:docPr id="395488835" name="Picture 5" descr="Eclectic Paradigm - What Is It, Dunning's OLI Framework,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Eclectic Paradigm - What Is It, Dunning's OLI Framework, Examp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488B7303" w14:textId="39A4E4BA" w:rsidR="00EF404A" w:rsidRPr="008C55EC" w:rsidRDefault="00EF404A" w:rsidP="00EF404A">
      <w:pPr>
        <w:pStyle w:val="Caption"/>
        <w:jc w:val="center"/>
        <w:rPr>
          <w:rFonts w:ascii="Arial" w:hAnsi="Arial"/>
          <w:b/>
          <w:bCs/>
          <w:i w:val="0"/>
          <w:iCs w:val="0"/>
          <w:color w:val="000000" w:themeColor="text1"/>
          <w:sz w:val="24"/>
          <w:szCs w:val="24"/>
          <w:lang w:val="en-IN"/>
        </w:rPr>
      </w:pPr>
      <w:bookmarkStart w:id="19" w:name="_Toc236141282"/>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8</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Dunning's OLI Framework</w:t>
      </w:r>
      <w:bookmarkEnd w:id="19"/>
    </w:p>
    <w:p w14:paraId="7515F550" w14:textId="2685FEC2" w:rsidR="00EF404A" w:rsidRPr="008C55EC" w:rsidRDefault="00EF404A" w:rsidP="00EF404A">
      <w:pPr>
        <w:jc w:val="center"/>
        <w:rPr>
          <w:rFonts w:ascii="Arial" w:hAnsi="Arial"/>
          <w:color w:val="000000" w:themeColor="text1"/>
          <w:lang w:val="en-IN"/>
        </w:rPr>
      </w:pPr>
      <w:r w:rsidRPr="008C55EC">
        <w:rPr>
          <w:rFonts w:ascii="Arial" w:hAnsi="Arial"/>
          <w:color w:val="000000" w:themeColor="text1"/>
          <w:lang w:val="en-IN"/>
        </w:rPr>
        <w:t>(Source: Ailani, 2025)</w:t>
      </w:r>
    </w:p>
    <w:p w14:paraId="2596328B"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Ownership Advantages: Costco's Competitive System Rather Than Individual Resources</w:t>
      </w:r>
    </w:p>
    <w:p w14:paraId="0E1DD471"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ownership benefits of Costco are strategically useful since they are not based on the individual assets like brand recognition or buying power. Membership revenue, global sourcing, Kirkland Signature, limited SKU selection and high inventory turnover are combined by the company to develop a differentiated warehouse model (Sarisa, 2021). Costco earned US$4.8 billion in membership fees in fiscal 2024 and had 890 warehouses in 14 markets, showing that it has recurring membership relationships and consistency in its operations as the key to its international competitiveness (Costco, 2026c). These benefits are however, disputed by Germany since Aldi, Lidl, Edeka and REWE already have high consumer confidence, purchasing power and effective supply chains, which make it very difficult to enter (FAS, 2026). Thus, the competitive edge of Costco under the Resource-Based View is the transfer of its integrated ecosystem of membership instead of price competition (Sarisa, 2021).</w:t>
      </w:r>
    </w:p>
    <w:p w14:paraId="296BB3A4"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Costco needs to maintain its integrated operating model and adjust customer communication to German expectations.</w:t>
      </w:r>
    </w:p>
    <w:p w14:paraId="23D76416" w14:textId="6448B2B9" w:rsidR="005D3243" w:rsidRPr="008C55EC" w:rsidRDefault="00787715" w:rsidP="005D3243">
      <w:pPr>
        <w:rPr>
          <w:rFonts w:ascii="Arial" w:hAnsi="Arial"/>
          <w:b/>
          <w:bCs/>
          <w:color w:val="000000" w:themeColor="text1"/>
          <w:lang w:val="en-IN"/>
        </w:rPr>
      </w:pPr>
      <w:r w:rsidRPr="008C55EC">
        <w:rPr>
          <w:rFonts w:ascii="Arial" w:hAnsi="Arial"/>
          <w:b/>
          <w:bCs/>
          <w:color w:val="000000" w:themeColor="text1"/>
          <w:lang w:val="en-IN"/>
        </w:rPr>
        <w:t>Location Advantages: Germany Offers Infrastructure but Not Automatic Competitive Advantage</w:t>
      </w:r>
    </w:p>
    <w:p w14:paraId="609A2E18" w14:textId="34B07DF3" w:rsidR="00AE0496" w:rsidRPr="008C55EC" w:rsidRDefault="005D3243" w:rsidP="005D3243">
      <w:pPr>
        <w:rPr>
          <w:rFonts w:ascii="Arial" w:hAnsi="Arial"/>
          <w:color w:val="000000" w:themeColor="text1"/>
          <w:lang w:val="en-IN"/>
        </w:rPr>
      </w:pPr>
      <w:r w:rsidRPr="008C55EC">
        <w:rPr>
          <w:rFonts w:ascii="Arial" w:hAnsi="Arial"/>
          <w:color w:val="000000" w:themeColor="text1"/>
          <w:lang w:val="en-IN"/>
        </w:rPr>
        <w:lastRenderedPageBreak/>
        <w:t>Germany has significant location benefits in its huge consumer base, strategic location in the EU and high level of logistic facilities. It is among the strongest logistics economies in the world, with its transport reliability and supply-chain capacity enhancing the potential of Costco to distribute regionally and have long-term growth opportunities (World Bank, 2023</w:t>
      </w:r>
      <w:r w:rsidR="000D064E" w:rsidRPr="008C55EC">
        <w:rPr>
          <w:rFonts w:ascii="Arial" w:hAnsi="Arial"/>
          <w:color w:val="000000" w:themeColor="text1"/>
        </w:rPr>
        <w:t>)</w:t>
      </w:r>
      <w:r w:rsidR="00AE0496" w:rsidRPr="008C55EC">
        <w:rPr>
          <w:rFonts w:ascii="Arial" w:hAnsi="Arial"/>
          <w:color w:val="000000" w:themeColor="text1"/>
          <w:lang w:val="en-IN"/>
        </w:rPr>
        <w:t xml:space="preserve">. </w:t>
      </w:r>
    </w:p>
    <w:p w14:paraId="74D30E21" w14:textId="77777777" w:rsidR="00EF404A" w:rsidRPr="008C55EC" w:rsidRDefault="000D064E" w:rsidP="00EF404A">
      <w:pPr>
        <w:keepNext/>
        <w:jc w:val="center"/>
        <w:rPr>
          <w:rFonts w:ascii="Arial" w:hAnsi="Arial"/>
          <w:color w:val="000000" w:themeColor="text1"/>
        </w:rPr>
      </w:pPr>
      <w:r w:rsidRPr="008C55EC">
        <w:rPr>
          <w:rFonts w:ascii="Arial" w:hAnsi="Arial"/>
          <w:noProof/>
          <w:color w:val="000000" w:themeColor="text1"/>
          <w:lang w:val="en-IN"/>
        </w:rPr>
        <w:drawing>
          <wp:inline distT="0" distB="0" distL="0" distR="0" wp14:anchorId="0C748F75" wp14:editId="03A7CCEB">
            <wp:extent cx="5124450" cy="4466842"/>
            <wp:effectExtent l="0" t="0" r="0" b="0"/>
            <wp:docPr id="1232035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035287" name=""/>
                    <pic:cNvPicPr/>
                  </pic:nvPicPr>
                  <pic:blipFill>
                    <a:blip r:embed="rId17"/>
                    <a:stretch>
                      <a:fillRect/>
                    </a:stretch>
                  </pic:blipFill>
                  <pic:spPr>
                    <a:xfrm>
                      <a:off x="0" y="0"/>
                      <a:ext cx="5143253" cy="4483232"/>
                    </a:xfrm>
                    <a:prstGeom prst="rect">
                      <a:avLst/>
                    </a:prstGeom>
                  </pic:spPr>
                </pic:pic>
              </a:graphicData>
            </a:graphic>
          </wp:inline>
        </w:drawing>
      </w:r>
    </w:p>
    <w:p w14:paraId="3738F0E0" w14:textId="7D82E222" w:rsidR="000D064E" w:rsidRPr="008C55EC" w:rsidRDefault="00EF404A" w:rsidP="00EF404A">
      <w:pPr>
        <w:pStyle w:val="Caption"/>
        <w:jc w:val="center"/>
        <w:rPr>
          <w:rFonts w:ascii="Arial" w:hAnsi="Arial"/>
          <w:b/>
          <w:bCs/>
          <w:i w:val="0"/>
          <w:iCs w:val="0"/>
          <w:color w:val="000000" w:themeColor="text1"/>
          <w:sz w:val="24"/>
          <w:szCs w:val="24"/>
          <w:lang w:val="en-IN"/>
        </w:rPr>
      </w:pPr>
      <w:bookmarkStart w:id="20" w:name="_Toc236141283"/>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00A1683A" w:rsidRPr="008C55EC">
        <w:rPr>
          <w:rFonts w:ascii="Arial" w:hAnsi="Arial"/>
          <w:b/>
          <w:bCs/>
          <w:i w:val="0"/>
          <w:iCs w:val="0"/>
          <w:noProof/>
          <w:color w:val="000000" w:themeColor="text1"/>
          <w:sz w:val="24"/>
          <w:szCs w:val="24"/>
        </w:rPr>
        <w:t>9</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Schwarz Group revenue and employment growth in 2024.</w:t>
      </w:r>
      <w:bookmarkEnd w:id="20"/>
    </w:p>
    <w:p w14:paraId="40C8441A" w14:textId="56C9640D" w:rsidR="000D064E" w:rsidRPr="008C55EC" w:rsidRDefault="000D064E" w:rsidP="000D064E">
      <w:pPr>
        <w:jc w:val="center"/>
        <w:rPr>
          <w:rFonts w:ascii="Arial" w:hAnsi="Arial"/>
          <w:color w:val="000000" w:themeColor="text1"/>
          <w:lang w:val="en-IN"/>
        </w:rPr>
      </w:pPr>
      <w:r w:rsidRPr="008C55EC">
        <w:rPr>
          <w:rFonts w:ascii="Arial" w:hAnsi="Arial"/>
          <w:color w:val="000000" w:themeColor="text1"/>
        </w:rPr>
        <w:t>(</w:t>
      </w:r>
      <w:r w:rsidR="00DF6599" w:rsidRPr="008C55EC">
        <w:rPr>
          <w:rFonts w:ascii="Arial" w:hAnsi="Arial"/>
          <w:color w:val="000000" w:themeColor="text1"/>
        </w:rPr>
        <w:t xml:space="preserve">Source: </w:t>
      </w:r>
      <w:r w:rsidRPr="008C55EC">
        <w:rPr>
          <w:rFonts w:ascii="Arial" w:hAnsi="Arial"/>
          <w:color w:val="000000" w:themeColor="text1"/>
        </w:rPr>
        <w:t>Schwarz Group, 2025)</w:t>
      </w:r>
    </w:p>
    <w:p w14:paraId="20161722"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 xml:space="preserve">However, these are not the only benefits of Costco. The same infrastructure has already been exploited by German retailers, which enables companies like Schwarz Group, Aldi and Edeka to enjoy huge economies of scale. Lidl and Kaufland are owned by Schwarz Group, which declared a revenue of €175.4 billion in fiscal 2024, which represents the size of national rivals (Schwarz Group, 2026). </w:t>
      </w:r>
    </w:p>
    <w:p w14:paraId="0A824434"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In the OLI framework by Dunning, the location advantages can only generate value when there are ownership advantages specific to firms. Germany offers Costco the environment to be successful in its operation, yet it does not eliminate the competition (</w:t>
      </w:r>
      <w:proofErr w:type="spellStart"/>
      <w:r w:rsidRPr="008C55EC">
        <w:rPr>
          <w:rFonts w:ascii="Arial" w:hAnsi="Arial"/>
          <w:color w:val="000000" w:themeColor="text1"/>
          <w:lang w:val="en-IN"/>
        </w:rPr>
        <w:t>Batschauer</w:t>
      </w:r>
      <w:proofErr w:type="spellEnd"/>
      <w:r w:rsidRPr="008C55EC">
        <w:rPr>
          <w:rFonts w:ascii="Arial" w:hAnsi="Arial"/>
          <w:color w:val="000000" w:themeColor="text1"/>
          <w:lang w:val="en-IN"/>
        </w:rPr>
        <w:t xml:space="preserve"> da Cruz, Floriani and Amal, 2022).</w:t>
      </w:r>
    </w:p>
    <w:p w14:paraId="427F31FE"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lastRenderedPageBreak/>
        <w:t>Strategic implication:</w:t>
      </w:r>
      <w:r w:rsidRPr="008C55EC">
        <w:rPr>
          <w:rFonts w:ascii="Arial" w:hAnsi="Arial"/>
          <w:color w:val="000000" w:themeColor="text1"/>
          <w:lang w:val="en-IN"/>
        </w:rPr>
        <w:t xml:space="preserve"> Germany can be considered an appealing location of Costco capabilities, rather than a straightforward growth opportunity.</w:t>
      </w:r>
    </w:p>
    <w:p w14:paraId="24ADB278"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Internalisation Advantages: Control as a Strategic Necessity</w:t>
      </w:r>
    </w:p>
    <w:p w14:paraId="36A46D3A" w14:textId="77777777" w:rsidR="005D3243" w:rsidRPr="008C55EC" w:rsidRDefault="005D3243" w:rsidP="005D3243">
      <w:pPr>
        <w:rPr>
          <w:rFonts w:ascii="Arial" w:hAnsi="Arial"/>
          <w:color w:val="000000" w:themeColor="text1"/>
          <w:lang w:val="en-IN"/>
        </w:rPr>
      </w:pPr>
      <w:r w:rsidRPr="008C55EC">
        <w:rPr>
          <w:rFonts w:ascii="Arial" w:hAnsi="Arial"/>
          <w:color w:val="000000" w:themeColor="text1"/>
          <w:lang w:val="en-IN"/>
        </w:rPr>
        <w:t>The internalisation advantages of Costco are highly favourable to a wholly owned Greenfield entry strategy as its competitive advantage is based on the ability to control activities that generate customer value. Though licensing, franchising or joint ventures can speed up the market entry, it comes with risks in terms of supplier management, quality consistency and the membership experience (</w:t>
      </w:r>
      <w:proofErr w:type="spellStart"/>
      <w:r w:rsidRPr="008C55EC">
        <w:rPr>
          <w:rFonts w:ascii="Arial" w:hAnsi="Arial"/>
          <w:color w:val="000000" w:themeColor="text1"/>
          <w:lang w:val="en-IN"/>
        </w:rPr>
        <w:t>Pokharna</w:t>
      </w:r>
      <w:proofErr w:type="spellEnd"/>
      <w:r w:rsidRPr="008C55EC">
        <w:rPr>
          <w:rFonts w:ascii="Arial" w:hAnsi="Arial"/>
          <w:color w:val="000000" w:themeColor="text1"/>
          <w:lang w:val="en-IN"/>
        </w:rPr>
        <w:t>, 2025). Transaction Cost Economics proposes that firms internalise their activities when external control results in greater costs of coordination and monitoring than direct ownership. In the case of Costco, safeguarding proprietary operating routines and ensuring global consistency are more important than the gains of lowering investment exposure (Rindfleisch, 2020).</w:t>
      </w:r>
    </w:p>
    <w:p w14:paraId="5CFF166C" w14:textId="77777777" w:rsidR="005D3243" w:rsidRPr="008C55EC" w:rsidRDefault="005D3243" w:rsidP="005D3243">
      <w:pPr>
        <w:rPr>
          <w:rFonts w:ascii="Arial" w:hAnsi="Arial"/>
          <w:color w:val="000000" w:themeColor="text1"/>
          <w:lang w:val="en-IN"/>
        </w:rPr>
      </w:pPr>
      <w:r w:rsidRPr="008C55EC">
        <w:rPr>
          <w:rFonts w:ascii="Arial" w:hAnsi="Arial"/>
          <w:b/>
          <w:bCs/>
          <w:color w:val="000000" w:themeColor="text1"/>
          <w:lang w:val="en-IN"/>
        </w:rPr>
        <w:t>Strategic implication:</w:t>
      </w:r>
      <w:r w:rsidRPr="008C55EC">
        <w:rPr>
          <w:rFonts w:ascii="Arial" w:hAnsi="Arial"/>
          <w:color w:val="000000" w:themeColor="text1"/>
          <w:lang w:val="en-IN"/>
        </w:rPr>
        <w:t xml:space="preserve"> Full ownership is not only an expansion choice but a form of governance needed to safeguard the competitive system of Costco.</w:t>
      </w:r>
    </w:p>
    <w:p w14:paraId="410C0A98" w14:textId="77777777" w:rsidR="005D3243" w:rsidRPr="008C55EC" w:rsidRDefault="005D3243" w:rsidP="005D3243">
      <w:pPr>
        <w:rPr>
          <w:rFonts w:ascii="Arial" w:hAnsi="Arial"/>
          <w:b/>
          <w:bCs/>
          <w:color w:val="000000" w:themeColor="text1"/>
          <w:lang w:val="en-IN"/>
        </w:rPr>
      </w:pPr>
      <w:r w:rsidRPr="008C55EC">
        <w:rPr>
          <w:rFonts w:ascii="Arial" w:hAnsi="Arial"/>
          <w:b/>
          <w:bCs/>
          <w:color w:val="000000" w:themeColor="text1"/>
          <w:lang w:val="en-IN"/>
        </w:rPr>
        <w:t>Overall Strategic Judgement</w:t>
      </w:r>
    </w:p>
    <w:p w14:paraId="05FF4F80" w14:textId="25C3737D" w:rsidR="005D3243" w:rsidRPr="008C55EC" w:rsidRDefault="004D674D" w:rsidP="005D3243">
      <w:pPr>
        <w:rPr>
          <w:rFonts w:ascii="Arial" w:hAnsi="Arial"/>
          <w:color w:val="000000" w:themeColor="text1"/>
          <w:lang w:val="en-IN"/>
        </w:rPr>
      </w:pPr>
      <w:r w:rsidRPr="008C55EC">
        <w:rPr>
          <w:rFonts w:ascii="Arial" w:hAnsi="Arial"/>
          <w:color w:val="000000" w:themeColor="text1"/>
        </w:rPr>
        <w:t>Germany represents a competitive yet strategically viable market</w:t>
      </w:r>
      <w:r w:rsidR="005D3243" w:rsidRPr="008C55EC">
        <w:rPr>
          <w:rFonts w:ascii="Arial" w:hAnsi="Arial"/>
          <w:color w:val="000000" w:themeColor="text1"/>
          <w:lang w:val="en-IN"/>
        </w:rPr>
        <w:t>. The OLI framework may be helpful in the investment of Costco, but it should be adapted disciplinarily rather than copied (</w:t>
      </w:r>
      <w:proofErr w:type="spellStart"/>
      <w:r w:rsidR="005D3243" w:rsidRPr="008C55EC">
        <w:rPr>
          <w:rFonts w:ascii="Arial" w:hAnsi="Arial"/>
          <w:color w:val="000000" w:themeColor="text1"/>
          <w:lang w:val="en-IN"/>
        </w:rPr>
        <w:t>Batschauer</w:t>
      </w:r>
      <w:proofErr w:type="spellEnd"/>
      <w:r w:rsidR="005D3243" w:rsidRPr="008C55EC">
        <w:rPr>
          <w:rFonts w:ascii="Arial" w:hAnsi="Arial"/>
          <w:color w:val="000000" w:themeColor="text1"/>
          <w:lang w:val="en-IN"/>
        </w:rPr>
        <w:t xml:space="preserve"> da Cruz, Floriani and Amal, 2022). Thus, a gradual wholly owned Greenfield approach is the best strategic fit.</w:t>
      </w:r>
    </w:p>
    <w:p w14:paraId="2E9992A8" w14:textId="77777777" w:rsidR="005D3243" w:rsidRPr="008C55EC" w:rsidRDefault="005D3243" w:rsidP="00787715">
      <w:pPr>
        <w:pStyle w:val="Heading3"/>
        <w:rPr>
          <w:rFonts w:ascii="Arial" w:hAnsi="Arial" w:cs="Arial"/>
          <w:lang w:val="en-IN"/>
        </w:rPr>
      </w:pPr>
      <w:bookmarkStart w:id="21" w:name="_Toc237509321"/>
      <w:r w:rsidRPr="008C55EC">
        <w:rPr>
          <w:rFonts w:ascii="Arial" w:hAnsi="Arial" w:cs="Arial"/>
          <w:lang w:val="en-IN"/>
        </w:rPr>
        <w:t>2.7 Overall Market Attractiveness</w:t>
      </w:r>
      <w:bookmarkEnd w:id="21"/>
    </w:p>
    <w:p w14:paraId="00A61C75" w14:textId="078C5F0C" w:rsidR="0072567F" w:rsidRPr="008C55EC" w:rsidRDefault="00E44493" w:rsidP="005D3243">
      <w:pPr>
        <w:rPr>
          <w:rFonts w:ascii="Arial" w:hAnsi="Arial"/>
          <w:color w:val="000000" w:themeColor="text1"/>
          <w:lang w:val="en-IN"/>
        </w:rPr>
      </w:pPr>
      <w:r w:rsidRPr="008C55EC">
        <w:rPr>
          <w:rFonts w:ascii="Arial" w:hAnsi="Arial"/>
          <w:color w:val="000000" w:themeColor="text1"/>
          <w:lang w:val="en-IN"/>
        </w:rPr>
        <w:t>Germany is a promising yet competitive market to Costco. The presence of strong purchasing power, logistics infrastructure and access to EU give considerable location advantages but competition with Aldi, Lidl, Edeka and REWE poses considerable barriers to entry. Based on the OLI framework by Dunning, the ownership benefits of Costco in the membership economics, the scale of procurement and Kirkland Signature generate potential value through internalisation (</w:t>
      </w:r>
      <w:proofErr w:type="spellStart"/>
      <w:r w:rsidRPr="008C55EC">
        <w:rPr>
          <w:rFonts w:ascii="Arial" w:hAnsi="Arial"/>
          <w:color w:val="000000" w:themeColor="text1"/>
          <w:lang w:val="en-IN"/>
        </w:rPr>
        <w:t>Batschauer</w:t>
      </w:r>
      <w:proofErr w:type="spellEnd"/>
      <w:r w:rsidRPr="008C55EC">
        <w:rPr>
          <w:rFonts w:ascii="Arial" w:hAnsi="Arial"/>
          <w:color w:val="000000" w:themeColor="text1"/>
          <w:lang w:val="en-IN"/>
        </w:rPr>
        <w:t xml:space="preserve"> da Cruz, Floriani and Amal, 2022). Hence, Germany needs to be adapted and not copied the current model of Costco</w:t>
      </w:r>
      <w:r w:rsidR="0072567F" w:rsidRPr="008C55EC">
        <w:rPr>
          <w:rFonts w:ascii="Arial" w:hAnsi="Arial"/>
          <w:color w:val="000000" w:themeColor="text1"/>
          <w:lang w:val="en-IN"/>
        </w:rPr>
        <w:t>.</w:t>
      </w:r>
    </w:p>
    <w:p w14:paraId="77E99E2B" w14:textId="2FC3EAD2" w:rsidR="00D612DB" w:rsidRPr="008C55EC" w:rsidRDefault="00D612DB" w:rsidP="00D612DB">
      <w:pPr>
        <w:pStyle w:val="Heading2"/>
        <w:rPr>
          <w:rFonts w:ascii="Arial" w:hAnsi="Arial" w:cs="Arial"/>
          <w:lang w:val="en-IN"/>
        </w:rPr>
      </w:pPr>
      <w:bookmarkStart w:id="22" w:name="_Toc237509322"/>
      <w:r w:rsidRPr="008C55EC">
        <w:rPr>
          <w:rFonts w:ascii="Arial" w:hAnsi="Arial" w:cs="Arial"/>
          <w:lang w:val="en-IN"/>
        </w:rPr>
        <w:t>3. Entry Mode Strategy and Strategic Synthesis</w:t>
      </w:r>
      <w:bookmarkEnd w:id="22"/>
      <w:r w:rsidRPr="008C55EC">
        <w:rPr>
          <w:rFonts w:ascii="Arial" w:hAnsi="Arial" w:cs="Arial"/>
          <w:lang w:val="en-IN"/>
        </w:rPr>
        <w:t xml:space="preserve"> </w:t>
      </w:r>
    </w:p>
    <w:p w14:paraId="38C8B77C" w14:textId="77777777" w:rsidR="00AE0496" w:rsidRPr="008C55EC" w:rsidRDefault="00AE0496" w:rsidP="00D612DB">
      <w:pPr>
        <w:pStyle w:val="Heading3"/>
        <w:rPr>
          <w:rFonts w:ascii="Arial" w:hAnsi="Arial" w:cs="Arial"/>
          <w:lang w:val="en-IN"/>
        </w:rPr>
      </w:pPr>
      <w:bookmarkStart w:id="23" w:name="_Toc237509323"/>
      <w:r w:rsidRPr="008C55EC">
        <w:rPr>
          <w:rFonts w:ascii="Arial" w:hAnsi="Arial" w:cs="Arial"/>
          <w:lang w:val="en-IN"/>
        </w:rPr>
        <w:t>3.1 Historical Entry Pattern</w:t>
      </w:r>
      <w:bookmarkEnd w:id="23"/>
    </w:p>
    <w:p w14:paraId="0733D296" w14:textId="77777777" w:rsidR="00AE0496" w:rsidRPr="008C55EC" w:rsidRDefault="00AE0496" w:rsidP="00AE0496">
      <w:pPr>
        <w:rPr>
          <w:rFonts w:ascii="Arial" w:hAnsi="Arial"/>
          <w:b/>
          <w:bCs/>
          <w:color w:val="000000" w:themeColor="text1"/>
          <w:lang w:val="en-IN"/>
        </w:rPr>
      </w:pPr>
      <w:r w:rsidRPr="008C55EC">
        <w:rPr>
          <w:rFonts w:ascii="Arial" w:hAnsi="Arial"/>
          <w:b/>
          <w:bCs/>
          <w:color w:val="000000" w:themeColor="text1"/>
          <w:lang w:val="en-IN"/>
        </w:rPr>
        <w:t>Conservative Internationalisation Strategy</w:t>
      </w:r>
    </w:p>
    <w:p w14:paraId="4782DD2C" w14:textId="77777777" w:rsidR="00E44493" w:rsidRPr="008C55EC" w:rsidRDefault="00E44493" w:rsidP="00787715">
      <w:pPr>
        <w:rPr>
          <w:rFonts w:ascii="Arial" w:hAnsi="Arial"/>
          <w:color w:val="000000" w:themeColor="text1"/>
          <w:lang w:val="en-IN"/>
        </w:rPr>
      </w:pPr>
      <w:r w:rsidRPr="008C55EC">
        <w:rPr>
          <w:rFonts w:ascii="Arial" w:hAnsi="Arial"/>
          <w:color w:val="000000" w:themeColor="text1"/>
          <w:lang w:val="en-IN"/>
        </w:rPr>
        <w:lastRenderedPageBreak/>
        <w:t xml:space="preserve">The international growth of Costco proves that the company has a selective growth strategy based on strategic compatibility and not on geographical expansion. Although it is estimated to earn about US$275 billion in revenue in fiscal 2025, Costco has almost 900 warehouses in 14 countries implying that the company cannot expand more due to market suitability as opposed to financial ability (Costco Wholesale Corporation, 2025). Costco focuses on developed, institutionally stable economies with purchasing power, and logistics infrastructure and consumer trust to sustain its membership model. </w:t>
      </w:r>
    </w:p>
    <w:p w14:paraId="36683EDC" w14:textId="307D0703" w:rsidR="00787715" w:rsidRPr="008C55EC" w:rsidRDefault="00E44493" w:rsidP="00787715">
      <w:pPr>
        <w:rPr>
          <w:rFonts w:ascii="Arial" w:hAnsi="Arial"/>
          <w:color w:val="000000" w:themeColor="text1"/>
          <w:lang w:val="en-IN"/>
        </w:rPr>
      </w:pPr>
      <w:r w:rsidRPr="008C55EC">
        <w:rPr>
          <w:rFonts w:ascii="Arial" w:hAnsi="Arial"/>
          <w:color w:val="000000" w:themeColor="text1"/>
          <w:lang w:val="en-IN"/>
        </w:rPr>
        <w:t>This method simplifies the coordination and secures the operational stability by internalisation benefits (Lei, 2026). Consequently, the historical development of Costco suggests that market compatibility is valued more than market size that would retain competitive abilities instead of maximising expansion velocity</w:t>
      </w:r>
      <w:r w:rsidR="00787715" w:rsidRPr="008C55EC">
        <w:rPr>
          <w:rFonts w:ascii="Arial" w:hAnsi="Arial"/>
          <w:color w:val="000000" w:themeColor="text1"/>
          <w:lang w:val="en-IN"/>
        </w:rPr>
        <w:t>.</w:t>
      </w:r>
    </w:p>
    <w:p w14:paraId="58404BFF"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Dominant Entry Mode: Wholly Owned Greenfield Investment</w:t>
      </w:r>
    </w:p>
    <w:p w14:paraId="63DCB460" w14:textId="77777777" w:rsidR="00213972" w:rsidRPr="008C55EC" w:rsidRDefault="00213972" w:rsidP="00787715">
      <w:pPr>
        <w:rPr>
          <w:rFonts w:ascii="Arial" w:hAnsi="Arial"/>
          <w:color w:val="000000" w:themeColor="text1"/>
        </w:rPr>
      </w:pPr>
      <w:r w:rsidRPr="008C55EC">
        <w:rPr>
          <w:rFonts w:ascii="Arial" w:hAnsi="Arial"/>
          <w:color w:val="000000" w:themeColor="text1"/>
        </w:rPr>
        <w:t xml:space="preserve">The decision of Costco to use wholly owned Greenfield investment is an indication that the company wants to safeguard an integrated operating system as opposed to merely gaining market access. The external partnerships are strategically risky due to the ability of the company to control procurement, inventory management, warehouse operations and membership experience. The number of memberships earned about US$4.8 billion in fiscal 2024, which proves that customer loyalty and operational stability are the keys to the profitability of Costco (Costco Wholesale Corporation, 2024). </w:t>
      </w:r>
    </w:p>
    <w:p w14:paraId="49727B25" w14:textId="4BB7C3BB" w:rsidR="00787715" w:rsidRPr="008C55EC" w:rsidRDefault="00213972" w:rsidP="00787715">
      <w:pPr>
        <w:rPr>
          <w:rFonts w:ascii="Arial" w:hAnsi="Arial"/>
          <w:color w:val="000000" w:themeColor="text1"/>
          <w:lang w:val="en-IN"/>
        </w:rPr>
      </w:pPr>
      <w:r w:rsidRPr="008C55EC">
        <w:rPr>
          <w:rFonts w:ascii="Arial" w:hAnsi="Arial"/>
          <w:color w:val="000000" w:themeColor="text1"/>
        </w:rPr>
        <w:t xml:space="preserve">In the Internalisation Theory of Dunning, companies internalise when external ownership is too costly in coordination and monitoring, compared to direct ownership. In the case of Costco, licensing, franchising, or joint ventures would speed up the growth, but it would undermine quality control, supplier relationships and brand consistency (Rindfleisch, 2020). Thus, the historical mode of entry of Costco shows that the governance decisions are geared towards maintaining the competitive capabilities instead of the rapid expansion </w:t>
      </w:r>
      <w:r w:rsidR="00787715" w:rsidRPr="008C55EC">
        <w:rPr>
          <w:rFonts w:ascii="Arial" w:hAnsi="Arial"/>
          <w:color w:val="000000" w:themeColor="text1"/>
          <w:lang w:val="en-IN"/>
        </w:rPr>
        <w:t>(Narula, 2020).</w:t>
      </w:r>
    </w:p>
    <w:p w14:paraId="47EB1A93" w14:textId="77777777" w:rsidR="00787715" w:rsidRPr="008C55EC" w:rsidRDefault="00787715" w:rsidP="00787715">
      <w:pPr>
        <w:pStyle w:val="Heading3"/>
        <w:rPr>
          <w:rFonts w:ascii="Arial" w:hAnsi="Arial" w:cs="Arial"/>
          <w:lang w:val="en-IN"/>
        </w:rPr>
      </w:pPr>
      <w:bookmarkStart w:id="24" w:name="_Toc237509324"/>
      <w:r w:rsidRPr="008C55EC">
        <w:rPr>
          <w:rFonts w:ascii="Arial" w:hAnsi="Arial" w:cs="Arial"/>
          <w:lang w:val="en-IN"/>
        </w:rPr>
        <w:t>3.2 Strategic Suitability for Germany</w:t>
      </w:r>
      <w:bookmarkEnd w:id="24"/>
    </w:p>
    <w:p w14:paraId="216754F8"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Past success is not necessarily a reason to imitate and thus, the dominant entry mode of Costco should be weighed against the institutional benefits and competitive facts in Germany. Whether or not Costco can enter Germany is not the key strategic question, </w:t>
      </w:r>
      <w:r w:rsidRPr="008C55EC">
        <w:rPr>
          <w:rFonts w:ascii="Arial" w:hAnsi="Arial"/>
          <w:color w:val="000000" w:themeColor="text1"/>
          <w:lang w:val="en-IN"/>
        </w:rPr>
        <w:lastRenderedPageBreak/>
        <w:t xml:space="preserve">but whether complete ownership will enable it to transfer capabilities that its competitors cannot easily imitate (Wortmann, 2020). </w:t>
      </w:r>
    </w:p>
    <w:p w14:paraId="14336039"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Preserving Competitive Advantage Through Organisational Control</w:t>
      </w:r>
    </w:p>
    <w:p w14:paraId="11FF320B"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The wholly owned Greenfield strategy used by Costco is still strategically suitable since its competitive edge is developed based on the combination of various capabilities as opposed to the single resources. The model of Costco is a mix of loyalty, which is based on membership, Kirkland Signature own brands, a small number of items and high turnover (Zaidi, 2026). The company clearly states its operating model as provision of low prices to members based on high sales volumes and high inventory turnover. Costco has 897 warehouses around the world, and this integrated system is scalable (Costco, 2024). </w:t>
      </w:r>
    </w:p>
    <w:p w14:paraId="062F807B" w14:textId="0D1CD8CE"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Germany, however, is a strategic paradox. A lot of capabilities that facilitate the success of Costco are already rewarded in the market. The German grocery retail market is very concentrated with Edeka, REWE, Schwarz Group (Lidl/Kaufland) and Aldi controlling the market. Edeka alone has a revenue of about €77.3 billion and a presence of over 10,000 stores to show the size and </w:t>
      </w:r>
      <w:r w:rsidR="00DF6599" w:rsidRPr="008C55EC">
        <w:rPr>
          <w:rFonts w:ascii="Arial" w:hAnsi="Arial"/>
          <w:color w:val="000000" w:themeColor="text1"/>
        </w:rPr>
        <w:t>embeddedness</w:t>
      </w:r>
      <w:r w:rsidRPr="008C55EC">
        <w:rPr>
          <w:rFonts w:ascii="Arial" w:hAnsi="Arial"/>
          <w:color w:val="000000" w:themeColor="text1"/>
        </w:rPr>
        <w:t xml:space="preserve"> </w:t>
      </w:r>
      <w:r w:rsidRPr="008C55EC">
        <w:rPr>
          <w:rFonts w:ascii="Arial" w:hAnsi="Arial"/>
          <w:color w:val="000000" w:themeColor="text1"/>
          <w:lang w:val="en-IN"/>
        </w:rPr>
        <w:t>of domestic rivals (WELT, 2026). Thus, price leadership or own-</w:t>
      </w:r>
      <w:proofErr w:type="spellStart"/>
      <w:r w:rsidRPr="008C55EC">
        <w:rPr>
          <w:rFonts w:ascii="Arial" w:hAnsi="Arial"/>
          <w:color w:val="000000" w:themeColor="text1"/>
          <w:lang w:val="en-IN"/>
        </w:rPr>
        <w:t>labeled</w:t>
      </w:r>
      <w:proofErr w:type="spellEnd"/>
      <w:r w:rsidRPr="008C55EC">
        <w:rPr>
          <w:rFonts w:ascii="Arial" w:hAnsi="Arial"/>
          <w:color w:val="000000" w:themeColor="text1"/>
          <w:lang w:val="en-IN"/>
        </w:rPr>
        <w:t xml:space="preserve"> products cannot be considered the adequate differentiation of Costco since German competitors already have similar benefits. Rather, Costco needs to capitalize on the synergies of membership economics, global procurement, and customer experience (Young, 2026). These interrelated capabilities are the real origin of advantage according to the Resource-Based View perspective since competitors can replicate particular activities but cannot recreate the entire system (Sarisa, 2021).</w:t>
      </w:r>
    </w:p>
    <w:p w14:paraId="67608FCD"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Supply Chain Efficiency and Strategic Positioning</w:t>
      </w:r>
    </w:p>
    <w:p w14:paraId="7E79903F"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The logistics environment in Germany enhances the case of direct investment. In 2023, the Logistics Performance Index of the World Bank ranked Germany as one of the best logistics economies in the world with a position of 3rd, which is an indicator of high infrastructure, reliability of shipments and logistics capability. This gives a high level of cohesion to the high-volume distribution model of Costco and gives Germany a potential to act as an extended Europe operational hub (World Bank, 2026).</w:t>
      </w:r>
    </w:p>
    <w:p w14:paraId="189FCCDB"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However, the logistics excellence is not a distinct Costco strength since the same infrastructure is already used by the established retailers. Thus, the location advantage of Germany lowers the barriers to operations, but it does not remove the competition (</w:t>
      </w:r>
      <w:proofErr w:type="spellStart"/>
      <w:r w:rsidRPr="008C55EC">
        <w:rPr>
          <w:rFonts w:ascii="Arial" w:hAnsi="Arial"/>
          <w:color w:val="000000" w:themeColor="text1"/>
          <w:lang w:val="en-IN"/>
        </w:rPr>
        <w:t>Abyaneh</w:t>
      </w:r>
      <w:proofErr w:type="spellEnd"/>
      <w:r w:rsidRPr="008C55EC">
        <w:rPr>
          <w:rFonts w:ascii="Arial" w:hAnsi="Arial"/>
          <w:color w:val="000000" w:themeColor="text1"/>
          <w:lang w:val="en-IN"/>
        </w:rPr>
        <w:t xml:space="preserve"> et al., 2025).</w:t>
      </w:r>
    </w:p>
    <w:p w14:paraId="4582ACB9"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lastRenderedPageBreak/>
        <w:t>Strategic Limitations</w:t>
      </w:r>
    </w:p>
    <w:p w14:paraId="412913C4" w14:textId="20AA713E"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The primary threat is implementation and not market access. Greenfield investment involves large capital investments and scale development is slow, whereas </w:t>
      </w:r>
      <w:r w:rsidR="004D674D" w:rsidRPr="008C55EC">
        <w:rPr>
          <w:rFonts w:ascii="Arial" w:hAnsi="Arial"/>
          <w:color w:val="000000" w:themeColor="text1"/>
        </w:rPr>
        <w:t>Costco must overcome deeply established consumer relationships within the German retail sector</w:t>
      </w:r>
      <w:r w:rsidRPr="008C55EC">
        <w:rPr>
          <w:rFonts w:ascii="Arial" w:hAnsi="Arial"/>
          <w:color w:val="000000" w:themeColor="text1"/>
          <w:lang w:val="en-IN"/>
        </w:rPr>
        <w:t>. As a result, the historical entry mode of Costco is strategically sound due to the safeguarding of its core competencies by ownership; but the implementation must occur in phases to mitigate the advantages of control benefits and risks of entering the most mature European grocery market in terms of finances and competition (Zheng, 2020).</w:t>
      </w:r>
    </w:p>
    <w:p w14:paraId="5FE828E2" w14:textId="77777777" w:rsidR="00787715" w:rsidRPr="008C55EC" w:rsidRDefault="00787715" w:rsidP="00787715">
      <w:pPr>
        <w:pStyle w:val="Heading3"/>
        <w:rPr>
          <w:rFonts w:ascii="Arial" w:hAnsi="Arial" w:cs="Arial"/>
          <w:lang w:val="en-IN"/>
        </w:rPr>
      </w:pPr>
      <w:bookmarkStart w:id="25" w:name="_Toc237509325"/>
      <w:r w:rsidRPr="008C55EC">
        <w:rPr>
          <w:rFonts w:ascii="Arial" w:hAnsi="Arial" w:cs="Arial"/>
          <w:lang w:val="en-IN"/>
        </w:rPr>
        <w:t>3.3 Alternative Entry Modes and Strategic Recommendation</w:t>
      </w:r>
      <w:bookmarkEnd w:id="25"/>
    </w:p>
    <w:p w14:paraId="68754868"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Joint Venture: Local Knowledge Versus Loss of Strategic Autonomy</w:t>
      </w:r>
    </w:p>
    <w:p w14:paraId="7667A39B"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The joint venture seems appealing as it may help alleviate the uncertainty that Costco has when entering the market by offering German retail experience, supplier contacts and accelerated legitimacy. Nevertheless, the governance risks reduce these advantages since the competitive advantage of Costco relies on the ability to control a well-integrated operating system. The model that Costco has been constructed on is membership warehouses, a narrowed range of products, creation of their own labels and a high turnover of inventory instead of the conventional retailing type of supermarket (Costco, 2026c). A local partner can be a gateway in Germany, where Edeka, REWE and Schwarz Group already control 65.9% of retail revenues, but is unlikely to have capabilities that are beyond those of established rivalry (Foreign Agricultural Service, 2025). Thus, joint ventures minimize financial risk, but lead to strategic dependence and possible lack of consistency in membership experience and are not the most appropriate entry mode by Costco (Anwar and Shah, 2018).</w:t>
      </w:r>
    </w:p>
    <w:p w14:paraId="00FC6BBF"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Acquisition: Speed Benefits Against Integration Risk</w:t>
      </w:r>
    </w:p>
    <w:p w14:paraId="6EBE2A5E"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Acquisition may offer instant access to locations, employees and consumer relationships, and may speed up Costco entry into the German mature retail environment. But there are few appropriate acquisition targets since the German grocery market is already dominated by highly efficient retailers who have entrenched operating models. Even Edeka alone has over 10,000 markets, showing the size and complexity of the established competitors (WELT, 2026). The acquisition of an existing retailer may thus pose a major integration issue, such as incompatible store format, organisational culture and supply-chain systems. As a result, acquisition is fast and </w:t>
      </w:r>
      <w:r w:rsidRPr="008C55EC">
        <w:rPr>
          <w:rFonts w:ascii="Arial" w:hAnsi="Arial"/>
          <w:color w:val="000000" w:themeColor="text1"/>
          <w:lang w:val="en-IN"/>
        </w:rPr>
        <w:lastRenderedPageBreak/>
        <w:t>has a danger of destroying operational consistency, which is the main competitive advantage of Costco (Radomska et al., 2024).</w:t>
      </w:r>
    </w:p>
    <w:p w14:paraId="106C49E5"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Strategic Alliances: Complementary Rather Than Substitutive</w:t>
      </w:r>
    </w:p>
    <w:p w14:paraId="6A8032C7" w14:textId="43EB34B9" w:rsidR="00AE0496" w:rsidRPr="008C55EC" w:rsidRDefault="00787715" w:rsidP="00787715">
      <w:pPr>
        <w:rPr>
          <w:rFonts w:ascii="Arial" w:hAnsi="Arial"/>
          <w:color w:val="000000" w:themeColor="text1"/>
          <w:lang w:val="en-IN"/>
        </w:rPr>
      </w:pPr>
      <w:r w:rsidRPr="008C55EC">
        <w:rPr>
          <w:rFonts w:ascii="Arial" w:hAnsi="Arial"/>
          <w:color w:val="000000" w:themeColor="text1"/>
          <w:lang w:val="en-IN"/>
        </w:rPr>
        <w:t>Strategic alliances are the most appropriate supporting mechanism due to the enhancement of local responsiveness without a transfer of ownership of key capabilities. Collaboration with logistics companies, renewable energy sources, technology solutions and local manufacturers may enhance the adaptation of Costco to Germany without losing control over its procurement and membership processes (</w:t>
      </w:r>
      <w:proofErr w:type="spellStart"/>
      <w:r w:rsidRPr="008C55EC">
        <w:rPr>
          <w:rFonts w:ascii="Arial" w:hAnsi="Arial"/>
          <w:color w:val="000000" w:themeColor="text1"/>
          <w:lang w:val="en-IN"/>
        </w:rPr>
        <w:t>Tjemkes</w:t>
      </w:r>
      <w:proofErr w:type="spellEnd"/>
      <w:r w:rsidRPr="008C55EC">
        <w:rPr>
          <w:rFonts w:ascii="Arial" w:hAnsi="Arial"/>
          <w:color w:val="000000" w:themeColor="text1"/>
          <w:lang w:val="en-IN"/>
        </w:rPr>
        <w:t>, Vos, and Burgers, 2023). This is in line with a transnational approach in which efficiency on the global scale is upheld and selective responsiveness on the local ones. Thus, alliances are to strengthen the Greenfield strategy of Costco instead of substituting it</w:t>
      </w:r>
      <w:r w:rsidR="00AE0496" w:rsidRPr="008C55EC">
        <w:rPr>
          <w:rFonts w:ascii="Arial" w:hAnsi="Arial"/>
          <w:color w:val="000000" w:themeColor="text1"/>
          <w:lang w:val="en-IN"/>
        </w:rPr>
        <w:t>.</w:t>
      </w:r>
    </w:p>
    <w:p w14:paraId="5328DF9A" w14:textId="77777777" w:rsidR="00AE0496" w:rsidRPr="008C55EC" w:rsidRDefault="00AE0496" w:rsidP="00AE0496">
      <w:pPr>
        <w:rPr>
          <w:rFonts w:ascii="Arial" w:hAnsi="Arial"/>
          <w:b/>
          <w:bCs/>
          <w:color w:val="000000" w:themeColor="text1"/>
          <w:lang w:val="en-IN"/>
        </w:rPr>
      </w:pPr>
      <w:r w:rsidRPr="008C55EC">
        <w:rPr>
          <w:rFonts w:ascii="Arial" w:hAnsi="Arial"/>
          <w:b/>
          <w:bCs/>
          <w:color w:val="000000" w:themeColor="text1"/>
          <w:lang w:val="en-IN"/>
        </w:rPr>
        <w:t>Strategic Recommendation</w:t>
      </w:r>
    </w:p>
    <w:p w14:paraId="1FF567DF" w14:textId="77777777" w:rsidR="00AB63C4" w:rsidRPr="008C55EC" w:rsidRDefault="00AB63C4" w:rsidP="00AE0496">
      <w:pPr>
        <w:rPr>
          <w:rFonts w:ascii="Arial" w:hAnsi="Arial"/>
          <w:color w:val="000000" w:themeColor="text1"/>
        </w:rPr>
      </w:pPr>
      <w:r w:rsidRPr="008C55EC">
        <w:rPr>
          <w:rFonts w:ascii="Arial" w:hAnsi="Arial"/>
          <w:color w:val="000000" w:themeColor="text1"/>
        </w:rPr>
        <w:t xml:space="preserve">Costco should adopt a phased Greenfield strategy. </w:t>
      </w:r>
    </w:p>
    <w:tbl>
      <w:tblPr>
        <w:tblStyle w:val="TableGridLight"/>
        <w:tblW w:w="0" w:type="auto"/>
        <w:tblLook w:val="04A0" w:firstRow="1" w:lastRow="0" w:firstColumn="1" w:lastColumn="0" w:noHBand="0" w:noVBand="1"/>
      </w:tblPr>
      <w:tblGrid>
        <w:gridCol w:w="2332"/>
        <w:gridCol w:w="3248"/>
        <w:gridCol w:w="3436"/>
      </w:tblGrid>
      <w:tr w:rsidR="00AB63C4" w:rsidRPr="008C55EC" w14:paraId="1E73F43E" w14:textId="77777777" w:rsidTr="00787715">
        <w:tc>
          <w:tcPr>
            <w:tcW w:w="0" w:type="auto"/>
            <w:hideMark/>
          </w:tcPr>
          <w:p w14:paraId="022F7698" w14:textId="77777777" w:rsidR="00AB63C4" w:rsidRPr="008C55EC" w:rsidRDefault="00AB63C4" w:rsidP="00AB63C4">
            <w:pPr>
              <w:rPr>
                <w:rFonts w:ascii="Arial" w:hAnsi="Arial"/>
                <w:b/>
                <w:bCs/>
                <w:color w:val="000000" w:themeColor="text1"/>
                <w:lang w:val="en-IN"/>
              </w:rPr>
            </w:pPr>
            <w:r w:rsidRPr="008C55EC">
              <w:rPr>
                <w:rFonts w:ascii="Arial" w:hAnsi="Arial"/>
                <w:b/>
                <w:bCs/>
                <w:color w:val="000000" w:themeColor="text1"/>
                <w:lang w:val="en-IN"/>
              </w:rPr>
              <w:t>Phase</w:t>
            </w:r>
          </w:p>
        </w:tc>
        <w:tc>
          <w:tcPr>
            <w:tcW w:w="0" w:type="auto"/>
            <w:hideMark/>
          </w:tcPr>
          <w:p w14:paraId="71E54CEE" w14:textId="77777777" w:rsidR="00AB63C4" w:rsidRPr="008C55EC" w:rsidRDefault="00AB63C4" w:rsidP="00AB63C4">
            <w:pPr>
              <w:rPr>
                <w:rFonts w:ascii="Arial" w:hAnsi="Arial"/>
                <w:b/>
                <w:bCs/>
                <w:color w:val="000000" w:themeColor="text1"/>
                <w:lang w:val="en-IN"/>
              </w:rPr>
            </w:pPr>
            <w:r w:rsidRPr="008C55EC">
              <w:rPr>
                <w:rFonts w:ascii="Arial" w:hAnsi="Arial"/>
                <w:b/>
                <w:bCs/>
                <w:color w:val="000000" w:themeColor="text1"/>
                <w:lang w:val="en-IN"/>
              </w:rPr>
              <w:t>Action</w:t>
            </w:r>
          </w:p>
        </w:tc>
        <w:tc>
          <w:tcPr>
            <w:tcW w:w="0" w:type="auto"/>
            <w:hideMark/>
          </w:tcPr>
          <w:p w14:paraId="04C541A4" w14:textId="77777777" w:rsidR="00AB63C4" w:rsidRPr="008C55EC" w:rsidRDefault="00AB63C4" w:rsidP="00AB63C4">
            <w:pPr>
              <w:rPr>
                <w:rFonts w:ascii="Arial" w:hAnsi="Arial"/>
                <w:b/>
                <w:bCs/>
                <w:color w:val="000000" w:themeColor="text1"/>
                <w:lang w:val="en-IN"/>
              </w:rPr>
            </w:pPr>
            <w:r w:rsidRPr="008C55EC">
              <w:rPr>
                <w:rFonts w:ascii="Arial" w:hAnsi="Arial"/>
                <w:b/>
                <w:bCs/>
                <w:color w:val="000000" w:themeColor="text1"/>
                <w:lang w:val="en-IN"/>
              </w:rPr>
              <w:t>Purpose</w:t>
            </w:r>
          </w:p>
        </w:tc>
      </w:tr>
      <w:tr w:rsidR="00AB63C4" w:rsidRPr="008C55EC" w14:paraId="0E28D7D5" w14:textId="77777777" w:rsidTr="00787715">
        <w:tc>
          <w:tcPr>
            <w:tcW w:w="0" w:type="auto"/>
            <w:hideMark/>
          </w:tcPr>
          <w:p w14:paraId="616DA2D2" w14:textId="77777777" w:rsidR="00AB63C4" w:rsidRPr="008C55EC" w:rsidRDefault="00AB63C4" w:rsidP="00AB63C4">
            <w:pPr>
              <w:rPr>
                <w:rFonts w:ascii="Arial" w:hAnsi="Arial"/>
                <w:color w:val="000000" w:themeColor="text1"/>
                <w:lang w:val="en-IN"/>
              </w:rPr>
            </w:pPr>
            <w:r w:rsidRPr="008C55EC">
              <w:rPr>
                <w:rFonts w:ascii="Arial" w:hAnsi="Arial"/>
                <w:b/>
                <w:bCs/>
                <w:color w:val="000000" w:themeColor="text1"/>
                <w:lang w:val="en-IN"/>
              </w:rPr>
              <w:t>Phase 1: Preparation</w:t>
            </w:r>
          </w:p>
        </w:tc>
        <w:tc>
          <w:tcPr>
            <w:tcW w:w="0" w:type="auto"/>
            <w:hideMark/>
          </w:tcPr>
          <w:p w14:paraId="460C4A40"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Build supplier networks, logistics capability and test market demand</w:t>
            </w:r>
          </w:p>
        </w:tc>
        <w:tc>
          <w:tcPr>
            <w:tcW w:w="0" w:type="auto"/>
            <w:hideMark/>
          </w:tcPr>
          <w:p w14:paraId="60894BAB"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Reduce entry risk and understand consumer acceptance</w:t>
            </w:r>
          </w:p>
        </w:tc>
      </w:tr>
      <w:tr w:rsidR="00AB63C4" w:rsidRPr="008C55EC" w14:paraId="6698E58F" w14:textId="77777777" w:rsidTr="00787715">
        <w:tc>
          <w:tcPr>
            <w:tcW w:w="0" w:type="auto"/>
            <w:hideMark/>
          </w:tcPr>
          <w:p w14:paraId="4FECD1C2" w14:textId="77777777" w:rsidR="00AB63C4" w:rsidRPr="008C55EC" w:rsidRDefault="00AB63C4" w:rsidP="00AB63C4">
            <w:pPr>
              <w:rPr>
                <w:rFonts w:ascii="Arial" w:hAnsi="Arial"/>
                <w:color w:val="000000" w:themeColor="text1"/>
                <w:lang w:val="en-IN"/>
              </w:rPr>
            </w:pPr>
            <w:r w:rsidRPr="008C55EC">
              <w:rPr>
                <w:rFonts w:ascii="Arial" w:hAnsi="Arial"/>
                <w:b/>
                <w:bCs/>
                <w:color w:val="000000" w:themeColor="text1"/>
                <w:lang w:val="en-IN"/>
              </w:rPr>
              <w:t>Phase 2: Launch</w:t>
            </w:r>
          </w:p>
        </w:tc>
        <w:tc>
          <w:tcPr>
            <w:tcW w:w="0" w:type="auto"/>
            <w:hideMark/>
          </w:tcPr>
          <w:p w14:paraId="4B37CEFA"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Open flagship warehouses in major metropolitan areas</w:t>
            </w:r>
          </w:p>
        </w:tc>
        <w:tc>
          <w:tcPr>
            <w:tcW w:w="0" w:type="auto"/>
            <w:hideMark/>
          </w:tcPr>
          <w:p w14:paraId="370C1BF2"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Establish brand presence and validate Costco's model</w:t>
            </w:r>
          </w:p>
        </w:tc>
      </w:tr>
      <w:tr w:rsidR="00AB63C4" w:rsidRPr="008C55EC" w14:paraId="7EBE7BD6" w14:textId="77777777" w:rsidTr="00787715">
        <w:tc>
          <w:tcPr>
            <w:tcW w:w="0" w:type="auto"/>
            <w:hideMark/>
          </w:tcPr>
          <w:p w14:paraId="12AB8634" w14:textId="77777777" w:rsidR="00AB63C4" w:rsidRPr="008C55EC" w:rsidRDefault="00AB63C4" w:rsidP="00AB63C4">
            <w:pPr>
              <w:rPr>
                <w:rFonts w:ascii="Arial" w:hAnsi="Arial"/>
                <w:color w:val="000000" w:themeColor="text1"/>
                <w:lang w:val="en-IN"/>
              </w:rPr>
            </w:pPr>
            <w:r w:rsidRPr="008C55EC">
              <w:rPr>
                <w:rFonts w:ascii="Arial" w:hAnsi="Arial"/>
                <w:b/>
                <w:bCs/>
                <w:color w:val="000000" w:themeColor="text1"/>
                <w:lang w:val="en-IN"/>
              </w:rPr>
              <w:t>Phase 3: Expansion</w:t>
            </w:r>
          </w:p>
        </w:tc>
        <w:tc>
          <w:tcPr>
            <w:tcW w:w="0" w:type="auto"/>
            <w:hideMark/>
          </w:tcPr>
          <w:p w14:paraId="594837E7"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Scale nationally and integrate Germany into Costco's European network</w:t>
            </w:r>
          </w:p>
        </w:tc>
        <w:tc>
          <w:tcPr>
            <w:tcW w:w="0" w:type="auto"/>
            <w:hideMark/>
          </w:tcPr>
          <w:p w14:paraId="42958FE7"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Achieve economies of scale while maintaining control</w:t>
            </w:r>
          </w:p>
        </w:tc>
      </w:tr>
      <w:tr w:rsidR="00AB63C4" w:rsidRPr="008C55EC" w14:paraId="63CD08DD" w14:textId="77777777" w:rsidTr="00787715">
        <w:tc>
          <w:tcPr>
            <w:tcW w:w="0" w:type="auto"/>
            <w:hideMark/>
          </w:tcPr>
          <w:p w14:paraId="6CA1C8A9" w14:textId="77777777" w:rsidR="00AB63C4" w:rsidRPr="008C55EC" w:rsidRDefault="00AB63C4" w:rsidP="00AB63C4">
            <w:pPr>
              <w:rPr>
                <w:rFonts w:ascii="Arial" w:hAnsi="Arial"/>
                <w:color w:val="000000" w:themeColor="text1"/>
                <w:lang w:val="en-IN"/>
              </w:rPr>
            </w:pPr>
            <w:r w:rsidRPr="008C55EC">
              <w:rPr>
                <w:rFonts w:ascii="Arial" w:hAnsi="Arial"/>
                <w:b/>
                <w:bCs/>
                <w:color w:val="000000" w:themeColor="text1"/>
                <w:lang w:val="en-IN"/>
              </w:rPr>
              <w:t>Recommendation</w:t>
            </w:r>
          </w:p>
        </w:tc>
        <w:tc>
          <w:tcPr>
            <w:tcW w:w="0" w:type="auto"/>
            <w:hideMark/>
          </w:tcPr>
          <w:p w14:paraId="159BE86B"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Use a phased wholly owned Greenfield strategy</w:t>
            </w:r>
          </w:p>
        </w:tc>
        <w:tc>
          <w:tcPr>
            <w:tcW w:w="0" w:type="auto"/>
            <w:hideMark/>
          </w:tcPr>
          <w:p w14:paraId="19300F70" w14:textId="77777777" w:rsidR="00AB63C4" w:rsidRPr="008C55EC" w:rsidRDefault="00AB63C4" w:rsidP="00AB63C4">
            <w:pPr>
              <w:rPr>
                <w:rFonts w:ascii="Arial" w:hAnsi="Arial"/>
                <w:color w:val="000000" w:themeColor="text1"/>
                <w:lang w:val="en-IN"/>
              </w:rPr>
            </w:pPr>
            <w:r w:rsidRPr="008C55EC">
              <w:rPr>
                <w:rFonts w:ascii="Arial" w:hAnsi="Arial"/>
                <w:color w:val="000000" w:themeColor="text1"/>
                <w:lang w:val="en-IN"/>
              </w:rPr>
              <w:t>Protect Costco's organisational advantages while reducing investment risk</w:t>
            </w:r>
          </w:p>
        </w:tc>
      </w:tr>
    </w:tbl>
    <w:p w14:paraId="132CE64A" w14:textId="4D8A35A0" w:rsidR="00AE0496" w:rsidRPr="008C55EC" w:rsidRDefault="00AE0496" w:rsidP="00AE0496">
      <w:pPr>
        <w:rPr>
          <w:rFonts w:ascii="Arial" w:hAnsi="Arial"/>
          <w:color w:val="000000" w:themeColor="text1"/>
          <w:lang w:val="en-IN"/>
        </w:rPr>
      </w:pPr>
    </w:p>
    <w:p w14:paraId="3C132929" w14:textId="77777777" w:rsidR="00AE0496" w:rsidRPr="008C55EC" w:rsidRDefault="00AE0496" w:rsidP="00787715">
      <w:pPr>
        <w:pStyle w:val="Heading1"/>
        <w:rPr>
          <w:rFonts w:ascii="Arial" w:hAnsi="Arial" w:cs="Arial"/>
          <w:lang w:val="en-IN"/>
        </w:rPr>
      </w:pPr>
      <w:bookmarkStart w:id="26" w:name="_Toc237509326"/>
      <w:r w:rsidRPr="008C55EC">
        <w:rPr>
          <w:rFonts w:ascii="Arial" w:hAnsi="Arial" w:cs="Arial"/>
          <w:lang w:val="en-IN"/>
        </w:rPr>
        <w:lastRenderedPageBreak/>
        <w:t>Section 2: Reflective Account Using Gibbs Reflective Cycle</w:t>
      </w:r>
      <w:bookmarkEnd w:id="26"/>
    </w:p>
    <w:p w14:paraId="0259AAA5" w14:textId="77777777" w:rsidR="00A1683A" w:rsidRPr="008C55EC" w:rsidRDefault="00A1683A" w:rsidP="00A1683A">
      <w:pPr>
        <w:keepNext/>
        <w:jc w:val="center"/>
        <w:rPr>
          <w:rFonts w:ascii="Arial" w:hAnsi="Arial"/>
          <w:color w:val="000000" w:themeColor="text1"/>
        </w:rPr>
      </w:pPr>
      <w:r w:rsidRPr="008C55EC">
        <w:rPr>
          <w:rFonts w:ascii="Arial" w:hAnsi="Arial"/>
          <w:noProof/>
          <w:color w:val="000000" w:themeColor="text1"/>
        </w:rPr>
        <w:drawing>
          <wp:inline distT="0" distB="0" distL="0" distR="0" wp14:anchorId="370FFF74" wp14:editId="2991C632">
            <wp:extent cx="4045585" cy="3778897"/>
            <wp:effectExtent l="0" t="0" r="0" b="0"/>
            <wp:docPr id="1914482660" name="Picture 7" descr="Gibbs' reflective cycle, adopted from Husebø et al. (201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Gibbs' reflective cycle, adopted from Husebø et al. (2013)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46755" cy="3779990"/>
                    </a:xfrm>
                    <a:prstGeom prst="rect">
                      <a:avLst/>
                    </a:prstGeom>
                    <a:noFill/>
                    <a:ln>
                      <a:noFill/>
                    </a:ln>
                  </pic:spPr>
                </pic:pic>
              </a:graphicData>
            </a:graphic>
          </wp:inline>
        </w:drawing>
      </w:r>
    </w:p>
    <w:p w14:paraId="59535B90" w14:textId="5F363AEF" w:rsidR="00A1683A" w:rsidRPr="008C55EC" w:rsidRDefault="00A1683A" w:rsidP="00A1683A">
      <w:pPr>
        <w:pStyle w:val="Caption"/>
        <w:jc w:val="center"/>
        <w:rPr>
          <w:rFonts w:ascii="Arial" w:hAnsi="Arial"/>
          <w:b/>
          <w:bCs/>
          <w:i w:val="0"/>
          <w:iCs w:val="0"/>
          <w:color w:val="000000" w:themeColor="text1"/>
          <w:sz w:val="24"/>
          <w:szCs w:val="24"/>
          <w:lang w:val="en-IN"/>
        </w:rPr>
      </w:pPr>
      <w:bookmarkStart w:id="27" w:name="_Toc236141284"/>
      <w:r w:rsidRPr="008C55EC">
        <w:rPr>
          <w:rFonts w:ascii="Arial" w:hAnsi="Arial"/>
          <w:b/>
          <w:bCs/>
          <w:i w:val="0"/>
          <w:iCs w:val="0"/>
          <w:color w:val="000000" w:themeColor="text1"/>
          <w:sz w:val="24"/>
          <w:szCs w:val="24"/>
        </w:rPr>
        <w:t xml:space="preserve">Figure </w:t>
      </w:r>
      <w:r w:rsidRPr="008C55EC">
        <w:rPr>
          <w:rFonts w:ascii="Arial" w:hAnsi="Arial"/>
          <w:b/>
          <w:bCs/>
          <w:i w:val="0"/>
          <w:iCs w:val="0"/>
          <w:color w:val="000000" w:themeColor="text1"/>
          <w:sz w:val="24"/>
          <w:szCs w:val="24"/>
        </w:rPr>
        <w:fldChar w:fldCharType="begin"/>
      </w:r>
      <w:r w:rsidRPr="008C55EC">
        <w:rPr>
          <w:rFonts w:ascii="Arial" w:hAnsi="Arial"/>
          <w:b/>
          <w:bCs/>
          <w:i w:val="0"/>
          <w:iCs w:val="0"/>
          <w:color w:val="000000" w:themeColor="text1"/>
          <w:sz w:val="24"/>
          <w:szCs w:val="24"/>
        </w:rPr>
        <w:instrText xml:space="preserve"> SEQ Figure \* ARABIC </w:instrText>
      </w:r>
      <w:r w:rsidRPr="008C55EC">
        <w:rPr>
          <w:rFonts w:ascii="Arial" w:hAnsi="Arial"/>
          <w:b/>
          <w:bCs/>
          <w:i w:val="0"/>
          <w:iCs w:val="0"/>
          <w:color w:val="000000" w:themeColor="text1"/>
          <w:sz w:val="24"/>
          <w:szCs w:val="24"/>
        </w:rPr>
        <w:fldChar w:fldCharType="separate"/>
      </w:r>
      <w:r w:rsidRPr="008C55EC">
        <w:rPr>
          <w:rFonts w:ascii="Arial" w:hAnsi="Arial"/>
          <w:b/>
          <w:bCs/>
          <w:i w:val="0"/>
          <w:iCs w:val="0"/>
          <w:noProof/>
          <w:color w:val="000000" w:themeColor="text1"/>
          <w:sz w:val="24"/>
          <w:szCs w:val="24"/>
        </w:rPr>
        <w:t>10</w:t>
      </w:r>
      <w:r w:rsidRPr="008C55EC">
        <w:rPr>
          <w:rFonts w:ascii="Arial" w:hAnsi="Arial"/>
          <w:b/>
          <w:bCs/>
          <w:i w:val="0"/>
          <w:iCs w:val="0"/>
          <w:color w:val="000000" w:themeColor="text1"/>
          <w:sz w:val="24"/>
          <w:szCs w:val="24"/>
        </w:rPr>
        <w:fldChar w:fldCharType="end"/>
      </w:r>
      <w:r w:rsidRPr="008C55EC">
        <w:rPr>
          <w:rFonts w:ascii="Arial" w:hAnsi="Arial"/>
          <w:b/>
          <w:bCs/>
          <w:i w:val="0"/>
          <w:iCs w:val="0"/>
          <w:color w:val="000000" w:themeColor="text1"/>
          <w:sz w:val="24"/>
          <w:szCs w:val="24"/>
        </w:rPr>
        <w:t>: Gibbs Reflective Cycle</w:t>
      </w:r>
      <w:bookmarkEnd w:id="27"/>
    </w:p>
    <w:p w14:paraId="548DCD0A" w14:textId="0A3C0FAB" w:rsidR="00A1683A" w:rsidRPr="008C55EC" w:rsidRDefault="00A1683A" w:rsidP="00A1683A">
      <w:pPr>
        <w:jc w:val="center"/>
        <w:rPr>
          <w:rFonts w:ascii="Arial" w:hAnsi="Arial"/>
          <w:color w:val="000000" w:themeColor="text1"/>
          <w:lang w:val="en-IN"/>
        </w:rPr>
      </w:pPr>
      <w:r w:rsidRPr="008C55EC">
        <w:rPr>
          <w:rFonts w:ascii="Arial" w:hAnsi="Arial"/>
          <w:color w:val="000000" w:themeColor="text1"/>
          <w:lang w:val="en-IN"/>
        </w:rPr>
        <w:t>(Source: Sellberg and Wiig, 2020)</w:t>
      </w:r>
    </w:p>
    <w:p w14:paraId="4629BCFB" w14:textId="77777777" w:rsidR="00E93729" w:rsidRPr="008C55EC" w:rsidRDefault="00E93729" w:rsidP="00E93729">
      <w:pPr>
        <w:rPr>
          <w:rFonts w:ascii="Arial" w:hAnsi="Arial"/>
          <w:b/>
          <w:bCs/>
          <w:color w:val="000000" w:themeColor="text1"/>
          <w:lang w:val="en-IN"/>
        </w:rPr>
      </w:pPr>
      <w:r w:rsidRPr="008C55EC">
        <w:rPr>
          <w:rFonts w:ascii="Arial" w:hAnsi="Arial"/>
          <w:b/>
          <w:bCs/>
          <w:color w:val="000000" w:themeColor="text1"/>
          <w:lang w:val="en-IN"/>
        </w:rPr>
        <w:t>Description: From Market Evaluation to Strategic Problem Framing</w:t>
      </w:r>
    </w:p>
    <w:p w14:paraId="2F50B5B3" w14:textId="77E950BC"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My initial approach to the research was that Germany was a good expansion opportunity of Costco due to its economic strength, purchasing power and developed infrastructure. Nevertheless, when using the international business models, it shifted my thinking and turned my research question into: </w:t>
      </w:r>
      <w:r w:rsidR="00A1683A" w:rsidRPr="008C55EC">
        <w:rPr>
          <w:rFonts w:ascii="Arial" w:hAnsi="Arial"/>
          <w:color w:val="000000" w:themeColor="text1"/>
          <w:lang w:val="en-IN"/>
        </w:rPr>
        <w:t>“</w:t>
      </w:r>
      <w:r w:rsidR="00A1683A" w:rsidRPr="008C55EC">
        <w:rPr>
          <w:rFonts w:ascii="Arial" w:hAnsi="Arial"/>
          <w:color w:val="000000" w:themeColor="text1"/>
        </w:rPr>
        <w:t>Is Germany an attractive market?” into “Can Costco transfer its competitive advantage into a market where many of its capabilities are already possessed by local competitors</w:t>
      </w:r>
      <w:r w:rsidRPr="008C55EC">
        <w:rPr>
          <w:rFonts w:ascii="Arial" w:hAnsi="Arial"/>
          <w:color w:val="000000" w:themeColor="text1"/>
          <w:lang w:val="en-IN"/>
        </w:rPr>
        <w:t>?</w:t>
      </w:r>
    </w:p>
    <w:p w14:paraId="46576327"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I shifted the perception of international expansion as an opportunity-seeking process to assessing the connection between firm capabilities and host-country conditions. The location advantages of Germany, such as market size, infrastructure and institutional stability, were first pointed out by Dunning in his OLI framework. Nevertheless, competitor analysis indicated that these benefits were not unique to Costco since German retailers already had efficient supply chains, own-label and good consumer relations. On the same note, the Transaction Cost Economics made me </w:t>
      </w:r>
      <w:r w:rsidRPr="008C55EC">
        <w:rPr>
          <w:rFonts w:ascii="Arial" w:hAnsi="Arial"/>
          <w:color w:val="000000" w:themeColor="text1"/>
          <w:lang w:val="en-IN"/>
        </w:rPr>
        <w:lastRenderedPageBreak/>
        <w:t>realize that the choice made by Costco to be an owner was a strategic decision as well as it showed the financial risk posed by the control (Rindfleisch, 2020).</w:t>
      </w:r>
    </w:p>
    <w:p w14:paraId="2183A1D1"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In the process I shifted the gathering of evidence that justified expansion to the development of strategic arguments founded on opportunities, constraints and trade-offs.</w:t>
      </w:r>
    </w:p>
    <w:p w14:paraId="3D47E1C6" w14:textId="77777777" w:rsidR="00213972" w:rsidRPr="008C55EC" w:rsidRDefault="00213972" w:rsidP="00787715">
      <w:pPr>
        <w:rPr>
          <w:rFonts w:ascii="Arial" w:hAnsi="Arial"/>
          <w:b/>
          <w:bCs/>
          <w:color w:val="000000" w:themeColor="text1"/>
        </w:rPr>
      </w:pPr>
      <w:r w:rsidRPr="008C55EC">
        <w:rPr>
          <w:rFonts w:ascii="Arial" w:hAnsi="Arial"/>
          <w:b/>
          <w:bCs/>
          <w:color w:val="000000" w:themeColor="text1"/>
        </w:rPr>
        <w:t>Feelings: Challenging My Initial Strategic Assumptions</w:t>
      </w:r>
    </w:p>
    <w:p w14:paraId="221103F1" w14:textId="1AE0CDE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The hardest part of this study was to identify my initial bias of equating global success by Costco to international success. The assumption that expansion into Germany was primarily an implementation issue was initially brought about by the strong brand reputation, financial performance and developed warehouse model of Costco</w:t>
      </w:r>
      <w:r w:rsidR="00A1683A" w:rsidRPr="008C55EC">
        <w:rPr>
          <w:rFonts w:ascii="Arial" w:hAnsi="Arial"/>
          <w:color w:val="000000" w:themeColor="text1"/>
          <w:lang w:val="en-IN"/>
        </w:rPr>
        <w:t xml:space="preserve"> (Dutta, He and Tsang, 2023)</w:t>
      </w:r>
      <w:r w:rsidRPr="008C55EC">
        <w:rPr>
          <w:rFonts w:ascii="Arial" w:hAnsi="Arial"/>
          <w:color w:val="000000" w:themeColor="text1"/>
          <w:lang w:val="en-IN"/>
        </w:rPr>
        <w:t>.</w:t>
      </w:r>
    </w:p>
    <w:p w14:paraId="0819F9A4" w14:textId="77777777" w:rsidR="00A1683A" w:rsidRPr="008C55EC" w:rsidRDefault="00A1683A" w:rsidP="00787715">
      <w:pPr>
        <w:rPr>
          <w:rFonts w:ascii="Arial" w:hAnsi="Arial"/>
          <w:color w:val="000000" w:themeColor="text1"/>
          <w:lang w:val="en-IN"/>
        </w:rPr>
      </w:pPr>
      <w:r w:rsidRPr="008C55EC">
        <w:rPr>
          <w:rFonts w:ascii="Arial" w:hAnsi="Arial"/>
          <w:color w:val="000000" w:themeColor="text1"/>
          <w:lang w:val="en-IN"/>
        </w:rPr>
        <w:t>I first thought that the competitive advantages of Costco would be directly transferred to Germany. However, analysing the German retail environment challenged this assumption. I understood that the low prices, own-label and efficiency of the operations were not the only strengths that Costco had and Aldi, Lidl, Edeka and REWE already had high level of consumer trust, purchasing power and efficient retail system. This made me wonder whether Costco could differentiate its model based on membership adequately. I also came to know that competitive advantages are contextual and they should be compared to local competition, consumer behaviour and institutional conditions then international expansion.</w:t>
      </w:r>
    </w:p>
    <w:p w14:paraId="4F5FCCD7" w14:textId="45812FF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Evaluation: Strengths and Limitations of My Analytical Approach</w:t>
      </w:r>
    </w:p>
    <w:p w14:paraId="2942319E"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My most powerful aspect was the incorporation of various theoretical approaches instead of adhering to a single theory. The integration of OLI, Resource-Based View and Transaction Cost Economics enabled me to create a balanced score of the expansion strategy of Costco (Sarisa, 2021; Rindfleisch, 2020). OLI was used to assess the location advantages of Germany, Resource-Based View was used to assess the unique capabilities of Costco and the Transaction Cost Economics was used to assess the right governance options.</w:t>
      </w:r>
    </w:p>
    <w:p w14:paraId="6B76483F"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Nevertheless, I found weaknesses in my strategy. First, I have been too focused on the internal strength of Costco and under-analysed that of the competitors. A more powerful strategy would have involved the competitor analysis sooner to determine whether the benefits of Costco were really hard to copy.</w:t>
      </w:r>
    </w:p>
    <w:p w14:paraId="33BE8E86" w14:textId="7DA30E9F"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 xml:space="preserve">Consumer acceptance was also not evaluated fully due to the fact that I used secondary research as the main source. The academic sources, company reports and </w:t>
      </w:r>
      <w:r w:rsidRPr="008C55EC">
        <w:rPr>
          <w:rFonts w:ascii="Arial" w:hAnsi="Arial"/>
          <w:color w:val="000000" w:themeColor="text1"/>
          <w:lang w:val="en-IN"/>
        </w:rPr>
        <w:lastRenderedPageBreak/>
        <w:t>industry databases were a source of good evidence but the primary research into the attitudes of Germans towards membership retailing would have reinforced my knowledge</w:t>
      </w:r>
      <w:r w:rsidR="00A1683A" w:rsidRPr="008C55EC">
        <w:rPr>
          <w:rFonts w:ascii="Arial" w:hAnsi="Arial"/>
          <w:color w:val="000000" w:themeColor="text1"/>
          <w:lang w:val="en-IN"/>
        </w:rPr>
        <w:t xml:space="preserve"> (Dutta, He and Tsang, 2023)</w:t>
      </w:r>
      <w:r w:rsidRPr="008C55EC">
        <w:rPr>
          <w:rFonts w:ascii="Arial" w:hAnsi="Arial"/>
          <w:color w:val="000000" w:themeColor="text1"/>
          <w:lang w:val="en-IN"/>
        </w:rPr>
        <w:t>.</w:t>
      </w:r>
    </w:p>
    <w:p w14:paraId="306E8B6A"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Analysis: Development of Strategic Decision-Making</w:t>
      </w:r>
    </w:p>
    <w:p w14:paraId="1BE72818" w14:textId="228D81D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The most important learning experience in this research was the realisation that frameworks must not merely arrange information; it must confront assumptions. Until I accomplished this project, I considered entry mode selection to be the choice between minimizing risk and maximizing market reach. Nevertheless, the analysis of Costco proved that the decisions of governance are directly related to the competitive advantage</w:t>
      </w:r>
      <w:r w:rsidR="00A1683A" w:rsidRPr="008C55EC">
        <w:rPr>
          <w:rFonts w:ascii="Arial" w:hAnsi="Arial"/>
          <w:color w:val="000000" w:themeColor="text1"/>
          <w:lang w:val="en-IN"/>
        </w:rPr>
        <w:t xml:space="preserve"> (Dutta, He and Tsang, 2023)</w:t>
      </w:r>
      <w:r w:rsidRPr="008C55EC">
        <w:rPr>
          <w:rFonts w:ascii="Arial" w:hAnsi="Arial"/>
          <w:color w:val="000000" w:themeColor="text1"/>
          <w:lang w:val="en-IN"/>
        </w:rPr>
        <w:t>.</w:t>
      </w:r>
    </w:p>
    <w:p w14:paraId="0DF9D83E" w14:textId="03005081"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I found joint ventures appealing at first as they would offer local expertise and lower exposure to investments. Further examination revealed though that less ownership may diminish the strength of the differentiating capabilities of Costco such as operational consistency, supplier relationship and membership experience</w:t>
      </w:r>
      <w:r w:rsidR="00A1683A" w:rsidRPr="008C55EC">
        <w:rPr>
          <w:rFonts w:ascii="Arial" w:hAnsi="Arial"/>
          <w:color w:val="000000" w:themeColor="text1"/>
          <w:lang w:val="en-IN"/>
        </w:rPr>
        <w:t xml:space="preserve"> (Dutta, He and Tsang, 2023)</w:t>
      </w:r>
      <w:r w:rsidRPr="008C55EC">
        <w:rPr>
          <w:rFonts w:ascii="Arial" w:hAnsi="Arial"/>
          <w:color w:val="000000" w:themeColor="text1"/>
          <w:lang w:val="en-IN"/>
        </w:rPr>
        <w:t>. I also got to know that in making the strategic decisions, short-term losses may be inevitable to secure the long-term competitive advantages.</w:t>
      </w:r>
    </w:p>
    <w:p w14:paraId="44E98CDA"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My concept of evidence also transformed due to the research. In the past, I saw evidence as primarily information to back arguments. This project also taught me that the assumptions should also be challenged by evidence. The excellent logistics network in Germany facilitated the growth potential of Costco, and it was also the reason why the existing retailers were challenging to compete with.</w:t>
      </w:r>
    </w:p>
    <w:p w14:paraId="4ECD683A"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Conclusion: Transferable Strategic Learning</w:t>
      </w:r>
    </w:p>
    <w:p w14:paraId="39245B87" w14:textId="54303831" w:rsidR="00787715" w:rsidRPr="008C55EC" w:rsidRDefault="00213972" w:rsidP="00787715">
      <w:pPr>
        <w:rPr>
          <w:rFonts w:ascii="Arial" w:hAnsi="Arial"/>
          <w:color w:val="000000" w:themeColor="text1"/>
          <w:lang w:val="en-IN"/>
        </w:rPr>
      </w:pPr>
      <w:r w:rsidRPr="008C55EC">
        <w:rPr>
          <w:rFonts w:ascii="Arial" w:hAnsi="Arial"/>
          <w:color w:val="000000" w:themeColor="text1"/>
        </w:rPr>
        <w:t>This research has helped me to gain a more critical perspective on international business strategy. I was taught that successful expansion is not only based on the need to find attractive markets but also the ability to check whether organisational capabilities can be useful with varying competitive and institutional environments</w:t>
      </w:r>
      <w:r w:rsidR="00787715" w:rsidRPr="008C55EC">
        <w:rPr>
          <w:rFonts w:ascii="Arial" w:hAnsi="Arial"/>
          <w:color w:val="000000" w:themeColor="text1"/>
          <w:lang w:val="en-IN"/>
        </w:rPr>
        <w:t>.</w:t>
      </w:r>
    </w:p>
    <w:p w14:paraId="42D81772" w14:textId="77777777" w:rsidR="00787715" w:rsidRPr="008C55EC" w:rsidRDefault="00787715" w:rsidP="00787715">
      <w:pPr>
        <w:rPr>
          <w:rFonts w:ascii="Arial" w:hAnsi="Arial"/>
          <w:color w:val="000000" w:themeColor="text1"/>
          <w:lang w:val="en-IN"/>
        </w:rPr>
      </w:pPr>
      <w:r w:rsidRPr="008C55EC">
        <w:rPr>
          <w:rFonts w:ascii="Arial" w:hAnsi="Arial"/>
          <w:color w:val="000000" w:themeColor="text1"/>
          <w:lang w:val="en-IN"/>
        </w:rPr>
        <w:t>The success of Costco in Germany would not be based on the mere transfer of its current model but on what capabilities would be left to be standardised and which would need to be changed.</w:t>
      </w:r>
    </w:p>
    <w:p w14:paraId="77083C3D" w14:textId="77777777" w:rsidR="00787715" w:rsidRPr="008C55EC" w:rsidRDefault="00787715" w:rsidP="00787715">
      <w:pPr>
        <w:rPr>
          <w:rFonts w:ascii="Arial" w:hAnsi="Arial"/>
          <w:b/>
          <w:bCs/>
          <w:color w:val="000000" w:themeColor="text1"/>
          <w:lang w:val="en-IN"/>
        </w:rPr>
      </w:pPr>
      <w:r w:rsidRPr="008C55EC">
        <w:rPr>
          <w:rFonts w:ascii="Arial" w:hAnsi="Arial"/>
          <w:b/>
          <w:bCs/>
          <w:color w:val="000000" w:themeColor="text1"/>
          <w:lang w:val="en-IN"/>
        </w:rPr>
        <w:t>Action Plan: Improving Future Strategic Analysis</w:t>
      </w:r>
    </w:p>
    <w:p w14:paraId="11FBE979" w14:textId="75F02E95" w:rsidR="00787715" w:rsidRPr="008C55EC" w:rsidRDefault="004D674D" w:rsidP="00787715">
      <w:pPr>
        <w:rPr>
          <w:rFonts w:ascii="Arial" w:hAnsi="Arial"/>
          <w:color w:val="000000" w:themeColor="text1"/>
          <w:lang w:val="en-IN"/>
        </w:rPr>
      </w:pPr>
      <w:r w:rsidRPr="008C55EC">
        <w:rPr>
          <w:rFonts w:ascii="Arial" w:hAnsi="Arial"/>
          <w:color w:val="000000" w:themeColor="text1"/>
        </w:rPr>
        <w:t>In future project</w:t>
      </w:r>
      <w:r w:rsidR="00787715" w:rsidRPr="008C55EC">
        <w:rPr>
          <w:rFonts w:ascii="Arial" w:hAnsi="Arial"/>
          <w:color w:val="000000" w:themeColor="text1"/>
          <w:lang w:val="en-IN"/>
        </w:rPr>
        <w:t xml:space="preserve">, I will enhance my practice in three aspects. To start with, I will incorporate competitor analysis at a younger stage to prevent the overestimation of the benefits of the focal firm. Second, I will use more peer-reviewed international business research to enhance theoretical support and the quality of evidence. Third, I </w:t>
      </w:r>
      <w:r w:rsidR="00787715" w:rsidRPr="008C55EC">
        <w:rPr>
          <w:rFonts w:ascii="Arial" w:hAnsi="Arial"/>
          <w:color w:val="000000" w:themeColor="text1"/>
          <w:lang w:val="en-IN"/>
        </w:rPr>
        <w:lastRenderedPageBreak/>
        <w:t>will emphasize strategic synthesis through linking evidence, theory and recommendations during the analysis as opposed to assessing factors individually.</w:t>
      </w:r>
    </w:p>
    <w:p w14:paraId="07E54D69" w14:textId="1377AD09" w:rsidR="00DF6599" w:rsidRPr="008C55EC" w:rsidRDefault="00787715" w:rsidP="00787715">
      <w:pPr>
        <w:rPr>
          <w:rFonts w:ascii="Arial" w:hAnsi="Arial"/>
          <w:color w:val="000000" w:themeColor="text1"/>
          <w:lang w:val="en-IN"/>
        </w:rPr>
      </w:pPr>
      <w:r w:rsidRPr="008C55EC">
        <w:rPr>
          <w:rFonts w:ascii="Arial" w:hAnsi="Arial"/>
          <w:color w:val="000000" w:themeColor="text1"/>
          <w:lang w:val="en-IN"/>
        </w:rPr>
        <w:t>These capabilities will enhance my capability to generate evidence-based recommendations that are critically assessed and able to respond to uncertainty, competition and implementation issues</w:t>
      </w:r>
      <w:r w:rsidR="00E93729" w:rsidRPr="008C55EC">
        <w:rPr>
          <w:rFonts w:ascii="Arial" w:hAnsi="Arial"/>
          <w:color w:val="000000" w:themeColor="text1"/>
          <w:lang w:val="en-IN"/>
        </w:rPr>
        <w:t>.</w:t>
      </w:r>
    </w:p>
    <w:p w14:paraId="7135E824" w14:textId="77777777" w:rsidR="00DF6599" w:rsidRPr="008C55EC" w:rsidRDefault="00DF6599">
      <w:pPr>
        <w:spacing w:after="160" w:line="278" w:lineRule="auto"/>
        <w:jc w:val="left"/>
        <w:rPr>
          <w:rFonts w:ascii="Arial" w:hAnsi="Arial"/>
          <w:color w:val="000000" w:themeColor="text1"/>
          <w:lang w:val="en-IN"/>
        </w:rPr>
      </w:pPr>
      <w:r w:rsidRPr="008C55EC">
        <w:rPr>
          <w:rFonts w:ascii="Arial" w:hAnsi="Arial"/>
          <w:color w:val="000000" w:themeColor="text1"/>
          <w:lang w:val="en-IN"/>
        </w:rPr>
        <w:br w:type="page"/>
      </w:r>
    </w:p>
    <w:p w14:paraId="55B81E85" w14:textId="0241998B" w:rsidR="00E93729" w:rsidRPr="008C55EC" w:rsidRDefault="00DF6599" w:rsidP="00DF6599">
      <w:pPr>
        <w:pStyle w:val="Heading1"/>
        <w:rPr>
          <w:rFonts w:ascii="Arial" w:hAnsi="Arial" w:cs="Arial"/>
          <w:lang w:val="en-IN"/>
        </w:rPr>
      </w:pPr>
      <w:bookmarkStart w:id="28" w:name="_Toc237509327"/>
      <w:r w:rsidRPr="008C55EC">
        <w:rPr>
          <w:rFonts w:ascii="Arial" w:hAnsi="Arial" w:cs="Arial"/>
          <w:lang w:val="en-IN"/>
        </w:rPr>
        <w:lastRenderedPageBreak/>
        <w:t>References</w:t>
      </w:r>
      <w:bookmarkEnd w:id="28"/>
    </w:p>
    <w:p w14:paraId="20FB6A1F" w14:textId="4DFCDCC9" w:rsidR="00DF6599" w:rsidRPr="008C55EC" w:rsidRDefault="00DF6599" w:rsidP="00DF6599">
      <w:pPr>
        <w:spacing w:before="240"/>
        <w:rPr>
          <w:rFonts w:ascii="Arial" w:hAnsi="Arial"/>
          <w:lang w:val="en-IN"/>
        </w:rPr>
      </w:pPr>
      <w:r w:rsidRPr="008C55EC">
        <w:rPr>
          <w:rFonts w:ascii="Arial" w:hAnsi="Arial"/>
          <w:lang w:val="en-IN"/>
        </w:rPr>
        <w:t>‌</w:t>
      </w:r>
      <w:proofErr w:type="spellStart"/>
      <w:r w:rsidRPr="008C55EC">
        <w:rPr>
          <w:rFonts w:ascii="Arial" w:hAnsi="Arial"/>
        </w:rPr>
        <w:t>Abyaneh</w:t>
      </w:r>
      <w:proofErr w:type="spellEnd"/>
      <w:r w:rsidRPr="008C55EC">
        <w:rPr>
          <w:rFonts w:ascii="Arial" w:hAnsi="Arial"/>
        </w:rPr>
        <w:t xml:space="preserve">, A.G., Movahed, A.B., </w:t>
      </w:r>
      <w:proofErr w:type="spellStart"/>
      <w:r w:rsidRPr="008C55EC">
        <w:rPr>
          <w:rFonts w:ascii="Arial" w:hAnsi="Arial"/>
        </w:rPr>
        <w:t>Abyari</w:t>
      </w:r>
      <w:proofErr w:type="spellEnd"/>
      <w:r w:rsidRPr="008C55EC">
        <w:rPr>
          <w:rFonts w:ascii="Arial" w:hAnsi="Arial"/>
        </w:rPr>
        <w:t xml:space="preserve">, A., </w:t>
      </w:r>
      <w:proofErr w:type="spellStart"/>
      <w:r w:rsidRPr="008C55EC">
        <w:rPr>
          <w:rFonts w:ascii="Arial" w:hAnsi="Arial"/>
        </w:rPr>
        <w:t>Nodehfarahani</w:t>
      </w:r>
      <w:proofErr w:type="spellEnd"/>
      <w:r w:rsidRPr="008C55EC">
        <w:rPr>
          <w:rFonts w:ascii="Arial" w:hAnsi="Arial"/>
        </w:rPr>
        <w:t xml:space="preserve">, A. and </w:t>
      </w:r>
      <w:proofErr w:type="spellStart"/>
      <w:r w:rsidRPr="008C55EC">
        <w:rPr>
          <w:rFonts w:ascii="Arial" w:hAnsi="Arial"/>
        </w:rPr>
        <w:t>Khakbazan</w:t>
      </w:r>
      <w:proofErr w:type="spellEnd"/>
      <w:r w:rsidRPr="008C55EC">
        <w:rPr>
          <w:rFonts w:ascii="Arial" w:hAnsi="Arial"/>
        </w:rPr>
        <w:t>, M., (2025). Evaluating the RFID technology in Costco company: A focus on logistics and supply chain management. </w:t>
      </w:r>
      <w:r w:rsidRPr="008C55EC">
        <w:rPr>
          <w:rFonts w:ascii="Arial" w:hAnsi="Arial"/>
          <w:i/>
          <w:iCs/>
        </w:rPr>
        <w:t>Applied Innovations in Industrial Management</w:t>
      </w:r>
      <w:r w:rsidRPr="008C55EC">
        <w:rPr>
          <w:rFonts w:ascii="Arial" w:hAnsi="Arial"/>
        </w:rPr>
        <w:t>, </w:t>
      </w:r>
      <w:r w:rsidRPr="008C55EC">
        <w:rPr>
          <w:rFonts w:ascii="Arial" w:hAnsi="Arial"/>
          <w:i/>
          <w:iCs/>
        </w:rPr>
        <w:t>5</w:t>
      </w:r>
      <w:r w:rsidRPr="008C55EC">
        <w:rPr>
          <w:rFonts w:ascii="Arial" w:hAnsi="Arial"/>
        </w:rPr>
        <w:t xml:space="preserve">(2), pp.34-51. </w:t>
      </w:r>
      <w:hyperlink r:id="rId19" w:history="1">
        <w:r w:rsidRPr="008C55EC">
          <w:rPr>
            <w:rStyle w:val="Hyperlink"/>
            <w:rFonts w:ascii="Arial" w:hAnsi="Arial"/>
            <w:lang w:val="en-IN"/>
          </w:rPr>
          <w:t>https://www.researchgate.net/profile/Amirhossein-Ghasemi-Abyaneh/publication/391135678_Evaluating_the_RFID_Technology_in_Costco_Company_A_Focus_on_Logistics_and_Supply_Chain_Management/links/682879bbdf0e3f544f5503f2/Evaluating-the-RFID-Technology-in-Costco-Company-A-Focus-on-Logistics-and-Supply-Chain-Management.pdf</w:t>
        </w:r>
      </w:hyperlink>
    </w:p>
    <w:p w14:paraId="6822FD34" w14:textId="72BE2802" w:rsidR="00DF6599" w:rsidRPr="008C55EC" w:rsidRDefault="00DF6599" w:rsidP="00DF6599">
      <w:pPr>
        <w:spacing w:before="240"/>
        <w:rPr>
          <w:rFonts w:ascii="Arial" w:hAnsi="Arial"/>
          <w:lang w:val="en-IN"/>
        </w:rPr>
      </w:pPr>
      <w:r w:rsidRPr="008C55EC">
        <w:rPr>
          <w:rFonts w:ascii="Arial" w:hAnsi="Arial"/>
          <w:lang w:val="en-IN"/>
        </w:rPr>
        <w:t xml:space="preserve">Ailani, G. (2025) 'Eclectic Paradigm - What Is It, Dunning's OLI Framework, Example,' </w:t>
      </w:r>
      <w:r w:rsidRPr="008C55EC">
        <w:rPr>
          <w:rFonts w:ascii="Arial" w:hAnsi="Arial"/>
          <w:i/>
          <w:iCs/>
          <w:lang w:val="en-IN"/>
        </w:rPr>
        <w:t>www.wallstreetmojo.com</w:t>
      </w:r>
      <w:r w:rsidRPr="008C55EC">
        <w:rPr>
          <w:rFonts w:ascii="Arial" w:hAnsi="Arial"/>
          <w:lang w:val="en-IN"/>
        </w:rPr>
        <w:t xml:space="preserve">, 4 March. </w:t>
      </w:r>
      <w:hyperlink r:id="rId20" w:history="1">
        <w:r w:rsidRPr="008C55EC">
          <w:rPr>
            <w:rStyle w:val="Hyperlink"/>
            <w:rFonts w:ascii="Arial" w:hAnsi="Arial"/>
            <w:lang w:val="en-IN"/>
          </w:rPr>
          <w:t>https://ww</w:t>
        </w:r>
        <w:r w:rsidRPr="008C55EC">
          <w:rPr>
            <w:rStyle w:val="Hyperlink"/>
            <w:rFonts w:ascii="Arial" w:hAnsi="Arial"/>
            <w:lang w:val="en-IN"/>
          </w:rPr>
          <w:t>w</w:t>
        </w:r>
        <w:r w:rsidRPr="008C55EC">
          <w:rPr>
            <w:rStyle w:val="Hyperlink"/>
            <w:rFonts w:ascii="Arial" w:hAnsi="Arial"/>
            <w:lang w:val="en-IN"/>
          </w:rPr>
          <w:t>.wallstreetmojo.com/eclectic-paradigm/</w:t>
        </w:r>
      </w:hyperlink>
      <w:r w:rsidRPr="008C55EC">
        <w:rPr>
          <w:rFonts w:ascii="Arial" w:hAnsi="Arial"/>
          <w:lang w:val="en-IN"/>
        </w:rPr>
        <w:t>.</w:t>
      </w:r>
    </w:p>
    <w:p w14:paraId="21589AD8" w14:textId="5CC19860" w:rsidR="00DF6599" w:rsidRPr="008C55EC" w:rsidRDefault="00DF6599" w:rsidP="00DF6599">
      <w:pPr>
        <w:spacing w:before="240"/>
        <w:rPr>
          <w:rFonts w:ascii="Arial" w:hAnsi="Arial"/>
          <w:lang w:val="en-IN"/>
        </w:rPr>
      </w:pPr>
      <w:r w:rsidRPr="008C55EC">
        <w:rPr>
          <w:rFonts w:ascii="Arial" w:hAnsi="Arial"/>
          <w:lang w:val="en-IN"/>
        </w:rPr>
        <w:t xml:space="preserve">Anwar, M. and Shah, S.Z.A. (2018) 'Managerial networking and business model innovation: empirical study of new ventures in an emerging economy,' </w:t>
      </w:r>
      <w:r w:rsidRPr="008C55EC">
        <w:rPr>
          <w:rFonts w:ascii="Arial" w:hAnsi="Arial"/>
          <w:i/>
          <w:iCs/>
          <w:lang w:val="en-IN"/>
        </w:rPr>
        <w:t>Journal of Small Business &amp; Entrepreneurship</w:t>
      </w:r>
      <w:r w:rsidRPr="008C55EC">
        <w:rPr>
          <w:rFonts w:ascii="Arial" w:hAnsi="Arial"/>
          <w:lang w:val="en-IN"/>
        </w:rPr>
        <w:t xml:space="preserve">, 32(3), pp. 265–286. </w:t>
      </w:r>
      <w:hyperlink r:id="rId21" w:history="1">
        <w:r w:rsidRPr="008C55EC">
          <w:rPr>
            <w:rStyle w:val="Hyperlink"/>
            <w:rFonts w:ascii="Arial" w:hAnsi="Arial"/>
            <w:lang w:val="en-IN"/>
          </w:rPr>
          <w:t>https:</w:t>
        </w:r>
        <w:r w:rsidRPr="008C55EC">
          <w:rPr>
            <w:rStyle w:val="Hyperlink"/>
            <w:rFonts w:ascii="Arial" w:hAnsi="Arial"/>
            <w:lang w:val="en-IN"/>
          </w:rPr>
          <w:t>/</w:t>
        </w:r>
        <w:r w:rsidRPr="008C55EC">
          <w:rPr>
            <w:rStyle w:val="Hyperlink"/>
            <w:rFonts w:ascii="Arial" w:hAnsi="Arial"/>
            <w:lang w:val="en-IN"/>
          </w:rPr>
          <w:t>/doi.org/10.1080/08276331.2018.1490509</w:t>
        </w:r>
      </w:hyperlink>
      <w:r w:rsidRPr="008C55EC">
        <w:rPr>
          <w:rFonts w:ascii="Arial" w:hAnsi="Arial"/>
          <w:lang w:val="en-IN"/>
        </w:rPr>
        <w:t>.</w:t>
      </w:r>
    </w:p>
    <w:p w14:paraId="5F3919F9" w14:textId="28D7C934" w:rsidR="00DF6599" w:rsidRPr="008C55EC" w:rsidRDefault="00DF6599" w:rsidP="00DF6599">
      <w:pPr>
        <w:spacing w:before="240"/>
        <w:rPr>
          <w:rFonts w:ascii="Arial" w:hAnsi="Arial"/>
          <w:lang w:val="en-IN"/>
        </w:rPr>
      </w:pPr>
      <w:r w:rsidRPr="008C55EC">
        <w:rPr>
          <w:rFonts w:ascii="Arial" w:hAnsi="Arial"/>
          <w:lang w:val="en-IN"/>
        </w:rPr>
        <w:t>‌Barrett, K. (2024). </w:t>
      </w:r>
      <w:r w:rsidRPr="008C55EC">
        <w:rPr>
          <w:rFonts w:ascii="Arial" w:hAnsi="Arial"/>
          <w:i/>
          <w:iCs/>
          <w:lang w:val="en-IN"/>
        </w:rPr>
        <w:t>Sustainable Eco-Friendly Packaging</w:t>
      </w:r>
      <w:r w:rsidRPr="008C55EC">
        <w:rPr>
          <w:rFonts w:ascii="Arial" w:hAnsi="Arial"/>
          <w:lang w:val="en-IN"/>
        </w:rPr>
        <w:t xml:space="preserve">. [online] Digital USD. Available at: </w:t>
      </w:r>
      <w:hyperlink r:id="rId22" w:history="1">
        <w:r w:rsidRPr="008C55EC">
          <w:rPr>
            <w:rStyle w:val="Hyperlink"/>
            <w:rFonts w:ascii="Arial" w:hAnsi="Arial"/>
            <w:lang w:val="en-IN"/>
          </w:rPr>
          <w:t>https://digital.sandiego.edu/ksb-ssc</w:t>
        </w:r>
        <w:r w:rsidRPr="008C55EC">
          <w:rPr>
            <w:rStyle w:val="Hyperlink"/>
            <w:rFonts w:ascii="Arial" w:hAnsi="Arial"/>
            <w:lang w:val="en-IN"/>
          </w:rPr>
          <w:t>m</w:t>
        </w:r>
        <w:r w:rsidRPr="008C55EC">
          <w:rPr>
            <w:rStyle w:val="Hyperlink"/>
            <w:rFonts w:ascii="Arial" w:hAnsi="Arial"/>
            <w:lang w:val="en-IN"/>
          </w:rPr>
          <w:t>/5/</w:t>
        </w:r>
      </w:hyperlink>
    </w:p>
    <w:p w14:paraId="2CA64691" w14:textId="2715F537" w:rsidR="00DF6599" w:rsidRPr="008C55EC" w:rsidRDefault="00DF6599" w:rsidP="00DF6599">
      <w:pPr>
        <w:spacing w:before="240"/>
        <w:rPr>
          <w:rFonts w:ascii="Arial" w:hAnsi="Arial"/>
        </w:rPr>
      </w:pPr>
      <w:proofErr w:type="spellStart"/>
      <w:r w:rsidRPr="008C55EC">
        <w:rPr>
          <w:rFonts w:ascii="Arial" w:hAnsi="Arial"/>
        </w:rPr>
        <w:t>Batschauer</w:t>
      </w:r>
      <w:proofErr w:type="spellEnd"/>
      <w:r w:rsidRPr="008C55EC">
        <w:rPr>
          <w:rFonts w:ascii="Arial" w:hAnsi="Arial"/>
        </w:rPr>
        <w:t xml:space="preserve"> da Cruz, C.B., Floriani, E. D. and Amal, M., (2022). The OLI Paradigm as a comprehensive model of FDI determinants: a sub-national approach. </w:t>
      </w:r>
      <w:r w:rsidRPr="008C55EC">
        <w:rPr>
          <w:rFonts w:ascii="Arial" w:hAnsi="Arial"/>
          <w:i/>
          <w:iCs/>
        </w:rPr>
        <w:t>International Journal of Emerging Markets</w:t>
      </w:r>
      <w:r w:rsidRPr="008C55EC">
        <w:rPr>
          <w:rFonts w:ascii="Arial" w:hAnsi="Arial"/>
        </w:rPr>
        <w:t>, </w:t>
      </w:r>
      <w:r w:rsidRPr="008C55EC">
        <w:rPr>
          <w:rFonts w:ascii="Arial" w:hAnsi="Arial"/>
          <w:i/>
          <w:iCs/>
        </w:rPr>
        <w:t>17</w:t>
      </w:r>
      <w:r w:rsidRPr="008C55EC">
        <w:rPr>
          <w:rFonts w:ascii="Arial" w:hAnsi="Arial"/>
        </w:rPr>
        <w:t xml:space="preserve">(1), pp.145-176. Available at: </w:t>
      </w:r>
      <w:hyperlink r:id="rId23" w:tgtFrame="_new" w:history="1">
        <w:r w:rsidRPr="008C55EC">
          <w:rPr>
            <w:rStyle w:val="Hyperlink"/>
            <w:rFonts w:ascii="Arial" w:hAnsi="Arial"/>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01EDEBBE" w14:textId="4324B00F" w:rsidR="00DF6599" w:rsidRPr="008C55EC" w:rsidRDefault="00DF6599" w:rsidP="00DF6599">
      <w:pPr>
        <w:spacing w:before="240"/>
        <w:rPr>
          <w:rFonts w:ascii="Arial" w:hAnsi="Arial"/>
          <w:lang w:val="en-IN"/>
        </w:rPr>
      </w:pPr>
      <w:r w:rsidRPr="008C55EC">
        <w:rPr>
          <w:rFonts w:ascii="Arial" w:hAnsi="Arial"/>
        </w:rPr>
        <w:t xml:space="preserve">BAFA (2026) </w:t>
      </w:r>
      <w:r w:rsidRPr="008C55EC">
        <w:rPr>
          <w:rFonts w:ascii="Arial" w:hAnsi="Arial"/>
          <w:i/>
          <w:iCs/>
        </w:rPr>
        <w:t xml:space="preserve">BAFA – </w:t>
      </w:r>
      <w:proofErr w:type="spellStart"/>
      <w:r w:rsidRPr="008C55EC">
        <w:rPr>
          <w:rFonts w:ascii="Arial" w:hAnsi="Arial"/>
          <w:i/>
          <w:iCs/>
        </w:rPr>
        <w:t>Startseite</w:t>
      </w:r>
      <w:proofErr w:type="spellEnd"/>
      <w:r w:rsidRPr="008C55EC">
        <w:rPr>
          <w:rFonts w:ascii="Arial" w:hAnsi="Arial"/>
        </w:rPr>
        <w:t xml:space="preserve">. Available at: </w:t>
      </w:r>
      <w:hyperlink r:id="rId24" w:tgtFrame="_new" w:history="1">
        <w:r w:rsidRPr="008C55EC">
          <w:rPr>
            <w:rStyle w:val="Hyperlink"/>
            <w:rFonts w:ascii="Arial" w:hAnsi="Arial"/>
          </w:rPr>
          <w:t>https://www.bafa.de/DE/Home/home_node.html</w:t>
        </w:r>
      </w:hyperlink>
    </w:p>
    <w:p w14:paraId="1F797AF1" w14:textId="7182FDAC" w:rsidR="00DF6599" w:rsidRPr="008C55EC" w:rsidRDefault="00DF6599" w:rsidP="00DF6599">
      <w:pPr>
        <w:spacing w:before="240"/>
        <w:rPr>
          <w:rFonts w:ascii="Arial" w:hAnsi="Arial"/>
        </w:rPr>
      </w:pPr>
      <w:proofErr w:type="spellStart"/>
      <w:r w:rsidRPr="008C55EC">
        <w:rPr>
          <w:rFonts w:ascii="Arial" w:hAnsi="Arial"/>
        </w:rPr>
        <w:lastRenderedPageBreak/>
        <w:t>Bundeskartellamt</w:t>
      </w:r>
      <w:proofErr w:type="spellEnd"/>
      <w:r w:rsidRPr="008C55EC">
        <w:rPr>
          <w:rFonts w:ascii="Arial" w:hAnsi="Arial"/>
        </w:rPr>
        <w:t xml:space="preserve"> (2026) </w:t>
      </w:r>
      <w:proofErr w:type="spellStart"/>
      <w:r w:rsidRPr="008C55EC">
        <w:rPr>
          <w:rFonts w:ascii="Arial" w:hAnsi="Arial"/>
          <w:i/>
          <w:iCs/>
        </w:rPr>
        <w:t>Bundeskartellamt</w:t>
      </w:r>
      <w:proofErr w:type="spellEnd"/>
      <w:r w:rsidRPr="008C55EC">
        <w:rPr>
          <w:rFonts w:ascii="Arial" w:hAnsi="Arial"/>
          <w:i/>
          <w:iCs/>
        </w:rPr>
        <w:t xml:space="preserve"> – Homepage</w:t>
      </w:r>
      <w:r w:rsidRPr="008C55EC">
        <w:rPr>
          <w:rFonts w:ascii="Arial" w:hAnsi="Arial"/>
        </w:rPr>
        <w:t xml:space="preserve">. Available at: </w:t>
      </w:r>
      <w:hyperlink r:id="rId25" w:tgtFrame="_new" w:history="1">
        <w:r w:rsidRPr="008C55EC">
          <w:rPr>
            <w:rStyle w:val="Hyperlink"/>
            <w:rFonts w:ascii="Arial" w:hAnsi="Arial"/>
          </w:rPr>
          <w:t>https://www.bundeskartellamt.de/EN/Home/home_node.html</w:t>
        </w:r>
      </w:hyperlink>
      <w:r w:rsidRPr="008C55EC">
        <w:rPr>
          <w:rFonts w:ascii="Arial" w:hAnsi="Arial"/>
        </w:rPr>
        <w:t xml:space="preserve"> </w:t>
      </w:r>
    </w:p>
    <w:p w14:paraId="126E3BC2" w14:textId="494AA19A" w:rsidR="00DF6599" w:rsidRPr="008C55EC" w:rsidRDefault="00DF6599" w:rsidP="00DF6599">
      <w:pPr>
        <w:spacing w:before="240"/>
        <w:rPr>
          <w:rFonts w:ascii="Arial" w:hAnsi="Arial"/>
        </w:rPr>
      </w:pPr>
      <w:r w:rsidRPr="008C55EC">
        <w:rPr>
          <w:rFonts w:ascii="Arial" w:hAnsi="Arial"/>
        </w:rPr>
        <w:t xml:space="preserve">Costco Wholesale Corporation (2025) </w:t>
      </w:r>
      <w:r w:rsidRPr="008C55EC">
        <w:rPr>
          <w:rFonts w:ascii="Arial" w:hAnsi="Arial"/>
          <w:i/>
          <w:iCs/>
        </w:rPr>
        <w:t>Annual Report on Form 10-K for the fiscal year ended August 31, 2025</w:t>
      </w:r>
      <w:r w:rsidRPr="008C55EC">
        <w:rPr>
          <w:rFonts w:ascii="Arial" w:hAnsi="Arial"/>
        </w:rPr>
        <w:t xml:space="preserve">. U.S. Securities and Exchange Commission. Available at: </w:t>
      </w:r>
      <w:hyperlink r:id="rId26" w:tgtFrame="_new" w:history="1">
        <w:r w:rsidRPr="008C55EC">
          <w:rPr>
            <w:rStyle w:val="Hyperlink"/>
            <w:rFonts w:ascii="Arial" w:hAnsi="Arial"/>
          </w:rPr>
          <w:t>https://www.sec.gov/Archives/edgar/data/909832/000090983225000101/cost-20250831.htm</w:t>
        </w:r>
      </w:hyperlink>
      <w:r w:rsidRPr="008C55EC">
        <w:rPr>
          <w:rFonts w:ascii="Arial" w:hAnsi="Arial"/>
        </w:rPr>
        <w:t xml:space="preserve"> </w:t>
      </w:r>
    </w:p>
    <w:p w14:paraId="29F7418B" w14:textId="0DCA8A7E" w:rsidR="00DF6599" w:rsidRPr="008C55EC" w:rsidRDefault="00DF6599" w:rsidP="00DF6599">
      <w:pPr>
        <w:spacing w:before="240"/>
        <w:rPr>
          <w:rFonts w:ascii="Arial" w:hAnsi="Arial"/>
          <w:lang w:val="en-IN"/>
        </w:rPr>
      </w:pPr>
      <w:r w:rsidRPr="008C55EC">
        <w:rPr>
          <w:rFonts w:ascii="Arial" w:hAnsi="Arial"/>
          <w:lang w:val="en-IN"/>
        </w:rPr>
        <w:t>Costco.com. (2024). </w:t>
      </w:r>
      <w:r w:rsidRPr="008C55EC">
        <w:rPr>
          <w:rFonts w:ascii="Arial" w:hAnsi="Arial"/>
          <w:i/>
          <w:iCs/>
          <w:lang w:val="en-IN"/>
        </w:rPr>
        <w:t>Costco Wholesale Corporation Reports Fourth Quarter and Fiscal Year 2024 Operating Results</w:t>
      </w:r>
      <w:r w:rsidRPr="008C55EC">
        <w:rPr>
          <w:rFonts w:ascii="Arial" w:hAnsi="Arial"/>
          <w:lang w:val="en-IN"/>
        </w:rPr>
        <w:t xml:space="preserve">. [online] Available at: </w:t>
      </w:r>
      <w:hyperlink r:id="rId27" w:history="1">
        <w:r w:rsidRPr="008C55EC">
          <w:rPr>
            <w:rStyle w:val="Hyperlink"/>
            <w:rFonts w:ascii="Arial" w:hAnsi="Arial"/>
            <w:lang w:val="en-IN"/>
          </w:rPr>
          <w:t>https://investor.costco.com/news/news-details/2024/Costco-Wholesale-Corporation-Reports-Fourth-Quarter-and-Fiscal-Year-2024-Operating-Results/default.aspx</w:t>
        </w:r>
      </w:hyperlink>
      <w:r w:rsidRPr="008C55EC">
        <w:rPr>
          <w:rFonts w:ascii="Arial" w:hAnsi="Arial"/>
          <w:lang w:val="en-IN"/>
        </w:rPr>
        <w:t xml:space="preserve"> </w:t>
      </w:r>
      <w:r w:rsidR="00D14FD3" w:rsidRPr="008C55EC">
        <w:rPr>
          <w:rFonts w:ascii="Arial" w:hAnsi="Arial"/>
          <w:lang w:val="en-IN"/>
        </w:rPr>
        <w:t>\</w:t>
      </w:r>
    </w:p>
    <w:p w14:paraId="6F46C215" w14:textId="2E2FADCF" w:rsidR="00DF6599" w:rsidRPr="008C55EC" w:rsidRDefault="00DF6599" w:rsidP="00DF6599">
      <w:pPr>
        <w:spacing w:before="240"/>
        <w:rPr>
          <w:rFonts w:ascii="Arial" w:hAnsi="Arial"/>
          <w:lang w:val="en-IN"/>
        </w:rPr>
      </w:pPr>
      <w:r w:rsidRPr="008C55EC">
        <w:rPr>
          <w:rFonts w:ascii="Arial" w:hAnsi="Arial"/>
          <w:lang w:val="en-IN"/>
        </w:rPr>
        <w:t>Costco.com. (2026</w:t>
      </w:r>
      <w:r w:rsidR="00D612DB" w:rsidRPr="008C55EC">
        <w:rPr>
          <w:rFonts w:ascii="Arial" w:hAnsi="Arial"/>
          <w:lang w:val="en-IN"/>
        </w:rPr>
        <w:t>b</w:t>
      </w:r>
      <w:r w:rsidRPr="008C55EC">
        <w:rPr>
          <w:rFonts w:ascii="Arial" w:hAnsi="Arial"/>
          <w:lang w:val="en-IN"/>
        </w:rPr>
        <w:t>). </w:t>
      </w:r>
      <w:r w:rsidRPr="008C55EC">
        <w:rPr>
          <w:rFonts w:ascii="Arial" w:hAnsi="Arial"/>
          <w:i/>
          <w:iCs/>
          <w:lang w:val="en-IN"/>
        </w:rPr>
        <w:t>Costco Wholesale Corporation - Financials - Annual Reports and Proxy Statements</w:t>
      </w:r>
      <w:r w:rsidRPr="008C55EC">
        <w:rPr>
          <w:rFonts w:ascii="Arial" w:hAnsi="Arial"/>
          <w:lang w:val="en-IN"/>
        </w:rPr>
        <w:t xml:space="preserve">. [online] Available at: </w:t>
      </w:r>
      <w:hyperlink r:id="rId28" w:history="1">
        <w:r w:rsidR="00D612DB" w:rsidRPr="008C55EC">
          <w:rPr>
            <w:rStyle w:val="Hyperlink"/>
            <w:rFonts w:ascii="Arial" w:hAnsi="Arial"/>
            <w:lang w:val="en-IN"/>
          </w:rPr>
          <w:t>https://investor.costco.com/financials/annual-reports-and-proxy-statements/default.aspx</w:t>
        </w:r>
      </w:hyperlink>
      <w:r w:rsidR="00D612DB" w:rsidRPr="008C55EC">
        <w:rPr>
          <w:rFonts w:ascii="Arial" w:hAnsi="Arial"/>
          <w:lang w:val="en-IN"/>
        </w:rPr>
        <w:t xml:space="preserve"> </w:t>
      </w:r>
    </w:p>
    <w:p w14:paraId="0890866F" w14:textId="762BB437" w:rsidR="00DF6599" w:rsidRPr="008C55EC" w:rsidRDefault="00DF6599" w:rsidP="00DF6599">
      <w:pPr>
        <w:spacing w:before="240"/>
        <w:rPr>
          <w:rFonts w:ascii="Arial" w:hAnsi="Arial"/>
          <w:lang w:val="en-IN"/>
        </w:rPr>
      </w:pPr>
      <w:r w:rsidRPr="008C55EC">
        <w:rPr>
          <w:rFonts w:ascii="Arial" w:hAnsi="Arial"/>
          <w:lang w:val="en-IN"/>
        </w:rPr>
        <w:t>Costco.com. (2026</w:t>
      </w:r>
      <w:r w:rsidR="00D612DB" w:rsidRPr="008C55EC">
        <w:rPr>
          <w:rFonts w:ascii="Arial" w:hAnsi="Arial"/>
          <w:lang w:val="en-IN"/>
        </w:rPr>
        <w:t>c</w:t>
      </w:r>
      <w:r w:rsidRPr="008C55EC">
        <w:rPr>
          <w:rFonts w:ascii="Arial" w:hAnsi="Arial"/>
          <w:lang w:val="en-IN"/>
        </w:rPr>
        <w:t>). </w:t>
      </w:r>
      <w:r w:rsidRPr="008C55EC">
        <w:rPr>
          <w:rFonts w:ascii="Arial" w:hAnsi="Arial"/>
          <w:i/>
          <w:iCs/>
          <w:lang w:val="en-IN"/>
        </w:rPr>
        <w:t>Costco Wholesale Corporation - Investor Relations</w:t>
      </w:r>
      <w:r w:rsidRPr="008C55EC">
        <w:rPr>
          <w:rFonts w:ascii="Arial" w:hAnsi="Arial"/>
          <w:lang w:val="en-IN"/>
        </w:rPr>
        <w:t xml:space="preserve">. [online] Available at: </w:t>
      </w:r>
      <w:hyperlink r:id="rId29" w:history="1">
        <w:r w:rsidRPr="008C55EC">
          <w:rPr>
            <w:rStyle w:val="Hyperlink"/>
            <w:rFonts w:ascii="Arial" w:hAnsi="Arial"/>
            <w:lang w:val="en-IN"/>
          </w:rPr>
          <w:t>https://investor.costco.com/overview/default.aspx</w:t>
        </w:r>
      </w:hyperlink>
      <w:r w:rsidRPr="008C55EC">
        <w:rPr>
          <w:rFonts w:ascii="Arial" w:hAnsi="Arial"/>
          <w:lang w:val="en-IN"/>
        </w:rPr>
        <w:t xml:space="preserve"> </w:t>
      </w:r>
    </w:p>
    <w:p w14:paraId="2B820BE5" w14:textId="6E765660" w:rsidR="00DF6599" w:rsidRPr="008C55EC" w:rsidRDefault="00DF6599" w:rsidP="00DF6599">
      <w:pPr>
        <w:spacing w:before="240"/>
        <w:rPr>
          <w:rFonts w:ascii="Arial" w:hAnsi="Arial"/>
          <w:lang w:val="en-IN"/>
        </w:rPr>
      </w:pPr>
      <w:r w:rsidRPr="008C55EC">
        <w:rPr>
          <w:rFonts w:ascii="Arial" w:hAnsi="Arial"/>
          <w:lang w:val="en-IN"/>
        </w:rPr>
        <w:t>Costco.com. (2026</w:t>
      </w:r>
      <w:r w:rsidR="00D612DB" w:rsidRPr="008C55EC">
        <w:rPr>
          <w:rFonts w:ascii="Arial" w:hAnsi="Arial"/>
          <w:lang w:val="en-IN"/>
        </w:rPr>
        <w:t>a</w:t>
      </w:r>
      <w:r w:rsidRPr="008C55EC">
        <w:rPr>
          <w:rFonts w:ascii="Arial" w:hAnsi="Arial"/>
          <w:lang w:val="en-IN"/>
        </w:rPr>
        <w:t>). </w:t>
      </w:r>
      <w:r w:rsidRPr="008C55EC">
        <w:rPr>
          <w:rFonts w:ascii="Arial" w:hAnsi="Arial"/>
          <w:i/>
          <w:iCs/>
          <w:lang w:val="en-IN"/>
        </w:rPr>
        <w:t>Welcome to Costco Wholesale</w:t>
      </w:r>
      <w:r w:rsidRPr="008C55EC">
        <w:rPr>
          <w:rFonts w:ascii="Arial" w:hAnsi="Arial"/>
          <w:lang w:val="en-IN"/>
        </w:rPr>
        <w:t xml:space="preserve">. [online] Available at: </w:t>
      </w:r>
      <w:hyperlink r:id="rId30" w:history="1">
        <w:r w:rsidRPr="008C55EC">
          <w:rPr>
            <w:rStyle w:val="Hyperlink"/>
            <w:rFonts w:ascii="Arial" w:hAnsi="Arial"/>
            <w:lang w:val="en-IN"/>
          </w:rPr>
          <w:t>https://www.costco.com</w:t>
        </w:r>
      </w:hyperlink>
    </w:p>
    <w:p w14:paraId="585F8E05" w14:textId="77777777" w:rsidR="00DF6599" w:rsidRPr="008C55EC" w:rsidRDefault="00DF6599" w:rsidP="00DF6599">
      <w:pPr>
        <w:spacing w:before="240"/>
        <w:rPr>
          <w:rFonts w:ascii="Arial" w:hAnsi="Arial"/>
          <w:lang w:val="en-IN"/>
        </w:rPr>
      </w:pPr>
      <w:r w:rsidRPr="008C55EC">
        <w:rPr>
          <w:rFonts w:ascii="Arial" w:hAnsi="Arial"/>
        </w:rPr>
        <w:t>Dutta, S., He, M., and Tsang, D. C. (2023). Reflection and peer assessment to promote self-directed learning in higher education. </w:t>
      </w:r>
      <w:r w:rsidRPr="008C55EC">
        <w:rPr>
          <w:rFonts w:ascii="Arial" w:hAnsi="Arial"/>
          <w:i/>
          <w:iCs/>
        </w:rPr>
        <w:t>Journal of Educational Research and Reviews</w:t>
      </w:r>
      <w:r w:rsidRPr="008C55EC">
        <w:rPr>
          <w:rFonts w:ascii="Arial" w:hAnsi="Arial"/>
        </w:rPr>
        <w:t>, </w:t>
      </w:r>
      <w:r w:rsidRPr="008C55EC">
        <w:rPr>
          <w:rFonts w:ascii="Arial" w:hAnsi="Arial"/>
          <w:i/>
          <w:iCs/>
        </w:rPr>
        <w:t>11</w:t>
      </w:r>
      <w:r w:rsidRPr="008C55EC">
        <w:rPr>
          <w:rFonts w:ascii="Arial" w:hAnsi="Arial"/>
        </w:rPr>
        <w:t xml:space="preserve">(3), 35-46. </w:t>
      </w:r>
      <w:hyperlink r:id="rId31" w:history="1">
        <w:r w:rsidRPr="008C55EC">
          <w:rPr>
            <w:rStyle w:val="Hyperlink"/>
            <w:rFonts w:ascii="Arial" w:hAnsi="Arial"/>
            <w:lang w:val="en-IN"/>
          </w:rPr>
          <w:t>https://www.researchgate.net/profile/Shanta-Dutta/publication/371536633_Reflection_and_peer_assessment_to_promote_self-directed_learning_in_higher_education/links/648928519bc5e436682e1817/Reflection-and-peer-assessment-to-promote-self-directed-learning-in-higher-education.pdf</w:t>
        </w:r>
      </w:hyperlink>
    </w:p>
    <w:p w14:paraId="64D84C80" w14:textId="4CDC8953" w:rsidR="00DF6599" w:rsidRPr="008C55EC" w:rsidRDefault="00DF6599" w:rsidP="00DF6599">
      <w:pPr>
        <w:spacing w:before="240"/>
        <w:rPr>
          <w:rFonts w:ascii="Arial" w:hAnsi="Arial"/>
        </w:rPr>
      </w:pPr>
      <w:r w:rsidRPr="008C55EC">
        <w:rPr>
          <w:rFonts w:ascii="Arial" w:hAnsi="Arial"/>
        </w:rPr>
        <w:t>European Commission (2026</w:t>
      </w:r>
      <w:r w:rsidR="00D612DB" w:rsidRPr="008C55EC">
        <w:rPr>
          <w:rFonts w:ascii="Arial" w:hAnsi="Arial"/>
        </w:rPr>
        <w:t>a</w:t>
      </w:r>
      <w:r w:rsidRPr="008C55EC">
        <w:rPr>
          <w:rFonts w:ascii="Arial" w:hAnsi="Arial"/>
        </w:rPr>
        <w:t xml:space="preserve">) </w:t>
      </w:r>
      <w:r w:rsidRPr="008C55EC">
        <w:rPr>
          <w:rFonts w:ascii="Arial" w:hAnsi="Arial"/>
          <w:i/>
          <w:iCs/>
        </w:rPr>
        <w:t>Circular economy</w:t>
      </w:r>
      <w:r w:rsidRPr="008C55EC">
        <w:rPr>
          <w:rFonts w:ascii="Arial" w:hAnsi="Arial"/>
        </w:rPr>
        <w:t xml:space="preserve">. Available at: </w:t>
      </w:r>
      <w:hyperlink r:id="rId32" w:tgtFrame="_new" w:history="1">
        <w:r w:rsidRPr="008C55EC">
          <w:rPr>
            <w:rStyle w:val="Hyperlink"/>
            <w:rFonts w:ascii="Arial" w:hAnsi="Arial"/>
          </w:rPr>
          <w:t>https://environment.ec.europa.eu/strategy/circular-economy_en</w:t>
        </w:r>
      </w:hyperlink>
      <w:r w:rsidRPr="008C55EC">
        <w:rPr>
          <w:rFonts w:ascii="Arial" w:hAnsi="Arial"/>
        </w:rPr>
        <w:t xml:space="preserve"> </w:t>
      </w:r>
    </w:p>
    <w:p w14:paraId="4CFE3FAF" w14:textId="438D1715" w:rsidR="00DF6599" w:rsidRPr="008C55EC" w:rsidRDefault="00DF6599" w:rsidP="00DF6599">
      <w:pPr>
        <w:spacing w:before="240"/>
        <w:rPr>
          <w:rFonts w:ascii="Arial" w:hAnsi="Arial"/>
        </w:rPr>
      </w:pPr>
      <w:r w:rsidRPr="008C55EC">
        <w:rPr>
          <w:rFonts w:ascii="Arial" w:hAnsi="Arial"/>
        </w:rPr>
        <w:t>European Commission (2026</w:t>
      </w:r>
      <w:r w:rsidR="00D612DB" w:rsidRPr="008C55EC">
        <w:rPr>
          <w:rFonts w:ascii="Arial" w:hAnsi="Arial"/>
        </w:rPr>
        <w:t>b</w:t>
      </w:r>
      <w:r w:rsidRPr="008C55EC">
        <w:rPr>
          <w:rFonts w:ascii="Arial" w:hAnsi="Arial"/>
        </w:rPr>
        <w:t xml:space="preserve">) </w:t>
      </w:r>
      <w:r w:rsidRPr="008C55EC">
        <w:rPr>
          <w:rFonts w:ascii="Arial" w:hAnsi="Arial"/>
          <w:i/>
          <w:iCs/>
        </w:rPr>
        <w:t>General Food Law</w:t>
      </w:r>
      <w:r w:rsidRPr="008C55EC">
        <w:rPr>
          <w:rFonts w:ascii="Arial" w:hAnsi="Arial"/>
        </w:rPr>
        <w:t xml:space="preserve">. Available at: </w:t>
      </w:r>
      <w:hyperlink r:id="rId33" w:tgtFrame="_new" w:history="1">
        <w:r w:rsidRPr="008C55EC">
          <w:rPr>
            <w:rStyle w:val="Hyperlink"/>
            <w:rFonts w:ascii="Arial" w:hAnsi="Arial"/>
          </w:rPr>
          <w:t>https://food.ec.europa.eu/horizontal-topics/general-food-law_en</w:t>
        </w:r>
      </w:hyperlink>
      <w:r w:rsidRPr="008C55EC">
        <w:rPr>
          <w:rFonts w:ascii="Arial" w:hAnsi="Arial"/>
        </w:rPr>
        <w:t xml:space="preserve"> </w:t>
      </w:r>
    </w:p>
    <w:p w14:paraId="50DE07F2" w14:textId="16BB69FB" w:rsidR="00DF6599" w:rsidRPr="008C55EC" w:rsidRDefault="00DF6599" w:rsidP="00DF6599">
      <w:pPr>
        <w:spacing w:before="240"/>
        <w:rPr>
          <w:rFonts w:ascii="Arial" w:hAnsi="Arial"/>
          <w:lang w:val="en-IN"/>
        </w:rPr>
      </w:pPr>
      <w:r w:rsidRPr="008C55EC">
        <w:rPr>
          <w:rFonts w:ascii="Arial" w:hAnsi="Arial"/>
          <w:lang w:val="en-IN"/>
        </w:rPr>
        <w:lastRenderedPageBreak/>
        <w:t>‌</w:t>
      </w:r>
      <w:r w:rsidRPr="008C55EC">
        <w:rPr>
          <w:rFonts w:ascii="Arial" w:hAnsi="Arial"/>
        </w:rPr>
        <w:t xml:space="preserve">Federal Government of Germany (2024) </w:t>
      </w:r>
      <w:r w:rsidRPr="008C55EC">
        <w:rPr>
          <w:rFonts w:ascii="Arial" w:hAnsi="Arial"/>
          <w:i/>
          <w:iCs/>
        </w:rPr>
        <w:t>Instagram posts: 30 September to 6 October 2024</w:t>
      </w:r>
      <w:r w:rsidRPr="008C55EC">
        <w:rPr>
          <w:rFonts w:ascii="Arial" w:hAnsi="Arial"/>
        </w:rPr>
        <w:t xml:space="preserve">. Available at: </w:t>
      </w:r>
      <w:hyperlink r:id="rId34" w:tgtFrame="_new" w:history="1">
        <w:r w:rsidRPr="008C55EC">
          <w:rPr>
            <w:rStyle w:val="Hyperlink"/>
            <w:rFonts w:ascii="Arial" w:hAnsi="Arial"/>
          </w:rPr>
          <w:t>https://www.bundesregierung.de/breg-de/service/archiv-bundesregierung/archiv-mediathek/instagram-posts-30-09-bis-06-10-2024-2312374</w:t>
        </w:r>
      </w:hyperlink>
      <w:r w:rsidRPr="008C55EC">
        <w:rPr>
          <w:rFonts w:ascii="Arial" w:hAnsi="Arial"/>
        </w:rPr>
        <w:t xml:space="preserve"> </w:t>
      </w:r>
    </w:p>
    <w:p w14:paraId="70E3B3EA" w14:textId="2EDD847F" w:rsidR="00DF6599" w:rsidRPr="008C55EC" w:rsidRDefault="00DF6599" w:rsidP="00DF6599">
      <w:pPr>
        <w:spacing w:before="240"/>
        <w:rPr>
          <w:rFonts w:ascii="Arial" w:hAnsi="Arial"/>
        </w:rPr>
      </w:pPr>
      <w:r w:rsidRPr="008C55EC">
        <w:rPr>
          <w:rFonts w:ascii="Arial" w:hAnsi="Arial"/>
        </w:rPr>
        <w:t xml:space="preserve">Federal Statistical Office of Germany (2026) </w:t>
      </w:r>
      <w:r w:rsidRPr="008C55EC">
        <w:rPr>
          <w:rFonts w:ascii="Arial" w:hAnsi="Arial"/>
          <w:i/>
          <w:iCs/>
        </w:rPr>
        <w:t>Gross domestic product up 0.2% in 2025</w:t>
      </w:r>
      <w:r w:rsidRPr="008C55EC">
        <w:rPr>
          <w:rFonts w:ascii="Arial" w:hAnsi="Arial"/>
        </w:rPr>
        <w:t xml:space="preserve">. Available at: </w:t>
      </w:r>
      <w:hyperlink r:id="rId35" w:tgtFrame="_new" w:history="1">
        <w:r w:rsidRPr="008C55EC">
          <w:rPr>
            <w:rStyle w:val="Hyperlink"/>
            <w:rFonts w:ascii="Arial" w:hAnsi="Arial"/>
          </w:rPr>
          <w:t>https://www.destatis.de/EN/Press/2026/01/PE26_017_811.html</w:t>
        </w:r>
      </w:hyperlink>
      <w:r w:rsidRPr="008C55EC">
        <w:rPr>
          <w:rFonts w:ascii="Arial" w:hAnsi="Arial"/>
        </w:rPr>
        <w:t xml:space="preserve"> </w:t>
      </w:r>
    </w:p>
    <w:p w14:paraId="6A7A1283" w14:textId="4161D2C8" w:rsidR="00DF6599" w:rsidRPr="008C55EC" w:rsidRDefault="00DF6599" w:rsidP="00DF6599">
      <w:pPr>
        <w:spacing w:before="240"/>
        <w:rPr>
          <w:rFonts w:ascii="Arial" w:hAnsi="Arial"/>
          <w:lang w:val="en-IN"/>
        </w:rPr>
      </w:pPr>
      <w:r w:rsidRPr="008C55EC">
        <w:rPr>
          <w:rFonts w:ascii="Arial" w:hAnsi="Arial"/>
          <w:lang w:val="en-IN"/>
        </w:rPr>
        <w:t>‌Fonseca, L. da and Kogut, C.S. (2023). DIVERSITY AND INCLUSION PROGRAMS IN MULTINATIONALS: OPPORTUNITY FOR REVERSE KNOWLEDGE TRANSFER. </w:t>
      </w:r>
      <w:r w:rsidRPr="008C55EC">
        <w:rPr>
          <w:rFonts w:ascii="Arial" w:hAnsi="Arial"/>
          <w:i/>
          <w:iCs/>
          <w:lang w:val="en-IN"/>
        </w:rPr>
        <w:t xml:space="preserve">Revista de </w:t>
      </w:r>
      <w:proofErr w:type="spellStart"/>
      <w:r w:rsidRPr="008C55EC">
        <w:rPr>
          <w:rFonts w:ascii="Arial" w:hAnsi="Arial"/>
          <w:i/>
          <w:iCs/>
          <w:lang w:val="en-IN"/>
        </w:rPr>
        <w:t>Administração</w:t>
      </w:r>
      <w:proofErr w:type="spellEnd"/>
      <w:r w:rsidRPr="008C55EC">
        <w:rPr>
          <w:rFonts w:ascii="Arial" w:hAnsi="Arial"/>
          <w:i/>
          <w:iCs/>
          <w:lang w:val="en-IN"/>
        </w:rPr>
        <w:t xml:space="preserve"> de Empresas</w:t>
      </w:r>
      <w:r w:rsidRPr="008C55EC">
        <w:rPr>
          <w:rFonts w:ascii="Arial" w:hAnsi="Arial"/>
          <w:lang w:val="en-IN"/>
        </w:rPr>
        <w:t xml:space="preserve">, 63(5). </w:t>
      </w:r>
      <w:hyperlink r:id="rId36" w:history="1">
        <w:r w:rsidR="00D14FD3" w:rsidRPr="008C55EC">
          <w:rPr>
            <w:rStyle w:val="Hyperlink"/>
            <w:rFonts w:ascii="Arial" w:hAnsi="Arial"/>
            <w:lang w:val="en-IN"/>
          </w:rPr>
          <w:t>https://</w:t>
        </w:r>
        <w:r w:rsidRPr="008C55EC">
          <w:rPr>
            <w:rStyle w:val="Hyperlink"/>
            <w:rFonts w:ascii="Arial" w:hAnsi="Arial"/>
            <w:lang w:val="en-IN"/>
          </w:rPr>
          <w:t>doi</w:t>
        </w:r>
        <w:r w:rsidR="00D14FD3" w:rsidRPr="008C55EC">
          <w:rPr>
            <w:rStyle w:val="Hyperlink"/>
            <w:rFonts w:ascii="Arial" w:hAnsi="Arial"/>
            <w:lang w:val="en-IN"/>
          </w:rPr>
          <w:t>.org/</w:t>
        </w:r>
        <w:r w:rsidRPr="008C55EC">
          <w:rPr>
            <w:rStyle w:val="Hyperlink"/>
            <w:rFonts w:ascii="Arial" w:hAnsi="Arial"/>
            <w:lang w:val="en-IN"/>
          </w:rPr>
          <w:t>10.1590/s0034-7590202305</w:t>
        </w:r>
        <w:r w:rsidRPr="008C55EC">
          <w:rPr>
            <w:rStyle w:val="Hyperlink"/>
            <w:rFonts w:ascii="Arial" w:hAnsi="Arial"/>
            <w:lang w:val="en-IN"/>
          </w:rPr>
          <w:t>0</w:t>
        </w:r>
        <w:r w:rsidRPr="008C55EC">
          <w:rPr>
            <w:rStyle w:val="Hyperlink"/>
            <w:rFonts w:ascii="Arial" w:hAnsi="Arial"/>
            <w:lang w:val="en-IN"/>
          </w:rPr>
          <w:t>3</w:t>
        </w:r>
      </w:hyperlink>
      <w:r w:rsidRPr="008C55EC">
        <w:rPr>
          <w:rFonts w:ascii="Arial" w:hAnsi="Arial"/>
          <w:lang w:val="en-IN"/>
        </w:rPr>
        <w:t>.</w:t>
      </w:r>
    </w:p>
    <w:p w14:paraId="68252B31" w14:textId="0330CC77" w:rsidR="00DF6599" w:rsidRPr="008C55EC" w:rsidRDefault="00DF6599" w:rsidP="00DF6599">
      <w:pPr>
        <w:spacing w:before="240"/>
        <w:rPr>
          <w:rFonts w:ascii="Arial" w:hAnsi="Arial"/>
        </w:rPr>
      </w:pPr>
      <w:r w:rsidRPr="008C55EC">
        <w:rPr>
          <w:rFonts w:ascii="Arial" w:hAnsi="Arial"/>
        </w:rPr>
        <w:t xml:space="preserve">Foreign Agricultural Service (2025) </w:t>
      </w:r>
      <w:r w:rsidRPr="008C55EC">
        <w:rPr>
          <w:rFonts w:ascii="Arial" w:hAnsi="Arial"/>
          <w:i/>
          <w:iCs/>
        </w:rPr>
        <w:t>Germany: Retail Foods Annual</w:t>
      </w:r>
      <w:r w:rsidRPr="008C55EC">
        <w:rPr>
          <w:rFonts w:ascii="Arial" w:hAnsi="Arial"/>
        </w:rPr>
        <w:t xml:space="preserve">. Washington, DC: United States Department of Agriculture. Available at: </w:t>
      </w:r>
      <w:hyperlink r:id="rId37" w:tgtFrame="_new" w:history="1">
        <w:r w:rsidRPr="008C55EC">
          <w:rPr>
            <w:rStyle w:val="Hyperlink"/>
            <w:rFonts w:ascii="Arial" w:hAnsi="Arial"/>
          </w:rPr>
          <w:t>https://apps.fas.usda.gov/newgainapi/api/Report/DownloadReportByFileName?fileName=Retail+Foods+Annual_Berlin_Germany_GM2025-0016.pdf</w:t>
        </w:r>
      </w:hyperlink>
      <w:r w:rsidRPr="008C55EC">
        <w:rPr>
          <w:rFonts w:ascii="Arial" w:hAnsi="Arial"/>
        </w:rPr>
        <w:t xml:space="preserve"> </w:t>
      </w:r>
    </w:p>
    <w:p w14:paraId="74F6DD73" w14:textId="37BD980D" w:rsidR="00DF6599" w:rsidRPr="008C55EC" w:rsidRDefault="00DF6599" w:rsidP="00DF6599">
      <w:pPr>
        <w:spacing w:before="240"/>
        <w:rPr>
          <w:rFonts w:ascii="Arial" w:hAnsi="Arial"/>
        </w:rPr>
      </w:pPr>
      <w:r w:rsidRPr="008C55EC">
        <w:rPr>
          <w:rFonts w:ascii="Arial" w:hAnsi="Arial"/>
        </w:rPr>
        <w:t xml:space="preserve">Foreign Agricultural Service (2026) </w:t>
      </w:r>
      <w:r w:rsidRPr="008C55EC">
        <w:rPr>
          <w:rFonts w:ascii="Arial" w:hAnsi="Arial"/>
          <w:i/>
          <w:iCs/>
        </w:rPr>
        <w:t>USDA Foreign Agricultural Service</w:t>
      </w:r>
      <w:r w:rsidRPr="008C55EC">
        <w:rPr>
          <w:rFonts w:ascii="Arial" w:hAnsi="Arial"/>
        </w:rPr>
        <w:t xml:space="preserve">. Available at: </w:t>
      </w:r>
      <w:hyperlink r:id="rId38" w:tgtFrame="_new" w:history="1">
        <w:r w:rsidRPr="008C55EC">
          <w:rPr>
            <w:rStyle w:val="Hyperlink"/>
            <w:rFonts w:ascii="Arial" w:hAnsi="Arial"/>
          </w:rPr>
          <w:t>https://www.fas.usda.gov/</w:t>
        </w:r>
      </w:hyperlink>
    </w:p>
    <w:p w14:paraId="3D9A7F23" w14:textId="4732083A" w:rsidR="00DF6599" w:rsidRPr="008C55EC" w:rsidRDefault="00DF6599" w:rsidP="00DF6599">
      <w:pPr>
        <w:spacing w:before="240"/>
        <w:rPr>
          <w:rFonts w:ascii="Arial" w:hAnsi="Arial"/>
          <w:lang w:val="en-IN"/>
        </w:rPr>
      </w:pPr>
      <w:r w:rsidRPr="008C55EC">
        <w:rPr>
          <w:rFonts w:ascii="Arial" w:hAnsi="Arial"/>
          <w:lang w:val="en-IN"/>
        </w:rPr>
        <w:t>Geo Factbook (2025). </w:t>
      </w:r>
      <w:r w:rsidRPr="008C55EC">
        <w:rPr>
          <w:rFonts w:ascii="Arial" w:hAnsi="Arial"/>
          <w:i/>
          <w:iCs/>
          <w:lang w:val="en-IN"/>
        </w:rPr>
        <w:t>Rule of Law Index by Country in Germany</w:t>
      </w:r>
      <w:r w:rsidRPr="008C55EC">
        <w:rPr>
          <w:rFonts w:ascii="Arial" w:hAnsi="Arial"/>
          <w:lang w:val="en-IN"/>
        </w:rPr>
        <w:t xml:space="preserve">. [online] Geo Factbook. Available at: </w:t>
      </w:r>
      <w:hyperlink r:id="rId39" w:history="1">
        <w:r w:rsidRPr="008C55EC">
          <w:rPr>
            <w:rStyle w:val="Hyperlink"/>
            <w:rFonts w:ascii="Arial" w:hAnsi="Arial"/>
            <w:lang w:val="en-IN"/>
          </w:rPr>
          <w:t>https://geofactbook.com/countries/germany/rule-of-law-index-by-country</w:t>
        </w:r>
      </w:hyperlink>
    </w:p>
    <w:p w14:paraId="6B0C2D04" w14:textId="77777777" w:rsidR="00DF6599" w:rsidRPr="008C55EC" w:rsidRDefault="00DF6599" w:rsidP="00DF6599">
      <w:pPr>
        <w:spacing w:before="240"/>
        <w:rPr>
          <w:rFonts w:ascii="Arial" w:hAnsi="Arial"/>
          <w:lang w:val="en-IN"/>
        </w:rPr>
      </w:pPr>
      <w:r w:rsidRPr="008C55EC">
        <w:rPr>
          <w:rFonts w:ascii="Arial" w:hAnsi="Arial"/>
          <w:lang w:val="en-IN"/>
        </w:rPr>
        <w:t xml:space="preserve">‌Gini, K.B. and Agala, H.O. (2023) 'The impact of Macro-Environmental factors on business performance,' </w:t>
      </w:r>
      <w:r w:rsidRPr="008C55EC">
        <w:rPr>
          <w:rFonts w:ascii="Arial" w:hAnsi="Arial"/>
          <w:i/>
          <w:iCs/>
          <w:lang w:val="en-IN"/>
        </w:rPr>
        <w:t>International Journal of Research and Innovation in Social Science</w:t>
      </w:r>
      <w:r w:rsidRPr="008C55EC">
        <w:rPr>
          <w:rFonts w:ascii="Arial" w:hAnsi="Arial"/>
          <w:lang w:val="en-IN"/>
        </w:rPr>
        <w:t xml:space="preserve">, VII(XI), pp. 1837–1843. </w:t>
      </w:r>
      <w:hyperlink r:id="rId40" w:history="1">
        <w:r w:rsidRPr="008C55EC">
          <w:rPr>
            <w:rStyle w:val="Hyperlink"/>
            <w:rFonts w:ascii="Arial" w:hAnsi="Arial"/>
            <w:lang w:val="en-IN"/>
          </w:rPr>
          <w:t>https://doi.org/10.47772/ijriss.2023.7011145</w:t>
        </w:r>
      </w:hyperlink>
      <w:r w:rsidRPr="008C55EC">
        <w:rPr>
          <w:rFonts w:ascii="Arial" w:hAnsi="Arial"/>
          <w:lang w:val="en-IN"/>
        </w:rPr>
        <w:t>.</w:t>
      </w:r>
    </w:p>
    <w:p w14:paraId="4D27E159" w14:textId="77777777" w:rsidR="00DF6599" w:rsidRPr="008C55EC" w:rsidRDefault="00DF6599" w:rsidP="00DF6599">
      <w:pPr>
        <w:spacing w:before="240"/>
        <w:rPr>
          <w:rFonts w:ascii="Arial" w:hAnsi="Arial"/>
          <w:lang w:val="en-IN"/>
        </w:rPr>
      </w:pPr>
      <w:r w:rsidRPr="008C55EC">
        <w:rPr>
          <w:rFonts w:ascii="Arial" w:hAnsi="Arial"/>
          <w:lang w:val="en-IN"/>
        </w:rPr>
        <w:t>Gustafsson, M., Schilling</w:t>
      </w:r>
      <w:r w:rsidRPr="008C55EC">
        <w:rPr>
          <w:rFonts w:ascii="Cambria Math" w:hAnsi="Cambria Math" w:cs="Cambria Math"/>
          <w:lang w:val="en-IN"/>
        </w:rPr>
        <w:t>‐</w:t>
      </w:r>
      <w:r w:rsidRPr="008C55EC">
        <w:rPr>
          <w:rFonts w:ascii="Arial" w:hAnsi="Arial"/>
          <w:lang w:val="en-IN"/>
        </w:rPr>
        <w:t xml:space="preserve">Vacaflor, A. and Lenschow, A. (2022) 'Foreign corporate accountability: The contested institutionalization of mandatory due diligence in France and Germany,' </w:t>
      </w:r>
      <w:r w:rsidRPr="008C55EC">
        <w:rPr>
          <w:rFonts w:ascii="Arial" w:hAnsi="Arial"/>
          <w:i/>
          <w:iCs/>
          <w:lang w:val="en-IN"/>
        </w:rPr>
        <w:t>Regulation &amp; Governance</w:t>
      </w:r>
      <w:r w:rsidRPr="008C55EC">
        <w:rPr>
          <w:rFonts w:ascii="Arial" w:hAnsi="Arial"/>
          <w:lang w:val="en-IN"/>
        </w:rPr>
        <w:t xml:space="preserve">, 17(4), pp. 891–908. </w:t>
      </w:r>
      <w:hyperlink r:id="rId41" w:history="1">
        <w:r w:rsidRPr="008C55EC">
          <w:rPr>
            <w:rStyle w:val="Hyperlink"/>
            <w:rFonts w:ascii="Arial" w:hAnsi="Arial"/>
            <w:lang w:val="en-IN"/>
          </w:rPr>
          <w:t>https://doi.org/10.1111/rego.12498</w:t>
        </w:r>
      </w:hyperlink>
      <w:r w:rsidRPr="008C55EC">
        <w:rPr>
          <w:rFonts w:ascii="Arial" w:hAnsi="Arial"/>
          <w:lang w:val="en-IN"/>
        </w:rPr>
        <w:t>.</w:t>
      </w:r>
    </w:p>
    <w:p w14:paraId="3A268E0A" w14:textId="11951B98" w:rsidR="00DF6599" w:rsidRPr="008C55EC" w:rsidRDefault="00DF6599" w:rsidP="00DF6599">
      <w:pPr>
        <w:spacing w:before="240"/>
        <w:rPr>
          <w:rFonts w:ascii="Arial" w:hAnsi="Arial"/>
          <w:lang w:val="en-IN"/>
        </w:rPr>
      </w:pPr>
      <w:r w:rsidRPr="008C55EC">
        <w:rPr>
          <w:rFonts w:ascii="Arial" w:hAnsi="Arial"/>
        </w:rPr>
        <w:t xml:space="preserve">IACMR (2022) </w:t>
      </w:r>
      <w:r w:rsidRPr="008C55EC">
        <w:rPr>
          <w:rFonts w:ascii="Arial" w:hAnsi="Arial"/>
          <w:i/>
          <w:iCs/>
        </w:rPr>
        <w:t>Management Insights Annual English Issue 2, 2022</w:t>
      </w:r>
      <w:r w:rsidRPr="008C55EC">
        <w:rPr>
          <w:rFonts w:ascii="Arial" w:hAnsi="Arial"/>
        </w:rPr>
        <w:t xml:space="preserve">. Available at: </w:t>
      </w:r>
      <w:hyperlink r:id="rId42" w:tgtFrame="_new" w:history="1">
        <w:r w:rsidRPr="008C55EC">
          <w:rPr>
            <w:rStyle w:val="Hyperlink"/>
            <w:rFonts w:ascii="Arial" w:hAnsi="Arial"/>
          </w:rPr>
          <w:t>https://iacmr.org/wp-content/uploads/sites/26/2022/01/2022-Management-Insights-annual-English-issue2_compressed-2.pdf</w:t>
        </w:r>
      </w:hyperlink>
    </w:p>
    <w:p w14:paraId="7423DA0A" w14:textId="7D00C03E" w:rsidR="00DF6599" w:rsidRPr="008C55EC" w:rsidRDefault="00DF6599" w:rsidP="00DF6599">
      <w:pPr>
        <w:spacing w:before="240"/>
        <w:rPr>
          <w:rFonts w:ascii="Arial" w:hAnsi="Arial"/>
          <w:lang w:val="en-IN"/>
        </w:rPr>
      </w:pPr>
      <w:r w:rsidRPr="008C55EC">
        <w:rPr>
          <w:rFonts w:ascii="Arial" w:hAnsi="Arial"/>
          <w:lang w:val="en-IN"/>
        </w:rPr>
        <w:lastRenderedPageBreak/>
        <w:t>Johnson, S. (2025). </w:t>
      </w:r>
      <w:r w:rsidRPr="008C55EC">
        <w:rPr>
          <w:rFonts w:ascii="Arial" w:hAnsi="Arial"/>
          <w:i/>
          <w:iCs/>
          <w:lang w:val="en-IN"/>
        </w:rPr>
        <w:t>Investment Analysis of Costco: A Comprehensive Strategic and Financial Evaluation</w:t>
      </w:r>
      <w:r w:rsidRPr="008C55EC">
        <w:rPr>
          <w:rFonts w:ascii="Arial" w:hAnsi="Arial"/>
          <w:lang w:val="en-IN"/>
        </w:rPr>
        <w:t xml:space="preserve">. [online] The LAIR at East Texas A&amp;M. Available at: </w:t>
      </w:r>
      <w:hyperlink r:id="rId43" w:history="1">
        <w:r w:rsidRPr="008C55EC">
          <w:rPr>
            <w:rStyle w:val="Hyperlink"/>
            <w:rFonts w:ascii="Arial" w:hAnsi="Arial"/>
            <w:lang w:val="en-IN"/>
          </w:rPr>
          <w:t>https://lair.etamu.edu/honorsthese</w:t>
        </w:r>
        <w:r w:rsidRPr="008C55EC">
          <w:rPr>
            <w:rStyle w:val="Hyperlink"/>
            <w:rFonts w:ascii="Arial" w:hAnsi="Arial"/>
            <w:lang w:val="en-IN"/>
          </w:rPr>
          <w:t>s</w:t>
        </w:r>
        <w:r w:rsidRPr="008C55EC">
          <w:rPr>
            <w:rStyle w:val="Hyperlink"/>
            <w:rFonts w:ascii="Arial" w:hAnsi="Arial"/>
            <w:lang w:val="en-IN"/>
          </w:rPr>
          <w:t>/277/</w:t>
        </w:r>
      </w:hyperlink>
    </w:p>
    <w:p w14:paraId="1E70AB9E" w14:textId="32E246C5" w:rsidR="00DF6599" w:rsidRPr="008C55EC" w:rsidRDefault="00DF6599" w:rsidP="00DF6599">
      <w:pPr>
        <w:spacing w:before="240"/>
        <w:rPr>
          <w:rFonts w:ascii="Arial" w:hAnsi="Arial"/>
          <w:lang w:val="en-IN"/>
        </w:rPr>
      </w:pPr>
      <w:r w:rsidRPr="008C55EC">
        <w:rPr>
          <w:rFonts w:ascii="Arial" w:hAnsi="Arial"/>
          <w:lang w:val="en-IN"/>
        </w:rPr>
        <w:t>‌</w:t>
      </w:r>
      <w:r w:rsidRPr="008C55EC">
        <w:rPr>
          <w:rFonts w:ascii="Arial" w:hAnsi="Arial"/>
        </w:rPr>
        <w:t xml:space="preserve">Kaufmann, D. and Kraay, A. (2024) </w:t>
      </w:r>
      <w:r w:rsidRPr="008C55EC">
        <w:rPr>
          <w:rFonts w:ascii="Arial" w:hAnsi="Arial"/>
          <w:i/>
          <w:iCs/>
        </w:rPr>
        <w:t>The Worldwide Governance Indicators: Methodology and 2024 Update</w:t>
      </w:r>
      <w:r w:rsidRPr="008C55EC">
        <w:rPr>
          <w:rFonts w:ascii="Arial" w:hAnsi="Arial"/>
        </w:rPr>
        <w:t xml:space="preserve">. Washington, DC: World Bank. Available at: </w:t>
      </w:r>
      <w:hyperlink r:id="rId44" w:tgtFrame="_new" w:history="1">
        <w:r w:rsidRPr="008C55EC">
          <w:rPr>
            <w:rStyle w:val="Hyperlink"/>
            <w:rFonts w:ascii="Arial" w:hAnsi="Arial"/>
          </w:rPr>
          <w:t>https://documents1.worldbank.org/curated/en/099005210162424110/pdf/IDU-7c6f0b9e-f0c2-4b1d-b30d-76c4644af69e.pdf</w:t>
        </w:r>
      </w:hyperlink>
    </w:p>
    <w:p w14:paraId="63749B25" w14:textId="77777777" w:rsidR="00DF6599" w:rsidRPr="008C55EC" w:rsidRDefault="00DF6599" w:rsidP="00DF6599">
      <w:pPr>
        <w:spacing w:before="240"/>
        <w:rPr>
          <w:rFonts w:ascii="Arial" w:hAnsi="Arial"/>
          <w:lang w:val="en-IN"/>
        </w:rPr>
      </w:pPr>
      <w:r w:rsidRPr="008C55EC">
        <w:rPr>
          <w:rFonts w:ascii="Arial" w:hAnsi="Arial"/>
          <w:lang w:val="en-IN"/>
        </w:rPr>
        <w:t xml:space="preserve">Kauppi, K. (2022) 'Institutional theory,' in </w:t>
      </w:r>
      <w:r w:rsidRPr="008C55EC">
        <w:rPr>
          <w:rFonts w:ascii="Arial" w:hAnsi="Arial"/>
          <w:i/>
          <w:iCs/>
          <w:lang w:val="en-IN"/>
        </w:rPr>
        <w:t>Edward Elgar Publishing eBooks</w:t>
      </w:r>
      <w:r w:rsidRPr="008C55EC">
        <w:rPr>
          <w:rFonts w:ascii="Arial" w:hAnsi="Arial"/>
          <w:lang w:val="en-IN"/>
        </w:rPr>
        <w:t xml:space="preserve">, pp. 320–334. </w:t>
      </w:r>
      <w:hyperlink r:id="rId45" w:history="1">
        <w:r w:rsidRPr="008C55EC">
          <w:rPr>
            <w:rStyle w:val="Hyperlink"/>
            <w:rFonts w:ascii="Arial" w:hAnsi="Arial"/>
            <w:lang w:val="en-IN"/>
          </w:rPr>
          <w:t>https://doi.org/10.4337/9781839104503.00025</w:t>
        </w:r>
      </w:hyperlink>
      <w:r w:rsidRPr="008C55EC">
        <w:rPr>
          <w:rFonts w:ascii="Arial" w:hAnsi="Arial"/>
          <w:lang w:val="en-IN"/>
        </w:rPr>
        <w:t xml:space="preserve">. </w:t>
      </w:r>
    </w:p>
    <w:p w14:paraId="0B70D6FA" w14:textId="582852EF" w:rsidR="00DF6599" w:rsidRPr="008C55EC" w:rsidRDefault="00DF6599" w:rsidP="00DF6599">
      <w:pPr>
        <w:spacing w:before="240"/>
        <w:rPr>
          <w:rFonts w:ascii="Arial" w:hAnsi="Arial"/>
          <w:lang w:val="en-IN"/>
        </w:rPr>
      </w:pPr>
      <w:r w:rsidRPr="008C55EC">
        <w:rPr>
          <w:rFonts w:ascii="Arial" w:hAnsi="Arial"/>
          <w:lang w:val="en-IN"/>
        </w:rPr>
        <w:t>‌Kolhe, A. (2023). </w:t>
      </w:r>
      <w:r w:rsidRPr="008C55EC">
        <w:rPr>
          <w:rFonts w:ascii="Arial" w:hAnsi="Arial"/>
          <w:i/>
          <w:iCs/>
          <w:lang w:val="en-IN"/>
        </w:rPr>
        <w:t>Exploring the Factors Constraining the Adoption of Multi-domestic Strategy Among the Fast-Food Chains: A Case Study of Fast-Food Chains in Europe</w:t>
      </w:r>
      <w:r w:rsidRPr="008C55EC">
        <w:rPr>
          <w:rFonts w:ascii="Arial" w:hAnsi="Arial"/>
          <w:lang w:val="en-IN"/>
        </w:rPr>
        <w:t xml:space="preserve">. [online] Ncirl.ie. Available at: </w:t>
      </w:r>
      <w:hyperlink r:id="rId46" w:history="1">
        <w:r w:rsidRPr="008C55EC">
          <w:rPr>
            <w:rStyle w:val="Hyperlink"/>
            <w:rFonts w:ascii="Arial" w:hAnsi="Arial"/>
            <w:lang w:val="en-IN"/>
          </w:rPr>
          <w:t>https://norma.ncirl.i</w:t>
        </w:r>
        <w:r w:rsidRPr="008C55EC">
          <w:rPr>
            <w:rStyle w:val="Hyperlink"/>
            <w:rFonts w:ascii="Arial" w:hAnsi="Arial"/>
            <w:lang w:val="en-IN"/>
          </w:rPr>
          <w:t>e</w:t>
        </w:r>
        <w:r w:rsidRPr="008C55EC">
          <w:rPr>
            <w:rStyle w:val="Hyperlink"/>
            <w:rFonts w:ascii="Arial" w:hAnsi="Arial"/>
            <w:lang w:val="en-IN"/>
          </w:rPr>
          <w:t>/6785/</w:t>
        </w:r>
      </w:hyperlink>
      <w:r w:rsidRPr="008C55EC">
        <w:rPr>
          <w:rFonts w:ascii="Arial" w:hAnsi="Arial"/>
          <w:lang w:val="en-IN"/>
        </w:rPr>
        <w:t xml:space="preserve"> </w:t>
      </w:r>
    </w:p>
    <w:p w14:paraId="02F3E3F4" w14:textId="77777777" w:rsidR="00DF6599" w:rsidRPr="008C55EC" w:rsidRDefault="00DF6599" w:rsidP="00DF6599">
      <w:pPr>
        <w:spacing w:before="240"/>
        <w:rPr>
          <w:rFonts w:ascii="Arial" w:hAnsi="Arial"/>
          <w:lang w:val="en-IN"/>
        </w:rPr>
      </w:pPr>
      <w:r w:rsidRPr="008C55EC">
        <w:rPr>
          <w:rFonts w:ascii="Arial" w:hAnsi="Arial"/>
          <w:lang w:val="en-IN"/>
        </w:rPr>
        <w:t>‌</w:t>
      </w:r>
      <w:r w:rsidRPr="008C55EC">
        <w:rPr>
          <w:rFonts w:ascii="Arial" w:hAnsi="Arial"/>
        </w:rPr>
        <w:t>Kumar, S. (2026). </w:t>
      </w:r>
      <w:r w:rsidRPr="008C55EC">
        <w:rPr>
          <w:rFonts w:ascii="Arial" w:hAnsi="Arial"/>
          <w:i/>
          <w:iCs/>
        </w:rPr>
        <w:t>Strategic Marketing: Planning and Positioning</w:t>
      </w:r>
      <w:r w:rsidRPr="008C55EC">
        <w:rPr>
          <w:rFonts w:ascii="Arial" w:hAnsi="Arial"/>
        </w:rPr>
        <w:t xml:space="preserve">. </w:t>
      </w:r>
      <w:proofErr w:type="spellStart"/>
      <w:r w:rsidRPr="008C55EC">
        <w:rPr>
          <w:rFonts w:ascii="Arial" w:hAnsi="Arial"/>
        </w:rPr>
        <w:t>Educohack</w:t>
      </w:r>
      <w:proofErr w:type="spellEnd"/>
      <w:r w:rsidRPr="008C55EC">
        <w:rPr>
          <w:rFonts w:ascii="Arial" w:hAnsi="Arial"/>
        </w:rPr>
        <w:t xml:space="preserve"> Press.</w:t>
      </w:r>
    </w:p>
    <w:p w14:paraId="617CC4C8" w14:textId="68AE7072" w:rsidR="00DF6599" w:rsidRPr="008C55EC" w:rsidRDefault="00DF6599" w:rsidP="00DF6599">
      <w:pPr>
        <w:spacing w:before="240"/>
        <w:rPr>
          <w:rFonts w:ascii="Arial" w:hAnsi="Arial"/>
          <w:lang w:val="en-IN"/>
        </w:rPr>
      </w:pPr>
      <w:r w:rsidRPr="008C55EC">
        <w:rPr>
          <w:rFonts w:ascii="Arial" w:hAnsi="Arial"/>
          <w:lang w:val="en-IN"/>
        </w:rPr>
        <w:t xml:space="preserve">Lei, T. (2026) 'Costco’s Financial Performance and Strategic Outlook: An Industry Comparative analysis,' </w:t>
      </w:r>
      <w:r w:rsidRPr="008C55EC">
        <w:rPr>
          <w:rFonts w:ascii="Arial" w:hAnsi="Arial"/>
          <w:i/>
          <w:iCs/>
          <w:lang w:val="en-IN"/>
        </w:rPr>
        <w:t>Advances in Economics Management and Political Sciences</w:t>
      </w:r>
      <w:r w:rsidRPr="008C55EC">
        <w:rPr>
          <w:rFonts w:ascii="Arial" w:hAnsi="Arial"/>
          <w:lang w:val="en-IN"/>
        </w:rPr>
        <w:t xml:space="preserve">, 262(1), pp. 32–38. </w:t>
      </w:r>
      <w:hyperlink r:id="rId47" w:history="1">
        <w:r w:rsidRPr="008C55EC">
          <w:rPr>
            <w:rStyle w:val="Hyperlink"/>
            <w:rFonts w:ascii="Arial" w:hAnsi="Arial"/>
            <w:lang w:val="en-IN"/>
          </w:rPr>
          <w:t>https://doi.org/1</w:t>
        </w:r>
        <w:r w:rsidRPr="008C55EC">
          <w:rPr>
            <w:rStyle w:val="Hyperlink"/>
            <w:rFonts w:ascii="Arial" w:hAnsi="Arial"/>
            <w:lang w:val="en-IN"/>
          </w:rPr>
          <w:t>0</w:t>
        </w:r>
        <w:r w:rsidRPr="008C55EC">
          <w:rPr>
            <w:rStyle w:val="Hyperlink"/>
            <w:rFonts w:ascii="Arial" w:hAnsi="Arial"/>
            <w:lang w:val="en-IN"/>
          </w:rPr>
          <w:t>.54254/2754-1169/2026.bl32592</w:t>
        </w:r>
      </w:hyperlink>
      <w:r w:rsidRPr="008C55EC">
        <w:rPr>
          <w:rFonts w:ascii="Arial" w:hAnsi="Arial"/>
          <w:lang w:val="en-IN"/>
        </w:rPr>
        <w:t>.</w:t>
      </w:r>
    </w:p>
    <w:p w14:paraId="0A960EE5" w14:textId="74BC5CBE" w:rsidR="00DF6599" w:rsidRPr="008C55EC" w:rsidRDefault="00DF6599" w:rsidP="00DF6599">
      <w:pPr>
        <w:spacing w:before="240"/>
        <w:rPr>
          <w:rFonts w:ascii="Arial" w:hAnsi="Arial"/>
        </w:rPr>
      </w:pPr>
      <w:r w:rsidRPr="008C55EC">
        <w:rPr>
          <w:rFonts w:ascii="Arial" w:hAnsi="Arial"/>
        </w:rPr>
        <w:t>Lema, R., Saka-</w:t>
      </w:r>
      <w:proofErr w:type="spellStart"/>
      <w:r w:rsidRPr="008C55EC">
        <w:rPr>
          <w:rFonts w:ascii="Arial" w:hAnsi="Arial"/>
        </w:rPr>
        <w:t>Helmhout</w:t>
      </w:r>
      <w:proofErr w:type="spellEnd"/>
      <w:r w:rsidRPr="008C55EC">
        <w:rPr>
          <w:rFonts w:ascii="Arial" w:hAnsi="Arial"/>
        </w:rPr>
        <w:t xml:space="preserve">, A. and Elango, B. (eds.) (2015) </w:t>
      </w:r>
      <w:r w:rsidRPr="008C55EC">
        <w:rPr>
          <w:rFonts w:ascii="Arial" w:hAnsi="Arial"/>
          <w:i/>
          <w:iCs/>
        </w:rPr>
        <w:t>Global Operations Networks: Exploring New Perspectives and Agendas</w:t>
      </w:r>
      <w:r w:rsidRPr="008C55EC">
        <w:rPr>
          <w:rFonts w:ascii="Arial" w:hAnsi="Arial"/>
        </w:rPr>
        <w:t xml:space="preserve">. Cheltenham: Edward Elgar Publishing. Available at: </w:t>
      </w:r>
      <w:hyperlink r:id="rId48" w:tgtFrame="_new" w:history="1">
        <w:r w:rsidRPr="008C55EC">
          <w:rPr>
            <w:rStyle w:val="Hyperlink"/>
            <w:rFonts w:ascii="Arial" w:hAnsi="Arial"/>
          </w:rPr>
          <w:t>https://www.researchgate.net/publication/280085301_Global_Operations_Networks_Exploring_New_Perspectives_and_Agendas</w:t>
        </w:r>
      </w:hyperlink>
    </w:p>
    <w:p w14:paraId="39C61054" w14:textId="20E55490" w:rsidR="00DF6599" w:rsidRPr="008C55EC" w:rsidRDefault="00DF6599" w:rsidP="00DF6599">
      <w:pPr>
        <w:spacing w:before="240"/>
        <w:rPr>
          <w:rFonts w:ascii="Arial" w:hAnsi="Arial"/>
          <w:lang w:val="en-IN"/>
        </w:rPr>
      </w:pPr>
      <w:r w:rsidRPr="008C55EC">
        <w:rPr>
          <w:rFonts w:ascii="Arial" w:hAnsi="Arial"/>
          <w:lang w:val="en-IN"/>
        </w:rPr>
        <w:t>Liu, G. (2025). Costco Wholesale: Performance, Strategies, and Outlook. </w:t>
      </w:r>
      <w:r w:rsidRPr="008C55EC">
        <w:rPr>
          <w:rFonts w:ascii="Arial" w:hAnsi="Arial"/>
          <w:i/>
          <w:iCs/>
          <w:lang w:val="en-IN"/>
        </w:rPr>
        <w:t>American Journal of Student Research</w:t>
      </w:r>
      <w:r w:rsidRPr="008C55EC">
        <w:rPr>
          <w:rFonts w:ascii="Arial" w:hAnsi="Arial"/>
          <w:lang w:val="en-IN"/>
        </w:rPr>
        <w:t xml:space="preserve">, pp.401–412. </w:t>
      </w:r>
      <w:hyperlink r:id="rId49" w:history="1">
        <w:r w:rsidR="00D14FD3" w:rsidRPr="008C55EC">
          <w:rPr>
            <w:rStyle w:val="Hyperlink"/>
            <w:rFonts w:ascii="Arial" w:hAnsi="Arial"/>
            <w:lang w:val="en-IN"/>
          </w:rPr>
          <w:t>https://</w:t>
        </w:r>
        <w:r w:rsidRPr="008C55EC">
          <w:rPr>
            <w:rStyle w:val="Hyperlink"/>
            <w:rFonts w:ascii="Arial" w:hAnsi="Arial"/>
            <w:lang w:val="en-IN"/>
          </w:rPr>
          <w:t>doi</w:t>
        </w:r>
        <w:r w:rsidR="00D14FD3" w:rsidRPr="008C55EC">
          <w:rPr>
            <w:rStyle w:val="Hyperlink"/>
            <w:rFonts w:ascii="Arial" w:hAnsi="Arial"/>
            <w:lang w:val="en-IN"/>
          </w:rPr>
          <w:t>.org/</w:t>
        </w:r>
        <w:r w:rsidRPr="008C55EC">
          <w:rPr>
            <w:rStyle w:val="Hyperlink"/>
            <w:rFonts w:ascii="Arial" w:hAnsi="Arial"/>
            <w:lang w:val="en-IN"/>
          </w:rPr>
          <w:t>10.70251/hyjr2348.36</w:t>
        </w:r>
        <w:r w:rsidRPr="008C55EC">
          <w:rPr>
            <w:rStyle w:val="Hyperlink"/>
            <w:rFonts w:ascii="Arial" w:hAnsi="Arial"/>
            <w:lang w:val="en-IN"/>
          </w:rPr>
          <w:t>4</w:t>
        </w:r>
        <w:r w:rsidRPr="008C55EC">
          <w:rPr>
            <w:rStyle w:val="Hyperlink"/>
            <w:rFonts w:ascii="Arial" w:hAnsi="Arial"/>
            <w:lang w:val="en-IN"/>
          </w:rPr>
          <w:t>01412</w:t>
        </w:r>
      </w:hyperlink>
      <w:r w:rsidRPr="008C55EC">
        <w:rPr>
          <w:rFonts w:ascii="Arial" w:hAnsi="Arial"/>
          <w:lang w:val="en-IN"/>
        </w:rPr>
        <w:t>.</w:t>
      </w:r>
    </w:p>
    <w:p w14:paraId="7E6D35A3" w14:textId="0FF61DCE" w:rsidR="00DF6599" w:rsidRPr="008C55EC" w:rsidRDefault="00DF6599" w:rsidP="00DF6599">
      <w:pPr>
        <w:spacing w:before="240"/>
        <w:rPr>
          <w:rFonts w:ascii="Arial" w:hAnsi="Arial"/>
          <w:lang w:val="en-IN"/>
        </w:rPr>
      </w:pPr>
      <w:r w:rsidRPr="008C55EC">
        <w:rPr>
          <w:rFonts w:ascii="Arial" w:hAnsi="Arial"/>
          <w:lang w:val="en-IN"/>
        </w:rPr>
        <w:t>McCluskey, E.C. and Barton, S.A. (2020). </w:t>
      </w:r>
      <w:r w:rsidRPr="008C55EC">
        <w:rPr>
          <w:rFonts w:ascii="Arial" w:hAnsi="Arial"/>
          <w:i/>
          <w:iCs/>
          <w:lang w:val="en-IN"/>
        </w:rPr>
        <w:t>The Macroeconomic and Cultural Microcosms of Global Groceries</w:t>
      </w:r>
      <w:r w:rsidRPr="008C55EC">
        <w:rPr>
          <w:rFonts w:ascii="Arial" w:hAnsi="Arial"/>
          <w:lang w:val="en-IN"/>
        </w:rPr>
        <w:t xml:space="preserve">. [online] Scholar Commons. Available at: </w:t>
      </w:r>
      <w:hyperlink r:id="rId50" w:history="1">
        <w:r w:rsidRPr="008C55EC">
          <w:rPr>
            <w:rStyle w:val="Hyperlink"/>
            <w:rFonts w:ascii="Arial" w:hAnsi="Arial"/>
            <w:lang w:val="en-IN"/>
          </w:rPr>
          <w:t>https://scholarcommons.sc.edu/senior_thes</w:t>
        </w:r>
        <w:r w:rsidRPr="008C55EC">
          <w:rPr>
            <w:rStyle w:val="Hyperlink"/>
            <w:rFonts w:ascii="Arial" w:hAnsi="Arial"/>
            <w:lang w:val="en-IN"/>
          </w:rPr>
          <w:t>e</w:t>
        </w:r>
        <w:r w:rsidRPr="008C55EC">
          <w:rPr>
            <w:rStyle w:val="Hyperlink"/>
            <w:rFonts w:ascii="Arial" w:hAnsi="Arial"/>
            <w:lang w:val="en-IN"/>
          </w:rPr>
          <w:t>s/381/</w:t>
        </w:r>
      </w:hyperlink>
    </w:p>
    <w:p w14:paraId="3EAFA739" w14:textId="77777777" w:rsidR="00DF6599" w:rsidRPr="008C55EC" w:rsidRDefault="00DF6599" w:rsidP="00DF6599">
      <w:pPr>
        <w:spacing w:before="240"/>
        <w:rPr>
          <w:rFonts w:ascii="Arial" w:hAnsi="Arial"/>
          <w:lang w:val="en-IN"/>
        </w:rPr>
      </w:pPr>
      <w:r w:rsidRPr="008C55EC">
        <w:rPr>
          <w:rFonts w:ascii="Arial" w:hAnsi="Arial"/>
        </w:rPr>
        <w:t>Müller, M. (2025). </w:t>
      </w:r>
      <w:r w:rsidRPr="008C55EC">
        <w:rPr>
          <w:rFonts w:ascii="Arial" w:hAnsi="Arial"/>
          <w:i/>
          <w:iCs/>
        </w:rPr>
        <w:t>Strategic Management of International E-Commerce Firms</w:t>
      </w:r>
      <w:r w:rsidRPr="008C55EC">
        <w:rPr>
          <w:rFonts w:ascii="Arial" w:hAnsi="Arial"/>
        </w:rPr>
        <w:t>.</w:t>
      </w:r>
    </w:p>
    <w:p w14:paraId="73AF1D08" w14:textId="404562E8" w:rsidR="00DF6599" w:rsidRPr="008C55EC" w:rsidRDefault="00DF6599" w:rsidP="00DF6599">
      <w:pPr>
        <w:spacing w:before="240"/>
        <w:rPr>
          <w:rFonts w:ascii="Arial" w:hAnsi="Arial"/>
          <w:lang w:val="en-IN"/>
        </w:rPr>
      </w:pPr>
      <w:r w:rsidRPr="008C55EC">
        <w:rPr>
          <w:rFonts w:ascii="Arial" w:hAnsi="Arial"/>
        </w:rPr>
        <w:lastRenderedPageBreak/>
        <w:t>Nadales, M.C., (2020). The disruption of a digital transformation in the in-store experience of a traditional grocery store. </w:t>
      </w:r>
      <w:r w:rsidRPr="008C55EC">
        <w:rPr>
          <w:rFonts w:ascii="Arial" w:hAnsi="Arial"/>
          <w:i/>
          <w:iCs/>
        </w:rPr>
        <w:t>2020</w:t>
      </w:r>
      <w:r w:rsidRPr="008C55EC">
        <w:rPr>
          <w:rFonts w:ascii="Arial" w:hAnsi="Arial"/>
        </w:rPr>
        <w:t xml:space="preserve">. </w:t>
      </w:r>
      <w:hyperlink r:id="rId51" w:history="1">
        <w:r w:rsidRPr="008C55EC">
          <w:rPr>
            <w:rStyle w:val="Hyperlink"/>
            <w:rFonts w:ascii="Arial" w:hAnsi="Arial"/>
            <w:lang w:val="en-IN"/>
          </w:rPr>
          <w:t>https://dipo</w:t>
        </w:r>
        <w:r w:rsidRPr="008C55EC">
          <w:rPr>
            <w:rStyle w:val="Hyperlink"/>
            <w:rFonts w:ascii="Arial" w:hAnsi="Arial"/>
            <w:lang w:val="en-IN"/>
          </w:rPr>
          <w:t>s</w:t>
        </w:r>
        <w:r w:rsidRPr="008C55EC">
          <w:rPr>
            <w:rStyle w:val="Hyperlink"/>
            <w:rFonts w:ascii="Arial" w:hAnsi="Arial"/>
            <w:lang w:val="en-IN"/>
          </w:rPr>
          <w:t>it.ub.edu/server/api/core/bitstreams/3e6aaf3c-ebf4-44db-a76b-43fa2957514c/content</w:t>
        </w:r>
      </w:hyperlink>
    </w:p>
    <w:p w14:paraId="1FF9A841" w14:textId="77777777" w:rsidR="00DF6599" w:rsidRPr="008C55EC" w:rsidRDefault="00DF6599" w:rsidP="00DF6599">
      <w:pPr>
        <w:spacing w:before="240"/>
        <w:rPr>
          <w:rFonts w:ascii="Arial" w:hAnsi="Arial"/>
        </w:rPr>
      </w:pPr>
      <w:r w:rsidRPr="008C55EC">
        <w:rPr>
          <w:rFonts w:ascii="Arial" w:hAnsi="Arial"/>
        </w:rPr>
        <w:t xml:space="preserve">Narula, R. (2020) </w:t>
      </w:r>
      <w:r w:rsidRPr="008C55EC">
        <w:rPr>
          <w:rFonts w:ascii="Arial" w:hAnsi="Arial"/>
          <w:i/>
          <w:iCs/>
        </w:rPr>
        <w:t>The Theories of the Multinational Enterprise</w:t>
      </w:r>
      <w:r w:rsidRPr="008C55EC">
        <w:rPr>
          <w:rFonts w:ascii="Arial" w:hAnsi="Arial"/>
        </w:rPr>
        <w:t xml:space="preserve">. Available at: </w:t>
      </w:r>
      <w:hyperlink r:id="rId52" w:tgtFrame="_new" w:history="1">
        <w:r w:rsidRPr="008C55EC">
          <w:rPr>
            <w:rStyle w:val="Hyperlink"/>
            <w:rFonts w:ascii="Arial" w:hAnsi="Arial"/>
          </w:rPr>
          <w:t>https://www.researchgate.net/profile/Rajneesh-Narula/publication/340632205_The_Theories_of_the_Multinational_Enterprise/links/5f0f26a245851512999b2dca/The-Theories-of-the-Multinational-Enterprise.pdf</w:t>
        </w:r>
      </w:hyperlink>
      <w:r w:rsidRPr="008C55EC">
        <w:rPr>
          <w:rFonts w:ascii="Arial" w:hAnsi="Arial"/>
        </w:rPr>
        <w:t xml:space="preserve"> </w:t>
      </w:r>
    </w:p>
    <w:p w14:paraId="47B89244" w14:textId="5B01CACB" w:rsidR="00DF6599" w:rsidRPr="008C55EC" w:rsidRDefault="00DF6599" w:rsidP="00DF6599">
      <w:pPr>
        <w:spacing w:before="240"/>
        <w:rPr>
          <w:rFonts w:ascii="Arial" w:hAnsi="Arial"/>
        </w:rPr>
      </w:pPr>
      <w:r w:rsidRPr="008C55EC">
        <w:rPr>
          <w:rFonts w:ascii="Arial" w:hAnsi="Arial"/>
        </w:rPr>
        <w:t xml:space="preserve">NIQ (2024) </w:t>
      </w:r>
      <w:r w:rsidRPr="008C55EC">
        <w:rPr>
          <w:rFonts w:ascii="Arial" w:hAnsi="Arial"/>
          <w:i/>
          <w:iCs/>
        </w:rPr>
        <w:t>Insights and analysis</w:t>
      </w:r>
      <w:r w:rsidRPr="008C55EC">
        <w:rPr>
          <w:rFonts w:ascii="Arial" w:hAnsi="Arial"/>
        </w:rPr>
        <w:t xml:space="preserve">. Available at: </w:t>
      </w:r>
      <w:hyperlink r:id="rId53" w:tgtFrame="_new" w:history="1">
        <w:r w:rsidRPr="008C55EC">
          <w:rPr>
            <w:rStyle w:val="Hyperlink"/>
            <w:rFonts w:ascii="Arial" w:hAnsi="Arial"/>
          </w:rPr>
          <w:t>https://nielseniq.com/global/en/insights/analysis/2024/</w:t>
        </w:r>
      </w:hyperlink>
    </w:p>
    <w:p w14:paraId="5EA59632" w14:textId="77777777" w:rsidR="00DF6599" w:rsidRPr="008C55EC" w:rsidRDefault="00DF6599" w:rsidP="00DF6599">
      <w:pPr>
        <w:spacing w:before="240"/>
        <w:rPr>
          <w:rFonts w:ascii="Arial" w:hAnsi="Arial"/>
          <w:lang w:val="en-IN"/>
        </w:rPr>
      </w:pPr>
      <w:proofErr w:type="spellStart"/>
      <w:r w:rsidRPr="008C55EC">
        <w:rPr>
          <w:rFonts w:ascii="Arial" w:hAnsi="Arial"/>
          <w:lang w:val="en-IN"/>
        </w:rPr>
        <w:t>Pokharna</w:t>
      </w:r>
      <w:proofErr w:type="spellEnd"/>
      <w:r w:rsidRPr="008C55EC">
        <w:rPr>
          <w:rFonts w:ascii="Arial" w:hAnsi="Arial"/>
          <w:lang w:val="en-IN"/>
        </w:rPr>
        <w:t xml:space="preserve">, S. (2025) 'Costco’s business strategy,' </w:t>
      </w:r>
      <w:r w:rsidRPr="008C55EC">
        <w:rPr>
          <w:rFonts w:ascii="Arial" w:hAnsi="Arial"/>
          <w:i/>
          <w:iCs/>
          <w:lang w:val="en-IN"/>
        </w:rPr>
        <w:t>SSRN Electronic Journal</w:t>
      </w:r>
      <w:r w:rsidRPr="008C55EC">
        <w:rPr>
          <w:rFonts w:ascii="Arial" w:hAnsi="Arial"/>
          <w:lang w:val="en-IN"/>
        </w:rPr>
        <w:t xml:space="preserve"> [Preprint]. </w:t>
      </w:r>
      <w:hyperlink r:id="rId54" w:history="1">
        <w:r w:rsidRPr="008C55EC">
          <w:rPr>
            <w:rStyle w:val="Hyperlink"/>
            <w:rFonts w:ascii="Arial" w:hAnsi="Arial"/>
            <w:lang w:val="en-IN"/>
          </w:rPr>
          <w:t>https://doi.org/10.2139/ssrn.5287001</w:t>
        </w:r>
      </w:hyperlink>
      <w:r w:rsidRPr="008C55EC">
        <w:rPr>
          <w:rFonts w:ascii="Arial" w:hAnsi="Arial"/>
          <w:lang w:val="en-IN"/>
        </w:rPr>
        <w:t xml:space="preserve">. </w:t>
      </w:r>
    </w:p>
    <w:p w14:paraId="117FD52F" w14:textId="376BF690" w:rsidR="00DF6599" w:rsidRPr="008C55EC" w:rsidRDefault="00DF6599" w:rsidP="00DF6599">
      <w:pPr>
        <w:spacing w:before="240"/>
        <w:rPr>
          <w:rFonts w:ascii="Arial" w:hAnsi="Arial"/>
          <w:lang w:val="en-IN"/>
        </w:rPr>
      </w:pPr>
      <w:r w:rsidRPr="008C55EC">
        <w:rPr>
          <w:rFonts w:ascii="Arial" w:hAnsi="Arial"/>
          <w:lang w:val="en-IN"/>
        </w:rPr>
        <w:t xml:space="preserve">Radomska, J. </w:t>
      </w:r>
      <w:r w:rsidRPr="008C55EC">
        <w:rPr>
          <w:rFonts w:ascii="Arial" w:hAnsi="Arial"/>
          <w:i/>
          <w:iCs/>
          <w:lang w:val="en-IN"/>
        </w:rPr>
        <w:t>et al.</w:t>
      </w:r>
      <w:r w:rsidRPr="008C55EC">
        <w:rPr>
          <w:rFonts w:ascii="Arial" w:hAnsi="Arial"/>
          <w:lang w:val="en-IN"/>
        </w:rPr>
        <w:t xml:space="preserve"> (2024) 'Unveiling retail omnichannel challenges: developing an omnichannel obstacles scale,' </w:t>
      </w:r>
      <w:r w:rsidRPr="008C55EC">
        <w:rPr>
          <w:rFonts w:ascii="Arial" w:hAnsi="Arial"/>
          <w:i/>
          <w:iCs/>
          <w:lang w:val="en-IN"/>
        </w:rPr>
        <w:t>International Journal of Retail &amp; Distribution Management</w:t>
      </w:r>
      <w:r w:rsidRPr="008C55EC">
        <w:rPr>
          <w:rFonts w:ascii="Arial" w:hAnsi="Arial"/>
          <w:lang w:val="en-IN"/>
        </w:rPr>
        <w:t xml:space="preserve">, 53(13), pp. 1–20. </w:t>
      </w:r>
      <w:hyperlink r:id="rId55" w:history="1">
        <w:r w:rsidRPr="008C55EC">
          <w:rPr>
            <w:rStyle w:val="Hyperlink"/>
            <w:rFonts w:ascii="Arial" w:hAnsi="Arial"/>
            <w:lang w:val="en-IN"/>
          </w:rPr>
          <w:t>https://doi.org/10.1108/ijrdm-04-2024-0169</w:t>
        </w:r>
      </w:hyperlink>
      <w:r w:rsidRPr="008C55EC">
        <w:rPr>
          <w:rFonts w:ascii="Arial" w:hAnsi="Arial"/>
          <w:lang w:val="en-IN"/>
        </w:rPr>
        <w:t>.</w:t>
      </w:r>
    </w:p>
    <w:p w14:paraId="70221775" w14:textId="44621441" w:rsidR="00DF6599" w:rsidRPr="008C55EC" w:rsidRDefault="00DF6599" w:rsidP="00DF6599">
      <w:pPr>
        <w:spacing w:before="240"/>
        <w:rPr>
          <w:rFonts w:ascii="Arial" w:hAnsi="Arial"/>
          <w:lang w:val="en-IN"/>
        </w:rPr>
      </w:pPr>
      <w:r w:rsidRPr="008C55EC">
        <w:rPr>
          <w:rFonts w:ascii="Arial" w:hAnsi="Arial"/>
          <w:lang w:val="en-IN"/>
        </w:rPr>
        <w:t>Rindfleisch, A. (2020). Transaction cost theory: past, present and future. </w:t>
      </w:r>
      <w:r w:rsidRPr="008C55EC">
        <w:rPr>
          <w:rFonts w:ascii="Arial" w:hAnsi="Arial"/>
          <w:i/>
          <w:iCs/>
          <w:lang w:val="en-IN"/>
        </w:rPr>
        <w:t>AMS Review</w:t>
      </w:r>
      <w:r w:rsidRPr="008C55EC">
        <w:rPr>
          <w:rFonts w:ascii="Arial" w:hAnsi="Arial"/>
          <w:lang w:val="en-IN"/>
        </w:rPr>
        <w:t xml:space="preserve">, [online] 10(1), pp.85–97. </w:t>
      </w:r>
      <w:hyperlink r:id="rId56" w:history="1">
        <w:r w:rsidR="00D14FD3" w:rsidRPr="008C55EC">
          <w:rPr>
            <w:rStyle w:val="Hyperlink"/>
            <w:rFonts w:ascii="Arial" w:hAnsi="Arial"/>
            <w:lang w:val="en-IN"/>
          </w:rPr>
          <w:t>https://</w:t>
        </w:r>
        <w:r w:rsidRPr="008C55EC">
          <w:rPr>
            <w:rStyle w:val="Hyperlink"/>
            <w:rFonts w:ascii="Arial" w:hAnsi="Arial"/>
            <w:lang w:val="en-IN"/>
          </w:rPr>
          <w:t>doi</w:t>
        </w:r>
        <w:r w:rsidR="00D14FD3" w:rsidRPr="008C55EC">
          <w:rPr>
            <w:rStyle w:val="Hyperlink"/>
            <w:rFonts w:ascii="Arial" w:hAnsi="Arial"/>
            <w:lang w:val="en-IN"/>
          </w:rPr>
          <w:t>.org/</w:t>
        </w:r>
        <w:r w:rsidRPr="008C55EC">
          <w:rPr>
            <w:rStyle w:val="Hyperlink"/>
            <w:rFonts w:ascii="Arial" w:hAnsi="Arial"/>
            <w:lang w:val="en-IN"/>
          </w:rPr>
          <w:t>10.1007/s13162-0</w:t>
        </w:r>
        <w:r w:rsidRPr="008C55EC">
          <w:rPr>
            <w:rStyle w:val="Hyperlink"/>
            <w:rFonts w:ascii="Arial" w:hAnsi="Arial"/>
            <w:lang w:val="en-IN"/>
          </w:rPr>
          <w:t>1</w:t>
        </w:r>
        <w:r w:rsidRPr="008C55EC">
          <w:rPr>
            <w:rStyle w:val="Hyperlink"/>
            <w:rFonts w:ascii="Arial" w:hAnsi="Arial"/>
            <w:lang w:val="en-IN"/>
          </w:rPr>
          <w:t>9-00151-x</w:t>
        </w:r>
      </w:hyperlink>
      <w:r w:rsidRPr="008C55EC">
        <w:rPr>
          <w:rFonts w:ascii="Arial" w:hAnsi="Arial"/>
          <w:lang w:val="en-IN"/>
        </w:rPr>
        <w:t>.</w:t>
      </w:r>
    </w:p>
    <w:p w14:paraId="66EAC3DC" w14:textId="77777777" w:rsidR="00DF6599" w:rsidRPr="008C55EC" w:rsidRDefault="00DF6599" w:rsidP="00DF6599">
      <w:pPr>
        <w:spacing w:before="240"/>
        <w:rPr>
          <w:rFonts w:ascii="Arial" w:hAnsi="Arial"/>
          <w:lang w:val="en-IN"/>
        </w:rPr>
      </w:pPr>
      <w:r w:rsidRPr="008C55EC">
        <w:rPr>
          <w:rFonts w:ascii="Arial" w:hAnsi="Arial"/>
          <w:lang w:val="en-IN"/>
        </w:rPr>
        <w:t xml:space="preserve">Sadam, R. and B, S. (2025) 'US retail giant Costco to set up global capability centre in India, to employ 1000 people, sources say,' </w:t>
      </w:r>
      <w:r w:rsidRPr="008C55EC">
        <w:rPr>
          <w:rFonts w:ascii="Arial" w:hAnsi="Arial"/>
          <w:i/>
          <w:iCs/>
          <w:lang w:val="en-IN"/>
        </w:rPr>
        <w:t>Reuters</w:t>
      </w:r>
      <w:r w:rsidRPr="008C55EC">
        <w:rPr>
          <w:rFonts w:ascii="Arial" w:hAnsi="Arial"/>
          <w:lang w:val="en-IN"/>
        </w:rPr>
        <w:t xml:space="preserve">, 21 July. </w:t>
      </w:r>
      <w:hyperlink r:id="rId57" w:history="1">
        <w:r w:rsidRPr="008C55EC">
          <w:rPr>
            <w:rStyle w:val="Hyperlink"/>
            <w:rFonts w:ascii="Arial" w:hAnsi="Arial"/>
            <w:lang w:val="en-IN"/>
          </w:rPr>
          <w:t>https://www.reuters.com/world/india/us-retail-giant-costco-set-up-global-capability-centre-india-employ-1000-people-2025-07-21/</w:t>
        </w:r>
      </w:hyperlink>
      <w:r w:rsidRPr="008C55EC">
        <w:rPr>
          <w:rFonts w:ascii="Arial" w:hAnsi="Arial"/>
          <w:lang w:val="en-IN"/>
        </w:rPr>
        <w:t>.</w:t>
      </w:r>
    </w:p>
    <w:p w14:paraId="5768BF8A" w14:textId="77777777" w:rsidR="00DF6599" w:rsidRPr="008C55EC" w:rsidRDefault="00DF6599" w:rsidP="00DF6599">
      <w:pPr>
        <w:spacing w:before="240"/>
        <w:rPr>
          <w:rFonts w:ascii="Arial" w:hAnsi="Arial"/>
          <w:lang w:val="en-IN"/>
        </w:rPr>
      </w:pPr>
      <w:r w:rsidRPr="008C55EC">
        <w:rPr>
          <w:rFonts w:ascii="Arial" w:hAnsi="Arial"/>
          <w:lang w:val="en-IN"/>
        </w:rPr>
        <w:t xml:space="preserve">Sarisa, L. (2021) </w:t>
      </w:r>
      <w:r w:rsidRPr="008C55EC">
        <w:rPr>
          <w:rFonts w:ascii="Arial" w:hAnsi="Arial"/>
          <w:i/>
          <w:iCs/>
          <w:lang w:val="en-IN"/>
        </w:rPr>
        <w:t>Business strategies in the retail supermarkets  industry: A comparative case study analysis of Costco and Aldi</w:t>
      </w:r>
      <w:r w:rsidRPr="008C55EC">
        <w:rPr>
          <w:rFonts w:ascii="Arial" w:hAnsi="Arial"/>
          <w:lang w:val="en-IN"/>
        </w:rPr>
        <w:t xml:space="preserve">. </w:t>
      </w:r>
      <w:hyperlink r:id="rId58" w:history="1">
        <w:r w:rsidRPr="008C55EC">
          <w:rPr>
            <w:rStyle w:val="Hyperlink"/>
            <w:rFonts w:ascii="Arial" w:hAnsi="Arial"/>
            <w:lang w:val="en-IN"/>
          </w:rPr>
          <w:t>https://www.researchbank.ac.nz/items/4e4dda05-6adf-4e05-b840-cccf9b03f206</w:t>
        </w:r>
      </w:hyperlink>
      <w:r w:rsidRPr="008C55EC">
        <w:rPr>
          <w:rFonts w:ascii="Arial" w:hAnsi="Arial"/>
          <w:lang w:val="en-IN"/>
        </w:rPr>
        <w:t xml:space="preserve">. </w:t>
      </w:r>
    </w:p>
    <w:p w14:paraId="6888EB32" w14:textId="0E4D226F" w:rsidR="00DF6599" w:rsidRPr="008C55EC" w:rsidRDefault="00DF6599" w:rsidP="00DF6599">
      <w:pPr>
        <w:spacing w:before="240"/>
        <w:rPr>
          <w:rFonts w:ascii="Arial" w:hAnsi="Arial"/>
          <w:lang w:val="en-IN"/>
        </w:rPr>
      </w:pPr>
      <w:r w:rsidRPr="008C55EC">
        <w:rPr>
          <w:rFonts w:ascii="Arial" w:hAnsi="Arial"/>
          <w:lang w:val="en-IN"/>
        </w:rPr>
        <w:t xml:space="preserve">Schmidt, A.M., Martinez, L.M. and Martinez, L.F. (2024) 'The Rise of Premium Private Label Brands in Grocery Retailing: Qualitative Insights from Young German Consumers,' </w:t>
      </w:r>
      <w:r w:rsidRPr="008C55EC">
        <w:rPr>
          <w:rFonts w:ascii="Arial" w:hAnsi="Arial"/>
          <w:i/>
          <w:iCs/>
          <w:lang w:val="en-IN"/>
        </w:rPr>
        <w:t>Springer Proceedings in Business and Economics</w:t>
      </w:r>
      <w:r w:rsidRPr="008C55EC">
        <w:rPr>
          <w:rFonts w:ascii="Arial" w:hAnsi="Arial"/>
          <w:lang w:val="en-IN"/>
        </w:rPr>
        <w:t xml:space="preserve">, pp. 271–293. </w:t>
      </w:r>
      <w:hyperlink r:id="rId59" w:history="1">
        <w:r w:rsidRPr="008C55EC">
          <w:rPr>
            <w:rStyle w:val="Hyperlink"/>
            <w:rFonts w:ascii="Arial" w:hAnsi="Arial"/>
            <w:lang w:val="en-IN"/>
          </w:rPr>
          <w:t>https://doi.org/10.1007/978-3-031</w:t>
        </w:r>
        <w:r w:rsidRPr="008C55EC">
          <w:rPr>
            <w:rStyle w:val="Hyperlink"/>
            <w:rFonts w:ascii="Arial" w:hAnsi="Arial"/>
            <w:lang w:val="en-IN"/>
          </w:rPr>
          <w:t>-</w:t>
        </w:r>
        <w:r w:rsidRPr="008C55EC">
          <w:rPr>
            <w:rStyle w:val="Hyperlink"/>
            <w:rFonts w:ascii="Arial" w:hAnsi="Arial"/>
            <w:lang w:val="en-IN"/>
          </w:rPr>
          <w:t>62135-2_27</w:t>
        </w:r>
      </w:hyperlink>
      <w:r w:rsidRPr="008C55EC">
        <w:rPr>
          <w:rFonts w:ascii="Arial" w:hAnsi="Arial"/>
          <w:lang w:val="en-IN"/>
        </w:rPr>
        <w:t>.</w:t>
      </w:r>
    </w:p>
    <w:p w14:paraId="67B3C3BD" w14:textId="5C8F30E3" w:rsidR="00DF6599" w:rsidRPr="008C55EC" w:rsidRDefault="00DF6599" w:rsidP="00DF6599">
      <w:pPr>
        <w:spacing w:before="240"/>
        <w:rPr>
          <w:rFonts w:ascii="Arial" w:hAnsi="Arial"/>
        </w:rPr>
      </w:pPr>
      <w:r w:rsidRPr="008C55EC">
        <w:rPr>
          <w:rFonts w:ascii="Arial" w:hAnsi="Arial"/>
        </w:rPr>
        <w:lastRenderedPageBreak/>
        <w:t xml:space="preserve">Schwarz Group (2025) </w:t>
      </w:r>
      <w:r w:rsidRPr="008C55EC">
        <w:rPr>
          <w:rFonts w:ascii="Arial" w:hAnsi="Arial"/>
          <w:i/>
          <w:iCs/>
        </w:rPr>
        <w:t>The Companies of Schwarz Group Report Positive Growth in the 2024 Fiscal Year</w:t>
      </w:r>
      <w:r w:rsidRPr="008C55EC">
        <w:rPr>
          <w:rFonts w:ascii="Arial" w:hAnsi="Arial"/>
        </w:rPr>
        <w:t xml:space="preserve">. Available at: </w:t>
      </w:r>
      <w:hyperlink r:id="rId60" w:tgtFrame="_new" w:history="1">
        <w:r w:rsidRPr="008C55EC">
          <w:rPr>
            <w:rStyle w:val="Hyperlink"/>
            <w:rFonts w:ascii="Arial" w:hAnsi="Arial"/>
          </w:rPr>
          <w:t>https://gruppe.schwarz/en/press/archive/2025/the-companies-of-schwarz-group-report-positive-growth-in-the-2024-fiscal-year-and-increase-their-investments</w:t>
        </w:r>
      </w:hyperlink>
    </w:p>
    <w:p w14:paraId="76691D0C" w14:textId="7C534EFA" w:rsidR="00DF6599" w:rsidRPr="008C55EC" w:rsidRDefault="00DF6599" w:rsidP="00DF6599">
      <w:pPr>
        <w:spacing w:before="240"/>
        <w:rPr>
          <w:rFonts w:ascii="Arial" w:hAnsi="Arial"/>
          <w:lang w:val="en-IN"/>
        </w:rPr>
      </w:pPr>
      <w:r w:rsidRPr="008C55EC">
        <w:rPr>
          <w:rFonts w:ascii="Arial" w:hAnsi="Arial"/>
          <w:lang w:val="en-IN"/>
        </w:rPr>
        <w:t>‌</w:t>
      </w:r>
      <w:r w:rsidRPr="008C55EC">
        <w:rPr>
          <w:rFonts w:ascii="Arial" w:hAnsi="Arial"/>
        </w:rPr>
        <w:t xml:space="preserve">Schwarz Group (2026) </w:t>
      </w:r>
      <w:r w:rsidRPr="008C55EC">
        <w:rPr>
          <w:rFonts w:ascii="Arial" w:hAnsi="Arial"/>
          <w:i/>
          <w:iCs/>
        </w:rPr>
        <w:t>Schwarz Group</w:t>
      </w:r>
      <w:r w:rsidRPr="008C55EC">
        <w:rPr>
          <w:rFonts w:ascii="Arial" w:hAnsi="Arial"/>
        </w:rPr>
        <w:t xml:space="preserve">. Available at: </w:t>
      </w:r>
      <w:hyperlink r:id="rId61" w:tgtFrame="_new" w:history="1">
        <w:r w:rsidRPr="008C55EC">
          <w:rPr>
            <w:rStyle w:val="Hyperlink"/>
            <w:rFonts w:ascii="Arial" w:hAnsi="Arial"/>
          </w:rPr>
          <w:t>https://gruppe.schwarz/en</w:t>
        </w:r>
      </w:hyperlink>
      <w:r w:rsidRPr="008C55EC">
        <w:rPr>
          <w:rFonts w:ascii="Arial" w:hAnsi="Arial"/>
        </w:rPr>
        <w:t xml:space="preserve"> </w:t>
      </w:r>
    </w:p>
    <w:p w14:paraId="398C4B13" w14:textId="77777777" w:rsidR="00DF6599" w:rsidRPr="008C55EC" w:rsidRDefault="00DF6599" w:rsidP="00DF6599">
      <w:pPr>
        <w:spacing w:before="240"/>
        <w:rPr>
          <w:rFonts w:ascii="Arial" w:hAnsi="Arial"/>
          <w:lang w:val="en-IN"/>
        </w:rPr>
      </w:pPr>
      <w:r w:rsidRPr="008C55EC">
        <w:rPr>
          <w:rFonts w:ascii="Arial" w:hAnsi="Arial"/>
          <w:lang w:val="en-IN"/>
        </w:rPr>
        <w:t xml:space="preserve">‌Sellberg, C. and Wiig, A.C. (2020) 'Telling Stories from the Sea: Facilitating Professional Learning in Maritime Post-Simulation Debriefings,' </w:t>
      </w:r>
      <w:r w:rsidRPr="008C55EC">
        <w:rPr>
          <w:rFonts w:ascii="Arial" w:hAnsi="Arial"/>
          <w:i/>
          <w:iCs/>
          <w:lang w:val="en-IN"/>
        </w:rPr>
        <w:t>Vocations and Learning</w:t>
      </w:r>
      <w:r w:rsidRPr="008C55EC">
        <w:rPr>
          <w:rFonts w:ascii="Arial" w:hAnsi="Arial"/>
          <w:lang w:val="en-IN"/>
        </w:rPr>
        <w:t xml:space="preserve">, 13(3), pp. 527–550. </w:t>
      </w:r>
      <w:hyperlink r:id="rId62" w:history="1">
        <w:r w:rsidRPr="008C55EC">
          <w:rPr>
            <w:rStyle w:val="Hyperlink"/>
            <w:rFonts w:ascii="Arial" w:hAnsi="Arial"/>
            <w:lang w:val="en-IN"/>
          </w:rPr>
          <w:t>https://doi.org/10.1007/s12186-020-09250-4</w:t>
        </w:r>
      </w:hyperlink>
      <w:r w:rsidRPr="008C55EC">
        <w:rPr>
          <w:rFonts w:ascii="Arial" w:hAnsi="Arial"/>
          <w:lang w:val="en-IN"/>
        </w:rPr>
        <w:t xml:space="preserve">. </w:t>
      </w:r>
    </w:p>
    <w:p w14:paraId="5628D92A" w14:textId="69F7A7D0" w:rsidR="00DF6599" w:rsidRPr="008C55EC" w:rsidRDefault="00DF6599" w:rsidP="00DF6599">
      <w:pPr>
        <w:spacing w:before="240"/>
        <w:rPr>
          <w:rFonts w:ascii="Arial" w:hAnsi="Arial"/>
          <w:lang w:val="en-IN"/>
        </w:rPr>
      </w:pPr>
      <w:r w:rsidRPr="008C55EC">
        <w:rPr>
          <w:rFonts w:ascii="Arial" w:hAnsi="Arial"/>
          <w:lang w:val="en-IN"/>
        </w:rPr>
        <w:t>‌Singh, S. (2025). </w:t>
      </w:r>
      <w:r w:rsidRPr="008C55EC">
        <w:rPr>
          <w:rFonts w:ascii="Arial" w:hAnsi="Arial"/>
          <w:i/>
          <w:iCs/>
          <w:lang w:val="en-IN"/>
        </w:rPr>
        <w:t>How Global Expansion Is Shaping Costco’s Long-Term Profile</w:t>
      </w:r>
      <w:r w:rsidRPr="008C55EC">
        <w:rPr>
          <w:rFonts w:ascii="Arial" w:hAnsi="Arial"/>
          <w:lang w:val="en-IN"/>
        </w:rPr>
        <w:t xml:space="preserve">. [online] Yahoo Finance. Available at: </w:t>
      </w:r>
      <w:hyperlink r:id="rId63" w:history="1">
        <w:r w:rsidRPr="008C55EC">
          <w:rPr>
            <w:rStyle w:val="Hyperlink"/>
            <w:rFonts w:ascii="Arial" w:hAnsi="Arial"/>
            <w:lang w:val="en-IN"/>
          </w:rPr>
          <w:t>https://f</w:t>
        </w:r>
        <w:r w:rsidRPr="008C55EC">
          <w:rPr>
            <w:rStyle w:val="Hyperlink"/>
            <w:rFonts w:ascii="Arial" w:hAnsi="Arial"/>
            <w:lang w:val="en-IN"/>
          </w:rPr>
          <w:t>i</w:t>
        </w:r>
        <w:r w:rsidRPr="008C55EC">
          <w:rPr>
            <w:rStyle w:val="Hyperlink"/>
            <w:rFonts w:ascii="Arial" w:hAnsi="Arial"/>
            <w:lang w:val="en-IN"/>
          </w:rPr>
          <w:t>nance.yahoo.com/news/global-expansion-shaping-costcos-long-145600896.html</w:t>
        </w:r>
      </w:hyperlink>
    </w:p>
    <w:p w14:paraId="7820021C" w14:textId="667BDA50" w:rsidR="00DF6599" w:rsidRPr="008C55EC" w:rsidRDefault="00DF6599" w:rsidP="00DF6599">
      <w:pPr>
        <w:spacing w:before="240"/>
        <w:rPr>
          <w:rFonts w:ascii="Arial" w:hAnsi="Arial"/>
          <w:lang w:val="en-IN"/>
        </w:rPr>
      </w:pPr>
      <w:r w:rsidRPr="008C55EC">
        <w:rPr>
          <w:rFonts w:ascii="Arial" w:hAnsi="Arial"/>
          <w:lang w:val="en-IN"/>
        </w:rPr>
        <w:t>Theculturefactor.com. (2020). </w:t>
      </w:r>
      <w:r w:rsidRPr="008C55EC">
        <w:rPr>
          <w:rFonts w:ascii="Arial" w:hAnsi="Arial"/>
          <w:i/>
          <w:iCs/>
          <w:lang w:val="en-IN"/>
        </w:rPr>
        <w:t>Country comparison tool</w:t>
      </w:r>
      <w:r w:rsidRPr="008C55EC">
        <w:rPr>
          <w:rFonts w:ascii="Arial" w:hAnsi="Arial"/>
          <w:lang w:val="en-IN"/>
        </w:rPr>
        <w:t xml:space="preserve">. [online] Available at: </w:t>
      </w:r>
      <w:hyperlink r:id="rId64" w:history="1">
        <w:r w:rsidRPr="008C55EC">
          <w:rPr>
            <w:rStyle w:val="Hyperlink"/>
            <w:rFonts w:ascii="Arial" w:hAnsi="Arial"/>
            <w:lang w:val="en-IN"/>
          </w:rPr>
          <w:t>https://www.theculturefactor.com/country-comparison-tool?countries=germany</w:t>
        </w:r>
      </w:hyperlink>
    </w:p>
    <w:p w14:paraId="7EFDF4EA" w14:textId="77777777" w:rsidR="00DF6599" w:rsidRPr="008C55EC" w:rsidRDefault="00DF6599" w:rsidP="00DF6599">
      <w:pPr>
        <w:spacing w:before="240"/>
        <w:rPr>
          <w:rFonts w:ascii="Arial" w:hAnsi="Arial"/>
        </w:rPr>
      </w:pPr>
      <w:proofErr w:type="spellStart"/>
      <w:r w:rsidRPr="008C55EC">
        <w:rPr>
          <w:rFonts w:ascii="Arial" w:hAnsi="Arial"/>
        </w:rPr>
        <w:t>Tjemkes</w:t>
      </w:r>
      <w:proofErr w:type="spellEnd"/>
      <w:r w:rsidRPr="008C55EC">
        <w:rPr>
          <w:rFonts w:ascii="Arial" w:hAnsi="Arial"/>
        </w:rPr>
        <w:t>, B., Vos, P., and Burgers, K. (2023). </w:t>
      </w:r>
      <w:r w:rsidRPr="008C55EC">
        <w:rPr>
          <w:rFonts w:ascii="Arial" w:hAnsi="Arial"/>
          <w:i/>
          <w:iCs/>
        </w:rPr>
        <w:t>Strategic alliance management</w:t>
      </w:r>
      <w:r w:rsidRPr="008C55EC">
        <w:rPr>
          <w:rFonts w:ascii="Arial" w:hAnsi="Arial"/>
        </w:rPr>
        <w:t>. Routledge.</w:t>
      </w:r>
    </w:p>
    <w:p w14:paraId="6FA9A1E0" w14:textId="279D79AF" w:rsidR="00DF6599" w:rsidRPr="008C55EC" w:rsidRDefault="00DF6599" w:rsidP="00DF6599">
      <w:pPr>
        <w:spacing w:before="240"/>
        <w:rPr>
          <w:rFonts w:ascii="Arial" w:hAnsi="Arial"/>
        </w:rPr>
      </w:pPr>
      <w:r w:rsidRPr="008C55EC">
        <w:rPr>
          <w:rFonts w:ascii="Arial" w:hAnsi="Arial"/>
        </w:rPr>
        <w:t xml:space="preserve">Trading Economics (2026) </w:t>
      </w:r>
      <w:r w:rsidRPr="008C55EC">
        <w:rPr>
          <w:rFonts w:ascii="Arial" w:hAnsi="Arial"/>
          <w:i/>
          <w:iCs/>
        </w:rPr>
        <w:t>Germany - Government Effectiveness: Percentile Rank</w:t>
      </w:r>
      <w:r w:rsidRPr="008C55EC">
        <w:rPr>
          <w:rFonts w:ascii="Arial" w:hAnsi="Arial"/>
        </w:rPr>
        <w:t xml:space="preserve">. Available at: </w:t>
      </w:r>
      <w:hyperlink r:id="rId65" w:tgtFrame="_new" w:history="1">
        <w:r w:rsidRPr="008C55EC">
          <w:rPr>
            <w:rStyle w:val="Hyperlink"/>
            <w:rFonts w:ascii="Arial" w:hAnsi="Arial"/>
          </w:rPr>
          <w:t>https://tradingeconomics.com/germany/government-effectiveness-percentile-rank-wb-data.html</w:t>
        </w:r>
      </w:hyperlink>
    </w:p>
    <w:p w14:paraId="59B40BBB" w14:textId="77777777" w:rsidR="00DF6599" w:rsidRPr="008C55EC" w:rsidRDefault="00DF6599" w:rsidP="00DF6599">
      <w:pPr>
        <w:spacing w:before="240"/>
        <w:rPr>
          <w:rFonts w:ascii="Arial" w:hAnsi="Arial"/>
          <w:lang w:val="en-IN"/>
        </w:rPr>
      </w:pPr>
      <w:proofErr w:type="spellStart"/>
      <w:r w:rsidRPr="008C55EC">
        <w:rPr>
          <w:rFonts w:ascii="Arial" w:hAnsi="Arial"/>
          <w:lang w:val="en-IN"/>
        </w:rPr>
        <w:t>Vanaik</w:t>
      </w:r>
      <w:proofErr w:type="spellEnd"/>
      <w:r w:rsidRPr="008C55EC">
        <w:rPr>
          <w:rFonts w:ascii="Arial" w:hAnsi="Arial"/>
          <w:lang w:val="en-IN"/>
        </w:rPr>
        <w:t xml:space="preserve">, G. (2024) 'Costco Wholesale to hike annual membership fees after seven years,' </w:t>
      </w:r>
      <w:r w:rsidRPr="008C55EC">
        <w:rPr>
          <w:rFonts w:ascii="Arial" w:hAnsi="Arial"/>
          <w:i/>
          <w:iCs/>
          <w:lang w:val="en-IN"/>
        </w:rPr>
        <w:t>Reuters</w:t>
      </w:r>
      <w:r w:rsidRPr="008C55EC">
        <w:rPr>
          <w:rFonts w:ascii="Arial" w:hAnsi="Arial"/>
          <w:lang w:val="en-IN"/>
        </w:rPr>
        <w:t xml:space="preserve">, 10 July. </w:t>
      </w:r>
      <w:hyperlink r:id="rId66" w:history="1">
        <w:r w:rsidRPr="008C55EC">
          <w:rPr>
            <w:rStyle w:val="Hyperlink"/>
            <w:rFonts w:ascii="Arial" w:hAnsi="Arial"/>
            <w:lang w:val="en-IN"/>
          </w:rPr>
          <w:t>https://www.reuters.com/business/retail-consumer/costco-wholesale-hike-annual-membership-fees-after-seven-years-2024-07-10</w:t>
        </w:r>
      </w:hyperlink>
      <w:r w:rsidRPr="008C55EC">
        <w:rPr>
          <w:rFonts w:ascii="Arial" w:hAnsi="Arial"/>
          <w:lang w:val="en-IN"/>
        </w:rPr>
        <w:t xml:space="preserve"> </w:t>
      </w:r>
    </w:p>
    <w:p w14:paraId="6B32DA6D" w14:textId="6E85A38A" w:rsidR="00DF6599" w:rsidRPr="008C55EC" w:rsidRDefault="00DF6599" w:rsidP="00DF6599">
      <w:pPr>
        <w:spacing w:before="240"/>
        <w:rPr>
          <w:rFonts w:ascii="Arial" w:hAnsi="Arial"/>
          <w:lang w:val="en-IN"/>
        </w:rPr>
      </w:pPr>
      <w:r w:rsidRPr="008C55EC">
        <w:rPr>
          <w:rFonts w:ascii="Arial" w:hAnsi="Arial"/>
          <w:lang w:val="en-IN"/>
        </w:rPr>
        <w:t>‌</w:t>
      </w:r>
      <w:r w:rsidRPr="008C55EC">
        <w:rPr>
          <w:rFonts w:ascii="Arial" w:hAnsi="Arial"/>
        </w:rPr>
        <w:t xml:space="preserve">WELT (2026) </w:t>
      </w:r>
      <w:r w:rsidRPr="008C55EC">
        <w:rPr>
          <w:rFonts w:ascii="Arial" w:hAnsi="Arial"/>
          <w:i/>
          <w:iCs/>
        </w:rPr>
        <w:t>Edeka Group increases sales to 77.3 billion euros</w:t>
      </w:r>
      <w:r w:rsidRPr="008C55EC">
        <w:rPr>
          <w:rFonts w:ascii="Arial" w:hAnsi="Arial"/>
        </w:rPr>
        <w:t xml:space="preserve">. Available at: </w:t>
      </w:r>
      <w:hyperlink r:id="rId67" w:tgtFrame="_new" w:history="1">
        <w:r w:rsidRPr="008C55EC">
          <w:rPr>
            <w:rStyle w:val="Hyperlink"/>
            <w:rFonts w:ascii="Arial" w:hAnsi="Arial"/>
          </w:rPr>
          <w:t>https://www.welt.de/regionales/hamburg/article69ef288a9f919872ba012c8f/edeka-verbund-steigert-umsatz-auf-77-3-milliarden-euro.html</w:t>
        </w:r>
      </w:hyperlink>
    </w:p>
    <w:p w14:paraId="18F26B1B" w14:textId="112F2589" w:rsidR="00DF6599" w:rsidRPr="008C55EC" w:rsidRDefault="00DF6599" w:rsidP="00DF6599">
      <w:pPr>
        <w:spacing w:before="240"/>
        <w:rPr>
          <w:rFonts w:ascii="Arial" w:hAnsi="Arial"/>
          <w:lang w:val="en-IN"/>
        </w:rPr>
      </w:pPr>
      <w:proofErr w:type="spellStart"/>
      <w:r w:rsidRPr="008C55EC">
        <w:rPr>
          <w:rFonts w:ascii="Arial" w:hAnsi="Arial"/>
          <w:lang w:val="en-IN"/>
        </w:rPr>
        <w:t>WorldBank</w:t>
      </w:r>
      <w:proofErr w:type="spellEnd"/>
      <w:r w:rsidRPr="008C55EC">
        <w:rPr>
          <w:rFonts w:ascii="Arial" w:hAnsi="Arial"/>
          <w:lang w:val="en-IN"/>
        </w:rPr>
        <w:t>. (2023). </w:t>
      </w:r>
      <w:r w:rsidRPr="008C55EC">
        <w:rPr>
          <w:rFonts w:ascii="Arial" w:hAnsi="Arial"/>
          <w:i/>
          <w:iCs/>
          <w:lang w:val="en-IN"/>
        </w:rPr>
        <w:t>Home</w:t>
      </w:r>
      <w:r w:rsidRPr="008C55EC">
        <w:rPr>
          <w:rFonts w:ascii="Arial" w:hAnsi="Arial"/>
          <w:lang w:val="en-IN"/>
        </w:rPr>
        <w:t xml:space="preserve">. [online] Available at: </w:t>
      </w:r>
      <w:hyperlink r:id="rId68" w:history="1">
        <w:r w:rsidRPr="008C55EC">
          <w:rPr>
            <w:rStyle w:val="Hyperlink"/>
            <w:rFonts w:ascii="Arial" w:hAnsi="Arial"/>
            <w:lang w:val="en-IN"/>
          </w:rPr>
          <w:t>https://lpi.worldbank.or</w:t>
        </w:r>
        <w:r w:rsidRPr="008C55EC">
          <w:rPr>
            <w:rStyle w:val="Hyperlink"/>
            <w:rFonts w:ascii="Arial" w:hAnsi="Arial"/>
            <w:lang w:val="en-IN"/>
          </w:rPr>
          <w:t>g</w:t>
        </w:r>
        <w:r w:rsidRPr="008C55EC">
          <w:rPr>
            <w:rStyle w:val="Hyperlink"/>
            <w:rFonts w:ascii="Arial" w:hAnsi="Arial"/>
            <w:lang w:val="en-IN"/>
          </w:rPr>
          <w:t>/en/home</w:t>
        </w:r>
      </w:hyperlink>
    </w:p>
    <w:p w14:paraId="2703A6AE" w14:textId="3AB04D04" w:rsidR="00DF6599" w:rsidRPr="008C55EC" w:rsidRDefault="00DF6599" w:rsidP="00DF6599">
      <w:pPr>
        <w:spacing w:before="240"/>
        <w:rPr>
          <w:rFonts w:ascii="Arial" w:hAnsi="Arial"/>
          <w:lang w:val="en-IN"/>
        </w:rPr>
      </w:pPr>
      <w:r w:rsidRPr="008C55EC">
        <w:rPr>
          <w:rFonts w:ascii="Arial" w:hAnsi="Arial"/>
          <w:lang w:val="en-IN"/>
        </w:rPr>
        <w:t>Worldbank.org. (2026). </w:t>
      </w:r>
      <w:r w:rsidRPr="008C55EC">
        <w:rPr>
          <w:rFonts w:ascii="Arial" w:hAnsi="Arial"/>
          <w:i/>
          <w:iCs/>
          <w:lang w:val="en-IN"/>
        </w:rPr>
        <w:t>World Bank Releases Logistics Performance Index 2023</w:t>
      </w:r>
      <w:r w:rsidRPr="008C55EC">
        <w:rPr>
          <w:rFonts w:ascii="Arial" w:hAnsi="Arial"/>
          <w:lang w:val="en-IN"/>
        </w:rPr>
        <w:t xml:space="preserve">. [online] Available at: </w:t>
      </w:r>
      <w:hyperlink r:id="rId69" w:history="1">
        <w:r w:rsidRPr="008C55EC">
          <w:rPr>
            <w:rStyle w:val="Hyperlink"/>
            <w:rFonts w:ascii="Arial" w:hAnsi="Arial"/>
            <w:lang w:val="en-IN"/>
          </w:rPr>
          <w:t>https://www.worldbank.org/en/news/press-release/2023/04/21/world-bank-releases-logistics-performance-index-2023</w:t>
        </w:r>
      </w:hyperlink>
    </w:p>
    <w:p w14:paraId="521E19B5" w14:textId="5D2C6C34" w:rsidR="00DF6599" w:rsidRPr="008C55EC" w:rsidRDefault="00DF6599" w:rsidP="00DF6599">
      <w:pPr>
        <w:spacing w:before="240"/>
        <w:rPr>
          <w:rFonts w:ascii="Arial" w:hAnsi="Arial"/>
          <w:lang w:val="en-IN"/>
        </w:rPr>
      </w:pPr>
      <w:r w:rsidRPr="008C55EC">
        <w:rPr>
          <w:rFonts w:ascii="Arial" w:hAnsi="Arial"/>
          <w:lang w:val="en-IN"/>
        </w:rPr>
        <w:lastRenderedPageBreak/>
        <w:t>Wortmann, M. (2020). The German variety of grocery retailing: A historical institutionalist analysis of a non-core industry. </w:t>
      </w:r>
      <w:r w:rsidRPr="008C55EC">
        <w:rPr>
          <w:rFonts w:ascii="Arial" w:hAnsi="Arial"/>
          <w:i/>
          <w:iCs/>
          <w:lang w:val="en-IN"/>
        </w:rPr>
        <w:t>Competition &amp; Change</w:t>
      </w:r>
      <w:r w:rsidRPr="008C55EC">
        <w:rPr>
          <w:rFonts w:ascii="Arial" w:hAnsi="Arial"/>
          <w:lang w:val="en-IN"/>
        </w:rPr>
        <w:t xml:space="preserve">, 25(3–4), p.102452942094113. </w:t>
      </w:r>
      <w:hyperlink r:id="rId70" w:history="1">
        <w:r w:rsidR="00194C7F" w:rsidRPr="008C55EC">
          <w:rPr>
            <w:rStyle w:val="Hyperlink"/>
            <w:rFonts w:ascii="Arial" w:hAnsi="Arial"/>
            <w:lang w:val="en-IN"/>
          </w:rPr>
          <w:t>https://</w:t>
        </w:r>
        <w:r w:rsidRPr="008C55EC">
          <w:rPr>
            <w:rStyle w:val="Hyperlink"/>
            <w:rFonts w:ascii="Arial" w:hAnsi="Arial"/>
            <w:lang w:val="en-IN"/>
          </w:rPr>
          <w:t>doi</w:t>
        </w:r>
        <w:r w:rsidR="00194C7F" w:rsidRPr="008C55EC">
          <w:rPr>
            <w:rStyle w:val="Hyperlink"/>
            <w:rFonts w:ascii="Arial" w:hAnsi="Arial"/>
            <w:lang w:val="en-IN"/>
          </w:rPr>
          <w:t>.org/</w:t>
        </w:r>
        <w:r w:rsidRPr="008C55EC">
          <w:rPr>
            <w:rStyle w:val="Hyperlink"/>
            <w:rFonts w:ascii="Arial" w:hAnsi="Arial"/>
            <w:lang w:val="en-IN"/>
          </w:rPr>
          <w:t>1</w:t>
        </w:r>
        <w:r w:rsidRPr="008C55EC">
          <w:rPr>
            <w:rStyle w:val="Hyperlink"/>
            <w:rFonts w:ascii="Arial" w:hAnsi="Arial"/>
            <w:lang w:val="en-IN"/>
          </w:rPr>
          <w:t>0</w:t>
        </w:r>
        <w:r w:rsidRPr="008C55EC">
          <w:rPr>
            <w:rStyle w:val="Hyperlink"/>
            <w:rFonts w:ascii="Arial" w:hAnsi="Arial"/>
            <w:lang w:val="en-IN"/>
          </w:rPr>
          <w:t>.1177/1024529420941138</w:t>
        </w:r>
      </w:hyperlink>
      <w:r w:rsidRPr="008C55EC">
        <w:rPr>
          <w:rFonts w:ascii="Arial" w:hAnsi="Arial"/>
          <w:lang w:val="en-IN"/>
        </w:rPr>
        <w:t xml:space="preserve">. </w:t>
      </w:r>
    </w:p>
    <w:p w14:paraId="67CD0CF1" w14:textId="19EC2CDB" w:rsidR="00DF6599" w:rsidRPr="008C55EC" w:rsidRDefault="00DF6599" w:rsidP="00DF6599">
      <w:pPr>
        <w:spacing w:before="240"/>
        <w:rPr>
          <w:rFonts w:ascii="Arial" w:hAnsi="Arial"/>
          <w:lang w:val="en-IN"/>
        </w:rPr>
      </w:pPr>
      <w:r w:rsidRPr="008C55EC">
        <w:rPr>
          <w:rFonts w:ascii="Arial" w:hAnsi="Arial"/>
          <w:lang w:val="en-IN"/>
        </w:rPr>
        <w:t xml:space="preserve">‌Young, J. (2026) </w:t>
      </w:r>
      <w:r w:rsidRPr="008C55EC">
        <w:rPr>
          <w:rFonts w:ascii="Arial" w:hAnsi="Arial"/>
          <w:i/>
          <w:iCs/>
          <w:lang w:val="en-IN"/>
        </w:rPr>
        <w:t>Costco’s Generic Competitive Strategy &amp; Growth Strategies</w:t>
      </w:r>
      <w:r w:rsidRPr="008C55EC">
        <w:rPr>
          <w:rFonts w:ascii="Arial" w:hAnsi="Arial"/>
          <w:lang w:val="en-IN"/>
        </w:rPr>
        <w:t xml:space="preserve">. </w:t>
      </w:r>
      <w:hyperlink r:id="rId71" w:history="1">
        <w:r w:rsidRPr="008C55EC">
          <w:rPr>
            <w:rStyle w:val="Hyperlink"/>
            <w:rFonts w:ascii="Arial" w:hAnsi="Arial"/>
            <w:lang w:val="en-IN"/>
          </w:rPr>
          <w:t>https://panmore.com/costco-wholesale-generic-intensive-gro</w:t>
        </w:r>
        <w:r w:rsidRPr="008C55EC">
          <w:rPr>
            <w:rStyle w:val="Hyperlink"/>
            <w:rFonts w:ascii="Arial" w:hAnsi="Arial"/>
            <w:lang w:val="en-IN"/>
          </w:rPr>
          <w:t>w</w:t>
        </w:r>
        <w:r w:rsidRPr="008C55EC">
          <w:rPr>
            <w:rStyle w:val="Hyperlink"/>
            <w:rFonts w:ascii="Arial" w:hAnsi="Arial"/>
            <w:lang w:val="en-IN"/>
          </w:rPr>
          <w:t>th-strategies</w:t>
        </w:r>
      </w:hyperlink>
      <w:r w:rsidRPr="008C55EC">
        <w:rPr>
          <w:rFonts w:ascii="Arial" w:hAnsi="Arial"/>
          <w:lang w:val="en-IN"/>
        </w:rPr>
        <w:t>.</w:t>
      </w:r>
    </w:p>
    <w:p w14:paraId="407671BC" w14:textId="77777777" w:rsidR="00DF6599" w:rsidRPr="008C55EC" w:rsidRDefault="00DF6599" w:rsidP="00DF6599">
      <w:pPr>
        <w:spacing w:before="240"/>
        <w:rPr>
          <w:rFonts w:ascii="Arial" w:hAnsi="Arial"/>
          <w:lang w:val="en-IN"/>
        </w:rPr>
      </w:pPr>
      <w:r w:rsidRPr="008C55EC">
        <w:rPr>
          <w:rFonts w:ascii="Arial" w:hAnsi="Arial"/>
          <w:lang w:val="en-IN"/>
        </w:rPr>
        <w:t xml:space="preserve">‌Zaidi, A. (2026) </w:t>
      </w:r>
      <w:r w:rsidRPr="008C55EC">
        <w:rPr>
          <w:rFonts w:ascii="Arial" w:hAnsi="Arial"/>
          <w:i/>
          <w:iCs/>
          <w:lang w:val="en-IN"/>
        </w:rPr>
        <w:t>Costco’s strategy analysis</w:t>
      </w:r>
      <w:r w:rsidRPr="008C55EC">
        <w:rPr>
          <w:rFonts w:ascii="Arial" w:hAnsi="Arial"/>
          <w:lang w:val="en-IN"/>
        </w:rPr>
        <w:t xml:space="preserve">. </w:t>
      </w:r>
      <w:hyperlink r:id="rId72" w:history="1">
        <w:r w:rsidRPr="008C55EC">
          <w:rPr>
            <w:rStyle w:val="Hyperlink"/>
            <w:rFonts w:ascii="Arial" w:hAnsi="Arial"/>
            <w:lang w:val="en-IN"/>
          </w:rPr>
          <w:t>https://strategy.transforml.co/costco-strategy-cascade-analysis</w:t>
        </w:r>
      </w:hyperlink>
      <w:r w:rsidRPr="008C55EC">
        <w:rPr>
          <w:rFonts w:ascii="Arial" w:hAnsi="Arial"/>
          <w:lang w:val="en-IN"/>
        </w:rPr>
        <w:t>.</w:t>
      </w:r>
    </w:p>
    <w:p w14:paraId="1AF620A0" w14:textId="7DF63F92" w:rsidR="00DF6599" w:rsidRPr="008C55EC" w:rsidRDefault="00DF6599" w:rsidP="00DF6599">
      <w:pPr>
        <w:spacing w:before="240"/>
        <w:rPr>
          <w:rFonts w:ascii="Arial" w:hAnsi="Arial"/>
          <w:lang w:val="en-IN"/>
        </w:rPr>
      </w:pPr>
      <w:proofErr w:type="spellStart"/>
      <w:r w:rsidRPr="008C55EC">
        <w:rPr>
          <w:rFonts w:ascii="Arial" w:hAnsi="Arial"/>
          <w:lang w:val="en-IN"/>
        </w:rPr>
        <w:t>Żemojtel</w:t>
      </w:r>
      <w:proofErr w:type="spellEnd"/>
      <w:r w:rsidRPr="008C55EC">
        <w:rPr>
          <w:rFonts w:ascii="Arial" w:hAnsi="Arial"/>
          <w:lang w:val="en-IN"/>
        </w:rPr>
        <w:t>-Piotrowska, M. and Piotrowski, J. (2023). Hofstede’s Cultural Dimensions Theory. </w:t>
      </w:r>
      <w:proofErr w:type="spellStart"/>
      <w:r w:rsidRPr="008C55EC">
        <w:rPr>
          <w:rFonts w:ascii="Arial" w:hAnsi="Arial"/>
          <w:i/>
          <w:iCs/>
          <w:lang w:val="en-IN"/>
        </w:rPr>
        <w:t>Encyclopedia</w:t>
      </w:r>
      <w:proofErr w:type="spellEnd"/>
      <w:r w:rsidRPr="008C55EC">
        <w:rPr>
          <w:rFonts w:ascii="Arial" w:hAnsi="Arial"/>
          <w:i/>
          <w:iCs/>
          <w:lang w:val="en-IN"/>
        </w:rPr>
        <w:t xml:space="preserve"> of Sexual Psychology and </w:t>
      </w:r>
      <w:proofErr w:type="spellStart"/>
      <w:r w:rsidRPr="008C55EC">
        <w:rPr>
          <w:rFonts w:ascii="Arial" w:hAnsi="Arial"/>
          <w:i/>
          <w:iCs/>
          <w:lang w:val="en-IN"/>
        </w:rPr>
        <w:t>Behavior</w:t>
      </w:r>
      <w:proofErr w:type="spellEnd"/>
      <w:r w:rsidRPr="008C55EC">
        <w:rPr>
          <w:rFonts w:ascii="Arial" w:hAnsi="Arial"/>
          <w:lang w:val="en-IN"/>
        </w:rPr>
        <w:t xml:space="preserve">, [online] pp.1–4. </w:t>
      </w:r>
      <w:hyperlink r:id="rId73" w:history="1">
        <w:r w:rsidR="00194C7F" w:rsidRPr="008C55EC">
          <w:rPr>
            <w:rStyle w:val="Hyperlink"/>
            <w:rFonts w:ascii="Arial" w:hAnsi="Arial"/>
            <w:lang w:val="en-IN"/>
          </w:rPr>
          <w:t>https://</w:t>
        </w:r>
        <w:r w:rsidRPr="008C55EC">
          <w:rPr>
            <w:rStyle w:val="Hyperlink"/>
            <w:rFonts w:ascii="Arial" w:hAnsi="Arial"/>
            <w:lang w:val="en-IN"/>
          </w:rPr>
          <w:t>doi</w:t>
        </w:r>
        <w:r w:rsidR="00194C7F" w:rsidRPr="008C55EC">
          <w:rPr>
            <w:rStyle w:val="Hyperlink"/>
            <w:rFonts w:ascii="Arial" w:hAnsi="Arial"/>
            <w:lang w:val="en-IN"/>
          </w:rPr>
          <w:t>.org/</w:t>
        </w:r>
        <w:r w:rsidRPr="008C55EC">
          <w:rPr>
            <w:rStyle w:val="Hyperlink"/>
            <w:rFonts w:ascii="Arial" w:hAnsi="Arial"/>
            <w:lang w:val="en-IN"/>
          </w:rPr>
          <w:t>10.1007/978-</w:t>
        </w:r>
        <w:r w:rsidRPr="008C55EC">
          <w:rPr>
            <w:rStyle w:val="Hyperlink"/>
            <w:rFonts w:ascii="Arial" w:hAnsi="Arial"/>
            <w:lang w:val="en-IN"/>
          </w:rPr>
          <w:t>3</w:t>
        </w:r>
        <w:r w:rsidRPr="008C55EC">
          <w:rPr>
            <w:rStyle w:val="Hyperlink"/>
            <w:rFonts w:ascii="Arial" w:hAnsi="Arial"/>
            <w:lang w:val="en-IN"/>
          </w:rPr>
          <w:t>-031-08956-5_1124-1</w:t>
        </w:r>
      </w:hyperlink>
      <w:r w:rsidRPr="008C55EC">
        <w:rPr>
          <w:rFonts w:ascii="Arial" w:hAnsi="Arial"/>
          <w:lang w:val="en-IN"/>
        </w:rPr>
        <w:t>.</w:t>
      </w:r>
    </w:p>
    <w:p w14:paraId="6F4E601B" w14:textId="77777777" w:rsidR="00DF6599" w:rsidRPr="008C55EC" w:rsidRDefault="00DF6599" w:rsidP="00DF6599">
      <w:pPr>
        <w:spacing w:before="240"/>
        <w:rPr>
          <w:rFonts w:ascii="Arial" w:hAnsi="Arial"/>
          <w:lang w:val="en-IN"/>
        </w:rPr>
      </w:pPr>
      <w:r w:rsidRPr="008C55EC">
        <w:rPr>
          <w:rFonts w:ascii="Arial" w:hAnsi="Arial"/>
        </w:rPr>
        <w:t>Zheng, L. (2020). </w:t>
      </w:r>
      <w:r w:rsidRPr="008C55EC">
        <w:rPr>
          <w:rFonts w:ascii="Arial" w:hAnsi="Arial"/>
          <w:i/>
          <w:iCs/>
        </w:rPr>
        <w:t>Financial Strategy Analysis of Costco, Inc</w:t>
      </w:r>
      <w:r w:rsidRPr="008C55EC">
        <w:rPr>
          <w:rFonts w:ascii="Arial" w:hAnsi="Arial"/>
        </w:rPr>
        <w:t>. California State University, Los Angeles.</w:t>
      </w:r>
    </w:p>
    <w:p w14:paraId="2CC9DEAD" w14:textId="6AF1B4F4" w:rsidR="00DF6599" w:rsidRPr="008C55EC" w:rsidRDefault="00DF6599" w:rsidP="00DF6599">
      <w:pPr>
        <w:spacing w:before="240"/>
        <w:rPr>
          <w:rFonts w:ascii="Arial" w:hAnsi="Arial"/>
        </w:rPr>
      </w:pPr>
      <w:r w:rsidRPr="008C55EC">
        <w:rPr>
          <w:rFonts w:ascii="Arial" w:hAnsi="Arial"/>
        </w:rPr>
        <w:t xml:space="preserve">ZSVR (2026) </w:t>
      </w:r>
      <w:r w:rsidRPr="008C55EC">
        <w:rPr>
          <w:rFonts w:ascii="Arial" w:hAnsi="Arial"/>
          <w:i/>
          <w:iCs/>
        </w:rPr>
        <w:t>ZSVR – Packaging Register</w:t>
      </w:r>
      <w:r w:rsidRPr="008C55EC">
        <w:rPr>
          <w:rFonts w:ascii="Arial" w:hAnsi="Arial"/>
        </w:rPr>
        <w:t xml:space="preserve">. Available at: </w:t>
      </w:r>
      <w:hyperlink r:id="rId74" w:tgtFrame="_new" w:history="1">
        <w:r w:rsidRPr="008C55EC">
          <w:rPr>
            <w:rStyle w:val="Hyperlink"/>
            <w:rFonts w:ascii="Arial" w:hAnsi="Arial"/>
          </w:rPr>
          <w:t>https://www.verpackungsregister.org/en/</w:t>
        </w:r>
      </w:hyperlink>
      <w:r w:rsidRPr="008C55EC">
        <w:rPr>
          <w:rFonts w:ascii="Arial" w:hAnsi="Arial"/>
        </w:rPr>
        <w:t xml:space="preserve"> </w:t>
      </w:r>
    </w:p>
    <w:p w14:paraId="08EB5268" w14:textId="77777777" w:rsidR="00DF6599" w:rsidRPr="008C55EC" w:rsidRDefault="00DF6599" w:rsidP="00DF6599">
      <w:pPr>
        <w:rPr>
          <w:rFonts w:ascii="Arial" w:hAnsi="Arial"/>
          <w:lang w:val="en-IN"/>
        </w:rPr>
      </w:pPr>
    </w:p>
    <w:p w14:paraId="46C5138E" w14:textId="77777777" w:rsidR="00DF6599" w:rsidRPr="008C55EC" w:rsidRDefault="00DF6599" w:rsidP="00DF6599">
      <w:pPr>
        <w:rPr>
          <w:rFonts w:ascii="Arial" w:hAnsi="Arial"/>
          <w:lang w:val="en-IN"/>
        </w:rPr>
      </w:pPr>
    </w:p>
    <w:p w14:paraId="118C1C22" w14:textId="77777777" w:rsidR="00DF6599" w:rsidRPr="008C55EC" w:rsidRDefault="00DF6599" w:rsidP="00DF6599">
      <w:pPr>
        <w:rPr>
          <w:rFonts w:ascii="Arial" w:hAnsi="Arial"/>
          <w:lang w:val="en-IN"/>
        </w:rPr>
      </w:pPr>
    </w:p>
    <w:p w14:paraId="47200D42" w14:textId="77777777" w:rsidR="00DF6599" w:rsidRPr="008C55EC" w:rsidRDefault="00DF6599" w:rsidP="00DF6599">
      <w:pPr>
        <w:rPr>
          <w:rFonts w:ascii="Arial" w:hAnsi="Arial"/>
          <w:lang w:val="en-IN"/>
        </w:rPr>
      </w:pPr>
    </w:p>
    <w:p w14:paraId="33A96CB4" w14:textId="77777777" w:rsidR="00DF6599" w:rsidRPr="008C55EC" w:rsidRDefault="00DF6599" w:rsidP="00DF6599">
      <w:pPr>
        <w:rPr>
          <w:rFonts w:ascii="Arial" w:hAnsi="Arial"/>
          <w:lang w:val="en-IN"/>
        </w:rPr>
      </w:pPr>
    </w:p>
    <w:p w14:paraId="05BBF30F" w14:textId="77777777" w:rsidR="00DF6599" w:rsidRPr="008C55EC" w:rsidRDefault="00DF6599" w:rsidP="00DF6599">
      <w:pPr>
        <w:rPr>
          <w:rFonts w:ascii="Arial" w:hAnsi="Arial"/>
          <w:lang w:val="en-IN"/>
        </w:rPr>
      </w:pPr>
    </w:p>
    <w:p w14:paraId="16684CBC" w14:textId="77777777" w:rsidR="00DF6599" w:rsidRPr="008C55EC" w:rsidRDefault="00DF6599" w:rsidP="00DF6599">
      <w:pPr>
        <w:rPr>
          <w:rFonts w:ascii="Arial" w:hAnsi="Arial"/>
          <w:lang w:val="en-IN"/>
        </w:rPr>
      </w:pPr>
    </w:p>
    <w:p w14:paraId="3A548A4F" w14:textId="77777777" w:rsidR="00DF6599" w:rsidRPr="008C55EC" w:rsidRDefault="00DF6599" w:rsidP="00DF6599">
      <w:pPr>
        <w:rPr>
          <w:rFonts w:ascii="Arial" w:hAnsi="Arial"/>
          <w:lang w:val="en-IN"/>
        </w:rPr>
      </w:pPr>
    </w:p>
    <w:p w14:paraId="63D8D6E3" w14:textId="77777777" w:rsidR="00DF6599" w:rsidRPr="008C55EC" w:rsidRDefault="00DF6599" w:rsidP="00DF6599">
      <w:pPr>
        <w:rPr>
          <w:rFonts w:ascii="Arial" w:hAnsi="Arial"/>
          <w:lang w:val="en-IN"/>
        </w:rPr>
      </w:pPr>
    </w:p>
    <w:p w14:paraId="604C067B" w14:textId="76ED432F" w:rsidR="00DF6599" w:rsidRPr="008C55EC" w:rsidRDefault="00DF6599">
      <w:pPr>
        <w:spacing w:after="160" w:line="278" w:lineRule="auto"/>
        <w:jc w:val="left"/>
        <w:rPr>
          <w:rFonts w:ascii="Arial" w:hAnsi="Arial"/>
          <w:color w:val="000000" w:themeColor="text1"/>
          <w:lang w:val="en-IN"/>
        </w:rPr>
      </w:pPr>
      <w:r w:rsidRPr="008C55EC">
        <w:rPr>
          <w:rFonts w:ascii="Arial" w:hAnsi="Arial"/>
          <w:color w:val="000000" w:themeColor="text1"/>
          <w:lang w:val="en-IN"/>
        </w:rPr>
        <w:br w:type="page"/>
      </w:r>
    </w:p>
    <w:p w14:paraId="02852459" w14:textId="22325324" w:rsidR="00DF6599" w:rsidRPr="008C55EC" w:rsidRDefault="00D612DB" w:rsidP="00DF6599">
      <w:pPr>
        <w:pStyle w:val="Heading1"/>
        <w:rPr>
          <w:rFonts w:ascii="Arial" w:hAnsi="Arial" w:cs="Arial"/>
          <w:lang w:val="en-IN"/>
        </w:rPr>
      </w:pPr>
      <w:bookmarkStart w:id="29" w:name="_Toc237509328"/>
      <w:r w:rsidRPr="008C55EC">
        <w:rPr>
          <w:rFonts w:ascii="Arial" w:hAnsi="Arial" w:cs="Arial"/>
          <w:lang w:val="en-IN"/>
        </w:rPr>
        <w:lastRenderedPageBreak/>
        <w:t>Appendices</w:t>
      </w:r>
      <w:bookmarkEnd w:id="29"/>
    </w:p>
    <w:p w14:paraId="51C1D490"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Appendix A. Costco Wholesale Corporation – Company Profile</w:t>
      </w:r>
    </w:p>
    <w:tbl>
      <w:tblPr>
        <w:tblStyle w:val="TableGridLight"/>
        <w:tblW w:w="0" w:type="auto"/>
        <w:tblLook w:val="04A0" w:firstRow="1" w:lastRow="0" w:firstColumn="1" w:lastColumn="0" w:noHBand="0" w:noVBand="1"/>
      </w:tblPr>
      <w:tblGrid>
        <w:gridCol w:w="2194"/>
        <w:gridCol w:w="6822"/>
      </w:tblGrid>
      <w:tr w:rsidR="00DF6599" w:rsidRPr="008C55EC" w14:paraId="3F489ED5" w14:textId="77777777" w:rsidTr="00DF6599">
        <w:tc>
          <w:tcPr>
            <w:tcW w:w="0" w:type="auto"/>
            <w:shd w:val="clear" w:color="auto" w:fill="D9D9D9" w:themeFill="background1" w:themeFillShade="D9"/>
            <w:hideMark/>
          </w:tcPr>
          <w:p w14:paraId="1404851D"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Indicator</w:t>
            </w:r>
          </w:p>
        </w:tc>
        <w:tc>
          <w:tcPr>
            <w:tcW w:w="0" w:type="auto"/>
            <w:shd w:val="clear" w:color="auto" w:fill="D9D9D9" w:themeFill="background1" w:themeFillShade="D9"/>
            <w:hideMark/>
          </w:tcPr>
          <w:p w14:paraId="0C735320"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Details (FY2025)</w:t>
            </w:r>
          </w:p>
        </w:tc>
      </w:tr>
      <w:tr w:rsidR="00DF6599" w:rsidRPr="008C55EC" w14:paraId="33E06671" w14:textId="77777777" w:rsidTr="00DF6599">
        <w:tc>
          <w:tcPr>
            <w:tcW w:w="0" w:type="auto"/>
            <w:hideMark/>
          </w:tcPr>
          <w:p w14:paraId="600231A9"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Company</w:t>
            </w:r>
          </w:p>
        </w:tc>
        <w:tc>
          <w:tcPr>
            <w:tcW w:w="0" w:type="auto"/>
            <w:hideMark/>
          </w:tcPr>
          <w:p w14:paraId="4F3809E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Costco Wholesale Corporation</w:t>
            </w:r>
          </w:p>
        </w:tc>
      </w:tr>
      <w:tr w:rsidR="00DF6599" w:rsidRPr="008C55EC" w14:paraId="418591CD" w14:textId="77777777" w:rsidTr="00DF6599">
        <w:tc>
          <w:tcPr>
            <w:tcW w:w="0" w:type="auto"/>
            <w:hideMark/>
          </w:tcPr>
          <w:p w14:paraId="42C6C522"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Founded</w:t>
            </w:r>
          </w:p>
        </w:tc>
        <w:tc>
          <w:tcPr>
            <w:tcW w:w="0" w:type="auto"/>
            <w:hideMark/>
          </w:tcPr>
          <w:p w14:paraId="5E85792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1983</w:t>
            </w:r>
          </w:p>
        </w:tc>
      </w:tr>
      <w:tr w:rsidR="00DF6599" w:rsidRPr="008C55EC" w14:paraId="218C6542" w14:textId="77777777" w:rsidTr="00DF6599">
        <w:tc>
          <w:tcPr>
            <w:tcW w:w="0" w:type="auto"/>
            <w:hideMark/>
          </w:tcPr>
          <w:p w14:paraId="3C374E0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Headquarters</w:t>
            </w:r>
          </w:p>
        </w:tc>
        <w:tc>
          <w:tcPr>
            <w:tcW w:w="0" w:type="auto"/>
            <w:hideMark/>
          </w:tcPr>
          <w:p w14:paraId="30B81863"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Issaquah, Washington, USA</w:t>
            </w:r>
          </w:p>
        </w:tc>
      </w:tr>
      <w:tr w:rsidR="00DF6599" w:rsidRPr="008C55EC" w14:paraId="75AB8BBA" w14:textId="77777777" w:rsidTr="00DF6599">
        <w:tc>
          <w:tcPr>
            <w:tcW w:w="0" w:type="auto"/>
            <w:hideMark/>
          </w:tcPr>
          <w:p w14:paraId="22155FE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CEO</w:t>
            </w:r>
          </w:p>
        </w:tc>
        <w:tc>
          <w:tcPr>
            <w:tcW w:w="0" w:type="auto"/>
            <w:hideMark/>
          </w:tcPr>
          <w:p w14:paraId="290D135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Ron Vachris</w:t>
            </w:r>
          </w:p>
        </w:tc>
      </w:tr>
      <w:tr w:rsidR="00DF6599" w:rsidRPr="008C55EC" w14:paraId="4427E5FB" w14:textId="77777777" w:rsidTr="00DF6599">
        <w:tc>
          <w:tcPr>
            <w:tcW w:w="0" w:type="auto"/>
            <w:hideMark/>
          </w:tcPr>
          <w:p w14:paraId="511C555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Business Model</w:t>
            </w:r>
          </w:p>
        </w:tc>
        <w:tc>
          <w:tcPr>
            <w:tcW w:w="0" w:type="auto"/>
            <w:hideMark/>
          </w:tcPr>
          <w:p w14:paraId="470273F9"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Membership-based warehouse retailer</w:t>
            </w:r>
          </w:p>
        </w:tc>
      </w:tr>
      <w:tr w:rsidR="00DF6599" w:rsidRPr="008C55EC" w14:paraId="5F190377" w14:textId="77777777" w:rsidTr="00DF6599">
        <w:tc>
          <w:tcPr>
            <w:tcW w:w="0" w:type="auto"/>
            <w:hideMark/>
          </w:tcPr>
          <w:p w14:paraId="49AEB5C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Warehouses</w:t>
            </w:r>
          </w:p>
        </w:tc>
        <w:tc>
          <w:tcPr>
            <w:tcW w:w="0" w:type="auto"/>
            <w:hideMark/>
          </w:tcPr>
          <w:p w14:paraId="4E81A80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914 worldwide</w:t>
            </w:r>
          </w:p>
        </w:tc>
      </w:tr>
      <w:tr w:rsidR="00DF6599" w:rsidRPr="008C55EC" w14:paraId="1B060159" w14:textId="77777777" w:rsidTr="00DF6599">
        <w:tc>
          <w:tcPr>
            <w:tcW w:w="0" w:type="auto"/>
            <w:hideMark/>
          </w:tcPr>
          <w:p w14:paraId="5DA6D90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Countries of Operation</w:t>
            </w:r>
          </w:p>
        </w:tc>
        <w:tc>
          <w:tcPr>
            <w:tcW w:w="0" w:type="auto"/>
            <w:hideMark/>
          </w:tcPr>
          <w:p w14:paraId="64E0B17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14</w:t>
            </w:r>
          </w:p>
        </w:tc>
      </w:tr>
      <w:tr w:rsidR="00DF6599" w:rsidRPr="008C55EC" w14:paraId="4982AAFF" w14:textId="77777777" w:rsidTr="00DF6599">
        <w:tc>
          <w:tcPr>
            <w:tcW w:w="0" w:type="auto"/>
            <w:hideMark/>
          </w:tcPr>
          <w:p w14:paraId="506E6D4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Revenue</w:t>
            </w:r>
          </w:p>
        </w:tc>
        <w:tc>
          <w:tcPr>
            <w:tcW w:w="0" w:type="auto"/>
            <w:hideMark/>
          </w:tcPr>
          <w:p w14:paraId="376219C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US$275.2 billion</w:t>
            </w:r>
          </w:p>
        </w:tc>
      </w:tr>
      <w:tr w:rsidR="00DF6599" w:rsidRPr="008C55EC" w14:paraId="291DA099" w14:textId="77777777" w:rsidTr="00DF6599">
        <w:tc>
          <w:tcPr>
            <w:tcW w:w="0" w:type="auto"/>
            <w:hideMark/>
          </w:tcPr>
          <w:p w14:paraId="34E6E71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Net Income</w:t>
            </w:r>
          </w:p>
        </w:tc>
        <w:tc>
          <w:tcPr>
            <w:tcW w:w="0" w:type="auto"/>
            <w:hideMark/>
          </w:tcPr>
          <w:p w14:paraId="193BE06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US$8.1 billion</w:t>
            </w:r>
          </w:p>
        </w:tc>
      </w:tr>
      <w:tr w:rsidR="00DF6599" w:rsidRPr="008C55EC" w14:paraId="2864475F" w14:textId="77777777" w:rsidTr="00DF6599">
        <w:tc>
          <w:tcPr>
            <w:tcW w:w="0" w:type="auto"/>
            <w:hideMark/>
          </w:tcPr>
          <w:p w14:paraId="70A6CFB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Employees</w:t>
            </w:r>
          </w:p>
        </w:tc>
        <w:tc>
          <w:tcPr>
            <w:tcW w:w="0" w:type="auto"/>
            <w:hideMark/>
          </w:tcPr>
          <w:p w14:paraId="4A7C94C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341,000</w:t>
            </w:r>
          </w:p>
        </w:tc>
      </w:tr>
      <w:tr w:rsidR="00DF6599" w:rsidRPr="008C55EC" w14:paraId="19998DF6" w14:textId="77777777" w:rsidTr="00DF6599">
        <w:tc>
          <w:tcPr>
            <w:tcW w:w="0" w:type="auto"/>
            <w:hideMark/>
          </w:tcPr>
          <w:p w14:paraId="2A12E06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Strategic Capabilities</w:t>
            </w:r>
          </w:p>
        </w:tc>
        <w:tc>
          <w:tcPr>
            <w:tcW w:w="0" w:type="auto"/>
            <w:hideMark/>
          </w:tcPr>
          <w:p w14:paraId="3136AD0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Centralised procurement, membership model, Kirkland Signature, limited SKU strategy, global sourcing</w:t>
            </w:r>
          </w:p>
        </w:tc>
      </w:tr>
    </w:tbl>
    <w:p w14:paraId="047E8F62" w14:textId="3135CC6F" w:rsidR="00DF6599" w:rsidRPr="008C55EC" w:rsidRDefault="00DF6599" w:rsidP="00DF6599">
      <w:pPr>
        <w:rPr>
          <w:rFonts w:ascii="Arial" w:hAnsi="Arial"/>
          <w:color w:val="000000" w:themeColor="text1"/>
          <w:lang w:val="en-IN"/>
        </w:rPr>
      </w:pPr>
      <w:r w:rsidRPr="008C55EC">
        <w:rPr>
          <w:rFonts w:ascii="Arial" w:hAnsi="Arial"/>
          <w:b/>
          <w:bCs/>
          <w:color w:val="000000" w:themeColor="text1"/>
          <w:lang w:val="en-IN"/>
        </w:rPr>
        <w:t>Source:</w:t>
      </w:r>
      <w:r w:rsidRPr="008C55EC">
        <w:rPr>
          <w:rFonts w:ascii="Arial" w:hAnsi="Arial"/>
          <w:color w:val="000000" w:themeColor="text1"/>
          <w:lang w:val="en-IN"/>
        </w:rPr>
        <w:t xml:space="preserve"> Costco FY2025 Annual Report. </w:t>
      </w:r>
    </w:p>
    <w:p w14:paraId="064F478C"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Appendix B. Germany Market Profile</w:t>
      </w:r>
    </w:p>
    <w:tbl>
      <w:tblPr>
        <w:tblStyle w:val="TableGridLight"/>
        <w:tblW w:w="0" w:type="auto"/>
        <w:tblLook w:val="04A0" w:firstRow="1" w:lastRow="0" w:firstColumn="1" w:lastColumn="0" w:noHBand="0" w:noVBand="1"/>
      </w:tblPr>
      <w:tblGrid>
        <w:gridCol w:w="2580"/>
        <w:gridCol w:w="3437"/>
        <w:gridCol w:w="2999"/>
      </w:tblGrid>
      <w:tr w:rsidR="00DF6599" w:rsidRPr="008C55EC" w14:paraId="59586B71" w14:textId="77777777" w:rsidTr="00DF6599">
        <w:tc>
          <w:tcPr>
            <w:tcW w:w="0" w:type="auto"/>
            <w:shd w:val="clear" w:color="auto" w:fill="D9D9D9" w:themeFill="background1" w:themeFillShade="D9"/>
            <w:hideMark/>
          </w:tcPr>
          <w:p w14:paraId="2A786807"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Indicator</w:t>
            </w:r>
          </w:p>
        </w:tc>
        <w:tc>
          <w:tcPr>
            <w:tcW w:w="0" w:type="auto"/>
            <w:shd w:val="clear" w:color="auto" w:fill="D9D9D9" w:themeFill="background1" w:themeFillShade="D9"/>
            <w:hideMark/>
          </w:tcPr>
          <w:p w14:paraId="683BA7C9"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Latest Value</w:t>
            </w:r>
          </w:p>
        </w:tc>
        <w:tc>
          <w:tcPr>
            <w:tcW w:w="0" w:type="auto"/>
            <w:shd w:val="clear" w:color="auto" w:fill="D9D9D9" w:themeFill="background1" w:themeFillShade="D9"/>
            <w:hideMark/>
          </w:tcPr>
          <w:p w14:paraId="53A0C2A7"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Strategic Relevance for Costco</w:t>
            </w:r>
          </w:p>
        </w:tc>
      </w:tr>
      <w:tr w:rsidR="00DF6599" w:rsidRPr="008C55EC" w14:paraId="391EA239" w14:textId="77777777" w:rsidTr="00DF6599">
        <w:tc>
          <w:tcPr>
            <w:tcW w:w="0" w:type="auto"/>
            <w:hideMark/>
          </w:tcPr>
          <w:p w14:paraId="301EA1A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Population</w:t>
            </w:r>
          </w:p>
        </w:tc>
        <w:tc>
          <w:tcPr>
            <w:tcW w:w="0" w:type="auto"/>
            <w:hideMark/>
          </w:tcPr>
          <w:p w14:paraId="222D123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~84 million</w:t>
            </w:r>
          </w:p>
        </w:tc>
        <w:tc>
          <w:tcPr>
            <w:tcW w:w="0" w:type="auto"/>
            <w:hideMark/>
          </w:tcPr>
          <w:p w14:paraId="36215DF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Large consumer base</w:t>
            </w:r>
          </w:p>
        </w:tc>
      </w:tr>
      <w:tr w:rsidR="00DF6599" w:rsidRPr="008C55EC" w14:paraId="622E3EA4" w14:textId="77777777" w:rsidTr="00DF6599">
        <w:tc>
          <w:tcPr>
            <w:tcW w:w="0" w:type="auto"/>
            <w:hideMark/>
          </w:tcPr>
          <w:p w14:paraId="6742483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GDP</w:t>
            </w:r>
          </w:p>
        </w:tc>
        <w:tc>
          <w:tcPr>
            <w:tcW w:w="0" w:type="auto"/>
            <w:hideMark/>
          </w:tcPr>
          <w:p w14:paraId="74D921D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~€4.3 trillion</w:t>
            </w:r>
          </w:p>
        </w:tc>
        <w:tc>
          <w:tcPr>
            <w:tcW w:w="0" w:type="auto"/>
            <w:hideMark/>
          </w:tcPr>
          <w:p w14:paraId="48F460B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Europe's largest economy</w:t>
            </w:r>
          </w:p>
        </w:tc>
      </w:tr>
      <w:tr w:rsidR="00DF6599" w:rsidRPr="008C55EC" w14:paraId="55D454B6" w14:textId="77777777" w:rsidTr="00DF6599">
        <w:tc>
          <w:tcPr>
            <w:tcW w:w="0" w:type="auto"/>
            <w:hideMark/>
          </w:tcPr>
          <w:p w14:paraId="2325F95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GDP Growth (2025)</w:t>
            </w:r>
          </w:p>
        </w:tc>
        <w:tc>
          <w:tcPr>
            <w:tcW w:w="0" w:type="auto"/>
            <w:hideMark/>
          </w:tcPr>
          <w:p w14:paraId="02DB375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~0.2%</w:t>
            </w:r>
          </w:p>
        </w:tc>
        <w:tc>
          <w:tcPr>
            <w:tcW w:w="0" w:type="auto"/>
            <w:hideMark/>
          </w:tcPr>
          <w:p w14:paraId="2EE6584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Stable but modest recovery</w:t>
            </w:r>
          </w:p>
        </w:tc>
      </w:tr>
      <w:tr w:rsidR="00DF6599" w:rsidRPr="008C55EC" w14:paraId="6905B55B" w14:textId="77777777" w:rsidTr="00DF6599">
        <w:tc>
          <w:tcPr>
            <w:tcW w:w="0" w:type="auto"/>
            <w:hideMark/>
          </w:tcPr>
          <w:p w14:paraId="4DC2A33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Government Effectiveness</w:t>
            </w:r>
          </w:p>
        </w:tc>
        <w:tc>
          <w:tcPr>
            <w:tcW w:w="0" w:type="auto"/>
            <w:hideMark/>
          </w:tcPr>
          <w:p w14:paraId="3EFC00F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86th percentile</w:t>
            </w:r>
          </w:p>
        </w:tc>
        <w:tc>
          <w:tcPr>
            <w:tcW w:w="0" w:type="auto"/>
            <w:hideMark/>
          </w:tcPr>
          <w:p w14:paraId="64BE065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Low institutional risk</w:t>
            </w:r>
          </w:p>
        </w:tc>
      </w:tr>
      <w:tr w:rsidR="00DF6599" w:rsidRPr="008C55EC" w14:paraId="14637A47" w14:textId="77777777" w:rsidTr="00DF6599">
        <w:tc>
          <w:tcPr>
            <w:tcW w:w="0" w:type="auto"/>
            <w:hideMark/>
          </w:tcPr>
          <w:p w14:paraId="1B0B530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Rule of Law</w:t>
            </w:r>
          </w:p>
        </w:tc>
        <w:tc>
          <w:tcPr>
            <w:tcW w:w="0" w:type="auto"/>
            <w:hideMark/>
          </w:tcPr>
          <w:p w14:paraId="1C7D0DC2"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92nd percentile</w:t>
            </w:r>
          </w:p>
        </w:tc>
        <w:tc>
          <w:tcPr>
            <w:tcW w:w="0" w:type="auto"/>
            <w:hideMark/>
          </w:tcPr>
          <w:p w14:paraId="048599A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legal protection</w:t>
            </w:r>
          </w:p>
        </w:tc>
      </w:tr>
      <w:tr w:rsidR="00DF6599" w:rsidRPr="008C55EC" w14:paraId="023AB798" w14:textId="77777777" w:rsidTr="00DF6599">
        <w:tc>
          <w:tcPr>
            <w:tcW w:w="0" w:type="auto"/>
            <w:hideMark/>
          </w:tcPr>
          <w:p w14:paraId="47569F8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EU Membership</w:t>
            </w:r>
          </w:p>
        </w:tc>
        <w:tc>
          <w:tcPr>
            <w:tcW w:w="0" w:type="auto"/>
            <w:hideMark/>
          </w:tcPr>
          <w:p w14:paraId="6132DE8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Yes</w:t>
            </w:r>
          </w:p>
        </w:tc>
        <w:tc>
          <w:tcPr>
            <w:tcW w:w="0" w:type="auto"/>
            <w:hideMark/>
          </w:tcPr>
          <w:p w14:paraId="77909F43"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Access to Single Market</w:t>
            </w:r>
          </w:p>
        </w:tc>
      </w:tr>
      <w:tr w:rsidR="00DF6599" w:rsidRPr="008C55EC" w14:paraId="0DDDA3C5" w14:textId="77777777" w:rsidTr="00DF6599">
        <w:tc>
          <w:tcPr>
            <w:tcW w:w="0" w:type="auto"/>
            <w:hideMark/>
          </w:tcPr>
          <w:p w14:paraId="21A1E53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Logistics Performance</w:t>
            </w:r>
          </w:p>
        </w:tc>
        <w:tc>
          <w:tcPr>
            <w:tcW w:w="0" w:type="auto"/>
            <w:hideMark/>
          </w:tcPr>
          <w:p w14:paraId="5AE31BC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Among world's leading logistics systems</w:t>
            </w:r>
          </w:p>
        </w:tc>
        <w:tc>
          <w:tcPr>
            <w:tcW w:w="0" w:type="auto"/>
            <w:hideMark/>
          </w:tcPr>
          <w:p w14:paraId="55ADF6B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Supports warehouse distribution</w:t>
            </w:r>
          </w:p>
        </w:tc>
      </w:tr>
    </w:tbl>
    <w:p w14:paraId="0AE06A47" w14:textId="77777777" w:rsidR="00DF6599" w:rsidRPr="008C55EC" w:rsidRDefault="00DF6599" w:rsidP="00DF6599">
      <w:pPr>
        <w:rPr>
          <w:rFonts w:ascii="Arial" w:hAnsi="Arial"/>
          <w:color w:val="000000" w:themeColor="text1"/>
          <w:lang w:val="en-IN"/>
        </w:rPr>
      </w:pPr>
      <w:r w:rsidRPr="008C55EC">
        <w:rPr>
          <w:rFonts w:ascii="Arial" w:hAnsi="Arial"/>
          <w:b/>
          <w:bCs/>
          <w:color w:val="000000" w:themeColor="text1"/>
          <w:lang w:val="en-IN"/>
        </w:rPr>
        <w:t>Suggested Sources:</w:t>
      </w:r>
      <w:r w:rsidRPr="008C55EC">
        <w:rPr>
          <w:rFonts w:ascii="Arial" w:hAnsi="Arial"/>
          <w:color w:val="000000" w:themeColor="text1"/>
          <w:lang w:val="en-IN"/>
        </w:rPr>
        <w:t xml:space="preserve"> World Bank (WGI, LPI), </w:t>
      </w:r>
      <w:proofErr w:type="spellStart"/>
      <w:r w:rsidRPr="008C55EC">
        <w:rPr>
          <w:rFonts w:ascii="Arial" w:hAnsi="Arial"/>
          <w:color w:val="000000" w:themeColor="text1"/>
          <w:lang w:val="en-IN"/>
        </w:rPr>
        <w:t>Destatis</w:t>
      </w:r>
      <w:proofErr w:type="spellEnd"/>
      <w:r w:rsidRPr="008C55EC">
        <w:rPr>
          <w:rFonts w:ascii="Arial" w:hAnsi="Arial"/>
          <w:color w:val="000000" w:themeColor="text1"/>
          <w:lang w:val="en-IN"/>
        </w:rPr>
        <w:t>, European Commission.</w:t>
      </w:r>
    </w:p>
    <w:p w14:paraId="4334E434"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Appendix C. Major Competitors in Germany</w:t>
      </w:r>
    </w:p>
    <w:tbl>
      <w:tblPr>
        <w:tblStyle w:val="TableGridLight"/>
        <w:tblW w:w="0" w:type="auto"/>
        <w:tblLook w:val="04A0" w:firstRow="1" w:lastRow="0" w:firstColumn="1" w:lastColumn="0" w:noHBand="0" w:noVBand="1"/>
      </w:tblPr>
      <w:tblGrid>
        <w:gridCol w:w="1784"/>
        <w:gridCol w:w="1932"/>
        <w:gridCol w:w="3106"/>
        <w:gridCol w:w="2194"/>
      </w:tblGrid>
      <w:tr w:rsidR="00DF6599" w:rsidRPr="008C55EC" w14:paraId="189C64EA" w14:textId="77777777" w:rsidTr="00DF6599">
        <w:tc>
          <w:tcPr>
            <w:tcW w:w="0" w:type="auto"/>
            <w:shd w:val="clear" w:color="auto" w:fill="D9D9D9" w:themeFill="background1" w:themeFillShade="D9"/>
            <w:hideMark/>
          </w:tcPr>
          <w:p w14:paraId="5F236D44"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lastRenderedPageBreak/>
              <w:t>Company</w:t>
            </w:r>
          </w:p>
        </w:tc>
        <w:tc>
          <w:tcPr>
            <w:tcW w:w="0" w:type="auto"/>
            <w:shd w:val="clear" w:color="auto" w:fill="D9D9D9" w:themeFill="background1" w:themeFillShade="D9"/>
            <w:hideMark/>
          </w:tcPr>
          <w:p w14:paraId="6D23A364"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Business Model</w:t>
            </w:r>
          </w:p>
        </w:tc>
        <w:tc>
          <w:tcPr>
            <w:tcW w:w="0" w:type="auto"/>
            <w:shd w:val="clear" w:color="auto" w:fill="D9D9D9" w:themeFill="background1" w:themeFillShade="D9"/>
            <w:hideMark/>
          </w:tcPr>
          <w:p w14:paraId="0B401D6E"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Competitive Strength</w:t>
            </w:r>
          </w:p>
        </w:tc>
        <w:tc>
          <w:tcPr>
            <w:tcW w:w="0" w:type="auto"/>
            <w:shd w:val="clear" w:color="auto" w:fill="D9D9D9" w:themeFill="background1" w:themeFillShade="D9"/>
            <w:hideMark/>
          </w:tcPr>
          <w:p w14:paraId="35B5C03B"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Strategic Challenge for Costco</w:t>
            </w:r>
          </w:p>
        </w:tc>
      </w:tr>
      <w:tr w:rsidR="00DF6599" w:rsidRPr="008C55EC" w14:paraId="230DFB1F" w14:textId="77777777" w:rsidTr="00DF6599">
        <w:tc>
          <w:tcPr>
            <w:tcW w:w="0" w:type="auto"/>
            <w:hideMark/>
          </w:tcPr>
          <w:p w14:paraId="42D8117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Aldi</w:t>
            </w:r>
          </w:p>
        </w:tc>
        <w:tc>
          <w:tcPr>
            <w:tcW w:w="0" w:type="auto"/>
            <w:hideMark/>
          </w:tcPr>
          <w:p w14:paraId="7621EAD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Discount supermarket</w:t>
            </w:r>
          </w:p>
        </w:tc>
        <w:tc>
          <w:tcPr>
            <w:tcW w:w="0" w:type="auto"/>
            <w:hideMark/>
          </w:tcPr>
          <w:p w14:paraId="0E3C708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Price leadership</w:t>
            </w:r>
          </w:p>
        </w:tc>
        <w:tc>
          <w:tcPr>
            <w:tcW w:w="0" w:type="auto"/>
            <w:hideMark/>
          </w:tcPr>
          <w:p w14:paraId="3FB5230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value positioning</w:t>
            </w:r>
          </w:p>
        </w:tc>
      </w:tr>
      <w:tr w:rsidR="00DF6599" w:rsidRPr="008C55EC" w14:paraId="76DF94AF" w14:textId="77777777" w:rsidTr="00DF6599">
        <w:tc>
          <w:tcPr>
            <w:tcW w:w="0" w:type="auto"/>
            <w:hideMark/>
          </w:tcPr>
          <w:p w14:paraId="6A67887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Lidl (Schwarz Group)</w:t>
            </w:r>
          </w:p>
        </w:tc>
        <w:tc>
          <w:tcPr>
            <w:tcW w:w="0" w:type="auto"/>
            <w:hideMark/>
          </w:tcPr>
          <w:p w14:paraId="20EBEE0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Discount supermarket</w:t>
            </w:r>
          </w:p>
        </w:tc>
        <w:tc>
          <w:tcPr>
            <w:tcW w:w="0" w:type="auto"/>
            <w:hideMark/>
          </w:tcPr>
          <w:p w14:paraId="1617CC2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Private label, scale</w:t>
            </w:r>
          </w:p>
        </w:tc>
        <w:tc>
          <w:tcPr>
            <w:tcW w:w="0" w:type="auto"/>
            <w:hideMark/>
          </w:tcPr>
          <w:p w14:paraId="2A00AC52"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Extensive national coverage</w:t>
            </w:r>
          </w:p>
        </w:tc>
      </w:tr>
      <w:tr w:rsidR="00DF6599" w:rsidRPr="008C55EC" w14:paraId="27FF3A9C" w14:textId="77777777" w:rsidTr="00DF6599">
        <w:tc>
          <w:tcPr>
            <w:tcW w:w="0" w:type="auto"/>
            <w:hideMark/>
          </w:tcPr>
          <w:p w14:paraId="7A58080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Kaufland (Schwarz Group)</w:t>
            </w:r>
          </w:p>
        </w:tc>
        <w:tc>
          <w:tcPr>
            <w:tcW w:w="0" w:type="auto"/>
            <w:hideMark/>
          </w:tcPr>
          <w:p w14:paraId="1E395B4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Hypermarket</w:t>
            </w:r>
          </w:p>
        </w:tc>
        <w:tc>
          <w:tcPr>
            <w:tcW w:w="0" w:type="auto"/>
            <w:hideMark/>
          </w:tcPr>
          <w:p w14:paraId="196E643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Large-format retail</w:t>
            </w:r>
          </w:p>
        </w:tc>
        <w:tc>
          <w:tcPr>
            <w:tcW w:w="0" w:type="auto"/>
            <w:hideMark/>
          </w:tcPr>
          <w:p w14:paraId="3B077423"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Similar bulk-shopping format</w:t>
            </w:r>
          </w:p>
        </w:tc>
      </w:tr>
      <w:tr w:rsidR="00DF6599" w:rsidRPr="008C55EC" w14:paraId="314640A4" w14:textId="77777777" w:rsidTr="00DF6599">
        <w:tc>
          <w:tcPr>
            <w:tcW w:w="0" w:type="auto"/>
            <w:hideMark/>
          </w:tcPr>
          <w:p w14:paraId="057828A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Edeka</w:t>
            </w:r>
          </w:p>
        </w:tc>
        <w:tc>
          <w:tcPr>
            <w:tcW w:w="0" w:type="auto"/>
            <w:hideMark/>
          </w:tcPr>
          <w:p w14:paraId="6DBB2D3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Full-service supermarket</w:t>
            </w:r>
          </w:p>
        </w:tc>
        <w:tc>
          <w:tcPr>
            <w:tcW w:w="0" w:type="auto"/>
            <w:hideMark/>
          </w:tcPr>
          <w:p w14:paraId="40C2351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Local customer loyalty</w:t>
            </w:r>
          </w:p>
        </w:tc>
        <w:tc>
          <w:tcPr>
            <w:tcW w:w="0" w:type="auto"/>
            <w:hideMark/>
          </w:tcPr>
          <w:p w14:paraId="757C012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Deep market penetration</w:t>
            </w:r>
          </w:p>
        </w:tc>
      </w:tr>
      <w:tr w:rsidR="00DF6599" w:rsidRPr="008C55EC" w14:paraId="65DEE3BF" w14:textId="77777777" w:rsidTr="00DF6599">
        <w:tc>
          <w:tcPr>
            <w:tcW w:w="0" w:type="auto"/>
            <w:hideMark/>
          </w:tcPr>
          <w:p w14:paraId="6F2AA20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REWE</w:t>
            </w:r>
          </w:p>
        </w:tc>
        <w:tc>
          <w:tcPr>
            <w:tcW w:w="0" w:type="auto"/>
            <w:hideMark/>
          </w:tcPr>
          <w:p w14:paraId="5196C733"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Supermarket</w:t>
            </w:r>
          </w:p>
        </w:tc>
        <w:tc>
          <w:tcPr>
            <w:tcW w:w="0" w:type="auto"/>
            <w:hideMark/>
          </w:tcPr>
          <w:p w14:paraId="2064D5A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Omnichannel retail</w:t>
            </w:r>
          </w:p>
        </w:tc>
        <w:tc>
          <w:tcPr>
            <w:tcW w:w="0" w:type="auto"/>
            <w:hideMark/>
          </w:tcPr>
          <w:p w14:paraId="5765579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convenience network</w:t>
            </w:r>
          </w:p>
        </w:tc>
      </w:tr>
      <w:tr w:rsidR="00DF6599" w:rsidRPr="008C55EC" w14:paraId="6F637B94" w14:textId="77777777" w:rsidTr="00DF6599">
        <w:tc>
          <w:tcPr>
            <w:tcW w:w="0" w:type="auto"/>
            <w:hideMark/>
          </w:tcPr>
          <w:p w14:paraId="32D3FBB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Costco</w:t>
            </w:r>
          </w:p>
        </w:tc>
        <w:tc>
          <w:tcPr>
            <w:tcW w:w="0" w:type="auto"/>
            <w:hideMark/>
          </w:tcPr>
          <w:p w14:paraId="096B7EF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Membership warehouse</w:t>
            </w:r>
          </w:p>
        </w:tc>
        <w:tc>
          <w:tcPr>
            <w:tcW w:w="0" w:type="auto"/>
            <w:hideMark/>
          </w:tcPr>
          <w:p w14:paraId="7BF245A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Membership ecosystem, Kirkland Signature, global procurement</w:t>
            </w:r>
          </w:p>
        </w:tc>
        <w:tc>
          <w:tcPr>
            <w:tcW w:w="0" w:type="auto"/>
            <w:hideMark/>
          </w:tcPr>
          <w:p w14:paraId="18682BC2"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Low brand awareness in Germany</w:t>
            </w:r>
          </w:p>
        </w:tc>
      </w:tr>
    </w:tbl>
    <w:p w14:paraId="74FE88A3"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Appendix D. Costco Historical International Expansion</w:t>
      </w:r>
    </w:p>
    <w:tbl>
      <w:tblPr>
        <w:tblStyle w:val="TableGridLight"/>
        <w:tblW w:w="0" w:type="auto"/>
        <w:tblLook w:val="04A0" w:firstRow="1" w:lastRow="0" w:firstColumn="1" w:lastColumn="0" w:noHBand="0" w:noVBand="1"/>
      </w:tblPr>
      <w:tblGrid>
        <w:gridCol w:w="1851"/>
        <w:gridCol w:w="3850"/>
        <w:gridCol w:w="3315"/>
      </w:tblGrid>
      <w:tr w:rsidR="00DF6599" w:rsidRPr="008C55EC" w14:paraId="32A52148" w14:textId="77777777" w:rsidTr="00DF6599">
        <w:tc>
          <w:tcPr>
            <w:tcW w:w="0" w:type="auto"/>
            <w:shd w:val="clear" w:color="auto" w:fill="D9D9D9" w:themeFill="background1" w:themeFillShade="D9"/>
            <w:hideMark/>
          </w:tcPr>
          <w:p w14:paraId="63CCD2B8"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Country</w:t>
            </w:r>
          </w:p>
        </w:tc>
        <w:tc>
          <w:tcPr>
            <w:tcW w:w="0" w:type="auto"/>
            <w:shd w:val="clear" w:color="auto" w:fill="D9D9D9" w:themeFill="background1" w:themeFillShade="D9"/>
            <w:hideMark/>
          </w:tcPr>
          <w:p w14:paraId="43BCC046"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Entry Mode</w:t>
            </w:r>
          </w:p>
        </w:tc>
        <w:tc>
          <w:tcPr>
            <w:tcW w:w="0" w:type="auto"/>
            <w:shd w:val="clear" w:color="auto" w:fill="D9D9D9" w:themeFill="background1" w:themeFillShade="D9"/>
            <w:hideMark/>
          </w:tcPr>
          <w:p w14:paraId="3B2918B1"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Strategic Objective</w:t>
            </w:r>
          </w:p>
        </w:tc>
      </w:tr>
      <w:tr w:rsidR="00DF6599" w:rsidRPr="008C55EC" w14:paraId="04FA231C" w14:textId="77777777" w:rsidTr="00DF6599">
        <w:tc>
          <w:tcPr>
            <w:tcW w:w="0" w:type="auto"/>
            <w:hideMark/>
          </w:tcPr>
          <w:p w14:paraId="03FA9EF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Canada</w:t>
            </w:r>
          </w:p>
        </w:tc>
        <w:tc>
          <w:tcPr>
            <w:tcW w:w="0" w:type="auto"/>
            <w:hideMark/>
          </w:tcPr>
          <w:p w14:paraId="40B18BC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764D0D0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First international expansion</w:t>
            </w:r>
          </w:p>
        </w:tc>
      </w:tr>
      <w:tr w:rsidR="00DF6599" w:rsidRPr="008C55EC" w14:paraId="7453269A" w14:textId="77777777" w:rsidTr="00DF6599">
        <w:tc>
          <w:tcPr>
            <w:tcW w:w="0" w:type="auto"/>
            <w:hideMark/>
          </w:tcPr>
          <w:p w14:paraId="0B21A0F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United Kingdom</w:t>
            </w:r>
          </w:p>
        </w:tc>
        <w:tc>
          <w:tcPr>
            <w:tcW w:w="0" w:type="auto"/>
            <w:hideMark/>
          </w:tcPr>
          <w:p w14:paraId="242A167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7DAD16D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European market development</w:t>
            </w:r>
          </w:p>
        </w:tc>
      </w:tr>
      <w:tr w:rsidR="00DF6599" w:rsidRPr="008C55EC" w14:paraId="027578DD" w14:textId="77777777" w:rsidTr="00DF6599">
        <w:tc>
          <w:tcPr>
            <w:tcW w:w="0" w:type="auto"/>
            <w:hideMark/>
          </w:tcPr>
          <w:p w14:paraId="34FCC7C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Japan</w:t>
            </w:r>
          </w:p>
        </w:tc>
        <w:tc>
          <w:tcPr>
            <w:tcW w:w="0" w:type="auto"/>
            <w:hideMark/>
          </w:tcPr>
          <w:p w14:paraId="6088CB13"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7AE3711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High-income Asian market</w:t>
            </w:r>
          </w:p>
        </w:tc>
      </w:tr>
      <w:tr w:rsidR="00DF6599" w:rsidRPr="008C55EC" w14:paraId="31C11831" w14:textId="77777777" w:rsidTr="00DF6599">
        <w:tc>
          <w:tcPr>
            <w:tcW w:w="0" w:type="auto"/>
            <w:hideMark/>
          </w:tcPr>
          <w:p w14:paraId="6FAA681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South Korea</w:t>
            </w:r>
          </w:p>
        </w:tc>
        <w:tc>
          <w:tcPr>
            <w:tcW w:w="0" w:type="auto"/>
            <w:hideMark/>
          </w:tcPr>
          <w:p w14:paraId="7768F25B"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10268B7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Membership growth</w:t>
            </w:r>
          </w:p>
        </w:tc>
      </w:tr>
      <w:tr w:rsidR="00DF6599" w:rsidRPr="008C55EC" w14:paraId="645E81A5" w14:textId="77777777" w:rsidTr="00DF6599">
        <w:tc>
          <w:tcPr>
            <w:tcW w:w="0" w:type="auto"/>
            <w:hideMark/>
          </w:tcPr>
          <w:p w14:paraId="57C9DFF9"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Australia</w:t>
            </w:r>
          </w:p>
        </w:tc>
        <w:tc>
          <w:tcPr>
            <w:tcW w:w="0" w:type="auto"/>
            <w:hideMark/>
          </w:tcPr>
          <w:p w14:paraId="76A23AE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48BBB6B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Regional expansion</w:t>
            </w:r>
          </w:p>
        </w:tc>
      </w:tr>
      <w:tr w:rsidR="00DF6599" w:rsidRPr="008C55EC" w14:paraId="1FB3D0C8" w14:textId="77777777" w:rsidTr="00DF6599">
        <w:tc>
          <w:tcPr>
            <w:tcW w:w="0" w:type="auto"/>
            <w:hideMark/>
          </w:tcPr>
          <w:p w14:paraId="18A082F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Spain</w:t>
            </w:r>
          </w:p>
        </w:tc>
        <w:tc>
          <w:tcPr>
            <w:tcW w:w="0" w:type="auto"/>
            <w:hideMark/>
          </w:tcPr>
          <w:p w14:paraId="60CDFAE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591F4556"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Southern European presence</w:t>
            </w:r>
          </w:p>
        </w:tc>
      </w:tr>
      <w:tr w:rsidR="00DF6599" w:rsidRPr="008C55EC" w14:paraId="0DC84A21" w14:textId="77777777" w:rsidTr="00DF6599">
        <w:tc>
          <w:tcPr>
            <w:tcW w:w="0" w:type="auto"/>
            <w:hideMark/>
          </w:tcPr>
          <w:p w14:paraId="505D48A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France</w:t>
            </w:r>
          </w:p>
        </w:tc>
        <w:tc>
          <w:tcPr>
            <w:tcW w:w="0" w:type="auto"/>
            <w:hideMark/>
          </w:tcPr>
          <w:p w14:paraId="25B8C06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3BBAF14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Western European expansion</w:t>
            </w:r>
          </w:p>
        </w:tc>
      </w:tr>
      <w:tr w:rsidR="00DF6599" w:rsidRPr="008C55EC" w14:paraId="315E685B" w14:textId="77777777" w:rsidTr="00DF6599">
        <w:tc>
          <w:tcPr>
            <w:tcW w:w="0" w:type="auto"/>
            <w:hideMark/>
          </w:tcPr>
          <w:p w14:paraId="57D0931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China</w:t>
            </w:r>
          </w:p>
        </w:tc>
        <w:tc>
          <w:tcPr>
            <w:tcW w:w="0" w:type="auto"/>
            <w:hideMark/>
          </w:tcPr>
          <w:p w14:paraId="77A73DDB"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Wholly owned warehouse expansion</w:t>
            </w:r>
          </w:p>
        </w:tc>
        <w:tc>
          <w:tcPr>
            <w:tcW w:w="0" w:type="auto"/>
            <w:hideMark/>
          </w:tcPr>
          <w:p w14:paraId="65FCE15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Large consumer market</w:t>
            </w:r>
          </w:p>
        </w:tc>
      </w:tr>
      <w:tr w:rsidR="00DF6599" w:rsidRPr="008C55EC" w14:paraId="24D6B640" w14:textId="77777777" w:rsidTr="00DF6599">
        <w:tc>
          <w:tcPr>
            <w:tcW w:w="0" w:type="auto"/>
            <w:hideMark/>
          </w:tcPr>
          <w:p w14:paraId="0DD62E0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New Zealand</w:t>
            </w:r>
          </w:p>
        </w:tc>
        <w:tc>
          <w:tcPr>
            <w:tcW w:w="0" w:type="auto"/>
            <w:hideMark/>
          </w:tcPr>
          <w:p w14:paraId="6CB144AB"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67A44ACE"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Oceania expansion</w:t>
            </w:r>
          </w:p>
        </w:tc>
      </w:tr>
      <w:tr w:rsidR="00DF6599" w:rsidRPr="008C55EC" w14:paraId="7719C8B9" w14:textId="77777777" w:rsidTr="00DF6599">
        <w:tc>
          <w:tcPr>
            <w:tcW w:w="0" w:type="auto"/>
            <w:hideMark/>
          </w:tcPr>
          <w:p w14:paraId="5C1A80E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lastRenderedPageBreak/>
              <w:t>Sweden</w:t>
            </w:r>
          </w:p>
        </w:tc>
        <w:tc>
          <w:tcPr>
            <w:tcW w:w="0" w:type="auto"/>
            <w:hideMark/>
          </w:tcPr>
          <w:p w14:paraId="7FD0EF77"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Greenfield</w:t>
            </w:r>
          </w:p>
        </w:tc>
        <w:tc>
          <w:tcPr>
            <w:tcW w:w="0" w:type="auto"/>
            <w:hideMark/>
          </w:tcPr>
          <w:p w14:paraId="0D7FB39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Nordic expansion</w:t>
            </w:r>
          </w:p>
        </w:tc>
      </w:tr>
    </w:tbl>
    <w:p w14:paraId="333660BC"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Key Pattern</w:t>
      </w:r>
    </w:p>
    <w:p w14:paraId="4829EC21" w14:textId="46AC3908" w:rsidR="00DF6599" w:rsidRPr="008C55EC" w:rsidRDefault="00DF6599" w:rsidP="00DF6599">
      <w:pPr>
        <w:pStyle w:val="ListParagraph"/>
        <w:numPr>
          <w:ilvl w:val="0"/>
          <w:numId w:val="4"/>
        </w:numPr>
        <w:rPr>
          <w:rFonts w:ascii="Arial" w:hAnsi="Arial"/>
          <w:color w:val="000000" w:themeColor="text1"/>
          <w:lang w:val="en-IN"/>
        </w:rPr>
      </w:pPr>
      <w:r w:rsidRPr="008C55EC">
        <w:rPr>
          <w:rFonts w:ascii="Arial" w:hAnsi="Arial"/>
          <w:color w:val="000000" w:themeColor="text1"/>
          <w:lang w:val="en-IN"/>
        </w:rPr>
        <w:t>Preference for wholly owned Greenfield investment</w:t>
      </w:r>
    </w:p>
    <w:p w14:paraId="0B54940B" w14:textId="2E62592F" w:rsidR="00DF6599" w:rsidRPr="008C55EC" w:rsidRDefault="00DF6599" w:rsidP="00DF6599">
      <w:pPr>
        <w:pStyle w:val="ListParagraph"/>
        <w:numPr>
          <w:ilvl w:val="0"/>
          <w:numId w:val="4"/>
        </w:numPr>
        <w:rPr>
          <w:rFonts w:ascii="Arial" w:hAnsi="Arial"/>
          <w:color w:val="000000" w:themeColor="text1"/>
          <w:lang w:val="en-IN"/>
        </w:rPr>
      </w:pPr>
      <w:r w:rsidRPr="008C55EC">
        <w:rPr>
          <w:rFonts w:ascii="Arial" w:hAnsi="Arial"/>
          <w:color w:val="000000" w:themeColor="text1"/>
          <w:lang w:val="en-IN"/>
        </w:rPr>
        <w:t>Expansion concentrated in institutionally stable, high-income economies</w:t>
      </w:r>
    </w:p>
    <w:p w14:paraId="46C02C9B" w14:textId="4EBC4AE4" w:rsidR="00DF6599" w:rsidRPr="008C55EC" w:rsidRDefault="00DF6599" w:rsidP="00DF6599">
      <w:pPr>
        <w:pStyle w:val="ListParagraph"/>
        <w:numPr>
          <w:ilvl w:val="0"/>
          <w:numId w:val="4"/>
        </w:numPr>
        <w:rPr>
          <w:rFonts w:ascii="Arial" w:hAnsi="Arial"/>
          <w:color w:val="000000" w:themeColor="text1"/>
          <w:lang w:val="en-IN"/>
        </w:rPr>
      </w:pPr>
      <w:r w:rsidRPr="008C55EC">
        <w:rPr>
          <w:rFonts w:ascii="Arial" w:hAnsi="Arial"/>
          <w:color w:val="000000" w:themeColor="text1"/>
          <w:lang w:val="en-IN"/>
        </w:rPr>
        <w:t>Strong emphasis on protecting operational control and membership consistency</w:t>
      </w:r>
    </w:p>
    <w:p w14:paraId="13FE89D2" w14:textId="51D75807" w:rsidR="00DF6599" w:rsidRPr="008C55EC" w:rsidRDefault="00DF6599" w:rsidP="00DF6599">
      <w:pPr>
        <w:rPr>
          <w:rFonts w:ascii="Arial" w:hAnsi="Arial"/>
          <w:color w:val="000000" w:themeColor="text1"/>
        </w:rPr>
      </w:pPr>
      <w:r w:rsidRPr="008C55EC">
        <w:rPr>
          <w:rFonts w:ascii="Arial" w:hAnsi="Arial"/>
          <w:b/>
          <w:bCs/>
          <w:color w:val="000000" w:themeColor="text1"/>
          <w:lang w:val="en-IN"/>
        </w:rPr>
        <w:t>Source:</w:t>
      </w:r>
      <w:r w:rsidRPr="008C55EC">
        <w:rPr>
          <w:rFonts w:ascii="Arial" w:hAnsi="Arial"/>
          <w:color w:val="000000" w:themeColor="text1"/>
          <w:lang w:val="en-IN"/>
        </w:rPr>
        <w:t xml:space="preserve"> </w:t>
      </w:r>
      <w:r w:rsidRPr="008C55EC">
        <w:rPr>
          <w:rFonts w:ascii="Arial" w:hAnsi="Arial"/>
          <w:color w:val="000000" w:themeColor="text1"/>
        </w:rPr>
        <w:t>(Costco, 2026)</w:t>
      </w:r>
    </w:p>
    <w:p w14:paraId="5FE69FEC" w14:textId="645B0C95"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Appendix E. Strategic Synthesis Matrix</w:t>
      </w:r>
    </w:p>
    <w:tbl>
      <w:tblPr>
        <w:tblStyle w:val="TableGridLight"/>
        <w:tblW w:w="0" w:type="auto"/>
        <w:tblLook w:val="04A0" w:firstRow="1" w:lastRow="0" w:firstColumn="1" w:lastColumn="0" w:noHBand="0" w:noVBand="1"/>
      </w:tblPr>
      <w:tblGrid>
        <w:gridCol w:w="1863"/>
        <w:gridCol w:w="2590"/>
        <w:gridCol w:w="2038"/>
        <w:gridCol w:w="2525"/>
      </w:tblGrid>
      <w:tr w:rsidR="00DF6599" w:rsidRPr="008C55EC" w14:paraId="2519B8AF" w14:textId="77777777" w:rsidTr="00DF6599">
        <w:tc>
          <w:tcPr>
            <w:tcW w:w="0" w:type="auto"/>
            <w:shd w:val="clear" w:color="auto" w:fill="D9D9D9" w:themeFill="background1" w:themeFillShade="D9"/>
            <w:hideMark/>
          </w:tcPr>
          <w:p w14:paraId="2D91FE06"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Finding</w:t>
            </w:r>
          </w:p>
        </w:tc>
        <w:tc>
          <w:tcPr>
            <w:tcW w:w="0" w:type="auto"/>
            <w:shd w:val="clear" w:color="auto" w:fill="D9D9D9" w:themeFill="background1" w:themeFillShade="D9"/>
            <w:hideMark/>
          </w:tcPr>
          <w:p w14:paraId="54CAE520"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Evidence</w:t>
            </w:r>
          </w:p>
        </w:tc>
        <w:tc>
          <w:tcPr>
            <w:tcW w:w="0" w:type="auto"/>
            <w:shd w:val="clear" w:color="auto" w:fill="D9D9D9" w:themeFill="background1" w:themeFillShade="D9"/>
            <w:hideMark/>
          </w:tcPr>
          <w:p w14:paraId="06C4D844"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Theory</w:t>
            </w:r>
          </w:p>
        </w:tc>
        <w:tc>
          <w:tcPr>
            <w:tcW w:w="0" w:type="auto"/>
            <w:shd w:val="clear" w:color="auto" w:fill="D9D9D9" w:themeFill="background1" w:themeFillShade="D9"/>
            <w:hideMark/>
          </w:tcPr>
          <w:p w14:paraId="48A961CC" w14:textId="77777777" w:rsidR="00DF6599" w:rsidRPr="008C55EC" w:rsidRDefault="00DF6599" w:rsidP="00DF6599">
            <w:pPr>
              <w:rPr>
                <w:rFonts w:ascii="Arial" w:hAnsi="Arial"/>
                <w:b/>
                <w:bCs/>
                <w:color w:val="000000" w:themeColor="text1"/>
                <w:lang w:val="en-IN"/>
              </w:rPr>
            </w:pPr>
            <w:r w:rsidRPr="008C55EC">
              <w:rPr>
                <w:rFonts w:ascii="Arial" w:hAnsi="Arial"/>
                <w:b/>
                <w:bCs/>
                <w:color w:val="000000" w:themeColor="text1"/>
                <w:lang w:val="en-IN"/>
              </w:rPr>
              <w:t>Strategic Decision</w:t>
            </w:r>
          </w:p>
        </w:tc>
      </w:tr>
      <w:tr w:rsidR="00DF6599" w:rsidRPr="008C55EC" w14:paraId="7A3CB465" w14:textId="77777777" w:rsidTr="00DF6599">
        <w:tc>
          <w:tcPr>
            <w:tcW w:w="0" w:type="auto"/>
            <w:hideMark/>
          </w:tcPr>
          <w:p w14:paraId="66CEE8C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political institutions</w:t>
            </w:r>
          </w:p>
        </w:tc>
        <w:tc>
          <w:tcPr>
            <w:tcW w:w="0" w:type="auto"/>
            <w:hideMark/>
          </w:tcPr>
          <w:p w14:paraId="2AC577B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High governance indicators</w:t>
            </w:r>
          </w:p>
        </w:tc>
        <w:tc>
          <w:tcPr>
            <w:tcW w:w="0" w:type="auto"/>
            <w:hideMark/>
          </w:tcPr>
          <w:p w14:paraId="748E2AE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Institutional Theory</w:t>
            </w:r>
          </w:p>
        </w:tc>
        <w:tc>
          <w:tcPr>
            <w:tcW w:w="0" w:type="auto"/>
            <w:hideMark/>
          </w:tcPr>
          <w:p w14:paraId="0D11AD9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Low investment risk</w:t>
            </w:r>
          </w:p>
        </w:tc>
      </w:tr>
      <w:tr w:rsidR="00DF6599" w:rsidRPr="008C55EC" w14:paraId="655585B3" w14:textId="77777777" w:rsidTr="00DF6599">
        <w:tc>
          <w:tcPr>
            <w:tcW w:w="0" w:type="auto"/>
            <w:hideMark/>
          </w:tcPr>
          <w:p w14:paraId="05E17849"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Large but mature economy</w:t>
            </w:r>
          </w:p>
        </w:tc>
        <w:tc>
          <w:tcPr>
            <w:tcW w:w="0" w:type="auto"/>
            <w:hideMark/>
          </w:tcPr>
          <w:p w14:paraId="35D04A15"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High GDP, modest growth</w:t>
            </w:r>
          </w:p>
        </w:tc>
        <w:tc>
          <w:tcPr>
            <w:tcW w:w="0" w:type="auto"/>
            <w:hideMark/>
          </w:tcPr>
          <w:p w14:paraId="12B6DF00"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OLI</w:t>
            </w:r>
          </w:p>
        </w:tc>
        <w:tc>
          <w:tcPr>
            <w:tcW w:w="0" w:type="auto"/>
            <w:hideMark/>
          </w:tcPr>
          <w:p w14:paraId="0C95AE89"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Target affluent metropolitan regions</w:t>
            </w:r>
          </w:p>
        </w:tc>
      </w:tr>
      <w:tr w:rsidR="00DF6599" w:rsidRPr="008C55EC" w14:paraId="197F69CA" w14:textId="77777777" w:rsidTr="00DF6599">
        <w:tc>
          <w:tcPr>
            <w:tcW w:w="0" w:type="auto"/>
            <w:hideMark/>
          </w:tcPr>
          <w:p w14:paraId="1CF70C4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Strict legal framework</w:t>
            </w:r>
          </w:p>
        </w:tc>
        <w:tc>
          <w:tcPr>
            <w:tcW w:w="0" w:type="auto"/>
            <w:hideMark/>
          </w:tcPr>
          <w:p w14:paraId="4C9DE67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GDPR, competition law, supply-chain due diligence</w:t>
            </w:r>
          </w:p>
        </w:tc>
        <w:tc>
          <w:tcPr>
            <w:tcW w:w="0" w:type="auto"/>
            <w:hideMark/>
          </w:tcPr>
          <w:p w14:paraId="60A0312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Transaction Cost Economics</w:t>
            </w:r>
          </w:p>
        </w:tc>
        <w:tc>
          <w:tcPr>
            <w:tcW w:w="0" w:type="auto"/>
            <w:hideMark/>
          </w:tcPr>
          <w:p w14:paraId="7C8BC7D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Invest in local compliance capability</w:t>
            </w:r>
          </w:p>
        </w:tc>
      </w:tr>
      <w:tr w:rsidR="00DF6599" w:rsidRPr="008C55EC" w14:paraId="21F84CB9" w14:textId="77777777" w:rsidTr="00DF6599">
        <w:tc>
          <w:tcPr>
            <w:tcW w:w="0" w:type="auto"/>
            <w:hideMark/>
          </w:tcPr>
          <w:p w14:paraId="480A31A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Value-conscious consumers</w:t>
            </w:r>
          </w:p>
        </w:tc>
        <w:tc>
          <w:tcPr>
            <w:tcW w:w="0" w:type="auto"/>
            <w:hideMark/>
          </w:tcPr>
          <w:p w14:paraId="4A1F3074"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discount retail competition</w:t>
            </w:r>
          </w:p>
        </w:tc>
        <w:tc>
          <w:tcPr>
            <w:tcW w:w="0" w:type="auto"/>
            <w:hideMark/>
          </w:tcPr>
          <w:p w14:paraId="29929DB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Hofstede, RBV</w:t>
            </w:r>
          </w:p>
        </w:tc>
        <w:tc>
          <w:tcPr>
            <w:tcW w:w="0" w:type="auto"/>
            <w:hideMark/>
          </w:tcPr>
          <w:p w14:paraId="78BA666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Emphasise membership value and Kirkland quality</w:t>
            </w:r>
          </w:p>
        </w:tc>
      </w:tr>
      <w:tr w:rsidR="00DF6599" w:rsidRPr="008C55EC" w14:paraId="07893DFB" w14:textId="77777777" w:rsidTr="00DF6599">
        <w:tc>
          <w:tcPr>
            <w:tcW w:w="0" w:type="auto"/>
            <w:hideMark/>
          </w:tcPr>
          <w:p w14:paraId="4DA4290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Strong ownership advantages</w:t>
            </w:r>
          </w:p>
        </w:tc>
        <w:tc>
          <w:tcPr>
            <w:tcW w:w="0" w:type="auto"/>
            <w:hideMark/>
          </w:tcPr>
          <w:p w14:paraId="2DC7BB61"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Membership model, procurement scale, Kirkland Signature</w:t>
            </w:r>
          </w:p>
        </w:tc>
        <w:tc>
          <w:tcPr>
            <w:tcW w:w="0" w:type="auto"/>
            <w:hideMark/>
          </w:tcPr>
          <w:p w14:paraId="626C420A"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Dunning's OLI</w:t>
            </w:r>
          </w:p>
        </w:tc>
        <w:tc>
          <w:tcPr>
            <w:tcW w:w="0" w:type="auto"/>
            <w:hideMark/>
          </w:tcPr>
          <w:p w14:paraId="6E2E769C"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Preserve organisational control</w:t>
            </w:r>
          </w:p>
        </w:tc>
      </w:tr>
      <w:tr w:rsidR="00DF6599" w:rsidRPr="008C55EC" w14:paraId="5FAD5EDF" w14:textId="77777777" w:rsidTr="00DF6599">
        <w:tc>
          <w:tcPr>
            <w:tcW w:w="0" w:type="auto"/>
            <w:hideMark/>
          </w:tcPr>
          <w:p w14:paraId="371B6AAD"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Historical Greenfield success</w:t>
            </w:r>
          </w:p>
        </w:tc>
        <w:tc>
          <w:tcPr>
            <w:tcW w:w="0" w:type="auto"/>
            <w:hideMark/>
          </w:tcPr>
          <w:p w14:paraId="31D833E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Expansion pattern across international markets</w:t>
            </w:r>
          </w:p>
        </w:tc>
        <w:tc>
          <w:tcPr>
            <w:tcW w:w="0" w:type="auto"/>
            <w:hideMark/>
          </w:tcPr>
          <w:p w14:paraId="4E4D1D6F"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Internalisation Theory</w:t>
            </w:r>
          </w:p>
        </w:tc>
        <w:tc>
          <w:tcPr>
            <w:tcW w:w="0" w:type="auto"/>
            <w:hideMark/>
          </w:tcPr>
          <w:p w14:paraId="7F6EFB58" w14:textId="77777777" w:rsidR="00DF6599" w:rsidRPr="008C55EC" w:rsidRDefault="00DF6599" w:rsidP="00DF6599">
            <w:pPr>
              <w:rPr>
                <w:rFonts w:ascii="Arial" w:hAnsi="Arial"/>
                <w:color w:val="000000" w:themeColor="text1"/>
                <w:lang w:val="en-IN"/>
              </w:rPr>
            </w:pPr>
            <w:r w:rsidRPr="008C55EC">
              <w:rPr>
                <w:rFonts w:ascii="Arial" w:hAnsi="Arial"/>
                <w:color w:val="000000" w:themeColor="text1"/>
                <w:lang w:val="en-IN"/>
              </w:rPr>
              <w:t>Phased wholly owned Greenfield strategy</w:t>
            </w:r>
          </w:p>
        </w:tc>
      </w:tr>
    </w:tbl>
    <w:p w14:paraId="6DF2077D" w14:textId="77777777" w:rsidR="00DF6599" w:rsidRPr="008C55EC" w:rsidRDefault="00DF6599" w:rsidP="00DF6599">
      <w:pPr>
        <w:rPr>
          <w:rFonts w:ascii="Arial" w:hAnsi="Arial"/>
          <w:color w:val="000000" w:themeColor="text1"/>
          <w:lang w:val="en-IN"/>
        </w:rPr>
      </w:pPr>
    </w:p>
    <w:sectPr w:rsidR="00DF6599" w:rsidRPr="008C55EC">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2CE34" w14:textId="77777777" w:rsidR="00C25D71" w:rsidRDefault="00C25D71" w:rsidP="00787715">
      <w:pPr>
        <w:spacing w:line="240" w:lineRule="auto"/>
      </w:pPr>
      <w:r>
        <w:separator/>
      </w:r>
    </w:p>
  </w:endnote>
  <w:endnote w:type="continuationSeparator" w:id="0">
    <w:p w14:paraId="5FE7E111" w14:textId="77777777" w:rsidR="00C25D71" w:rsidRDefault="00C25D71" w:rsidP="007877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565106"/>
      <w:docPartObj>
        <w:docPartGallery w:val="Page Numbers (Bottom of Page)"/>
        <w:docPartUnique/>
      </w:docPartObj>
    </w:sdtPr>
    <w:sdtEndPr>
      <w:rPr>
        <w:noProof/>
      </w:rPr>
    </w:sdtEndPr>
    <w:sdtContent>
      <w:p w14:paraId="3B848430" w14:textId="740320AF" w:rsidR="00787715" w:rsidRDefault="007877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DD7D6" w14:textId="77777777" w:rsidR="00787715" w:rsidRDefault="00787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058FF" w14:textId="77777777" w:rsidR="00C25D71" w:rsidRDefault="00C25D71" w:rsidP="00787715">
      <w:pPr>
        <w:spacing w:line="240" w:lineRule="auto"/>
      </w:pPr>
      <w:r>
        <w:separator/>
      </w:r>
    </w:p>
  </w:footnote>
  <w:footnote w:type="continuationSeparator" w:id="0">
    <w:p w14:paraId="516F6FC6" w14:textId="77777777" w:rsidR="00C25D71" w:rsidRDefault="00C25D71" w:rsidP="007877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D5B98"/>
    <w:multiLevelType w:val="multilevel"/>
    <w:tmpl w:val="31028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D3440"/>
    <w:multiLevelType w:val="hybridMultilevel"/>
    <w:tmpl w:val="7A127B8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274407"/>
    <w:multiLevelType w:val="hybridMultilevel"/>
    <w:tmpl w:val="E2BE18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C9A425A"/>
    <w:multiLevelType w:val="multilevel"/>
    <w:tmpl w:val="6F9E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4694023">
    <w:abstractNumId w:val="3"/>
  </w:num>
  <w:num w:numId="2" w16cid:durableId="1024791276">
    <w:abstractNumId w:val="0"/>
  </w:num>
  <w:num w:numId="3" w16cid:durableId="1293289703">
    <w:abstractNumId w:val="2"/>
  </w:num>
  <w:num w:numId="4" w16cid:durableId="986402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43D"/>
    <w:rsid w:val="0007280F"/>
    <w:rsid w:val="000775F4"/>
    <w:rsid w:val="00084003"/>
    <w:rsid w:val="000B0F3A"/>
    <w:rsid w:val="000D064E"/>
    <w:rsid w:val="000E6141"/>
    <w:rsid w:val="000F1985"/>
    <w:rsid w:val="00104718"/>
    <w:rsid w:val="00123FBD"/>
    <w:rsid w:val="00194C7F"/>
    <w:rsid w:val="001D5FE2"/>
    <w:rsid w:val="00213972"/>
    <w:rsid w:val="002B0A72"/>
    <w:rsid w:val="002C7911"/>
    <w:rsid w:val="003D1FE3"/>
    <w:rsid w:val="003E5632"/>
    <w:rsid w:val="003F774D"/>
    <w:rsid w:val="00452B98"/>
    <w:rsid w:val="004D674D"/>
    <w:rsid w:val="00510A23"/>
    <w:rsid w:val="00547356"/>
    <w:rsid w:val="0055268B"/>
    <w:rsid w:val="005A5A0D"/>
    <w:rsid w:val="005B2C9A"/>
    <w:rsid w:val="005D2541"/>
    <w:rsid w:val="005D3243"/>
    <w:rsid w:val="005F19D1"/>
    <w:rsid w:val="006117B3"/>
    <w:rsid w:val="00693ED0"/>
    <w:rsid w:val="00695A1B"/>
    <w:rsid w:val="006F106E"/>
    <w:rsid w:val="0072567F"/>
    <w:rsid w:val="00737D26"/>
    <w:rsid w:val="00764BFC"/>
    <w:rsid w:val="00787715"/>
    <w:rsid w:val="007970D6"/>
    <w:rsid w:val="007C0666"/>
    <w:rsid w:val="008C55EC"/>
    <w:rsid w:val="008F2E8F"/>
    <w:rsid w:val="008F740B"/>
    <w:rsid w:val="009066D0"/>
    <w:rsid w:val="00915CFD"/>
    <w:rsid w:val="00927BCB"/>
    <w:rsid w:val="009B1247"/>
    <w:rsid w:val="009D56F9"/>
    <w:rsid w:val="00A1683A"/>
    <w:rsid w:val="00A407E9"/>
    <w:rsid w:val="00A57A3D"/>
    <w:rsid w:val="00AB63C4"/>
    <w:rsid w:val="00AC621E"/>
    <w:rsid w:val="00AE0496"/>
    <w:rsid w:val="00B406CB"/>
    <w:rsid w:val="00B7186B"/>
    <w:rsid w:val="00B93CB4"/>
    <w:rsid w:val="00C0597D"/>
    <w:rsid w:val="00C25D71"/>
    <w:rsid w:val="00CA6777"/>
    <w:rsid w:val="00CE173C"/>
    <w:rsid w:val="00D14FD3"/>
    <w:rsid w:val="00D374C8"/>
    <w:rsid w:val="00D438A9"/>
    <w:rsid w:val="00D612DB"/>
    <w:rsid w:val="00D82F67"/>
    <w:rsid w:val="00D84F35"/>
    <w:rsid w:val="00D94367"/>
    <w:rsid w:val="00DB5BD1"/>
    <w:rsid w:val="00DE3DAF"/>
    <w:rsid w:val="00DF6599"/>
    <w:rsid w:val="00E44493"/>
    <w:rsid w:val="00E93729"/>
    <w:rsid w:val="00EF404A"/>
    <w:rsid w:val="00F33D90"/>
    <w:rsid w:val="00F508F5"/>
    <w:rsid w:val="00F534AE"/>
    <w:rsid w:val="00F618C4"/>
    <w:rsid w:val="00F70A2B"/>
    <w:rsid w:val="00FA543D"/>
    <w:rsid w:val="00FC3797"/>
    <w:rsid w:val="00FE00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410E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666"/>
    <w:pPr>
      <w:spacing w:after="0" w:line="36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547356"/>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9D56F9"/>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FA543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A543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A543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543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543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543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356"/>
    <w:rPr>
      <w:rFonts w:ascii="Times New Roman" w:eastAsiaTheme="majorEastAsia" w:hAnsi="Times New Roman" w:cstheme="majorBidi"/>
      <w:b/>
      <w:color w:val="000000" w:themeColor="text1"/>
      <w:kern w:val="0"/>
      <w:sz w:val="28"/>
      <w:szCs w:val="40"/>
      <w:lang w:val="en-GB" w:eastAsia="en-IN"/>
      <w14:ligatures w14:val="none"/>
    </w:rPr>
  </w:style>
  <w:style w:type="character" w:customStyle="1" w:styleId="Heading2Char">
    <w:name w:val="Heading 2 Char"/>
    <w:basedOn w:val="DefaultParagraphFont"/>
    <w:link w:val="Heading2"/>
    <w:uiPriority w:val="9"/>
    <w:rsid w:val="009D56F9"/>
    <w:rPr>
      <w:rFonts w:ascii="Times New Roman" w:eastAsiaTheme="majorEastAsia" w:hAnsi="Times New Roman" w:cstheme="majorBidi"/>
      <w:b/>
      <w:color w:val="000000" w:themeColor="text1"/>
      <w:kern w:val="0"/>
      <w:sz w:val="26"/>
      <w:szCs w:val="32"/>
      <w:lang w:val="en-GB" w:eastAsia="en-IN"/>
      <w14:ligatures w14:val="none"/>
    </w:rPr>
  </w:style>
  <w:style w:type="paragraph" w:styleId="Title">
    <w:name w:val="Title"/>
    <w:basedOn w:val="Normal"/>
    <w:next w:val="Normal"/>
    <w:link w:val="TitleChar"/>
    <w:autoRedefine/>
    <w:uiPriority w:val="10"/>
    <w:qFormat/>
    <w:rsid w:val="00695A1B"/>
    <w:pPr>
      <w:spacing w:after="8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95A1B"/>
    <w:rPr>
      <w:rFonts w:ascii="Times New Roman" w:eastAsiaTheme="majorEastAsia" w:hAnsi="Times New Roman" w:cstheme="majorBidi"/>
      <w:b/>
      <w:spacing w:val="-10"/>
      <w:kern w:val="28"/>
      <w:sz w:val="56"/>
      <w:szCs w:val="56"/>
      <w:lang w:val="en-GB"/>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FA543D"/>
    <w:rPr>
      <w:rFonts w:eastAsiaTheme="majorEastAsia" w:cstheme="majorBidi"/>
      <w:i/>
      <w:iCs/>
      <w:color w:val="2F5496"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FA543D"/>
    <w:rPr>
      <w:rFonts w:eastAsiaTheme="majorEastAsia" w:cstheme="majorBidi"/>
      <w:color w:val="2F5496"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FA543D"/>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FA543D"/>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FA543D"/>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FA543D"/>
    <w:rPr>
      <w:rFonts w:eastAsiaTheme="majorEastAsia" w:cstheme="majorBidi"/>
      <w:color w:val="272727" w:themeColor="text1" w:themeTint="D8"/>
      <w:kern w:val="0"/>
      <w:szCs w:val="22"/>
      <w:lang w:val="en-GB" w:eastAsia="en-IN"/>
      <w14:ligatures w14:val="none"/>
    </w:rPr>
  </w:style>
  <w:style w:type="paragraph" w:styleId="Subtitle">
    <w:name w:val="Subtitle"/>
    <w:basedOn w:val="Normal"/>
    <w:next w:val="Normal"/>
    <w:link w:val="SubtitleChar"/>
    <w:uiPriority w:val="11"/>
    <w:qFormat/>
    <w:rsid w:val="00FA543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43D"/>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FA54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543D"/>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FA543D"/>
    <w:pPr>
      <w:ind w:left="720"/>
      <w:contextualSpacing/>
    </w:pPr>
  </w:style>
  <w:style w:type="character" w:styleId="IntenseEmphasis">
    <w:name w:val="Intense Emphasis"/>
    <w:basedOn w:val="DefaultParagraphFont"/>
    <w:uiPriority w:val="21"/>
    <w:qFormat/>
    <w:rsid w:val="00FA543D"/>
    <w:rPr>
      <w:i/>
      <w:iCs/>
      <w:color w:val="2F5496" w:themeColor="accent1" w:themeShade="BF"/>
    </w:rPr>
  </w:style>
  <w:style w:type="paragraph" w:styleId="IntenseQuote">
    <w:name w:val="Intense Quote"/>
    <w:basedOn w:val="Normal"/>
    <w:next w:val="Normal"/>
    <w:link w:val="IntenseQuoteChar"/>
    <w:uiPriority w:val="30"/>
    <w:qFormat/>
    <w:rsid w:val="00FA54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543D"/>
    <w:rPr>
      <w:rFonts w:ascii="Times New Roman" w:hAnsi="Times New Roman" w:cs="Arial"/>
      <w:i/>
      <w:iCs/>
      <w:color w:val="2F5496" w:themeColor="accent1" w:themeShade="BF"/>
      <w:kern w:val="0"/>
      <w:szCs w:val="22"/>
      <w:lang w:val="en-GB" w:eastAsia="en-IN"/>
      <w14:ligatures w14:val="none"/>
    </w:rPr>
  </w:style>
  <w:style w:type="character" w:styleId="IntenseReference">
    <w:name w:val="Intense Reference"/>
    <w:basedOn w:val="DefaultParagraphFont"/>
    <w:uiPriority w:val="32"/>
    <w:qFormat/>
    <w:rsid w:val="00FA543D"/>
    <w:rPr>
      <w:b/>
      <w:bCs/>
      <w:smallCaps/>
      <w:color w:val="2F5496" w:themeColor="accent1" w:themeShade="BF"/>
      <w:spacing w:val="5"/>
    </w:rPr>
  </w:style>
  <w:style w:type="character" w:styleId="Hyperlink">
    <w:name w:val="Hyperlink"/>
    <w:basedOn w:val="DefaultParagraphFont"/>
    <w:uiPriority w:val="99"/>
    <w:unhideWhenUsed/>
    <w:rsid w:val="00AE0496"/>
    <w:rPr>
      <w:color w:val="0563C1" w:themeColor="hyperlink"/>
      <w:u w:val="single"/>
    </w:rPr>
  </w:style>
  <w:style w:type="character" w:styleId="UnresolvedMention">
    <w:name w:val="Unresolved Mention"/>
    <w:basedOn w:val="DefaultParagraphFont"/>
    <w:uiPriority w:val="99"/>
    <w:semiHidden/>
    <w:unhideWhenUsed/>
    <w:rsid w:val="00AE0496"/>
    <w:rPr>
      <w:color w:val="605E5C"/>
      <w:shd w:val="clear" w:color="auto" w:fill="E1DFDD"/>
    </w:rPr>
  </w:style>
  <w:style w:type="character" w:styleId="FollowedHyperlink">
    <w:name w:val="FollowedHyperlink"/>
    <w:basedOn w:val="DefaultParagraphFont"/>
    <w:uiPriority w:val="99"/>
    <w:semiHidden/>
    <w:unhideWhenUsed/>
    <w:rsid w:val="009B1247"/>
    <w:rPr>
      <w:color w:val="954F72" w:themeColor="followedHyperlink"/>
      <w:u w:val="single"/>
    </w:rPr>
  </w:style>
  <w:style w:type="paragraph" w:styleId="NormalWeb">
    <w:name w:val="Normal (Web)"/>
    <w:basedOn w:val="Normal"/>
    <w:uiPriority w:val="99"/>
    <w:semiHidden/>
    <w:unhideWhenUsed/>
    <w:rsid w:val="00123FBD"/>
    <w:rPr>
      <w:rFonts w:cs="Times New Roman"/>
      <w:szCs w:val="24"/>
    </w:rPr>
  </w:style>
  <w:style w:type="paragraph" w:styleId="Header">
    <w:name w:val="header"/>
    <w:basedOn w:val="Normal"/>
    <w:link w:val="HeaderChar"/>
    <w:uiPriority w:val="99"/>
    <w:unhideWhenUsed/>
    <w:rsid w:val="00787715"/>
    <w:pPr>
      <w:tabs>
        <w:tab w:val="center" w:pos="4513"/>
        <w:tab w:val="right" w:pos="9026"/>
      </w:tabs>
      <w:spacing w:line="240" w:lineRule="auto"/>
    </w:pPr>
  </w:style>
  <w:style w:type="character" w:customStyle="1" w:styleId="HeaderChar">
    <w:name w:val="Header Char"/>
    <w:basedOn w:val="DefaultParagraphFont"/>
    <w:link w:val="Header"/>
    <w:uiPriority w:val="99"/>
    <w:rsid w:val="00787715"/>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787715"/>
    <w:pPr>
      <w:tabs>
        <w:tab w:val="center" w:pos="4513"/>
        <w:tab w:val="right" w:pos="9026"/>
      </w:tabs>
      <w:spacing w:line="240" w:lineRule="auto"/>
    </w:pPr>
  </w:style>
  <w:style w:type="character" w:customStyle="1" w:styleId="FooterChar">
    <w:name w:val="Footer Char"/>
    <w:basedOn w:val="DefaultParagraphFont"/>
    <w:link w:val="Footer"/>
    <w:uiPriority w:val="99"/>
    <w:rsid w:val="00787715"/>
    <w:rPr>
      <w:rFonts w:ascii="Times New Roman" w:hAnsi="Times New Roman" w:cs="Arial"/>
      <w:kern w:val="0"/>
      <w:szCs w:val="22"/>
      <w:lang w:val="en-GB" w:eastAsia="en-IN"/>
      <w14:ligatures w14:val="none"/>
    </w:rPr>
  </w:style>
  <w:style w:type="table" w:styleId="TableGridLight">
    <w:name w:val="Grid Table Light"/>
    <w:basedOn w:val="TableNormal"/>
    <w:uiPriority w:val="40"/>
    <w:rsid w:val="007877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EF404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12DB"/>
  </w:style>
  <w:style w:type="paragraph" w:styleId="TOC1">
    <w:name w:val="toc 1"/>
    <w:basedOn w:val="Normal"/>
    <w:next w:val="Normal"/>
    <w:autoRedefine/>
    <w:uiPriority w:val="39"/>
    <w:unhideWhenUsed/>
    <w:rsid w:val="00D612DB"/>
    <w:pPr>
      <w:spacing w:after="100"/>
    </w:pPr>
  </w:style>
  <w:style w:type="paragraph" w:styleId="TOC2">
    <w:name w:val="toc 2"/>
    <w:basedOn w:val="Normal"/>
    <w:next w:val="Normal"/>
    <w:autoRedefine/>
    <w:uiPriority w:val="39"/>
    <w:unhideWhenUsed/>
    <w:rsid w:val="00D612DB"/>
    <w:pPr>
      <w:spacing w:after="100"/>
      <w:ind w:left="240"/>
    </w:pPr>
  </w:style>
  <w:style w:type="paragraph" w:styleId="TOC3">
    <w:name w:val="toc 3"/>
    <w:basedOn w:val="Normal"/>
    <w:next w:val="Normal"/>
    <w:autoRedefine/>
    <w:uiPriority w:val="39"/>
    <w:unhideWhenUsed/>
    <w:rsid w:val="00D612D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ec.gov/Archives/edgar/data/909832/000090983225000101/cost-20250831.htm" TargetMode="External"/><Relationship Id="rId21" Type="http://schemas.openxmlformats.org/officeDocument/2006/relationships/hyperlink" Target="https://doi.org/10.1080/08276331.2018.1490509" TargetMode="External"/><Relationship Id="rId42" Type="http://schemas.openxmlformats.org/officeDocument/2006/relationships/hyperlink" Target="https://iacmr.org/wp-content/uploads/sites/26/2022/01/2022-Management-Insights-annual-English-issue2_compressed-2.pdf" TargetMode="External"/><Relationship Id="rId47" Type="http://schemas.openxmlformats.org/officeDocument/2006/relationships/hyperlink" Target="https://doi.org/10.54254/2754-1169/2026.bl32592" TargetMode="External"/><Relationship Id="rId63" Type="http://schemas.openxmlformats.org/officeDocument/2006/relationships/hyperlink" Target="https://finance.yahoo.com/news/global-expansion-shaping-costcos-long-145600896.html" TargetMode="External"/><Relationship Id="rId68" Type="http://schemas.openxmlformats.org/officeDocument/2006/relationships/hyperlink" Target="https://lpi.worldbank.org/en/home"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www.bafa.de/DE/Home/home_node.html" TargetMode="External"/><Relationship Id="rId32" Type="http://schemas.openxmlformats.org/officeDocument/2006/relationships/hyperlink" Target="https://environment.ec.europa.eu/strategy/circular-economy_en" TargetMode="External"/><Relationship Id="rId37" Type="http://schemas.openxmlformats.org/officeDocument/2006/relationships/hyperlink" Target="https://apps.fas.usda.gov/newgainapi/api/Report/DownloadReportByFileName?fileName=Retail+Foods+Annual_Berlin_Germany_GM2025-0016.pdf" TargetMode="External"/><Relationship Id="rId40" Type="http://schemas.openxmlformats.org/officeDocument/2006/relationships/hyperlink" Target="https://doi.org/10.47772/ijriss.2023.7011145" TargetMode="External"/><Relationship Id="rId45" Type="http://schemas.openxmlformats.org/officeDocument/2006/relationships/hyperlink" Target="https://doi.org/10.4337/9781839104503.00025" TargetMode="External"/><Relationship Id="rId53" Type="http://schemas.openxmlformats.org/officeDocument/2006/relationships/hyperlink" Target="https://nielseniq.com/global/en/insights/analysis/2024/" TargetMode="External"/><Relationship Id="rId58" Type="http://schemas.openxmlformats.org/officeDocument/2006/relationships/hyperlink" Target="https://www.researchbank.ac.nz/items/4e4dda05-6adf-4e05-b840-cccf9b03f206" TargetMode="External"/><Relationship Id="rId66" Type="http://schemas.openxmlformats.org/officeDocument/2006/relationships/hyperlink" Target="https://www.reuters.com/business/retail-consumer/costco-wholesale-hike-annual-membership-fees-after-seven-years-2024-07-10" TargetMode="External"/><Relationship Id="rId74" Type="http://schemas.openxmlformats.org/officeDocument/2006/relationships/hyperlink" Target="https://www.verpackungsregister.org/en/" TargetMode="External"/><Relationship Id="rId5" Type="http://schemas.openxmlformats.org/officeDocument/2006/relationships/webSettings" Target="webSettings.xml"/><Relationship Id="rId61" Type="http://schemas.openxmlformats.org/officeDocument/2006/relationships/hyperlink" Target="https://gruppe.schwarz/en" TargetMode="External"/><Relationship Id="rId19" Type="http://schemas.openxmlformats.org/officeDocument/2006/relationships/hyperlink" Target="https://www.researchgate.net/profile/Amirhossein-Ghasemi-Abyaneh/publication/391135678_Evaluating_the_RFID_Technology_in_Costco_Company_A_Focus_on_Logistics_and_Supply_Chain_Management/links/682879bbdf0e3f544f5503f2/Evaluating-the-RFID-Technology-in-Costco-Company-A-Focus-on-Logistics-and-Supply-Chain-Management.pdf" TargetMode="External"/><Relationship Id="rId14" Type="http://schemas.openxmlformats.org/officeDocument/2006/relationships/image" Target="media/image7.png"/><Relationship Id="rId22" Type="http://schemas.openxmlformats.org/officeDocument/2006/relationships/hyperlink" Target="https://digital.sandiego.edu/ksb-sscm/5/" TargetMode="External"/><Relationship Id="rId27" Type="http://schemas.openxmlformats.org/officeDocument/2006/relationships/hyperlink" Target="https://investor.costco.com/news/news-details/2024/Costco-Wholesale-Corporation-Reports-Fourth-Quarter-and-Fiscal-Year-2024-Operating-Results/default.aspx" TargetMode="External"/><Relationship Id="rId30" Type="http://schemas.openxmlformats.org/officeDocument/2006/relationships/hyperlink" Target="https://www.costco.com" TargetMode="External"/><Relationship Id="rId35" Type="http://schemas.openxmlformats.org/officeDocument/2006/relationships/hyperlink" Target="https://www.destatis.de/EN/Press/2026/01/PE26_017_811.html" TargetMode="External"/><Relationship Id="rId43" Type="http://schemas.openxmlformats.org/officeDocument/2006/relationships/hyperlink" Target="https://lair.etamu.edu/honorstheses/277/" TargetMode="External"/><Relationship Id="rId48" Type="http://schemas.openxmlformats.org/officeDocument/2006/relationships/hyperlink" Target="https://www.researchgate.net/publication/280085301_Global_Operations_Networks_Exploring_New_Perspectives_and_Agendas" TargetMode="External"/><Relationship Id="rId56" Type="http://schemas.openxmlformats.org/officeDocument/2006/relationships/hyperlink" Target="https://doi.org/10.1007/s13162-019-00151-x" TargetMode="External"/><Relationship Id="rId64" Type="http://schemas.openxmlformats.org/officeDocument/2006/relationships/hyperlink" Target="https://www.theculturefactor.com/country-comparison-tool?countries=germany" TargetMode="External"/><Relationship Id="rId69" Type="http://schemas.openxmlformats.org/officeDocument/2006/relationships/hyperlink" Target="https://www.worldbank.org/en/news/press-release/2023/04/21/world-bank-releases-logistics-performance-index-2023"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iposit.ub.edu/server/api/core/bitstreams/3e6aaf3c-ebf4-44db-a76b-43fa2957514c/content" TargetMode="External"/><Relationship Id="rId72" Type="http://schemas.openxmlformats.org/officeDocument/2006/relationships/hyperlink" Target="https://strategy.transforml.co/costco-strategy-cascade-analysi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undeskartellamt.de/EN/Home/home_node.html" TargetMode="External"/><Relationship Id="rId33" Type="http://schemas.openxmlformats.org/officeDocument/2006/relationships/hyperlink" Target="https://food.ec.europa.eu/horizontal-topics/general-food-law_en" TargetMode="External"/><Relationship Id="rId38" Type="http://schemas.openxmlformats.org/officeDocument/2006/relationships/hyperlink" Target="https://www.fas.usda.gov/?utm_source=chatgpt.com" TargetMode="External"/><Relationship Id="rId46" Type="http://schemas.openxmlformats.org/officeDocument/2006/relationships/hyperlink" Target="https://norma.ncirl.ie/6785/" TargetMode="External"/><Relationship Id="rId59" Type="http://schemas.openxmlformats.org/officeDocument/2006/relationships/hyperlink" Target="https://doi.org/10.1007/978-3-031-62135-2_27" TargetMode="External"/><Relationship Id="rId67" Type="http://schemas.openxmlformats.org/officeDocument/2006/relationships/hyperlink" Target="https://www.welt.de/regionales/hamburg/article69ef288a9f919872ba012c8f/edeka-verbund-steigert-umsatz-auf-77-3-milliarden-euro.html" TargetMode="External"/><Relationship Id="rId20" Type="http://schemas.openxmlformats.org/officeDocument/2006/relationships/hyperlink" Target="https://www.wallstreetmojo.com/eclectic-paradigm/" TargetMode="External"/><Relationship Id="rId41" Type="http://schemas.openxmlformats.org/officeDocument/2006/relationships/hyperlink" Target="https://doi.org/10.1111/rego.12498" TargetMode="External"/><Relationship Id="rId54" Type="http://schemas.openxmlformats.org/officeDocument/2006/relationships/hyperlink" Target="https://doi.org/10.2139/ssrn.5287001" TargetMode="External"/><Relationship Id="rId62" Type="http://schemas.openxmlformats.org/officeDocument/2006/relationships/hyperlink" Target="https://doi.org/10.1007/s12186-020-09250-4" TargetMode="External"/><Relationship Id="rId70" Type="http://schemas.openxmlformats.org/officeDocument/2006/relationships/hyperlink" Target="https://doi.org/10.1177/1024529420941138"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28" Type="http://schemas.openxmlformats.org/officeDocument/2006/relationships/hyperlink" Target="https://investor.costco.com/financials/annual-reports-and-proxy-statements/default.aspx" TargetMode="External"/><Relationship Id="rId36" Type="http://schemas.openxmlformats.org/officeDocument/2006/relationships/hyperlink" Target="https://doi.org/10.1590/s0034-759020230503" TargetMode="External"/><Relationship Id="rId49" Type="http://schemas.openxmlformats.org/officeDocument/2006/relationships/hyperlink" Target="https://doi.org/10.70251/hyjr2348.36401412" TargetMode="External"/><Relationship Id="rId57" Type="http://schemas.openxmlformats.org/officeDocument/2006/relationships/hyperlink" Target="https://www.reuters.com/world/india/us-retail-giant-costco-set-up-global-capability-centre-india-employ-1000-people-2025-07-21/" TargetMode="External"/><Relationship Id="rId10" Type="http://schemas.openxmlformats.org/officeDocument/2006/relationships/image" Target="media/image3.png"/><Relationship Id="rId31"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44" Type="http://schemas.openxmlformats.org/officeDocument/2006/relationships/hyperlink" Target="https://documents1.worldbank.org/curated/en/099005210162424110/pdf/IDU-7c6f0b9e-f0c2-4b1d-b30d-76c4644af69e.pdf" TargetMode="External"/><Relationship Id="rId52" Type="http://schemas.openxmlformats.org/officeDocument/2006/relationships/hyperlink" Target="https://www.researchgate.net/profile/Rajneesh-Narula/publication/340632205_The_Theories_of_the_Multinational_Enterprise/links/5f0f26a245851512999b2dca/The-Theories-of-the-Multinational-Enterprise.pdf" TargetMode="External"/><Relationship Id="rId60" Type="http://schemas.openxmlformats.org/officeDocument/2006/relationships/hyperlink" Target="https://gruppe.schwarz/en/press/archive/2025/the-companies-of-schwarz-group-report-positive-growth-in-the-2024-fiscal-year-and-increase-their-investments" TargetMode="External"/><Relationship Id="rId65" Type="http://schemas.openxmlformats.org/officeDocument/2006/relationships/hyperlink" Target="https://tradingeconomics.com/germany/government-effectiveness-percentile-rank-wb-data.html" TargetMode="External"/><Relationship Id="rId73" Type="http://schemas.openxmlformats.org/officeDocument/2006/relationships/hyperlink" Target="https://doi.org/10.1007/978-3-031-08956-5_1124-1"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geofactbook.com/countries/germany/rule-of-law-index-by-country" TargetMode="External"/><Relationship Id="rId34" Type="http://schemas.openxmlformats.org/officeDocument/2006/relationships/hyperlink" Target="https://www.bundesregierung.de/breg-de/service/archiv-bundesregierung/archiv-mediathek/instagram-posts-30-09-bis-06-10-2024-2312374" TargetMode="External"/><Relationship Id="rId50" Type="http://schemas.openxmlformats.org/officeDocument/2006/relationships/hyperlink" Target="https://scholarcommons.sc.edu/senior_theses/381/" TargetMode="External"/><Relationship Id="rId55" Type="http://schemas.openxmlformats.org/officeDocument/2006/relationships/hyperlink" Target="https://doi.org/10.1108/ijrdm-04-2024-0169"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panmore.com/costco-wholesale-generic-intensive-growth-strategies" TargetMode="External"/><Relationship Id="rId2" Type="http://schemas.openxmlformats.org/officeDocument/2006/relationships/numbering" Target="numbering.xml"/><Relationship Id="rId29" Type="http://schemas.openxmlformats.org/officeDocument/2006/relationships/hyperlink" Target="https://investor.costco.com/overview/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A45D226-6C6D-49C4-861A-886B7E0C6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9411</Words>
  <Characters>53645</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Darshil Mahendrabhai Rana (2529562)</dc:creator>
  <cp:keywords/>
  <dc:description/>
  <cp:lastModifiedBy/>
  <cp:revision>6</cp:revision>
  <dcterms:created xsi:type="dcterms:W3CDTF">2026-07-28T08:58:00Z</dcterms:created>
  <dcterms:modified xsi:type="dcterms:W3CDTF">2026-08-13T09:28:00Z</dcterms:modified>
</cp:coreProperties>
</file>