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63B786" w14:textId="77777777" w:rsidR="00D82DE0" w:rsidRPr="00C04535" w:rsidRDefault="00D82DE0">
      <w:pPr>
        <w:spacing w:line="259" w:lineRule="auto"/>
        <w:jc w:val="left"/>
      </w:pPr>
      <w:r w:rsidRPr="00C04535">
        <w:rPr>
          <w:rFonts w:cs="Arial"/>
          <w:noProof/>
        </w:rPr>
        <w:drawing>
          <wp:anchor distT="0" distB="0" distL="114300" distR="114300" simplePos="0" relativeHeight="251659264" behindDoc="0" locked="0" layoutInCell="1" allowOverlap="1" wp14:anchorId="2ED3B375" wp14:editId="0A986214">
            <wp:simplePos x="0" y="0"/>
            <wp:positionH relativeFrom="column">
              <wp:posOffset>0</wp:posOffset>
            </wp:positionH>
            <wp:positionV relativeFrom="paragraph">
              <wp:posOffset>289560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284919B" w14:textId="77777777" w:rsidR="00D82DE0" w:rsidRPr="00C04535" w:rsidRDefault="00D82DE0">
      <w:pPr>
        <w:spacing w:line="259" w:lineRule="auto"/>
        <w:jc w:val="left"/>
      </w:pPr>
    </w:p>
    <w:p w14:paraId="42D2BFF3" w14:textId="77777777" w:rsidR="00D82DE0" w:rsidRPr="00C04535" w:rsidRDefault="00D82DE0">
      <w:pPr>
        <w:spacing w:line="259" w:lineRule="auto"/>
        <w:jc w:val="left"/>
      </w:pPr>
    </w:p>
    <w:p w14:paraId="2A1AA28C" w14:textId="77777777" w:rsidR="00D82DE0" w:rsidRPr="00C04535" w:rsidRDefault="00D82DE0">
      <w:pPr>
        <w:spacing w:line="259" w:lineRule="auto"/>
        <w:jc w:val="left"/>
      </w:pPr>
    </w:p>
    <w:p w14:paraId="5ADAA375" w14:textId="77777777" w:rsidR="00D82DE0" w:rsidRPr="00C04535" w:rsidRDefault="00D82DE0" w:rsidP="00D82DE0"/>
    <w:p w14:paraId="10BDAE1A" w14:textId="77777777" w:rsidR="00D82DE0" w:rsidRPr="00C04535" w:rsidRDefault="00D82DE0" w:rsidP="00D82DE0">
      <w:pPr>
        <w:jc w:val="center"/>
      </w:pPr>
    </w:p>
    <w:p w14:paraId="57CCD2D1" w14:textId="77777777" w:rsidR="00D82DE0" w:rsidRPr="00C04535" w:rsidRDefault="00D82DE0" w:rsidP="00D82DE0">
      <w:pPr>
        <w:jc w:val="center"/>
      </w:pPr>
    </w:p>
    <w:p w14:paraId="67C07EAE" w14:textId="77777777" w:rsidR="00D82DE0" w:rsidRPr="00C04535" w:rsidRDefault="00D82DE0" w:rsidP="00D82DE0">
      <w:pPr>
        <w:jc w:val="center"/>
      </w:pPr>
    </w:p>
    <w:p w14:paraId="5EC8C27C" w14:textId="77777777" w:rsidR="00D82DE0" w:rsidRPr="00C04535" w:rsidRDefault="00D82DE0" w:rsidP="00D82DE0">
      <w:pPr>
        <w:jc w:val="center"/>
        <w:rPr>
          <w:b/>
          <w:bCs/>
        </w:rPr>
      </w:pPr>
      <w:r w:rsidRPr="00C04535">
        <w:rPr>
          <w:b/>
          <w:bCs/>
        </w:rPr>
        <w:t>Programme name:</w:t>
      </w:r>
      <w:r w:rsidR="00381E85">
        <w:rPr>
          <w:b/>
          <w:bCs/>
        </w:rPr>
        <w:t xml:space="preserve"> </w:t>
      </w:r>
      <w:r w:rsidR="00F33EA4">
        <w:rPr>
          <w:rFonts w:cs="Arial"/>
          <w:b/>
          <w:sz w:val="22"/>
        </w:rPr>
        <w:t>Master of Business Administration</w:t>
      </w:r>
    </w:p>
    <w:p w14:paraId="56D9F0C1" w14:textId="77777777" w:rsidR="00D82DE0" w:rsidRPr="00C04535" w:rsidRDefault="00D82DE0" w:rsidP="00D82DE0">
      <w:pPr>
        <w:jc w:val="center"/>
        <w:rPr>
          <w:b/>
          <w:bCs/>
        </w:rPr>
      </w:pPr>
      <w:r w:rsidRPr="00C04535">
        <w:rPr>
          <w:b/>
          <w:bCs/>
        </w:rPr>
        <w:t>Module name and code</w:t>
      </w:r>
      <w:r w:rsidR="00381E85">
        <w:rPr>
          <w:b/>
          <w:bCs/>
        </w:rPr>
        <w:t>:</w:t>
      </w:r>
      <w:r w:rsidR="00F33EA4">
        <w:rPr>
          <w:b/>
          <w:bCs/>
        </w:rPr>
        <w:t xml:space="preserve"> </w:t>
      </w:r>
      <w:r w:rsidR="00F33EA4">
        <w:rPr>
          <w:rFonts w:cs="Arial"/>
          <w:b/>
          <w:sz w:val="22"/>
        </w:rPr>
        <w:t>Marketing</w:t>
      </w:r>
      <w:r w:rsidR="00F33EA4" w:rsidRPr="009B0829">
        <w:rPr>
          <w:rFonts w:cs="Arial"/>
          <w:b/>
          <w:sz w:val="22"/>
        </w:rPr>
        <w:t xml:space="preserve"> Management</w:t>
      </w:r>
      <w:r w:rsidR="00F33EA4">
        <w:rPr>
          <w:rFonts w:cs="Arial"/>
          <w:b/>
          <w:sz w:val="22"/>
        </w:rPr>
        <w:t>,</w:t>
      </w:r>
      <w:r w:rsidR="00F33EA4">
        <w:rPr>
          <w:b/>
          <w:bCs/>
        </w:rPr>
        <w:t xml:space="preserve"> </w:t>
      </w:r>
      <w:r w:rsidR="00381E85">
        <w:rPr>
          <w:b/>
          <w:bCs/>
        </w:rPr>
        <w:t>LCMB7024</w:t>
      </w:r>
    </w:p>
    <w:p w14:paraId="01F5F090" w14:textId="77777777" w:rsidR="00D82DE0" w:rsidRPr="00C04535" w:rsidRDefault="00D82DE0" w:rsidP="00D82DE0">
      <w:pPr>
        <w:jc w:val="center"/>
        <w:rPr>
          <w:b/>
          <w:bCs/>
        </w:rPr>
      </w:pPr>
      <w:r w:rsidRPr="00C04535">
        <w:rPr>
          <w:b/>
          <w:bCs/>
        </w:rPr>
        <w:t>The title of your submission: Marketing Environment Analysis</w:t>
      </w:r>
      <w:r w:rsidR="00A8735A">
        <w:rPr>
          <w:b/>
          <w:bCs/>
        </w:rPr>
        <w:t xml:space="preserve"> for BHP Australia</w:t>
      </w:r>
    </w:p>
    <w:p w14:paraId="531A6CA0" w14:textId="77777777" w:rsidR="00D82DE0" w:rsidRPr="00C04535" w:rsidRDefault="00D82DE0" w:rsidP="00D82DE0">
      <w:pPr>
        <w:jc w:val="center"/>
        <w:rPr>
          <w:b/>
          <w:bCs/>
        </w:rPr>
      </w:pPr>
      <w:r w:rsidRPr="00C04535">
        <w:rPr>
          <w:b/>
          <w:bCs/>
        </w:rPr>
        <w:t>Lecturer's name:</w:t>
      </w:r>
      <w:r w:rsidR="00381E85" w:rsidRPr="00381E85">
        <w:rPr>
          <w:rFonts w:cs="Arial"/>
          <w:b/>
          <w:bCs/>
          <w:sz w:val="22"/>
        </w:rPr>
        <w:t xml:space="preserve"> </w:t>
      </w:r>
      <w:r w:rsidR="00381E85" w:rsidRPr="003D1C4C">
        <w:rPr>
          <w:rFonts w:cs="Arial"/>
          <w:b/>
          <w:bCs/>
          <w:sz w:val="22"/>
        </w:rPr>
        <w:t>Taonga</w:t>
      </w:r>
      <w:r w:rsidR="00381E85">
        <w:rPr>
          <w:rFonts w:cs="Arial"/>
          <w:b/>
          <w:bCs/>
          <w:sz w:val="22"/>
        </w:rPr>
        <w:t xml:space="preserve"> </w:t>
      </w:r>
      <w:r w:rsidR="00381E85" w:rsidRPr="003D1C4C">
        <w:rPr>
          <w:rFonts w:cs="Arial"/>
          <w:b/>
          <w:bCs/>
          <w:sz w:val="22"/>
        </w:rPr>
        <w:t>Kaonga Sobere</w:t>
      </w:r>
      <w:r w:rsidR="00381E85">
        <w:rPr>
          <w:rFonts w:cs="Arial"/>
          <w:b/>
          <w:bCs/>
          <w:sz w:val="22"/>
        </w:rPr>
        <w:t>-</w:t>
      </w:r>
      <w:r w:rsidR="00381E85" w:rsidRPr="003D1C4C">
        <w:rPr>
          <w:rFonts w:cs="Arial"/>
          <w:b/>
          <w:bCs/>
          <w:sz w:val="22"/>
        </w:rPr>
        <w:t>Snithers</w:t>
      </w:r>
    </w:p>
    <w:p w14:paraId="37C60554" w14:textId="77777777" w:rsidR="00D82DE0" w:rsidRDefault="00D82DE0" w:rsidP="00D82DE0">
      <w:pPr>
        <w:jc w:val="center"/>
        <w:rPr>
          <w:b/>
          <w:bCs/>
        </w:rPr>
      </w:pPr>
      <w:r w:rsidRPr="00C04535">
        <w:rPr>
          <w:b/>
          <w:bCs/>
        </w:rPr>
        <w:t>Student name</w:t>
      </w:r>
      <w:r w:rsidR="00381E85">
        <w:rPr>
          <w:b/>
          <w:bCs/>
        </w:rPr>
        <w:t>: Gabriela Savity</w:t>
      </w:r>
      <w:r w:rsidRPr="00C04535">
        <w:rPr>
          <w:b/>
          <w:bCs/>
        </w:rPr>
        <w:t xml:space="preserve"> </w:t>
      </w:r>
    </w:p>
    <w:p w14:paraId="42C731C5" w14:textId="77777777" w:rsidR="00A8735A" w:rsidRPr="00C04535" w:rsidRDefault="00A8735A" w:rsidP="00D82DE0">
      <w:pPr>
        <w:jc w:val="center"/>
        <w:rPr>
          <w:b/>
          <w:bCs/>
        </w:rPr>
      </w:pPr>
      <w:r>
        <w:rPr>
          <w:b/>
          <w:bCs/>
        </w:rPr>
        <w:t>Student ID: 2312231</w:t>
      </w:r>
    </w:p>
    <w:p w14:paraId="6ECD2CA1" w14:textId="77777777" w:rsidR="00D82DE0" w:rsidRPr="00C04535" w:rsidRDefault="00D82DE0" w:rsidP="00D82DE0">
      <w:pPr>
        <w:jc w:val="center"/>
        <w:rPr>
          <w:b/>
          <w:bCs/>
        </w:rPr>
      </w:pPr>
      <w:r w:rsidRPr="00C04535">
        <w:rPr>
          <w:b/>
          <w:bCs/>
        </w:rPr>
        <w:t>Final word count: 2</w:t>
      </w:r>
      <w:r w:rsidR="00C804E2">
        <w:rPr>
          <w:b/>
          <w:bCs/>
        </w:rPr>
        <w:t>534</w:t>
      </w:r>
    </w:p>
    <w:p w14:paraId="50360311" w14:textId="77777777" w:rsidR="00701B0D" w:rsidRDefault="00D82DE0" w:rsidP="00D82DE0">
      <w:pPr>
        <w:jc w:val="center"/>
        <w:rPr>
          <w:b/>
          <w:bCs/>
        </w:rPr>
      </w:pPr>
      <w:r w:rsidRPr="00C04535">
        <w:rPr>
          <w:b/>
          <w:bCs/>
        </w:rPr>
        <w:t>Submission date:</w:t>
      </w:r>
      <w:r w:rsidR="00F33EA4">
        <w:rPr>
          <w:b/>
          <w:bCs/>
        </w:rPr>
        <w:t xml:space="preserve"> 22nd October</w:t>
      </w:r>
    </w:p>
    <w:p w14:paraId="11E7EB13" w14:textId="77777777" w:rsidR="00D62A5E" w:rsidRDefault="00D62A5E" w:rsidP="00D82DE0">
      <w:pPr>
        <w:jc w:val="center"/>
        <w:rPr>
          <w:b/>
          <w:bCs/>
        </w:rPr>
      </w:pPr>
    </w:p>
    <w:p w14:paraId="5F024D29" w14:textId="77777777" w:rsidR="00D62A5E" w:rsidRDefault="00D62A5E" w:rsidP="00D82DE0">
      <w:pPr>
        <w:jc w:val="center"/>
        <w:rPr>
          <w:b/>
          <w:bCs/>
        </w:rPr>
      </w:pPr>
    </w:p>
    <w:p w14:paraId="062202A8" w14:textId="77777777" w:rsidR="00D62A5E" w:rsidRDefault="00D62A5E" w:rsidP="00D82DE0">
      <w:pPr>
        <w:jc w:val="center"/>
        <w:rPr>
          <w:b/>
          <w:bCs/>
        </w:rPr>
      </w:pPr>
    </w:p>
    <w:p w14:paraId="0098472E" w14:textId="77777777" w:rsidR="00D62A5E" w:rsidRDefault="00D62A5E" w:rsidP="00D82DE0">
      <w:pPr>
        <w:jc w:val="center"/>
        <w:rPr>
          <w:b/>
          <w:bCs/>
        </w:rPr>
      </w:pPr>
    </w:p>
    <w:p w14:paraId="35F3C32A" w14:textId="77777777" w:rsidR="00D62A5E" w:rsidRDefault="00D62A5E" w:rsidP="00D82DE0">
      <w:pPr>
        <w:jc w:val="center"/>
        <w:rPr>
          <w:b/>
          <w:bCs/>
        </w:rPr>
      </w:pPr>
    </w:p>
    <w:p w14:paraId="17C4696E" w14:textId="77777777" w:rsidR="00D62A5E" w:rsidRDefault="00D62A5E" w:rsidP="00D82DE0">
      <w:pPr>
        <w:jc w:val="center"/>
        <w:rPr>
          <w:b/>
          <w:bCs/>
        </w:rPr>
      </w:pPr>
    </w:p>
    <w:p w14:paraId="4E63FC37" w14:textId="77777777" w:rsidR="00D62A5E" w:rsidRDefault="00D62A5E" w:rsidP="00D82DE0">
      <w:pPr>
        <w:jc w:val="center"/>
        <w:rPr>
          <w:b/>
          <w:bCs/>
        </w:rPr>
      </w:pPr>
    </w:p>
    <w:p w14:paraId="786A1751" w14:textId="77777777" w:rsidR="00D62A5E" w:rsidRDefault="00D62A5E" w:rsidP="00D82DE0">
      <w:pPr>
        <w:jc w:val="center"/>
        <w:rPr>
          <w:b/>
          <w:bCs/>
        </w:rPr>
      </w:pPr>
    </w:p>
    <w:p w14:paraId="324A6012" w14:textId="77777777" w:rsidR="00D62A5E" w:rsidRDefault="00D62A5E" w:rsidP="00D82DE0">
      <w:pPr>
        <w:jc w:val="center"/>
        <w:rPr>
          <w:b/>
          <w:bCs/>
        </w:rPr>
      </w:pPr>
    </w:p>
    <w:p w14:paraId="3F87682F" w14:textId="77777777" w:rsidR="00D62A5E" w:rsidRDefault="00D62A5E" w:rsidP="00D82DE0">
      <w:pPr>
        <w:jc w:val="center"/>
        <w:rPr>
          <w:b/>
          <w:bCs/>
        </w:rPr>
      </w:pPr>
    </w:p>
    <w:p w14:paraId="55DEC43D" w14:textId="77777777" w:rsidR="00D62A5E" w:rsidRPr="00C04535" w:rsidRDefault="00D62A5E" w:rsidP="00D82DE0">
      <w:pPr>
        <w:jc w:val="center"/>
      </w:pPr>
    </w:p>
    <w:sdt>
      <w:sdtPr>
        <w:rPr>
          <w:rFonts w:ascii="Times New Roman" w:eastAsiaTheme="minorHAnsi" w:hAnsi="Times New Roman" w:cstheme="minorBidi"/>
          <w:color w:val="auto"/>
          <w:kern w:val="2"/>
          <w:sz w:val="24"/>
          <w:szCs w:val="22"/>
          <w:lang w:val="en-GB"/>
          <w14:ligatures w14:val="standardContextual"/>
        </w:rPr>
        <w:id w:val="1129750237"/>
        <w:docPartObj>
          <w:docPartGallery w:val="Table of Contents"/>
          <w:docPartUnique/>
        </w:docPartObj>
      </w:sdtPr>
      <w:sdtEndPr>
        <w:rPr>
          <w:rFonts w:ascii="Arial" w:hAnsi="Arial"/>
          <w:b/>
          <w:bCs/>
          <w:noProof/>
        </w:rPr>
      </w:sdtEndPr>
      <w:sdtContent>
        <w:p w14:paraId="43207047" w14:textId="77777777" w:rsidR="00701B0D" w:rsidRPr="00C04535" w:rsidRDefault="00701B0D" w:rsidP="00701B0D">
          <w:pPr>
            <w:pStyle w:val="TOCHeading"/>
            <w:jc w:val="center"/>
            <w:rPr>
              <w:rFonts w:ascii="Times New Roman" w:hAnsi="Times New Roman" w:cs="Times New Roman"/>
              <w:b/>
              <w:bCs/>
              <w:color w:val="auto"/>
              <w:sz w:val="24"/>
              <w:szCs w:val="24"/>
              <w:lang w:val="en-GB"/>
            </w:rPr>
          </w:pPr>
          <w:r w:rsidRPr="00C04535">
            <w:rPr>
              <w:rFonts w:ascii="Times New Roman" w:hAnsi="Times New Roman" w:cs="Times New Roman"/>
              <w:b/>
              <w:bCs/>
              <w:color w:val="auto"/>
              <w:sz w:val="24"/>
              <w:szCs w:val="24"/>
              <w:lang w:val="en-GB"/>
            </w:rPr>
            <w:t>Table of Contents</w:t>
          </w:r>
        </w:p>
        <w:p w14:paraId="4E802A1C" w14:textId="77777777" w:rsidR="00D07A75" w:rsidRPr="00C04535" w:rsidRDefault="00701B0D">
          <w:pPr>
            <w:pStyle w:val="TOC1"/>
            <w:tabs>
              <w:tab w:val="right" w:leader="dot" w:pos="9016"/>
            </w:tabs>
            <w:rPr>
              <w:rFonts w:asciiTheme="minorHAnsi" w:eastAsiaTheme="minorEastAsia" w:hAnsiTheme="minorHAnsi"/>
              <w:noProof/>
              <w:szCs w:val="24"/>
              <w:lang w:val="en-IN" w:eastAsia="en-IN"/>
            </w:rPr>
          </w:pPr>
          <w:r w:rsidRPr="00C04535">
            <w:fldChar w:fldCharType="begin"/>
          </w:r>
          <w:r w:rsidRPr="00C04535">
            <w:instrText xml:space="preserve"> TOC \o "1-3" \h \z \u </w:instrText>
          </w:r>
          <w:r w:rsidRPr="00C04535">
            <w:fldChar w:fldCharType="separate"/>
          </w:r>
          <w:hyperlink w:anchor="_Toc240750046" w:history="1">
            <w:r w:rsidR="00D07A75" w:rsidRPr="00C04535">
              <w:rPr>
                <w:rStyle w:val="Hyperlink"/>
                <w:noProof/>
              </w:rPr>
              <w:t>Introduction</w:t>
            </w:r>
            <w:r w:rsidR="00D07A75" w:rsidRPr="00C04535">
              <w:rPr>
                <w:noProof/>
                <w:webHidden/>
              </w:rPr>
              <w:tab/>
            </w:r>
            <w:r w:rsidR="00D07A75" w:rsidRPr="00C04535">
              <w:rPr>
                <w:noProof/>
                <w:webHidden/>
              </w:rPr>
              <w:fldChar w:fldCharType="begin"/>
            </w:r>
            <w:r w:rsidR="00D07A75" w:rsidRPr="00C04535">
              <w:rPr>
                <w:noProof/>
                <w:webHidden/>
              </w:rPr>
              <w:instrText xml:space="preserve"> PAGEREF _Toc240750046 \h </w:instrText>
            </w:r>
            <w:r w:rsidR="00D07A75" w:rsidRPr="00C04535">
              <w:rPr>
                <w:noProof/>
                <w:webHidden/>
              </w:rPr>
            </w:r>
            <w:r w:rsidR="00D07A75" w:rsidRPr="00C04535">
              <w:rPr>
                <w:noProof/>
                <w:webHidden/>
              </w:rPr>
              <w:fldChar w:fldCharType="separate"/>
            </w:r>
            <w:r w:rsidR="00381E85">
              <w:rPr>
                <w:noProof/>
                <w:webHidden/>
              </w:rPr>
              <w:t>3</w:t>
            </w:r>
            <w:r w:rsidR="00D07A75" w:rsidRPr="00C04535">
              <w:rPr>
                <w:noProof/>
                <w:webHidden/>
              </w:rPr>
              <w:fldChar w:fldCharType="end"/>
            </w:r>
          </w:hyperlink>
        </w:p>
        <w:p w14:paraId="25DC579B" w14:textId="77777777" w:rsidR="00D07A75" w:rsidRPr="00C04535" w:rsidRDefault="00D07A75">
          <w:pPr>
            <w:pStyle w:val="TOC1"/>
            <w:tabs>
              <w:tab w:val="right" w:leader="dot" w:pos="9016"/>
            </w:tabs>
            <w:rPr>
              <w:rFonts w:asciiTheme="minorHAnsi" w:eastAsiaTheme="minorEastAsia" w:hAnsiTheme="minorHAnsi"/>
              <w:noProof/>
              <w:szCs w:val="24"/>
              <w:lang w:val="en-IN" w:eastAsia="en-IN"/>
            </w:rPr>
          </w:pPr>
          <w:hyperlink w:anchor="_Toc240750047" w:history="1">
            <w:r w:rsidRPr="00C04535">
              <w:rPr>
                <w:rStyle w:val="Hyperlink"/>
                <w:noProof/>
              </w:rPr>
              <w:t>Task 1: Marketing Environment Analysis</w:t>
            </w:r>
            <w:r w:rsidRPr="00C04535">
              <w:rPr>
                <w:noProof/>
                <w:webHidden/>
              </w:rPr>
              <w:tab/>
            </w:r>
            <w:r w:rsidRPr="00C04535">
              <w:rPr>
                <w:noProof/>
                <w:webHidden/>
              </w:rPr>
              <w:fldChar w:fldCharType="begin"/>
            </w:r>
            <w:r w:rsidRPr="00C04535">
              <w:rPr>
                <w:noProof/>
                <w:webHidden/>
              </w:rPr>
              <w:instrText xml:space="preserve"> PAGEREF _Toc240750047 \h </w:instrText>
            </w:r>
            <w:r w:rsidRPr="00C04535">
              <w:rPr>
                <w:noProof/>
                <w:webHidden/>
              </w:rPr>
            </w:r>
            <w:r w:rsidRPr="00C04535">
              <w:rPr>
                <w:noProof/>
                <w:webHidden/>
              </w:rPr>
              <w:fldChar w:fldCharType="separate"/>
            </w:r>
            <w:r w:rsidR="00381E85">
              <w:rPr>
                <w:noProof/>
                <w:webHidden/>
              </w:rPr>
              <w:t>3</w:t>
            </w:r>
            <w:r w:rsidRPr="00C04535">
              <w:rPr>
                <w:noProof/>
                <w:webHidden/>
              </w:rPr>
              <w:fldChar w:fldCharType="end"/>
            </w:r>
          </w:hyperlink>
        </w:p>
        <w:p w14:paraId="11198A36" w14:textId="77777777" w:rsidR="00D07A75" w:rsidRPr="00C04535" w:rsidRDefault="00D07A75">
          <w:pPr>
            <w:pStyle w:val="TOC1"/>
            <w:tabs>
              <w:tab w:val="right" w:leader="dot" w:pos="9016"/>
            </w:tabs>
            <w:rPr>
              <w:rFonts w:asciiTheme="minorHAnsi" w:eastAsiaTheme="minorEastAsia" w:hAnsiTheme="minorHAnsi"/>
              <w:noProof/>
              <w:szCs w:val="24"/>
              <w:lang w:val="en-IN" w:eastAsia="en-IN"/>
            </w:rPr>
          </w:pPr>
          <w:hyperlink w:anchor="_Toc240750048" w:history="1">
            <w:r w:rsidRPr="00C04535">
              <w:rPr>
                <w:rStyle w:val="Hyperlink"/>
                <w:noProof/>
              </w:rPr>
              <w:t>Task 2: Strategic Growth and Competitive Position</w:t>
            </w:r>
            <w:r w:rsidRPr="00C04535">
              <w:rPr>
                <w:noProof/>
                <w:webHidden/>
              </w:rPr>
              <w:tab/>
            </w:r>
            <w:r w:rsidRPr="00C04535">
              <w:rPr>
                <w:noProof/>
                <w:webHidden/>
              </w:rPr>
              <w:fldChar w:fldCharType="begin"/>
            </w:r>
            <w:r w:rsidRPr="00C04535">
              <w:rPr>
                <w:noProof/>
                <w:webHidden/>
              </w:rPr>
              <w:instrText xml:space="preserve"> PAGEREF _Toc240750048 \h </w:instrText>
            </w:r>
            <w:r w:rsidRPr="00C04535">
              <w:rPr>
                <w:noProof/>
                <w:webHidden/>
              </w:rPr>
            </w:r>
            <w:r w:rsidRPr="00C04535">
              <w:rPr>
                <w:noProof/>
                <w:webHidden/>
              </w:rPr>
              <w:fldChar w:fldCharType="separate"/>
            </w:r>
            <w:r w:rsidR="00381E85">
              <w:rPr>
                <w:noProof/>
                <w:webHidden/>
              </w:rPr>
              <w:t>7</w:t>
            </w:r>
            <w:r w:rsidRPr="00C04535">
              <w:rPr>
                <w:noProof/>
                <w:webHidden/>
              </w:rPr>
              <w:fldChar w:fldCharType="end"/>
            </w:r>
          </w:hyperlink>
        </w:p>
        <w:p w14:paraId="1BD7F63D" w14:textId="77777777" w:rsidR="00D07A75" w:rsidRPr="00C04535" w:rsidRDefault="00D07A75">
          <w:pPr>
            <w:pStyle w:val="TOC1"/>
            <w:tabs>
              <w:tab w:val="right" w:leader="dot" w:pos="9016"/>
            </w:tabs>
            <w:rPr>
              <w:rFonts w:asciiTheme="minorHAnsi" w:eastAsiaTheme="minorEastAsia" w:hAnsiTheme="minorHAnsi"/>
              <w:noProof/>
              <w:szCs w:val="24"/>
              <w:lang w:val="en-IN" w:eastAsia="en-IN"/>
            </w:rPr>
          </w:pPr>
          <w:hyperlink w:anchor="_Toc240750049" w:history="1">
            <w:r w:rsidRPr="00C04535">
              <w:rPr>
                <w:rStyle w:val="Hyperlink"/>
                <w:noProof/>
              </w:rPr>
              <w:t>Task 3: Managerial and Professional Reflection</w:t>
            </w:r>
            <w:r w:rsidRPr="00C04535">
              <w:rPr>
                <w:noProof/>
                <w:webHidden/>
              </w:rPr>
              <w:tab/>
            </w:r>
            <w:r w:rsidRPr="00C04535">
              <w:rPr>
                <w:noProof/>
                <w:webHidden/>
              </w:rPr>
              <w:fldChar w:fldCharType="begin"/>
            </w:r>
            <w:r w:rsidRPr="00C04535">
              <w:rPr>
                <w:noProof/>
                <w:webHidden/>
              </w:rPr>
              <w:instrText xml:space="preserve"> PAGEREF _Toc240750049 \h </w:instrText>
            </w:r>
            <w:r w:rsidRPr="00C04535">
              <w:rPr>
                <w:noProof/>
                <w:webHidden/>
              </w:rPr>
            </w:r>
            <w:r w:rsidRPr="00C04535">
              <w:rPr>
                <w:noProof/>
                <w:webHidden/>
              </w:rPr>
              <w:fldChar w:fldCharType="separate"/>
            </w:r>
            <w:r w:rsidR="00381E85">
              <w:rPr>
                <w:noProof/>
                <w:webHidden/>
              </w:rPr>
              <w:t>10</w:t>
            </w:r>
            <w:r w:rsidRPr="00C04535">
              <w:rPr>
                <w:noProof/>
                <w:webHidden/>
              </w:rPr>
              <w:fldChar w:fldCharType="end"/>
            </w:r>
          </w:hyperlink>
        </w:p>
        <w:p w14:paraId="470E339D" w14:textId="77777777" w:rsidR="00D07A75" w:rsidRPr="00C04535" w:rsidRDefault="00D07A75">
          <w:pPr>
            <w:pStyle w:val="TOC1"/>
            <w:tabs>
              <w:tab w:val="right" w:leader="dot" w:pos="9016"/>
            </w:tabs>
            <w:rPr>
              <w:rFonts w:asciiTheme="minorHAnsi" w:eastAsiaTheme="minorEastAsia" w:hAnsiTheme="minorHAnsi"/>
              <w:noProof/>
              <w:szCs w:val="24"/>
              <w:lang w:val="en-IN" w:eastAsia="en-IN"/>
            </w:rPr>
          </w:pPr>
          <w:hyperlink w:anchor="_Toc240750050" w:history="1">
            <w:r w:rsidRPr="00C04535">
              <w:rPr>
                <w:rStyle w:val="Hyperlink"/>
                <w:noProof/>
              </w:rPr>
              <w:t>Conclusion</w:t>
            </w:r>
            <w:r w:rsidRPr="00C04535">
              <w:rPr>
                <w:noProof/>
                <w:webHidden/>
              </w:rPr>
              <w:tab/>
            </w:r>
            <w:r w:rsidRPr="00C04535">
              <w:rPr>
                <w:noProof/>
                <w:webHidden/>
              </w:rPr>
              <w:fldChar w:fldCharType="begin"/>
            </w:r>
            <w:r w:rsidRPr="00C04535">
              <w:rPr>
                <w:noProof/>
                <w:webHidden/>
              </w:rPr>
              <w:instrText xml:space="preserve"> PAGEREF _Toc240750050 \h </w:instrText>
            </w:r>
            <w:r w:rsidRPr="00C04535">
              <w:rPr>
                <w:noProof/>
                <w:webHidden/>
              </w:rPr>
            </w:r>
            <w:r w:rsidRPr="00C04535">
              <w:rPr>
                <w:noProof/>
                <w:webHidden/>
              </w:rPr>
              <w:fldChar w:fldCharType="separate"/>
            </w:r>
            <w:r w:rsidR="00381E85">
              <w:rPr>
                <w:noProof/>
                <w:webHidden/>
              </w:rPr>
              <w:t>11</w:t>
            </w:r>
            <w:r w:rsidRPr="00C04535">
              <w:rPr>
                <w:noProof/>
                <w:webHidden/>
              </w:rPr>
              <w:fldChar w:fldCharType="end"/>
            </w:r>
          </w:hyperlink>
        </w:p>
        <w:p w14:paraId="06DEE362" w14:textId="77777777" w:rsidR="00D07A75" w:rsidRPr="00C04535" w:rsidRDefault="00D07A75">
          <w:pPr>
            <w:pStyle w:val="TOC1"/>
            <w:tabs>
              <w:tab w:val="right" w:leader="dot" w:pos="9016"/>
            </w:tabs>
            <w:rPr>
              <w:rFonts w:asciiTheme="minorHAnsi" w:eastAsiaTheme="minorEastAsia" w:hAnsiTheme="minorHAnsi"/>
              <w:noProof/>
              <w:szCs w:val="24"/>
              <w:lang w:val="en-IN" w:eastAsia="en-IN"/>
            </w:rPr>
          </w:pPr>
          <w:hyperlink w:anchor="_Toc240750051" w:history="1">
            <w:r w:rsidRPr="00C04535">
              <w:rPr>
                <w:rStyle w:val="Hyperlink"/>
                <w:noProof/>
              </w:rPr>
              <w:t>Reference List</w:t>
            </w:r>
            <w:r w:rsidRPr="00C04535">
              <w:rPr>
                <w:noProof/>
                <w:webHidden/>
              </w:rPr>
              <w:tab/>
            </w:r>
            <w:r w:rsidRPr="00C04535">
              <w:rPr>
                <w:noProof/>
                <w:webHidden/>
              </w:rPr>
              <w:fldChar w:fldCharType="begin"/>
            </w:r>
            <w:r w:rsidRPr="00C04535">
              <w:rPr>
                <w:noProof/>
                <w:webHidden/>
              </w:rPr>
              <w:instrText xml:space="preserve"> PAGEREF _Toc240750051 \h </w:instrText>
            </w:r>
            <w:r w:rsidRPr="00C04535">
              <w:rPr>
                <w:noProof/>
                <w:webHidden/>
              </w:rPr>
            </w:r>
            <w:r w:rsidRPr="00C04535">
              <w:rPr>
                <w:noProof/>
                <w:webHidden/>
              </w:rPr>
              <w:fldChar w:fldCharType="separate"/>
            </w:r>
            <w:r w:rsidR="00381E85">
              <w:rPr>
                <w:noProof/>
                <w:webHidden/>
              </w:rPr>
              <w:t>12</w:t>
            </w:r>
            <w:r w:rsidRPr="00C04535">
              <w:rPr>
                <w:noProof/>
                <w:webHidden/>
              </w:rPr>
              <w:fldChar w:fldCharType="end"/>
            </w:r>
          </w:hyperlink>
        </w:p>
        <w:p w14:paraId="2FC5D5CF" w14:textId="77777777" w:rsidR="00701B0D" w:rsidRPr="00C04535" w:rsidRDefault="00701B0D">
          <w:r w:rsidRPr="00C04535">
            <w:rPr>
              <w:b/>
              <w:bCs/>
              <w:noProof/>
            </w:rPr>
            <w:fldChar w:fldCharType="end"/>
          </w:r>
        </w:p>
      </w:sdtContent>
    </w:sdt>
    <w:p w14:paraId="53A82A4F" w14:textId="77777777" w:rsidR="00701B0D" w:rsidRPr="00C04535" w:rsidRDefault="00701B0D" w:rsidP="00701B0D">
      <w:pPr>
        <w:spacing w:line="259" w:lineRule="auto"/>
        <w:jc w:val="left"/>
      </w:pPr>
      <w:r w:rsidRPr="00C04535">
        <w:br w:type="page"/>
      </w:r>
    </w:p>
    <w:p w14:paraId="756BF6CE" w14:textId="77777777" w:rsidR="009F2D30" w:rsidRPr="00381E85" w:rsidRDefault="00DE7ED9" w:rsidP="00DE7ED9">
      <w:pPr>
        <w:pStyle w:val="Heading1"/>
        <w:rPr>
          <w:rFonts w:cs="Arial"/>
          <w:szCs w:val="24"/>
        </w:rPr>
      </w:pPr>
      <w:bookmarkStart w:id="0" w:name="_Toc240750046"/>
      <w:r w:rsidRPr="00381E85">
        <w:rPr>
          <w:rFonts w:cs="Arial"/>
          <w:szCs w:val="24"/>
        </w:rPr>
        <w:lastRenderedPageBreak/>
        <w:t>Introduction</w:t>
      </w:r>
      <w:bookmarkEnd w:id="0"/>
    </w:p>
    <w:p w14:paraId="49E8426F" w14:textId="77777777" w:rsidR="00DE7ED9" w:rsidRPr="00381E85" w:rsidRDefault="00AE45D1" w:rsidP="00DE7ED9">
      <w:pPr>
        <w:rPr>
          <w:rFonts w:cs="Arial"/>
          <w:szCs w:val="24"/>
        </w:rPr>
      </w:pPr>
      <w:r>
        <w:t>The global mining and metals industry is shifting towards lower-carbon production (</w:t>
      </w:r>
      <w:proofErr w:type="spellStart"/>
      <w:r>
        <w:t>Harpprecht</w:t>
      </w:r>
      <w:proofErr w:type="spellEnd"/>
      <w:r>
        <w:t xml:space="preserve"> et al., 2021). BHP, headquartered in Melbourne, Australia, faces pressure to reduce operational emissions while maintaining efficient and profitable operations (BHP, 2026a). This study evaluates how selected external marketing factors affect BHP’s transition, with particular attention to environmental, legal and social pressures. It then assesses strategic growth and competitive positioning options and reflects on their managerial implications.</w:t>
      </w:r>
    </w:p>
    <w:p w14:paraId="6E497111" w14:textId="77777777" w:rsidR="00DE7ED9" w:rsidRPr="00381E85" w:rsidRDefault="00DE7ED9" w:rsidP="00DE7ED9">
      <w:pPr>
        <w:pStyle w:val="Heading1"/>
        <w:rPr>
          <w:rFonts w:cs="Arial"/>
          <w:szCs w:val="24"/>
        </w:rPr>
      </w:pPr>
      <w:bookmarkStart w:id="1" w:name="_Toc240750047"/>
      <w:r w:rsidRPr="00381E85">
        <w:rPr>
          <w:rFonts w:cs="Arial"/>
          <w:szCs w:val="24"/>
        </w:rPr>
        <w:t>Task 1: Marketing Environment Analysis</w:t>
      </w:r>
      <w:bookmarkEnd w:id="1"/>
    </w:p>
    <w:p w14:paraId="128383BA" w14:textId="77777777" w:rsidR="00D06433" w:rsidRPr="00381E85" w:rsidRDefault="00C0494B" w:rsidP="00D06433">
      <w:pPr>
        <w:rPr>
          <w:rFonts w:cs="Arial"/>
          <w:szCs w:val="24"/>
        </w:rPr>
      </w:pPr>
      <w:r>
        <w:t>This analysis applies selected elements of the PESTEL framework—environmental, legal and social factors—to assess the macro-environmental pressures shaping BHP’s marketing decisions. Environmental pressures are the central focus because they influence regulation and business-to-business customer expectations. Kotler et al. (2024) explain that changes in the marketing environment affect an organisation’s ability to deliver customer value. For BHP, the strategic challenge is to reduce the impact of mining while supplying minerals needed for the energy transition (Yu, Ramanathan and Nath, 2017). This is a focused assessment, rather than a complete six-factor PESTEL analysis.</w:t>
      </w:r>
    </w:p>
    <w:p w14:paraId="5A61356F" w14:textId="6F5FE67B" w:rsidR="005A36DE" w:rsidRPr="00381E85" w:rsidRDefault="00F855FD" w:rsidP="005A36DE">
      <w:pPr>
        <w:rPr>
          <w:rFonts w:cs="Arial"/>
          <w:szCs w:val="24"/>
        </w:rPr>
      </w:pPr>
      <w:r w:rsidRPr="00381E85">
        <w:rPr>
          <w:rFonts w:cs="Arial"/>
          <w:b/>
          <w:szCs w:val="24"/>
        </w:rPr>
        <w:t xml:space="preserve">Environmental Factors: </w:t>
      </w:r>
      <w:r w:rsidR="00841111" w:rsidRPr="00381E85">
        <w:rPr>
          <w:rFonts w:cs="Arial"/>
          <w:szCs w:val="24"/>
        </w:rPr>
        <w:t>The external environment is both a source of opportunity and pressure for BHP. Climate change and global warming have created scrutiny of emission-based firms, whereas governments, investors, and communities expect mining entities to showcase progress</w:t>
      </w:r>
      <w:r w:rsidR="00204C53" w:rsidRPr="00381E85">
        <w:rPr>
          <w:rFonts w:cs="Arial"/>
          <w:szCs w:val="24"/>
        </w:rPr>
        <w:t xml:space="preserve"> (Adu, Flynn &amp; Grey, 2022)</w:t>
      </w:r>
      <w:r w:rsidR="00841111" w:rsidRPr="00381E85">
        <w:rPr>
          <w:rFonts w:cs="Arial"/>
          <w:szCs w:val="24"/>
        </w:rPr>
        <w:t>. In the case of BHP, this has created a marketing issue, as traditional models of mining rely on extracting and processing resources. These actions can create extensive environmental impact</w:t>
      </w:r>
      <w:r w:rsidR="00204C53" w:rsidRPr="00381E85">
        <w:rPr>
          <w:rFonts w:cs="Arial"/>
          <w:szCs w:val="24"/>
        </w:rPr>
        <w:t>,</w:t>
      </w:r>
      <w:r w:rsidR="00841111" w:rsidRPr="00381E85">
        <w:rPr>
          <w:rFonts w:cs="Arial"/>
          <w:szCs w:val="24"/>
        </w:rPr>
        <w:t xml:space="preserve"> and communicating sustainability commitment is not likely to generate long-term legitimacy.</w:t>
      </w:r>
      <w:r w:rsidR="005C6D0A" w:rsidRPr="00381E85">
        <w:rPr>
          <w:rFonts w:cs="Arial"/>
          <w:szCs w:val="24"/>
        </w:rPr>
        <w:t xml:space="preserve"> </w:t>
      </w:r>
      <w:r w:rsidR="005A36DE" w:rsidRPr="00381E85">
        <w:rPr>
          <w:rFonts w:cs="Arial"/>
          <w:szCs w:val="24"/>
        </w:rPr>
        <w:t>The environmental issue is critical as minerals can be transformed into clean energy. For instance, copper plays a significant role in electrification (</w:t>
      </w:r>
      <w:proofErr w:type="spellStart"/>
      <w:r w:rsidR="005A36DE" w:rsidRPr="00381E85">
        <w:rPr>
          <w:rFonts w:cs="Arial"/>
          <w:szCs w:val="24"/>
        </w:rPr>
        <w:t>Cathles</w:t>
      </w:r>
      <w:proofErr w:type="spellEnd"/>
      <w:r w:rsidR="005A36DE" w:rsidRPr="00381E85">
        <w:rPr>
          <w:rFonts w:cs="Arial"/>
          <w:szCs w:val="24"/>
        </w:rPr>
        <w:t xml:space="preserve">, Simon &amp; Wood, 2025). Consequently, there emerges a paradox since mining companies </w:t>
      </w:r>
      <w:proofErr w:type="gramStart"/>
      <w:r w:rsidR="005A36DE" w:rsidRPr="00381E85">
        <w:rPr>
          <w:rFonts w:cs="Arial"/>
          <w:szCs w:val="24"/>
        </w:rPr>
        <w:t>have to</w:t>
      </w:r>
      <w:proofErr w:type="gramEnd"/>
      <w:r w:rsidR="005A36DE" w:rsidRPr="00381E85">
        <w:rPr>
          <w:rFonts w:cs="Arial"/>
          <w:szCs w:val="24"/>
        </w:rPr>
        <w:t xml:space="preserve"> reduce their impact on the environment while their products facilitate decarbonization. Thus, it is essential to reposition the image of the company to promote the use of low-carbon minerals to meet the demand. However, the strategy </w:t>
      </w:r>
      <w:r w:rsidR="005A36DE" w:rsidRPr="00381E85">
        <w:rPr>
          <w:rFonts w:cs="Arial"/>
          <w:szCs w:val="24"/>
        </w:rPr>
        <w:lastRenderedPageBreak/>
        <w:t>should not be considered as sustainable as it leads to energy and biodiversity problems.</w:t>
      </w:r>
    </w:p>
    <w:p w14:paraId="5E4BCC5F" w14:textId="77777777" w:rsidR="00130B0B" w:rsidRPr="00381E85" w:rsidRDefault="005A36DE" w:rsidP="00D06433">
      <w:pPr>
        <w:rPr>
          <w:rFonts w:cs="Arial"/>
          <w:szCs w:val="24"/>
        </w:rPr>
      </w:pPr>
      <w:r w:rsidRPr="00381E85">
        <w:rPr>
          <w:rFonts w:cs="Arial"/>
          <w:szCs w:val="24"/>
        </w:rPr>
        <w:t>Moreover, global mining companies consume land, water, and natural resources (Marston, 2017). As a result, there is a growing concern that environmental damage is increasing operational costs</w:t>
      </w:r>
      <w:r w:rsidR="005C6D0A" w:rsidRPr="00381E85">
        <w:rPr>
          <w:rFonts w:cs="Arial"/>
          <w:szCs w:val="24"/>
        </w:rPr>
        <w:t>. This indicates that environmental management is not a reputational problem, but it influences overall operations and the value proposed to consumers. However, increased investments by BHP in electrification, renewable energy development, and production can generate both commercial and environmental benefits even if it minimises volatility of resources</w:t>
      </w:r>
      <w:r w:rsidR="00C0494B" w:rsidRPr="00381E85">
        <w:rPr>
          <w:rFonts w:cs="Arial"/>
          <w:szCs w:val="24"/>
        </w:rPr>
        <w:t>.</w:t>
      </w:r>
    </w:p>
    <w:p w14:paraId="1CEC4BAE" w14:textId="77777777" w:rsidR="005C6D0A" w:rsidRDefault="00B81AB8" w:rsidP="00D06433">
      <w:pPr>
        <w:rPr>
          <w:rFonts w:cs="Arial"/>
          <w:szCs w:val="24"/>
        </w:rPr>
      </w:pPr>
      <w:r w:rsidRPr="00D522D1">
        <w:rPr>
          <w:rFonts w:cs="Arial"/>
          <w:szCs w:val="24"/>
        </w:rPr>
        <w:t>The environmental factors affecting mining entities create a difficult trade-off. The low-carbon investments and technologies require adequate capital investments initially before the financial benefits are witnessed</w:t>
      </w:r>
      <w:r w:rsidR="00D522D1" w:rsidRPr="00D522D1">
        <w:rPr>
          <w:rFonts w:cs="Arial"/>
          <w:szCs w:val="24"/>
        </w:rPr>
        <w:t xml:space="preserve"> (Owen, Brennan &amp; Lyon, 2018)</w:t>
      </w:r>
      <w:r w:rsidRPr="00D522D1">
        <w:rPr>
          <w:rFonts w:cs="Arial"/>
          <w:szCs w:val="24"/>
        </w:rPr>
        <w:t>.</w:t>
      </w:r>
      <w:r w:rsidRPr="00381E85">
        <w:rPr>
          <w:rFonts w:cs="Arial"/>
          <w:szCs w:val="24"/>
        </w:rPr>
        <w:t xml:space="preserve"> BHP </w:t>
      </w:r>
      <w:r w:rsidRPr="00477C24">
        <w:rPr>
          <w:rFonts w:cs="Arial"/>
          <w:szCs w:val="24"/>
        </w:rPr>
        <w:t>prioritises performance of a firm without any productivity or costs, thereby reducing competitiveness</w:t>
      </w:r>
      <w:r w:rsidR="00477C24" w:rsidRPr="00477C24">
        <w:rPr>
          <w:rFonts w:cs="Arial"/>
          <w:szCs w:val="24"/>
        </w:rPr>
        <w:t xml:space="preserve"> (BHP, 2015</w:t>
      </w:r>
      <w:r w:rsidR="00477C24">
        <w:rPr>
          <w:rFonts w:cs="Arial"/>
          <w:szCs w:val="24"/>
        </w:rPr>
        <w:t>)</w:t>
      </w:r>
      <w:r w:rsidRPr="00381E85">
        <w:rPr>
          <w:rFonts w:cs="Arial"/>
          <w:szCs w:val="24"/>
        </w:rPr>
        <w:t>. On the other hand, delayed investments can minimise short-term expenses and increase technology disruption, regulations, and change consumer expectations. Therefore, the critical issue for BHP is not to respond to environmental issues, but to identify and select resources that can generate economic value while also resenting from harming the environment.</w:t>
      </w:r>
    </w:p>
    <w:p w14:paraId="30200CA8" w14:textId="77777777" w:rsidR="00130B0B" w:rsidRPr="00381E85" w:rsidRDefault="00130B0B" w:rsidP="00D06433">
      <w:pPr>
        <w:rPr>
          <w:rFonts w:cs="Arial"/>
          <w:szCs w:val="24"/>
        </w:rPr>
      </w:pPr>
      <w:r w:rsidRPr="00130B0B">
        <w:rPr>
          <w:rFonts w:cs="Arial"/>
          <w:szCs w:val="24"/>
        </w:rPr>
        <w:t>To overcome the environmental issues, it is critical for BHP to focus on tracking and minimising its emissions. These are divided into Scope 1 and 2 emissions from diverse assets. Scope 1 covers emissions from mining functions such as machinery at mining locations or fuel burned. Scope 2, on the other hand, covers emissions from obtaining electricity to continue operations. Therefore, BHP has developed medium and long-term goals of achieving net-zero emissions from operational functions. To sustain this, the organisation utilises renewable resources such as electricity and replaces its diesel-powered equipment with sustainable alternatives. This strategy allows regulators and buyers of BHP to take measurable measures to minimise its overall carbon footprint</w:t>
      </w:r>
      <w:r w:rsidR="000068BC">
        <w:rPr>
          <w:rFonts w:cs="Arial"/>
          <w:szCs w:val="24"/>
        </w:rPr>
        <w:t xml:space="preserve"> (BHP, 2026d)</w:t>
      </w:r>
      <w:r w:rsidRPr="00130B0B">
        <w:rPr>
          <w:rFonts w:cs="Arial"/>
          <w:szCs w:val="24"/>
        </w:rPr>
        <w:t>.</w:t>
      </w:r>
    </w:p>
    <w:p w14:paraId="58925695" w14:textId="6B854AF5" w:rsidR="00222E69" w:rsidRDefault="008D308F" w:rsidP="00D06433">
      <w:pPr>
        <w:rPr>
          <w:rFonts w:cs="Arial"/>
          <w:szCs w:val="24"/>
        </w:rPr>
      </w:pPr>
      <w:r w:rsidRPr="00AE7EA7">
        <w:rPr>
          <w:rFonts w:cs="Arial"/>
          <w:b/>
          <w:bCs/>
          <w:szCs w:val="24"/>
        </w:rPr>
        <w:t>Legal Factors:</w:t>
      </w:r>
      <w:r w:rsidRPr="00381E85">
        <w:rPr>
          <w:rFonts w:cs="Arial"/>
          <w:szCs w:val="24"/>
        </w:rPr>
        <w:t xml:space="preserve"> The government and regulatory bodies create environmental pressures for BHP. The introduction of environmental policies, emission targets, and carbon-based needs influence the manner in which miners report their overall performance (Nasih et al., 2019). </w:t>
      </w:r>
      <w:r w:rsidR="002308D3" w:rsidRPr="00381E85">
        <w:rPr>
          <w:rFonts w:cs="Arial"/>
          <w:szCs w:val="24"/>
        </w:rPr>
        <w:t xml:space="preserve">Such factors can reduce strategic </w:t>
      </w:r>
      <w:r w:rsidR="002E161E" w:rsidRPr="00381E85">
        <w:rPr>
          <w:rFonts w:cs="Arial"/>
          <w:szCs w:val="24"/>
        </w:rPr>
        <w:t>flexibility and</w:t>
      </w:r>
      <w:r w:rsidR="002308D3" w:rsidRPr="00381E85">
        <w:rPr>
          <w:rFonts w:cs="Arial"/>
          <w:szCs w:val="24"/>
        </w:rPr>
        <w:t xml:space="preserve"> </w:t>
      </w:r>
      <w:r w:rsidR="002308D3" w:rsidRPr="00381E85">
        <w:rPr>
          <w:rFonts w:cs="Arial"/>
          <w:szCs w:val="24"/>
        </w:rPr>
        <w:lastRenderedPageBreak/>
        <w:t>boost overall compliance costs. Yet, at the same time, the regulations may drive the emergence of several opportunities in the market, by stimulating investments in cleaner technologies, and reducing the need for low carbon materials</w:t>
      </w:r>
      <w:r w:rsidR="00A22E9E" w:rsidRPr="00381E85">
        <w:rPr>
          <w:rFonts w:cs="Arial"/>
          <w:szCs w:val="24"/>
        </w:rPr>
        <w:t xml:space="preserve">. </w:t>
      </w:r>
    </w:p>
    <w:p w14:paraId="01106BE6" w14:textId="7ED9259F" w:rsidR="00470E3B" w:rsidRPr="00381E85" w:rsidRDefault="00A22E9E" w:rsidP="00D06433">
      <w:pPr>
        <w:rPr>
          <w:rFonts w:cs="Arial"/>
          <w:szCs w:val="24"/>
        </w:rPr>
      </w:pPr>
      <w:r w:rsidRPr="00381E85">
        <w:rPr>
          <w:rFonts w:cs="Arial"/>
          <w:szCs w:val="24"/>
        </w:rPr>
        <w:t xml:space="preserve">In the case of BHP, regulatory issues create the need to show measurable progress and not rely on sustainability aspects. </w:t>
      </w:r>
      <w:r w:rsidR="00470E3B" w:rsidRPr="00381E85">
        <w:rPr>
          <w:rFonts w:cs="Arial"/>
          <w:szCs w:val="24"/>
        </w:rPr>
        <w:t xml:space="preserve">Diverse jurisdictions generally adopt different environmental standards and increase issues for mining firms. This results in a technology being commercially attractive in a specific </w:t>
      </w:r>
      <w:r w:rsidR="00470E3B" w:rsidRPr="00381E85">
        <w:rPr>
          <w:rFonts w:cs="Arial"/>
          <w:szCs w:val="24"/>
        </w:rPr>
        <w:t xml:space="preserve">market, </w:t>
      </w:r>
      <w:r w:rsidR="00AE7EA7" w:rsidRPr="00381E85">
        <w:rPr>
          <w:rFonts w:cs="Arial"/>
          <w:szCs w:val="24"/>
        </w:rPr>
        <w:t>but market</w:t>
      </w:r>
      <w:r w:rsidR="002E161E" w:rsidRPr="00381E85">
        <w:rPr>
          <w:rFonts w:cs="Arial"/>
          <w:szCs w:val="24"/>
        </w:rPr>
        <w:t xml:space="preserve"> </w:t>
      </w:r>
      <w:r w:rsidR="00470E3B" w:rsidRPr="00381E85">
        <w:rPr>
          <w:rFonts w:cs="Arial"/>
          <w:szCs w:val="24"/>
        </w:rPr>
        <w:t>encountering issues in approval or cost structure in another</w:t>
      </w:r>
      <w:r w:rsidR="00470E3B" w:rsidRPr="00222E69">
        <w:rPr>
          <w:rFonts w:cs="Arial"/>
          <w:szCs w:val="24"/>
        </w:rPr>
        <w:t>. Since BHP is operating globally, the company needs to balance local regulatory factors with global environmental aspects. This also leads to a strategic risk for the firm that excessive standardisation can overlook local needs, whereas increased focus on adaptation can minimise consistency and increase overall costs</w:t>
      </w:r>
      <w:r w:rsidR="00ED3389" w:rsidRPr="00222E69">
        <w:rPr>
          <w:rFonts w:cs="Arial"/>
          <w:szCs w:val="24"/>
        </w:rPr>
        <w:t xml:space="preserve"> (Biswas &amp; Rahman, 2023)</w:t>
      </w:r>
      <w:r w:rsidR="00470E3B" w:rsidRPr="00222E69">
        <w:rPr>
          <w:rFonts w:cs="Arial"/>
          <w:szCs w:val="24"/>
        </w:rPr>
        <w:t>.</w:t>
      </w:r>
    </w:p>
    <w:p w14:paraId="6E07FAE4" w14:textId="77777777" w:rsidR="00222E69" w:rsidRDefault="00470E3B" w:rsidP="00680F69">
      <w:pPr>
        <w:rPr>
          <w:rFonts w:cs="Arial"/>
          <w:szCs w:val="24"/>
        </w:rPr>
      </w:pPr>
      <w:r w:rsidRPr="00AE7EA7">
        <w:rPr>
          <w:rFonts w:cs="Arial"/>
          <w:b/>
          <w:bCs/>
          <w:szCs w:val="24"/>
        </w:rPr>
        <w:t>Social Factors:</w:t>
      </w:r>
      <w:r w:rsidR="00ED3389" w:rsidRPr="00381E85">
        <w:rPr>
          <w:rFonts w:cs="Arial"/>
          <w:szCs w:val="24"/>
        </w:rPr>
        <w:t xml:space="preserve"> The changing market and consumer expectations also influence the environmental performance of mining entities. </w:t>
      </w:r>
      <w:r w:rsidR="00944523" w:rsidRPr="00222E69">
        <w:rPr>
          <w:rFonts w:cs="Arial"/>
          <w:szCs w:val="24"/>
        </w:rPr>
        <w:t>The mining industry of Australia accounts for around 75% of its exports</w:t>
      </w:r>
      <w:r w:rsidR="00761EB9" w:rsidRPr="00222E69">
        <w:rPr>
          <w:rFonts w:cs="Arial"/>
          <w:szCs w:val="24"/>
        </w:rPr>
        <w:t xml:space="preserve"> (AUSIMM, 2026)</w:t>
      </w:r>
      <w:r w:rsidR="00944523" w:rsidRPr="00222E69">
        <w:rPr>
          <w:rFonts w:cs="Arial"/>
          <w:szCs w:val="24"/>
        </w:rPr>
        <w:t>. Low-carbon products and transparency in environmental communication are desirable for the population of Australia</w:t>
      </w:r>
      <w:r w:rsidR="00761EB9" w:rsidRPr="00222E69">
        <w:rPr>
          <w:rFonts w:cs="Arial"/>
          <w:szCs w:val="24"/>
        </w:rPr>
        <w:t xml:space="preserve"> (Adey et al., 2023)</w:t>
      </w:r>
      <w:r w:rsidR="00944523" w:rsidRPr="00222E69">
        <w:rPr>
          <w:rFonts w:cs="Arial"/>
          <w:szCs w:val="24"/>
        </w:rPr>
        <w:t>.</w:t>
      </w:r>
      <w:r w:rsidR="00944523" w:rsidRPr="00381E85">
        <w:rPr>
          <w:rFonts w:cs="Arial"/>
          <w:szCs w:val="24"/>
        </w:rPr>
        <w:t xml:space="preserve"> </w:t>
      </w:r>
    </w:p>
    <w:p w14:paraId="433100B4" w14:textId="77777777" w:rsidR="00680F69" w:rsidRPr="00381E85" w:rsidRDefault="00CB5924" w:rsidP="00680F69">
      <w:pPr>
        <w:rPr>
          <w:rFonts w:cs="Arial"/>
          <w:szCs w:val="24"/>
          <w:lang w:val="en-IN"/>
        </w:rPr>
      </w:pPr>
      <w:r w:rsidRPr="00381E85">
        <w:rPr>
          <w:rFonts w:cs="Arial"/>
          <w:szCs w:val="24"/>
        </w:rPr>
        <w:t>For BHP, consumer pressure is analysed through B2B demand from smelters, steelmakers, manufacturers and other buyers opting for reliable supply of minerals along with certification of decarbonisation.</w:t>
      </w:r>
      <w:r w:rsidR="00944523" w:rsidRPr="00381E85">
        <w:rPr>
          <w:rFonts w:cs="Arial"/>
          <w:szCs w:val="24"/>
        </w:rPr>
        <w:t xml:space="preserve"> Changing consumer expectations also create a prospect for the company to develop strategic relations with them. </w:t>
      </w:r>
      <w:r w:rsidR="00680F69" w:rsidRPr="00381E85">
        <w:rPr>
          <w:rFonts w:cs="Arial"/>
          <w:szCs w:val="24"/>
          <w:lang w:val="en-IN"/>
        </w:rPr>
        <w:t>Therefore, BHP can gather feedback from the consumers, develop its products, supply requirements, and satisfy specific needs. This would enable the company to transform from running as a sustainability firm to working to meet consumer value.</w:t>
      </w:r>
    </w:p>
    <w:p w14:paraId="49F4D2C8" w14:textId="77777777" w:rsidR="00680F69" w:rsidRPr="00222E69" w:rsidRDefault="00680F69" w:rsidP="00680F69">
      <w:pPr>
        <w:rPr>
          <w:rFonts w:cs="Arial"/>
          <w:szCs w:val="24"/>
          <w:lang w:val="en-IN"/>
        </w:rPr>
      </w:pPr>
      <w:r w:rsidRPr="00381E85">
        <w:rPr>
          <w:rFonts w:cs="Arial"/>
          <w:szCs w:val="24"/>
          <w:lang w:val="en-IN"/>
        </w:rPr>
        <w:t xml:space="preserve">Other than the consumers, the competitors in the society also cause pressure on BHP to reduce its </w:t>
      </w:r>
      <w:r w:rsidRPr="00222E69">
        <w:rPr>
          <w:rFonts w:cs="Arial"/>
          <w:szCs w:val="24"/>
          <w:lang w:val="en-IN"/>
        </w:rPr>
        <w:t xml:space="preserve">carbon production. Rival entities of BHP in Australia such as Rio Tinto and Fortescue invest significantly in clean resources to reduce the differentiation strategies adopted by BHP currently. The fact that sustainability claims are not likely to be a source of market competition implies that BHP should reduce emissions through supply chain reliability, cost efficiency, and improved technological capabilities. Moreover, competitor pressure may lead to innovation by improving </w:t>
      </w:r>
      <w:r w:rsidRPr="00222E69">
        <w:rPr>
          <w:rFonts w:cs="Arial"/>
          <w:szCs w:val="24"/>
          <w:lang w:val="en-IN"/>
        </w:rPr>
        <w:lastRenderedPageBreak/>
        <w:t>performance benchmarks and reflecting the inadequacy of advanced technologies (Jiang et al., 2020).</w:t>
      </w:r>
    </w:p>
    <w:p w14:paraId="504710E1" w14:textId="77777777" w:rsidR="00DD488F" w:rsidRPr="00381E85" w:rsidRDefault="00680F69" w:rsidP="00D06433">
      <w:pPr>
        <w:rPr>
          <w:rFonts w:cs="Arial"/>
          <w:szCs w:val="24"/>
          <w:lang w:val="en-IN"/>
        </w:rPr>
      </w:pPr>
      <w:r w:rsidRPr="00222E69">
        <w:rPr>
          <w:rFonts w:cs="Arial"/>
          <w:szCs w:val="24"/>
          <w:lang w:val="en-IN"/>
        </w:rPr>
        <w:t xml:space="preserve">The need for transforming existing minerals has growth prospects for BHP. Nevertheless, competitors can offer commodities by following </w:t>
      </w:r>
      <w:r w:rsidR="00222E69" w:rsidRPr="00222E69">
        <w:rPr>
          <w:rFonts w:cs="Arial"/>
          <w:szCs w:val="24"/>
          <w:lang w:val="en-IN"/>
        </w:rPr>
        <w:t xml:space="preserve">net-zero </w:t>
      </w:r>
      <w:r w:rsidRPr="00222E69">
        <w:rPr>
          <w:rFonts w:cs="Arial"/>
          <w:szCs w:val="24"/>
          <w:lang w:val="en-IN"/>
        </w:rPr>
        <w:t>environmental regulations. Therefore, environmental sustainability generates an opportunity only when BHP can transform its</w:t>
      </w:r>
      <w:r w:rsidRPr="00381E85">
        <w:rPr>
          <w:rFonts w:cs="Arial"/>
          <w:szCs w:val="24"/>
          <w:lang w:val="en-IN"/>
        </w:rPr>
        <w:t xml:space="preserve"> environmental needs into measurable and relevant consumer value. The main challenge of the firm is to reduce environmental effects while ensuring competitiveness, making its strategic growth prospects a vital aspect of the business. These findings are critical for examining the strategic growth options of BHP in Australia.</w:t>
      </w:r>
    </w:p>
    <w:p w14:paraId="515F79DA" w14:textId="77777777" w:rsidR="000B1930" w:rsidRDefault="000B1930" w:rsidP="001A7322">
      <w:pPr>
        <w:jc w:val="center"/>
        <w:rPr>
          <w:rFonts w:cs="Arial"/>
          <w:b/>
          <w:bCs/>
          <w:szCs w:val="24"/>
        </w:rPr>
      </w:pPr>
    </w:p>
    <w:p w14:paraId="56D29289" w14:textId="77777777" w:rsidR="00AD65FF" w:rsidRPr="00381E85" w:rsidRDefault="001A7322" w:rsidP="001A7322">
      <w:pPr>
        <w:jc w:val="center"/>
        <w:rPr>
          <w:rFonts w:cs="Arial"/>
          <w:b/>
          <w:bCs/>
          <w:szCs w:val="24"/>
        </w:rPr>
      </w:pPr>
      <w:r w:rsidRPr="00381E85">
        <w:rPr>
          <w:rFonts w:cs="Arial"/>
          <w:b/>
          <w:bCs/>
          <w:szCs w:val="24"/>
        </w:rPr>
        <w:t>Table 1: Critical Evaluation of External Marketing Factors</w:t>
      </w:r>
    </w:p>
    <w:tbl>
      <w:tblPr>
        <w:tblStyle w:val="TableGrid"/>
        <w:tblW w:w="0" w:type="auto"/>
        <w:tblLook w:val="04A0" w:firstRow="1" w:lastRow="0" w:firstColumn="1" w:lastColumn="0" w:noHBand="0" w:noVBand="1"/>
      </w:tblPr>
      <w:tblGrid>
        <w:gridCol w:w="1803"/>
        <w:gridCol w:w="1803"/>
        <w:gridCol w:w="1803"/>
        <w:gridCol w:w="1803"/>
        <w:gridCol w:w="1804"/>
      </w:tblGrid>
      <w:tr w:rsidR="001A7322" w:rsidRPr="00381E85" w14:paraId="61FD1F85" w14:textId="77777777" w:rsidTr="001A7322">
        <w:tc>
          <w:tcPr>
            <w:tcW w:w="1803" w:type="dxa"/>
          </w:tcPr>
          <w:p w14:paraId="674C72A6" w14:textId="77777777" w:rsidR="001A7322" w:rsidRPr="00381E85" w:rsidRDefault="00CA7EB6" w:rsidP="00D06433">
            <w:pPr>
              <w:rPr>
                <w:rFonts w:cs="Arial"/>
                <w:b/>
                <w:bCs/>
                <w:szCs w:val="24"/>
              </w:rPr>
            </w:pPr>
            <w:r w:rsidRPr="00381E85">
              <w:rPr>
                <w:rFonts w:cs="Arial"/>
                <w:b/>
                <w:bCs/>
                <w:szCs w:val="24"/>
              </w:rPr>
              <w:t>Actors</w:t>
            </w:r>
          </w:p>
        </w:tc>
        <w:tc>
          <w:tcPr>
            <w:tcW w:w="1803" w:type="dxa"/>
          </w:tcPr>
          <w:p w14:paraId="7AD7452F" w14:textId="77777777" w:rsidR="001A7322" w:rsidRPr="00381E85" w:rsidRDefault="00CA7EB6" w:rsidP="00D06433">
            <w:pPr>
              <w:rPr>
                <w:rFonts w:cs="Arial"/>
                <w:b/>
                <w:bCs/>
                <w:szCs w:val="24"/>
              </w:rPr>
            </w:pPr>
            <w:r w:rsidRPr="00381E85">
              <w:rPr>
                <w:rFonts w:cs="Arial"/>
                <w:b/>
                <w:bCs/>
                <w:szCs w:val="24"/>
              </w:rPr>
              <w:t>Opportunities</w:t>
            </w:r>
          </w:p>
        </w:tc>
        <w:tc>
          <w:tcPr>
            <w:tcW w:w="1803" w:type="dxa"/>
          </w:tcPr>
          <w:p w14:paraId="2F861815" w14:textId="77777777" w:rsidR="001A7322" w:rsidRPr="00381E85" w:rsidRDefault="00CA7EB6" w:rsidP="00D06433">
            <w:pPr>
              <w:rPr>
                <w:rFonts w:cs="Arial"/>
                <w:b/>
                <w:bCs/>
                <w:szCs w:val="24"/>
              </w:rPr>
            </w:pPr>
            <w:r w:rsidRPr="00381E85">
              <w:rPr>
                <w:rFonts w:cs="Arial"/>
                <w:b/>
                <w:bCs/>
                <w:szCs w:val="24"/>
              </w:rPr>
              <w:t>Risks</w:t>
            </w:r>
          </w:p>
        </w:tc>
        <w:tc>
          <w:tcPr>
            <w:tcW w:w="1803" w:type="dxa"/>
          </w:tcPr>
          <w:p w14:paraId="4656A8C8" w14:textId="77777777" w:rsidR="001A7322" w:rsidRPr="00381E85" w:rsidRDefault="00CA7EB6" w:rsidP="00D06433">
            <w:pPr>
              <w:rPr>
                <w:rFonts w:cs="Arial"/>
                <w:b/>
                <w:bCs/>
                <w:szCs w:val="24"/>
              </w:rPr>
            </w:pPr>
            <w:r w:rsidRPr="00381E85">
              <w:rPr>
                <w:rFonts w:cs="Arial"/>
                <w:b/>
                <w:bCs/>
                <w:szCs w:val="24"/>
              </w:rPr>
              <w:t>Impact on BHP</w:t>
            </w:r>
          </w:p>
        </w:tc>
        <w:tc>
          <w:tcPr>
            <w:tcW w:w="1804" w:type="dxa"/>
          </w:tcPr>
          <w:p w14:paraId="0595E19E" w14:textId="77777777" w:rsidR="001A7322" w:rsidRPr="00381E85" w:rsidRDefault="00CA7EB6" w:rsidP="00D06433">
            <w:pPr>
              <w:rPr>
                <w:rFonts w:cs="Arial"/>
                <w:b/>
                <w:bCs/>
                <w:szCs w:val="24"/>
              </w:rPr>
            </w:pPr>
            <w:r w:rsidRPr="00381E85">
              <w:rPr>
                <w:rFonts w:cs="Arial"/>
                <w:b/>
                <w:bCs/>
                <w:szCs w:val="24"/>
              </w:rPr>
              <w:t>Mitigation Measures</w:t>
            </w:r>
          </w:p>
        </w:tc>
      </w:tr>
      <w:tr w:rsidR="001A7322" w:rsidRPr="00381E85" w14:paraId="7EF97684" w14:textId="77777777" w:rsidTr="001A7322">
        <w:tc>
          <w:tcPr>
            <w:tcW w:w="1803" w:type="dxa"/>
          </w:tcPr>
          <w:p w14:paraId="46AF2934" w14:textId="77777777" w:rsidR="001A7322" w:rsidRPr="00381E85" w:rsidRDefault="00CA7EB6" w:rsidP="00D06433">
            <w:pPr>
              <w:rPr>
                <w:rFonts w:cs="Arial"/>
                <w:szCs w:val="24"/>
              </w:rPr>
            </w:pPr>
            <w:r w:rsidRPr="00381E85">
              <w:rPr>
                <w:rFonts w:cs="Arial"/>
                <w:szCs w:val="24"/>
              </w:rPr>
              <w:t>Environment</w:t>
            </w:r>
            <w:r w:rsidR="00AC4967">
              <w:rPr>
                <w:rFonts w:cs="Arial"/>
                <w:szCs w:val="24"/>
              </w:rPr>
              <w:t>al</w:t>
            </w:r>
          </w:p>
        </w:tc>
        <w:tc>
          <w:tcPr>
            <w:tcW w:w="1803" w:type="dxa"/>
          </w:tcPr>
          <w:p w14:paraId="48CC7B58" w14:textId="77777777" w:rsidR="001A7322" w:rsidRPr="00381E85" w:rsidRDefault="00CA7EB6" w:rsidP="00D06433">
            <w:pPr>
              <w:rPr>
                <w:rFonts w:cs="Arial"/>
                <w:szCs w:val="24"/>
              </w:rPr>
            </w:pPr>
            <w:r w:rsidRPr="00381E85">
              <w:rPr>
                <w:rFonts w:cs="Arial"/>
                <w:szCs w:val="24"/>
              </w:rPr>
              <w:t>Rising demand for low-carbon minerals</w:t>
            </w:r>
          </w:p>
        </w:tc>
        <w:tc>
          <w:tcPr>
            <w:tcW w:w="1803" w:type="dxa"/>
          </w:tcPr>
          <w:p w14:paraId="67A4B56F" w14:textId="77777777" w:rsidR="001A7322" w:rsidRPr="00381E85" w:rsidRDefault="00CA7EB6" w:rsidP="00D06433">
            <w:pPr>
              <w:rPr>
                <w:rFonts w:cs="Arial"/>
                <w:szCs w:val="24"/>
              </w:rPr>
            </w:pPr>
            <w:r w:rsidRPr="00381E85">
              <w:rPr>
                <w:rFonts w:cs="Arial"/>
                <w:szCs w:val="24"/>
              </w:rPr>
              <w:t>Damage to the environment</w:t>
            </w:r>
          </w:p>
        </w:tc>
        <w:tc>
          <w:tcPr>
            <w:tcW w:w="1803" w:type="dxa"/>
          </w:tcPr>
          <w:p w14:paraId="34D154B1" w14:textId="77777777" w:rsidR="001A7322" w:rsidRPr="00381E85" w:rsidRDefault="00CA7EB6" w:rsidP="00D06433">
            <w:pPr>
              <w:rPr>
                <w:rFonts w:cs="Arial"/>
                <w:szCs w:val="24"/>
              </w:rPr>
            </w:pPr>
            <w:r w:rsidRPr="00381E85">
              <w:rPr>
                <w:rFonts w:cs="Arial"/>
                <w:szCs w:val="24"/>
              </w:rPr>
              <w:t>Creates pressure to develop carbon-neutral strategies</w:t>
            </w:r>
          </w:p>
        </w:tc>
        <w:tc>
          <w:tcPr>
            <w:tcW w:w="1804" w:type="dxa"/>
          </w:tcPr>
          <w:p w14:paraId="5DAADD52" w14:textId="77777777" w:rsidR="001A7322" w:rsidRPr="00D74974" w:rsidRDefault="00CA7EB6" w:rsidP="00D06433">
            <w:pPr>
              <w:rPr>
                <w:rFonts w:cs="Arial"/>
                <w:szCs w:val="24"/>
                <w:highlight w:val="yellow"/>
              </w:rPr>
            </w:pPr>
            <w:r w:rsidRPr="00D74974">
              <w:rPr>
                <w:rFonts w:cs="Arial"/>
                <w:szCs w:val="24"/>
              </w:rPr>
              <w:t>Adoption of clean technologies</w:t>
            </w:r>
            <w:r w:rsidR="00D74974" w:rsidRPr="00D74974">
              <w:rPr>
                <w:rFonts w:cs="Arial"/>
                <w:szCs w:val="24"/>
              </w:rPr>
              <w:t xml:space="preserve"> (BHP, 2023).</w:t>
            </w:r>
          </w:p>
        </w:tc>
      </w:tr>
      <w:tr w:rsidR="001A7322" w:rsidRPr="00381E85" w14:paraId="7A0E16F6" w14:textId="77777777" w:rsidTr="001A7322">
        <w:tc>
          <w:tcPr>
            <w:tcW w:w="1803" w:type="dxa"/>
          </w:tcPr>
          <w:p w14:paraId="43449D17" w14:textId="77777777" w:rsidR="00C64A77" w:rsidRDefault="00000000">
            <w:r>
              <w:t>Legal (government and regulators)</w:t>
            </w:r>
          </w:p>
        </w:tc>
        <w:tc>
          <w:tcPr>
            <w:tcW w:w="1803" w:type="dxa"/>
          </w:tcPr>
          <w:p w14:paraId="3A4B4E01" w14:textId="77777777" w:rsidR="001A7322" w:rsidRPr="00381E85" w:rsidRDefault="00CB5924" w:rsidP="00D06433">
            <w:pPr>
              <w:rPr>
                <w:rFonts w:cs="Arial"/>
                <w:szCs w:val="24"/>
              </w:rPr>
            </w:pPr>
            <w:r w:rsidRPr="00381E85">
              <w:rPr>
                <w:rFonts w:cs="Arial"/>
                <w:szCs w:val="24"/>
              </w:rPr>
              <w:t>Credibility with the buyers</w:t>
            </w:r>
          </w:p>
        </w:tc>
        <w:tc>
          <w:tcPr>
            <w:tcW w:w="1803" w:type="dxa"/>
          </w:tcPr>
          <w:p w14:paraId="75FC3D40" w14:textId="77777777" w:rsidR="001A7322" w:rsidRPr="00381E85" w:rsidRDefault="00CA7EB6" w:rsidP="00D06433">
            <w:pPr>
              <w:rPr>
                <w:rFonts w:cs="Arial"/>
                <w:szCs w:val="24"/>
              </w:rPr>
            </w:pPr>
            <w:r w:rsidRPr="00381E85">
              <w:rPr>
                <w:rFonts w:cs="Arial"/>
                <w:szCs w:val="24"/>
              </w:rPr>
              <w:t>High Compliance expenses</w:t>
            </w:r>
          </w:p>
        </w:tc>
        <w:tc>
          <w:tcPr>
            <w:tcW w:w="1803" w:type="dxa"/>
          </w:tcPr>
          <w:p w14:paraId="68C6A5A0" w14:textId="77777777" w:rsidR="001A7322" w:rsidRPr="00381E85" w:rsidRDefault="00CA7EB6" w:rsidP="00D06433">
            <w:pPr>
              <w:rPr>
                <w:rFonts w:cs="Arial"/>
                <w:szCs w:val="24"/>
              </w:rPr>
            </w:pPr>
            <w:r w:rsidRPr="00381E85">
              <w:rPr>
                <w:rFonts w:cs="Arial"/>
                <w:szCs w:val="24"/>
              </w:rPr>
              <w:t>In</w:t>
            </w:r>
            <w:r w:rsidRPr="00290F54">
              <w:rPr>
                <w:rFonts w:cs="Arial"/>
                <w:szCs w:val="24"/>
              </w:rPr>
              <w:t>vestment needs increase</w:t>
            </w:r>
            <w:r w:rsidR="00CB5924" w:rsidRPr="00290F54">
              <w:rPr>
                <w:rFonts w:cs="Arial"/>
                <w:szCs w:val="24"/>
              </w:rPr>
              <w:t>, and emission data can drive B2B positioning of the firm</w:t>
            </w:r>
            <w:r w:rsidR="00290F54" w:rsidRPr="00290F54">
              <w:rPr>
                <w:rFonts w:cs="Arial"/>
                <w:szCs w:val="24"/>
              </w:rPr>
              <w:t xml:space="preserve"> (BHP, 2024).</w:t>
            </w:r>
          </w:p>
        </w:tc>
        <w:tc>
          <w:tcPr>
            <w:tcW w:w="1804" w:type="dxa"/>
          </w:tcPr>
          <w:p w14:paraId="27CCE230" w14:textId="77777777" w:rsidR="001A7322" w:rsidRPr="00381E85" w:rsidRDefault="00CA7EB6" w:rsidP="00D06433">
            <w:pPr>
              <w:rPr>
                <w:rFonts w:cs="Arial"/>
                <w:szCs w:val="24"/>
              </w:rPr>
            </w:pPr>
            <w:r w:rsidRPr="00381E85">
              <w:rPr>
                <w:rFonts w:cs="Arial"/>
                <w:szCs w:val="24"/>
              </w:rPr>
              <w:t>Monitoring of regulations</w:t>
            </w:r>
            <w:r w:rsidR="00CB5924" w:rsidRPr="00381E85">
              <w:rPr>
                <w:rFonts w:cs="Arial"/>
                <w:szCs w:val="24"/>
              </w:rPr>
              <w:t xml:space="preserve"> and including data in contracts</w:t>
            </w:r>
          </w:p>
        </w:tc>
      </w:tr>
      <w:tr w:rsidR="001A7322" w:rsidRPr="00381E85" w14:paraId="3986D60C" w14:textId="77777777" w:rsidTr="001A7322">
        <w:tc>
          <w:tcPr>
            <w:tcW w:w="1803" w:type="dxa"/>
          </w:tcPr>
          <w:p w14:paraId="0993DF2B" w14:textId="77777777" w:rsidR="00C64A77" w:rsidRDefault="00000000">
            <w:r>
              <w:t>Social (B2B customers and expectations)</w:t>
            </w:r>
          </w:p>
        </w:tc>
        <w:tc>
          <w:tcPr>
            <w:tcW w:w="1803" w:type="dxa"/>
          </w:tcPr>
          <w:p w14:paraId="08E53B95" w14:textId="77777777" w:rsidR="001A7322" w:rsidRPr="00381E85" w:rsidRDefault="00CA7EB6" w:rsidP="00D06433">
            <w:pPr>
              <w:rPr>
                <w:rFonts w:cs="Arial"/>
                <w:szCs w:val="24"/>
              </w:rPr>
            </w:pPr>
            <w:r w:rsidRPr="00381E85">
              <w:rPr>
                <w:rFonts w:cs="Arial"/>
                <w:szCs w:val="24"/>
              </w:rPr>
              <w:t>Rising need for sustainable supply</w:t>
            </w:r>
          </w:p>
        </w:tc>
        <w:tc>
          <w:tcPr>
            <w:tcW w:w="1803" w:type="dxa"/>
          </w:tcPr>
          <w:p w14:paraId="5D2B7721" w14:textId="77777777" w:rsidR="001A7322" w:rsidRPr="00381E85" w:rsidRDefault="00CA7EB6" w:rsidP="00D06433">
            <w:pPr>
              <w:rPr>
                <w:rFonts w:cs="Arial"/>
                <w:szCs w:val="24"/>
              </w:rPr>
            </w:pPr>
            <w:r w:rsidRPr="00381E85">
              <w:rPr>
                <w:rFonts w:cs="Arial"/>
                <w:szCs w:val="24"/>
              </w:rPr>
              <w:t>Lack of willingness to pay</w:t>
            </w:r>
          </w:p>
        </w:tc>
        <w:tc>
          <w:tcPr>
            <w:tcW w:w="1803" w:type="dxa"/>
          </w:tcPr>
          <w:p w14:paraId="67860913" w14:textId="77777777" w:rsidR="00C64A77" w:rsidRDefault="00000000">
            <w:r>
              <w:t xml:space="preserve">Buyer demand for transparent, lower-carbon mineral supply </w:t>
            </w:r>
            <w:r>
              <w:lastRenderedPageBreak/>
              <w:t>influences positioning and commercial value.</w:t>
            </w:r>
          </w:p>
        </w:tc>
        <w:tc>
          <w:tcPr>
            <w:tcW w:w="1804" w:type="dxa"/>
          </w:tcPr>
          <w:p w14:paraId="1C1700CF" w14:textId="77777777" w:rsidR="00C64A77" w:rsidRDefault="00000000">
            <w:r>
              <w:lastRenderedPageBreak/>
              <w:t xml:space="preserve">Provide verifiable emissions information and engage </w:t>
            </w:r>
            <w:r>
              <w:lastRenderedPageBreak/>
              <w:t>with customers.</w:t>
            </w:r>
          </w:p>
        </w:tc>
      </w:tr>
    </w:tbl>
    <w:p w14:paraId="04CE63D4" w14:textId="77777777" w:rsidR="001A7322" w:rsidRPr="00381E85" w:rsidRDefault="001A7322" w:rsidP="00D06433">
      <w:pPr>
        <w:rPr>
          <w:rFonts w:cs="Arial"/>
          <w:szCs w:val="24"/>
        </w:rPr>
      </w:pPr>
    </w:p>
    <w:p w14:paraId="7CD86AD8" w14:textId="77777777" w:rsidR="00DE7ED9" w:rsidRPr="00381E85" w:rsidRDefault="00DE7ED9" w:rsidP="00DE7ED9">
      <w:pPr>
        <w:pStyle w:val="Heading1"/>
        <w:rPr>
          <w:rFonts w:cs="Arial"/>
          <w:szCs w:val="24"/>
        </w:rPr>
      </w:pPr>
      <w:bookmarkStart w:id="2" w:name="_Toc240750048"/>
      <w:r w:rsidRPr="00381E85">
        <w:rPr>
          <w:rFonts w:cs="Arial"/>
          <w:szCs w:val="24"/>
        </w:rPr>
        <w:t>Task 2: Strategic Growth and Competitive Position</w:t>
      </w:r>
      <w:bookmarkEnd w:id="2"/>
    </w:p>
    <w:p w14:paraId="1587CE77" w14:textId="77777777" w:rsidR="004742B1" w:rsidRPr="00222E69" w:rsidRDefault="00680F69" w:rsidP="00222E69">
      <w:pPr>
        <w:rPr>
          <w:rFonts w:cs="Arial"/>
          <w:szCs w:val="24"/>
        </w:rPr>
      </w:pPr>
      <w:r>
        <w:t>The preceding assessment suggests that decarbonisation should be considered not only as a compliance requirement but also as a potential growth opportunity for BHP. Ansoff’s matrix distinguishes four options according to existing and new products and markets (Zugay, 2023). Table 2 compares these alternatives before selecting a strategic direction.</w:t>
      </w:r>
    </w:p>
    <w:p w14:paraId="16087796" w14:textId="77777777" w:rsidR="00E006BF" w:rsidRPr="004742B1" w:rsidRDefault="00E006BF" w:rsidP="004742B1">
      <w:pPr>
        <w:jc w:val="center"/>
        <w:rPr>
          <w:rFonts w:cs="Arial"/>
          <w:b/>
          <w:bCs/>
          <w:szCs w:val="24"/>
        </w:rPr>
      </w:pPr>
      <w:r w:rsidRPr="00381E85">
        <w:rPr>
          <w:rFonts w:cs="Arial"/>
          <w:b/>
          <w:bCs/>
          <w:szCs w:val="24"/>
        </w:rPr>
        <w:t>Table 2: Application of Ansoff Matrix to BHP</w:t>
      </w:r>
    </w:p>
    <w:tbl>
      <w:tblPr>
        <w:tblStyle w:val="TableGrid"/>
        <w:tblW w:w="0" w:type="auto"/>
        <w:tblLook w:val="04A0" w:firstRow="1" w:lastRow="0" w:firstColumn="1" w:lastColumn="0" w:noHBand="0" w:noVBand="1"/>
      </w:tblPr>
      <w:tblGrid>
        <w:gridCol w:w="1773"/>
        <w:gridCol w:w="1711"/>
        <w:gridCol w:w="1883"/>
        <w:gridCol w:w="1738"/>
        <w:gridCol w:w="1911"/>
      </w:tblGrid>
      <w:tr w:rsidR="00E006BF" w:rsidRPr="00381E85" w14:paraId="2E898B34" w14:textId="77777777" w:rsidTr="00E006BF">
        <w:tc>
          <w:tcPr>
            <w:tcW w:w="1851" w:type="dxa"/>
          </w:tcPr>
          <w:p w14:paraId="5DE06C7D" w14:textId="77777777" w:rsidR="00E006BF" w:rsidRPr="00381E85" w:rsidRDefault="00E006BF" w:rsidP="00CA7EB6">
            <w:pPr>
              <w:rPr>
                <w:rFonts w:cs="Arial"/>
                <w:b/>
                <w:bCs/>
                <w:szCs w:val="24"/>
              </w:rPr>
            </w:pPr>
            <w:r w:rsidRPr="00381E85">
              <w:rPr>
                <w:rFonts w:cs="Arial"/>
                <w:b/>
                <w:bCs/>
                <w:szCs w:val="24"/>
              </w:rPr>
              <w:t>Ansoff Strategies</w:t>
            </w:r>
          </w:p>
        </w:tc>
        <w:tc>
          <w:tcPr>
            <w:tcW w:w="1895" w:type="dxa"/>
          </w:tcPr>
          <w:p w14:paraId="05AEDDB1" w14:textId="77777777" w:rsidR="00E006BF" w:rsidRPr="00381E85" w:rsidRDefault="00E006BF" w:rsidP="00CA7EB6">
            <w:pPr>
              <w:rPr>
                <w:rFonts w:cs="Arial"/>
                <w:b/>
                <w:bCs/>
                <w:szCs w:val="24"/>
              </w:rPr>
            </w:pPr>
            <w:r w:rsidRPr="00381E85">
              <w:rPr>
                <w:rFonts w:cs="Arial"/>
                <w:b/>
                <w:bCs/>
                <w:szCs w:val="24"/>
              </w:rPr>
              <w:t>Application to BHP</w:t>
            </w:r>
          </w:p>
        </w:tc>
        <w:tc>
          <w:tcPr>
            <w:tcW w:w="1998" w:type="dxa"/>
          </w:tcPr>
          <w:p w14:paraId="207B8075" w14:textId="77777777" w:rsidR="00E006BF" w:rsidRPr="00381E85" w:rsidRDefault="00E006BF" w:rsidP="00CA7EB6">
            <w:pPr>
              <w:rPr>
                <w:rFonts w:cs="Arial"/>
                <w:b/>
                <w:bCs/>
                <w:szCs w:val="24"/>
              </w:rPr>
            </w:pPr>
            <w:r w:rsidRPr="00381E85">
              <w:rPr>
                <w:rFonts w:cs="Arial"/>
                <w:b/>
                <w:bCs/>
                <w:szCs w:val="24"/>
              </w:rPr>
              <w:t>Opportunities</w:t>
            </w:r>
          </w:p>
        </w:tc>
        <w:tc>
          <w:tcPr>
            <w:tcW w:w="1889" w:type="dxa"/>
          </w:tcPr>
          <w:p w14:paraId="3CFBC1F9" w14:textId="77777777" w:rsidR="00E006BF" w:rsidRPr="00381E85" w:rsidRDefault="00E006BF" w:rsidP="00CA7EB6">
            <w:pPr>
              <w:rPr>
                <w:rFonts w:cs="Arial"/>
                <w:b/>
                <w:bCs/>
                <w:szCs w:val="24"/>
              </w:rPr>
            </w:pPr>
            <w:r w:rsidRPr="00381E85">
              <w:rPr>
                <w:rFonts w:cs="Arial"/>
                <w:b/>
                <w:bCs/>
                <w:szCs w:val="24"/>
              </w:rPr>
              <w:t>Limitations</w:t>
            </w:r>
          </w:p>
        </w:tc>
        <w:tc>
          <w:tcPr>
            <w:tcW w:w="1383" w:type="dxa"/>
          </w:tcPr>
          <w:p w14:paraId="214D5383" w14:textId="77777777" w:rsidR="00E006BF" w:rsidRPr="00381E85" w:rsidRDefault="00E006BF" w:rsidP="00CA7EB6">
            <w:pPr>
              <w:rPr>
                <w:rFonts w:cs="Arial"/>
                <w:b/>
                <w:bCs/>
                <w:szCs w:val="24"/>
              </w:rPr>
            </w:pPr>
            <w:r w:rsidRPr="00381E85">
              <w:rPr>
                <w:rFonts w:cs="Arial"/>
                <w:b/>
                <w:bCs/>
                <w:szCs w:val="24"/>
              </w:rPr>
              <w:t>Strategic Responses</w:t>
            </w:r>
          </w:p>
        </w:tc>
      </w:tr>
      <w:tr w:rsidR="00E006BF" w:rsidRPr="00381E85" w14:paraId="0E8EE550" w14:textId="77777777" w:rsidTr="00E006BF">
        <w:tc>
          <w:tcPr>
            <w:tcW w:w="1851" w:type="dxa"/>
          </w:tcPr>
          <w:p w14:paraId="6DAE0FB9" w14:textId="77777777" w:rsidR="00E006BF" w:rsidRPr="00381E85" w:rsidRDefault="00E006BF" w:rsidP="00CA7EB6">
            <w:pPr>
              <w:rPr>
                <w:rFonts w:cs="Arial"/>
                <w:szCs w:val="24"/>
              </w:rPr>
            </w:pPr>
            <w:r w:rsidRPr="00381E85">
              <w:rPr>
                <w:rFonts w:cs="Arial"/>
                <w:szCs w:val="24"/>
              </w:rPr>
              <w:t>Market Penetration</w:t>
            </w:r>
          </w:p>
        </w:tc>
        <w:tc>
          <w:tcPr>
            <w:tcW w:w="1895" w:type="dxa"/>
          </w:tcPr>
          <w:p w14:paraId="499E1123" w14:textId="77777777" w:rsidR="00E006BF" w:rsidRPr="00381E85" w:rsidRDefault="00E006BF" w:rsidP="00CA7EB6">
            <w:pPr>
              <w:rPr>
                <w:rFonts w:cs="Arial"/>
                <w:szCs w:val="24"/>
              </w:rPr>
            </w:pPr>
            <w:r w:rsidRPr="00381E85">
              <w:rPr>
                <w:rFonts w:cs="Arial"/>
                <w:szCs w:val="24"/>
              </w:rPr>
              <w:t>Increasing production and sales of iron ore and copper using low-carbon strategies</w:t>
            </w:r>
          </w:p>
        </w:tc>
        <w:tc>
          <w:tcPr>
            <w:tcW w:w="1998" w:type="dxa"/>
          </w:tcPr>
          <w:p w14:paraId="500438F7" w14:textId="77777777" w:rsidR="00E006BF" w:rsidRPr="00381E85" w:rsidRDefault="00E006BF" w:rsidP="00CA7EB6">
            <w:pPr>
              <w:rPr>
                <w:rFonts w:cs="Arial"/>
                <w:szCs w:val="24"/>
              </w:rPr>
            </w:pPr>
            <w:r w:rsidRPr="00381E85">
              <w:rPr>
                <w:rFonts w:cs="Arial"/>
                <w:szCs w:val="24"/>
              </w:rPr>
              <w:t>Critical in developing value from the existing capabilities</w:t>
            </w:r>
          </w:p>
        </w:tc>
        <w:tc>
          <w:tcPr>
            <w:tcW w:w="1889" w:type="dxa"/>
          </w:tcPr>
          <w:p w14:paraId="4D0A3FFC" w14:textId="77777777" w:rsidR="00E006BF" w:rsidRPr="00381E85" w:rsidRDefault="00E006BF" w:rsidP="00CA7EB6">
            <w:pPr>
              <w:rPr>
                <w:rFonts w:cs="Arial"/>
                <w:szCs w:val="24"/>
              </w:rPr>
            </w:pPr>
            <w:r w:rsidRPr="00381E85">
              <w:rPr>
                <w:rFonts w:cs="Arial"/>
                <w:szCs w:val="24"/>
              </w:rPr>
              <w:t>Low-carbon claims would fail to justify high prices</w:t>
            </w:r>
          </w:p>
        </w:tc>
        <w:tc>
          <w:tcPr>
            <w:tcW w:w="1383" w:type="dxa"/>
          </w:tcPr>
          <w:p w14:paraId="1D4581BD" w14:textId="77777777" w:rsidR="00E006BF" w:rsidRPr="00381E85" w:rsidRDefault="00E006BF" w:rsidP="00CA7EB6">
            <w:pPr>
              <w:rPr>
                <w:rFonts w:cs="Arial"/>
                <w:szCs w:val="24"/>
              </w:rPr>
            </w:pPr>
            <w:r w:rsidRPr="00381E85">
              <w:rPr>
                <w:rFonts w:cs="Arial"/>
                <w:szCs w:val="24"/>
              </w:rPr>
              <w:t>Long-term contracts and utilisation of verified emission information</w:t>
            </w:r>
          </w:p>
        </w:tc>
      </w:tr>
      <w:tr w:rsidR="00E006BF" w:rsidRPr="00381E85" w14:paraId="06DC6B39" w14:textId="77777777" w:rsidTr="00E006BF">
        <w:tc>
          <w:tcPr>
            <w:tcW w:w="1851" w:type="dxa"/>
          </w:tcPr>
          <w:p w14:paraId="1AFFE3A4" w14:textId="77777777" w:rsidR="00E006BF" w:rsidRPr="00381E85" w:rsidRDefault="00E006BF" w:rsidP="00CA7EB6">
            <w:pPr>
              <w:rPr>
                <w:rFonts w:cs="Arial"/>
                <w:szCs w:val="24"/>
              </w:rPr>
            </w:pPr>
            <w:r w:rsidRPr="00381E85">
              <w:rPr>
                <w:rFonts w:cs="Arial"/>
                <w:szCs w:val="24"/>
              </w:rPr>
              <w:t>Product Development</w:t>
            </w:r>
          </w:p>
        </w:tc>
        <w:tc>
          <w:tcPr>
            <w:tcW w:w="1895" w:type="dxa"/>
          </w:tcPr>
          <w:p w14:paraId="65CCB92E" w14:textId="77777777" w:rsidR="00E006BF" w:rsidRPr="00381E85" w:rsidRDefault="00E006BF" w:rsidP="00CA7EB6">
            <w:pPr>
              <w:rPr>
                <w:rFonts w:cs="Arial"/>
                <w:szCs w:val="24"/>
              </w:rPr>
            </w:pPr>
            <w:r w:rsidRPr="00381E85">
              <w:rPr>
                <w:rFonts w:cs="Arial"/>
                <w:szCs w:val="24"/>
              </w:rPr>
              <w:t>Continue to develop iron ore and copper while adopting low-carbon strategies</w:t>
            </w:r>
          </w:p>
        </w:tc>
        <w:tc>
          <w:tcPr>
            <w:tcW w:w="1998" w:type="dxa"/>
          </w:tcPr>
          <w:p w14:paraId="79E91929" w14:textId="77777777" w:rsidR="00E006BF" w:rsidRPr="00381E85" w:rsidRDefault="00E006BF" w:rsidP="00CA7EB6">
            <w:pPr>
              <w:rPr>
                <w:rFonts w:cs="Arial"/>
                <w:szCs w:val="24"/>
              </w:rPr>
            </w:pPr>
            <w:r w:rsidRPr="00381E85">
              <w:rPr>
                <w:rFonts w:cs="Arial"/>
                <w:szCs w:val="24"/>
              </w:rPr>
              <w:t>Environmental differentiation</w:t>
            </w:r>
          </w:p>
        </w:tc>
        <w:tc>
          <w:tcPr>
            <w:tcW w:w="1889" w:type="dxa"/>
          </w:tcPr>
          <w:p w14:paraId="7E7738F8" w14:textId="77777777" w:rsidR="00E006BF" w:rsidRPr="00381E85" w:rsidRDefault="00E006BF" w:rsidP="00CA7EB6">
            <w:pPr>
              <w:rPr>
                <w:rFonts w:cs="Arial"/>
                <w:szCs w:val="24"/>
              </w:rPr>
            </w:pPr>
            <w:r w:rsidRPr="00381E85">
              <w:rPr>
                <w:rFonts w:cs="Arial"/>
                <w:szCs w:val="24"/>
              </w:rPr>
              <w:t xml:space="preserve">High costs and </w:t>
            </w:r>
            <w:r w:rsidR="00FE386C" w:rsidRPr="00381E85">
              <w:rPr>
                <w:rFonts w:cs="Arial"/>
                <w:szCs w:val="24"/>
              </w:rPr>
              <w:t>use of extensive technologies</w:t>
            </w:r>
          </w:p>
        </w:tc>
        <w:tc>
          <w:tcPr>
            <w:tcW w:w="1383" w:type="dxa"/>
          </w:tcPr>
          <w:p w14:paraId="3ED184B2" w14:textId="77777777" w:rsidR="00E006BF" w:rsidRPr="00381E85" w:rsidRDefault="00FE386C" w:rsidP="00CA7EB6">
            <w:pPr>
              <w:rPr>
                <w:rFonts w:cs="Arial"/>
                <w:szCs w:val="24"/>
              </w:rPr>
            </w:pPr>
            <w:r w:rsidRPr="00381E85">
              <w:rPr>
                <w:rFonts w:cs="Arial"/>
                <w:szCs w:val="24"/>
              </w:rPr>
              <w:t>Prioritises suitable decarbonisation projects</w:t>
            </w:r>
          </w:p>
        </w:tc>
      </w:tr>
      <w:tr w:rsidR="00E006BF" w:rsidRPr="00381E85" w14:paraId="575FAF55" w14:textId="77777777" w:rsidTr="00E006BF">
        <w:tc>
          <w:tcPr>
            <w:tcW w:w="1851" w:type="dxa"/>
          </w:tcPr>
          <w:p w14:paraId="510A12EB" w14:textId="77777777" w:rsidR="00E006BF" w:rsidRPr="00381E85" w:rsidRDefault="009D1955" w:rsidP="00CA7EB6">
            <w:pPr>
              <w:rPr>
                <w:rFonts w:cs="Arial"/>
                <w:szCs w:val="24"/>
              </w:rPr>
            </w:pPr>
            <w:r w:rsidRPr="00381E85">
              <w:rPr>
                <w:rFonts w:cs="Arial"/>
                <w:szCs w:val="24"/>
              </w:rPr>
              <w:lastRenderedPageBreak/>
              <w:t>Market Development</w:t>
            </w:r>
          </w:p>
        </w:tc>
        <w:tc>
          <w:tcPr>
            <w:tcW w:w="1895" w:type="dxa"/>
          </w:tcPr>
          <w:p w14:paraId="0A849778" w14:textId="77777777" w:rsidR="00E006BF" w:rsidRPr="00381E85" w:rsidRDefault="009D1955" w:rsidP="00CA7EB6">
            <w:pPr>
              <w:rPr>
                <w:rFonts w:cs="Arial"/>
                <w:szCs w:val="24"/>
              </w:rPr>
            </w:pPr>
            <w:r w:rsidRPr="00381E85">
              <w:rPr>
                <w:rFonts w:cs="Arial"/>
                <w:szCs w:val="24"/>
              </w:rPr>
              <w:t>Target consumers and markets having demand for minerals that consume low carbon</w:t>
            </w:r>
          </w:p>
        </w:tc>
        <w:tc>
          <w:tcPr>
            <w:tcW w:w="1998" w:type="dxa"/>
          </w:tcPr>
          <w:p w14:paraId="1BB37EC2" w14:textId="77777777" w:rsidR="00E006BF" w:rsidRPr="00381E85" w:rsidRDefault="009D1955" w:rsidP="00CA7EB6">
            <w:pPr>
              <w:rPr>
                <w:rFonts w:cs="Arial"/>
                <w:szCs w:val="24"/>
              </w:rPr>
            </w:pPr>
            <w:r w:rsidRPr="00381E85">
              <w:rPr>
                <w:rFonts w:cs="Arial"/>
                <w:szCs w:val="24"/>
              </w:rPr>
              <w:t>Expanding consumer base</w:t>
            </w:r>
          </w:p>
        </w:tc>
        <w:tc>
          <w:tcPr>
            <w:tcW w:w="1889" w:type="dxa"/>
          </w:tcPr>
          <w:p w14:paraId="501299BD" w14:textId="77777777" w:rsidR="00E006BF" w:rsidRPr="00381E85" w:rsidRDefault="009D1955" w:rsidP="00CA7EB6">
            <w:pPr>
              <w:rPr>
                <w:rFonts w:cs="Arial"/>
                <w:szCs w:val="24"/>
              </w:rPr>
            </w:pPr>
            <w:r w:rsidRPr="00381E85">
              <w:rPr>
                <w:rFonts w:cs="Arial"/>
                <w:szCs w:val="24"/>
              </w:rPr>
              <w:t>Price-sensitive demand</w:t>
            </w:r>
          </w:p>
        </w:tc>
        <w:tc>
          <w:tcPr>
            <w:tcW w:w="1383" w:type="dxa"/>
          </w:tcPr>
          <w:p w14:paraId="74A0C983" w14:textId="77777777" w:rsidR="00E006BF" w:rsidRPr="00381E85" w:rsidRDefault="009D1955" w:rsidP="00CA7EB6">
            <w:pPr>
              <w:rPr>
                <w:rFonts w:cs="Arial"/>
                <w:szCs w:val="24"/>
              </w:rPr>
            </w:pPr>
            <w:r w:rsidRPr="00381E85">
              <w:rPr>
                <w:rFonts w:cs="Arial"/>
                <w:szCs w:val="24"/>
              </w:rPr>
              <w:t>Segmenting markets based on regulation and willingness to pay</w:t>
            </w:r>
          </w:p>
        </w:tc>
      </w:tr>
      <w:tr w:rsidR="00E006BF" w:rsidRPr="00381E85" w14:paraId="6ECA1695" w14:textId="77777777" w:rsidTr="00E006BF">
        <w:tc>
          <w:tcPr>
            <w:tcW w:w="1851" w:type="dxa"/>
          </w:tcPr>
          <w:p w14:paraId="0CD63CC1" w14:textId="77777777" w:rsidR="00E006BF" w:rsidRPr="00381E85" w:rsidRDefault="009D1955" w:rsidP="00CA7EB6">
            <w:pPr>
              <w:rPr>
                <w:rFonts w:cs="Arial"/>
                <w:szCs w:val="24"/>
              </w:rPr>
            </w:pPr>
            <w:r w:rsidRPr="00381E85">
              <w:rPr>
                <w:rFonts w:cs="Arial"/>
                <w:szCs w:val="24"/>
              </w:rPr>
              <w:t>Diversification</w:t>
            </w:r>
          </w:p>
        </w:tc>
        <w:tc>
          <w:tcPr>
            <w:tcW w:w="1895" w:type="dxa"/>
          </w:tcPr>
          <w:p w14:paraId="11E568AC" w14:textId="77777777" w:rsidR="00E006BF" w:rsidRPr="00381E85" w:rsidRDefault="009D1955" w:rsidP="00CA7EB6">
            <w:pPr>
              <w:rPr>
                <w:rFonts w:cs="Arial"/>
                <w:szCs w:val="24"/>
              </w:rPr>
            </w:pPr>
            <w:r w:rsidRPr="00381E85">
              <w:rPr>
                <w:rFonts w:cs="Arial"/>
                <w:szCs w:val="24"/>
              </w:rPr>
              <w:t>Investing in similar low-cost technologies and minerals</w:t>
            </w:r>
          </w:p>
        </w:tc>
        <w:tc>
          <w:tcPr>
            <w:tcW w:w="1998" w:type="dxa"/>
          </w:tcPr>
          <w:p w14:paraId="28ED3693" w14:textId="77777777" w:rsidR="00E006BF" w:rsidRPr="00381E85" w:rsidRDefault="009D1955" w:rsidP="00CA7EB6">
            <w:pPr>
              <w:rPr>
                <w:rFonts w:cs="Arial"/>
                <w:szCs w:val="24"/>
              </w:rPr>
            </w:pPr>
            <w:r w:rsidRPr="00381E85">
              <w:rPr>
                <w:rFonts w:cs="Arial"/>
                <w:szCs w:val="24"/>
              </w:rPr>
              <w:t>Minimises dependency on present commodities</w:t>
            </w:r>
          </w:p>
        </w:tc>
        <w:tc>
          <w:tcPr>
            <w:tcW w:w="1889" w:type="dxa"/>
          </w:tcPr>
          <w:p w14:paraId="2F535FB3" w14:textId="77777777" w:rsidR="00E006BF" w:rsidRPr="00381E85" w:rsidRDefault="009D1955" w:rsidP="00CA7EB6">
            <w:pPr>
              <w:rPr>
                <w:rFonts w:cs="Arial"/>
                <w:szCs w:val="24"/>
              </w:rPr>
            </w:pPr>
            <w:r w:rsidRPr="00381E85">
              <w:rPr>
                <w:rFonts w:cs="Arial"/>
                <w:szCs w:val="24"/>
              </w:rPr>
              <w:t>High technological and financial risks</w:t>
            </w:r>
          </w:p>
        </w:tc>
        <w:tc>
          <w:tcPr>
            <w:tcW w:w="1383" w:type="dxa"/>
          </w:tcPr>
          <w:p w14:paraId="2C8B15A5" w14:textId="77777777" w:rsidR="00E006BF" w:rsidRPr="00381E85" w:rsidRDefault="009D1955" w:rsidP="00CA7EB6">
            <w:pPr>
              <w:rPr>
                <w:rFonts w:cs="Arial"/>
                <w:szCs w:val="24"/>
              </w:rPr>
            </w:pPr>
            <w:r w:rsidRPr="00381E85">
              <w:rPr>
                <w:rFonts w:cs="Arial"/>
                <w:szCs w:val="24"/>
              </w:rPr>
              <w:t>Staged partnerships and investments</w:t>
            </w:r>
          </w:p>
        </w:tc>
      </w:tr>
    </w:tbl>
    <w:p w14:paraId="59D14272" w14:textId="77777777" w:rsidR="00CA7EB6" w:rsidRPr="00381E85" w:rsidRDefault="00222E69" w:rsidP="00222E69">
      <w:pPr>
        <w:jc w:val="center"/>
        <w:rPr>
          <w:rFonts w:cs="Arial"/>
          <w:szCs w:val="24"/>
        </w:rPr>
      </w:pPr>
      <w:r>
        <w:rPr>
          <w:rFonts w:cs="Arial"/>
          <w:szCs w:val="24"/>
        </w:rPr>
        <w:t>(Source: Self-created)</w:t>
      </w:r>
    </w:p>
    <w:p w14:paraId="4BEEF40B" w14:textId="77777777" w:rsidR="00787E5E" w:rsidRPr="00AE7EA7" w:rsidRDefault="00787E5E" w:rsidP="00DC2823">
      <w:pPr>
        <w:rPr>
          <w:rFonts w:cs="Arial"/>
          <w:bCs/>
          <w:szCs w:val="24"/>
        </w:rPr>
      </w:pPr>
      <w:r w:rsidRPr="00AE7EA7">
        <w:rPr>
          <w:b/>
        </w:rPr>
        <w:t>Market Penetration:</w:t>
      </w:r>
      <w:r w:rsidRPr="00AE7EA7">
        <w:rPr>
          <w:bCs/>
        </w:rPr>
        <w:t xml:space="preserve"> Ansoff’s matrix indicates that growth options carry different levels of risk. BHP should prioritise market penetration, supported by selective product development, because this builds on its existing minerals, capabilities and customer relationships. Copper is particularly relevant: BHP reports that copper accounts for a substantial share of its earnings (BHP, 2026b). Strengthening long-term supply agreements and providing verified emissions information would allow BHP to offer additional value to existing business customers without the greater uncertainty of entering unrelated markets.</w:t>
      </w:r>
    </w:p>
    <w:p w14:paraId="291521AA" w14:textId="77777777" w:rsidR="00DC2823" w:rsidRPr="00AE7EA7" w:rsidRDefault="00DC2823" w:rsidP="00DC2823">
      <w:pPr>
        <w:rPr>
          <w:rFonts w:cs="Arial"/>
          <w:bCs/>
          <w:szCs w:val="24"/>
        </w:rPr>
      </w:pPr>
      <w:r w:rsidRPr="00AE7EA7">
        <w:rPr>
          <w:bCs/>
        </w:rPr>
        <w:t>Product Development: BHP can also invest more in the development of low-carbon products by minimising logistics, extraction, and processes. According to the reports by BHP (2026c), the company has recorded a 33% decrease in operational scope 1 and 2 greenhouse emissions intensity compared to the 2020-21 benchmark. Thus, the company needs to align its product-level emissions to its operational decarbonisation to enhance its environmental performance and reduce its dependence on sustainability pledges. The company announced investing approximately AU$60 million in emissions education measures as part of its value-chain approach in 2025 (BHP Group, 2025). Instead of investing blindly, the managers can evaluate the projects according to their impact on operational costs, technological advancements, and consumer values.</w:t>
      </w:r>
    </w:p>
    <w:p w14:paraId="2AB93E2B" w14:textId="77777777" w:rsidR="000137EC" w:rsidRPr="00AE7EA7" w:rsidRDefault="00DC2823" w:rsidP="00CA7EB6">
      <w:pPr>
        <w:rPr>
          <w:rFonts w:cs="Arial"/>
          <w:bCs/>
          <w:szCs w:val="24"/>
        </w:rPr>
      </w:pPr>
      <w:r w:rsidRPr="00AE7EA7">
        <w:rPr>
          <w:rFonts w:cs="Arial"/>
          <w:b/>
          <w:szCs w:val="24"/>
        </w:rPr>
        <w:lastRenderedPageBreak/>
        <w:t>Market Development:</w:t>
      </w:r>
      <w:r w:rsidRPr="00AE7EA7">
        <w:rPr>
          <w:rFonts w:cs="Arial"/>
          <w:bCs/>
          <w:szCs w:val="24"/>
        </w:rPr>
        <w:t xml:space="preserve"> Even though deepening the market penetration and product development could benefit BHP, the company should also invest in expanding its low-carbon products portfolio by targeting different consumer groups in various markets.</w:t>
      </w:r>
      <w:r w:rsidR="00A70AF6" w:rsidRPr="00AE7EA7">
        <w:rPr>
          <w:rFonts w:cs="Arial"/>
          <w:bCs/>
          <w:szCs w:val="24"/>
        </w:rPr>
        <w:t xml:space="preserve"> However, it is difficult to understand the commercial value of such long-term supply chain projects.</w:t>
      </w:r>
    </w:p>
    <w:p w14:paraId="1F92AF12" w14:textId="77777777" w:rsidR="000137EC" w:rsidRPr="00AE7EA7" w:rsidRDefault="000137EC" w:rsidP="00CA7EB6">
      <w:pPr>
        <w:rPr>
          <w:rFonts w:cs="Arial"/>
          <w:bCs/>
          <w:szCs w:val="24"/>
        </w:rPr>
      </w:pPr>
      <w:r w:rsidRPr="00AE7EA7">
        <w:rPr>
          <w:b/>
        </w:rPr>
        <w:t>Diversification:</w:t>
      </w:r>
      <w:r w:rsidRPr="00AE7EA7">
        <w:rPr>
          <w:bCs/>
        </w:rPr>
        <w:t xml:space="preserve"> BHP’s existing copper portfolio already provides exposure to energy-transition demand (BHP, 2026c). Unrelated diversification would introduce additional financial and operational risk and is therefore not the preferred option. Overall, market penetration is the primary Ansoff strategy, with targeted product development supporting lower-carbon supply.</w:t>
      </w:r>
    </w:p>
    <w:p w14:paraId="595308E6" w14:textId="77777777" w:rsidR="00350856" w:rsidRPr="00D62A5E" w:rsidRDefault="00350856" w:rsidP="00350856">
      <w:pPr>
        <w:pStyle w:val="Heading3"/>
        <w:rPr>
          <w:rFonts w:ascii="Times New Roman" w:hAnsi="Times New Roman"/>
          <w:b/>
          <w:bCs/>
          <w:color w:val="000000" w:themeColor="text1"/>
          <w:sz w:val="24"/>
          <w:szCs w:val="24"/>
          <w:highlight w:val="green"/>
        </w:rPr>
      </w:pPr>
      <w:r w:rsidRPr="00D62A5E">
        <w:rPr>
          <w:b/>
          <w:bCs/>
          <w:color w:val="000000" w:themeColor="text1"/>
          <w:sz w:val="24"/>
          <w:szCs w:val="24"/>
        </w:rPr>
        <w:t>Porter’s Generic Strategies</w:t>
      </w:r>
    </w:p>
    <w:p w14:paraId="618944B5" w14:textId="77777777" w:rsidR="00350856" w:rsidRPr="00350856" w:rsidRDefault="00350856" w:rsidP="00350856">
      <w:pPr>
        <w:pStyle w:val="NormalWeb"/>
        <w:rPr>
          <w:highlight w:val="green"/>
        </w:rPr>
      </w:pPr>
      <w:r w:rsidRPr="00350856">
        <w:t>Porter’s Generic Strategies provide a framework for evaluating how organisations achieve competitive advantage through cost leadership, differentiation or focus (Ateljević et al., 2023). While the Ansoff Matrix identifies potential growth opportunities for BHP, Porter’s framework helps determine how the company can compete effectively within its chosen markets.</w:t>
      </w:r>
    </w:p>
    <w:p w14:paraId="6A1DB5D5" w14:textId="77777777" w:rsidR="00350856" w:rsidRPr="00350856" w:rsidRDefault="00350856" w:rsidP="00350856">
      <w:pPr>
        <w:pStyle w:val="NormalWeb"/>
        <w:rPr>
          <w:highlight w:val="green"/>
        </w:rPr>
      </w:pPr>
      <w:r w:rsidRPr="00350856">
        <w:rPr>
          <w:rStyle w:val="Strong"/>
        </w:rPr>
        <w:t>Cost leadership</w:t>
      </w:r>
      <w:r w:rsidRPr="00350856">
        <w:t xml:space="preserve"> may offer advantages through operational efficiency and economies of scale. However, BHP’s transition towards low-carbon production requires significant initial investment in cleaner technologies, infrastructure and emissions reduction. Although these investments may generate long-term operational savings, competing primarily on price could limit the company's ability to recover its environmental investment costs.</w:t>
      </w:r>
    </w:p>
    <w:p w14:paraId="10D5A3AB" w14:textId="77777777" w:rsidR="00350856" w:rsidRPr="00350856" w:rsidRDefault="00350856" w:rsidP="00350856">
      <w:pPr>
        <w:pStyle w:val="NormalWeb"/>
        <w:rPr>
          <w:highlight w:val="green"/>
        </w:rPr>
      </w:pPr>
      <w:r w:rsidRPr="00350856">
        <w:rPr>
          <w:rStyle w:val="Strong"/>
        </w:rPr>
        <w:t>Differentiation</w:t>
      </w:r>
      <w:r w:rsidRPr="00350856">
        <w:t xml:space="preserve"> therefore represents a more suitable strategic direction. BHP can strengthen its competitive position by offering responsibly produced minerals supported by verified emissions information, reliable supply and transparent environmental reporting. This approach is particularly relevant to business-to-business customers seeking to reduce emissions across their supply chains. Nevertheless, differentiation will only create sustainable competitive advantage if customers recognise its value and are willing to support the associated costs.</w:t>
      </w:r>
    </w:p>
    <w:p w14:paraId="6EF49130" w14:textId="77777777" w:rsidR="00350856" w:rsidRPr="00350856" w:rsidRDefault="00350856" w:rsidP="00350856">
      <w:pPr>
        <w:pStyle w:val="NormalWeb"/>
        <w:rPr>
          <w:highlight w:val="green"/>
        </w:rPr>
      </w:pPr>
      <w:r w:rsidRPr="00350856">
        <w:t xml:space="preserve">A </w:t>
      </w:r>
      <w:r w:rsidRPr="00350856">
        <w:rPr>
          <w:rStyle w:val="Strong"/>
        </w:rPr>
        <w:t>focus strategy</w:t>
      </w:r>
      <w:r w:rsidRPr="00350856">
        <w:t xml:space="preserve"> could also allow BHP to target specific customer segments with stronger demand for lower-carbon minerals. However, relying exclusively on a narrow </w:t>
      </w:r>
      <w:r w:rsidRPr="00350856">
        <w:lastRenderedPageBreak/>
        <w:t>market segment could restrict growth opportunities and increase exposure to changes in customer demand.</w:t>
      </w:r>
    </w:p>
    <w:p w14:paraId="3772D5E0" w14:textId="77777777" w:rsidR="00350856" w:rsidRDefault="00350856" w:rsidP="00350856">
      <w:pPr>
        <w:pStyle w:val="NormalWeb"/>
      </w:pPr>
      <w:r w:rsidRPr="00350856">
        <w:t>Consequently, differentiation is the preferred competitive strategy for BHP, supported by selective market penetration and product development. Rather than relying solely on sustainability claims, the company should demonstrate measurable environmental improvements alongside operational efficiency, product quality and supply reliability. This would allow BHP to connect its decarbonisation objectives with customer value and long-term competitiveness.</w:t>
      </w:r>
    </w:p>
    <w:p w14:paraId="4B83BA88" w14:textId="77777777" w:rsidR="00350856" w:rsidRPr="00381E85" w:rsidRDefault="00350856" w:rsidP="00CA7EB6">
      <w:pPr>
        <w:rPr>
          <w:rFonts w:cs="Arial"/>
          <w:szCs w:val="24"/>
        </w:rPr>
      </w:pPr>
    </w:p>
    <w:p w14:paraId="1797CA2D" w14:textId="77777777" w:rsidR="00DE7ED9" w:rsidRPr="00381E85" w:rsidRDefault="00DE7ED9" w:rsidP="00DE7ED9">
      <w:pPr>
        <w:pStyle w:val="Heading1"/>
        <w:rPr>
          <w:rFonts w:cs="Arial"/>
          <w:szCs w:val="24"/>
        </w:rPr>
      </w:pPr>
      <w:bookmarkStart w:id="3" w:name="_Toc240750049"/>
      <w:r w:rsidRPr="00381E85">
        <w:rPr>
          <w:rFonts w:cs="Arial"/>
          <w:szCs w:val="24"/>
        </w:rPr>
        <w:t>Task 3: Managerial and Professional Reflection</w:t>
      </w:r>
      <w:bookmarkEnd w:id="3"/>
    </w:p>
    <w:p w14:paraId="3533E0DD" w14:textId="77777777" w:rsidR="00280F92" w:rsidRPr="00381E85" w:rsidRDefault="004A4883" w:rsidP="00280F92">
      <w:pPr>
        <w:rPr>
          <w:rFonts w:cs="Arial"/>
          <w:szCs w:val="24"/>
          <w:lang w:val="en-IN"/>
        </w:rPr>
      </w:pPr>
      <w:r w:rsidRPr="00381E85">
        <w:rPr>
          <w:rFonts w:cs="Arial"/>
          <w:szCs w:val="24"/>
        </w:rPr>
        <w:t xml:space="preserve">In this report, opting for BHP was a suitable option as the company provides an adequate idea of how financial performance and environmental responsibilities correlate with one another. The mining sector is also fruitful for the analysis as it is an industry that is criticised immensely for its rising carbon footprints. </w:t>
      </w:r>
      <w:r w:rsidR="00280F92" w:rsidRPr="00381E85">
        <w:rPr>
          <w:rFonts w:cs="Arial"/>
          <w:szCs w:val="24"/>
          <w:lang w:val="en-IN"/>
        </w:rPr>
        <w:t>Therefore, BHP provides a more sustainable basis for critical analysis than an entity whose primary activities are aligned with low-carbon inputs.</w:t>
      </w:r>
    </w:p>
    <w:p w14:paraId="224640D3" w14:textId="77777777" w:rsidR="00280F92" w:rsidRPr="00381E85" w:rsidRDefault="00280F92" w:rsidP="00280F92">
      <w:pPr>
        <w:rPr>
          <w:rFonts w:cs="Arial"/>
          <w:szCs w:val="24"/>
          <w:lang w:val="en-IN"/>
        </w:rPr>
      </w:pPr>
      <w:r>
        <w:t>Initially, I did not fully appreciate how the selected environmental, legal and social factors interact. Applying these three PESTEL dimensions alongside Ansoff’s matrix and Porter’s generic strategies helped me connect external pressures with growth and competitive choices. Because this was a selective PESTEL assessment, I cannot claim to have evaluated every macro-environmental influence.</w:t>
      </w:r>
    </w:p>
    <w:p w14:paraId="7C319D84" w14:textId="77777777" w:rsidR="004A4883" w:rsidRPr="00381E85" w:rsidRDefault="00280F92" w:rsidP="003E42FB">
      <w:pPr>
        <w:rPr>
          <w:rFonts w:cs="Arial"/>
          <w:szCs w:val="24"/>
          <w:lang w:val="en-IN"/>
        </w:rPr>
      </w:pPr>
      <w:r>
        <w:t>The analysis showed that decarbonisation should be assessed as a potential source of customer value, rather than solely as a compliance obligation. I selected market penetration as the primary growth option, supported by targeted product development, because these approaches build on BHP’s existing minerals and relationships while allowing it to demonstrate measurable improvements.</w:t>
      </w:r>
    </w:p>
    <w:p w14:paraId="1674BA01" w14:textId="77777777" w:rsidR="00B87260" w:rsidRPr="00381E85" w:rsidRDefault="008A6FCC" w:rsidP="003E42FB">
      <w:pPr>
        <w:rPr>
          <w:rFonts w:cs="Arial"/>
          <w:szCs w:val="24"/>
        </w:rPr>
      </w:pPr>
      <w:r>
        <w:t xml:space="preserve">My main learning is that strategic frameworks should organise evidence rather than replace it. Ansoff’s matrix helps compare growth directions but does not establish their financial feasibility; Porter’s framework clarifies competitive positioning but requires evidence of customers’ willingness to value differentiation. In future managerial work, </w:t>
      </w:r>
      <w:r>
        <w:lastRenderedPageBreak/>
        <w:t>I would test recommendations against customer research, operational data and investment appraisal before implementation.</w:t>
      </w:r>
    </w:p>
    <w:p w14:paraId="17108551" w14:textId="77777777" w:rsidR="00E34F11" w:rsidRPr="00381E85" w:rsidRDefault="00E34F11" w:rsidP="00E34F11">
      <w:pPr>
        <w:rPr>
          <w:rFonts w:cs="Arial"/>
          <w:szCs w:val="24"/>
        </w:rPr>
      </w:pPr>
      <w:r w:rsidRPr="00381E85">
        <w:rPr>
          <w:rFonts w:cs="Arial"/>
          <w:szCs w:val="24"/>
        </w:rPr>
        <w:t xml:space="preserve">The </w:t>
      </w:r>
      <w:r w:rsidR="0008377E" w:rsidRPr="00381E85">
        <w:rPr>
          <w:rFonts w:cs="Arial"/>
          <w:szCs w:val="24"/>
        </w:rPr>
        <w:t xml:space="preserve">overall </w:t>
      </w:r>
      <w:r w:rsidRPr="00381E85">
        <w:rPr>
          <w:rFonts w:cs="Arial"/>
          <w:szCs w:val="24"/>
        </w:rPr>
        <w:t>conclusion shows direction to BHP rather than making any investment decision. So, a good recommendation would mostly include the frameworks along with sufficient evidence, technology-based information and financial modelling.</w:t>
      </w:r>
    </w:p>
    <w:p w14:paraId="6FD73CCE" w14:textId="6507AAF1" w:rsidR="00FB05BD" w:rsidRPr="00381E85" w:rsidRDefault="00E34F11" w:rsidP="003E42FB">
      <w:pPr>
        <w:rPr>
          <w:rFonts w:cs="Arial"/>
          <w:szCs w:val="24"/>
        </w:rPr>
      </w:pPr>
      <w:r w:rsidRPr="00381E85">
        <w:rPr>
          <w:rFonts w:cs="Arial"/>
          <w:szCs w:val="24"/>
        </w:rPr>
        <w:t xml:space="preserve">After having submitted the analysis to the senior leadership team of BHP, if it is needed, further evidence </w:t>
      </w:r>
      <w:proofErr w:type="gramStart"/>
      <w:r w:rsidR="00AE7EA7">
        <w:rPr>
          <w:rFonts w:cs="Arial"/>
          <w:szCs w:val="24"/>
        </w:rPr>
        <w:t>has to</w:t>
      </w:r>
      <w:proofErr w:type="gramEnd"/>
      <w:r w:rsidRPr="00381E85">
        <w:rPr>
          <w:rFonts w:cs="Arial"/>
          <w:szCs w:val="24"/>
        </w:rPr>
        <w:t xml:space="preserve"> be gathered. This information would include the procurement data, consumer interviews and knowledge on the benchmarking of competitors. Moreover, analysis of Scope 3 emissions will provide an insight on ways the operational emissions will not affect the environmental performance of the product. Analysis on these factors may strengthen the overall analysis of the report by supporting the theoretical information with financial data.</w:t>
      </w:r>
    </w:p>
    <w:p w14:paraId="2F449682" w14:textId="77777777" w:rsidR="00DE7ED9" w:rsidRPr="00381E85" w:rsidRDefault="00DE7ED9" w:rsidP="00DE7ED9">
      <w:pPr>
        <w:pStyle w:val="Heading1"/>
        <w:rPr>
          <w:rFonts w:cs="Arial"/>
          <w:szCs w:val="24"/>
        </w:rPr>
      </w:pPr>
      <w:bookmarkStart w:id="4" w:name="_Toc240750050"/>
      <w:r w:rsidRPr="00381E85">
        <w:rPr>
          <w:rFonts w:cs="Arial"/>
          <w:szCs w:val="24"/>
        </w:rPr>
        <w:t>Conclusion</w:t>
      </w:r>
      <w:bookmarkEnd w:id="4"/>
    </w:p>
    <w:p w14:paraId="754ED3D0" w14:textId="77777777" w:rsidR="00043666" w:rsidRPr="00381E85" w:rsidRDefault="002600F9" w:rsidP="002600F9">
      <w:pPr>
        <w:rPr>
          <w:rFonts w:cs="Arial"/>
          <w:szCs w:val="24"/>
        </w:rPr>
      </w:pPr>
      <w:r>
        <w:t>BHP’s transition towards lower-carbon operations creates both opportunities and pressures. The selected environmental, legal and social factors show why sustainability must be integrated with marketing and competitive decisions. The recommended approach is market penetration, supported by selective product development, with differentiation based on verified emissions information, operational efficiency and reliable supply. Any investment decision should nevertheless be supported by evidence of customer demand, emissions reductions, cost and profitability.</w:t>
      </w:r>
    </w:p>
    <w:p w14:paraId="6C20C38D" w14:textId="77777777" w:rsidR="00DE7ED9" w:rsidRPr="00381E85" w:rsidRDefault="00DE7ED9">
      <w:pPr>
        <w:spacing w:line="259" w:lineRule="auto"/>
        <w:jc w:val="left"/>
        <w:rPr>
          <w:rFonts w:cs="Arial"/>
          <w:szCs w:val="24"/>
        </w:rPr>
      </w:pPr>
      <w:r w:rsidRPr="00381E85">
        <w:rPr>
          <w:rFonts w:cs="Arial"/>
          <w:szCs w:val="24"/>
        </w:rPr>
        <w:br w:type="page"/>
      </w:r>
    </w:p>
    <w:p w14:paraId="3FFAF521" w14:textId="77777777" w:rsidR="00DE7ED9" w:rsidRPr="00381E85" w:rsidRDefault="00DE7ED9" w:rsidP="00DE7ED9">
      <w:pPr>
        <w:pStyle w:val="Heading1"/>
        <w:rPr>
          <w:rFonts w:cs="Arial"/>
          <w:szCs w:val="24"/>
        </w:rPr>
      </w:pPr>
      <w:bookmarkStart w:id="5" w:name="_Toc240750051"/>
      <w:r w:rsidRPr="00381E85">
        <w:rPr>
          <w:rFonts w:cs="Arial"/>
          <w:szCs w:val="24"/>
        </w:rPr>
        <w:lastRenderedPageBreak/>
        <w:t>Reference List</w:t>
      </w:r>
      <w:bookmarkEnd w:id="5"/>
    </w:p>
    <w:p w14:paraId="199AC50A" w14:textId="77777777" w:rsidR="00FD0D30" w:rsidRPr="00381E85" w:rsidRDefault="00FD0D30">
      <w:pPr>
        <w:rPr>
          <w:rFonts w:cs="Arial"/>
          <w:szCs w:val="24"/>
        </w:rPr>
      </w:pPr>
      <w:r w:rsidRPr="00381E85">
        <w:rPr>
          <w:rFonts w:cs="Arial"/>
          <w:szCs w:val="24"/>
        </w:rPr>
        <w:t xml:space="preserve">Adey, P., Pink, S., Raven, R., Hadfield, P., Badger, A., </w:t>
      </w:r>
      <w:proofErr w:type="spellStart"/>
      <w:r w:rsidRPr="00381E85">
        <w:rPr>
          <w:rFonts w:cs="Arial"/>
          <w:szCs w:val="24"/>
        </w:rPr>
        <w:t>Strengers</w:t>
      </w:r>
      <w:proofErr w:type="spellEnd"/>
      <w:r w:rsidRPr="00381E85">
        <w:rPr>
          <w:rFonts w:cs="Arial"/>
          <w:szCs w:val="24"/>
        </w:rPr>
        <w:t xml:space="preserve">, Y., Sharp, D., Bock-Brown, O., Lyall, B., Martin, R. and Wright, S. (2022) </w:t>
      </w:r>
      <w:r w:rsidRPr="00381E85">
        <w:rPr>
          <w:rFonts w:cs="Arial"/>
          <w:i/>
          <w:iCs/>
          <w:szCs w:val="24"/>
        </w:rPr>
        <w:t>Just transitions in Australia: Moving towards low carbon lives across policy, industry and practice</w:t>
      </w:r>
      <w:r w:rsidRPr="00381E85">
        <w:rPr>
          <w:rFonts w:cs="Arial"/>
          <w:szCs w:val="24"/>
        </w:rPr>
        <w:t xml:space="preserve">. Available at: </w:t>
      </w:r>
      <w:hyperlink r:id="rId10" w:history="1">
        <w:r w:rsidRPr="00381E85">
          <w:rPr>
            <w:rStyle w:val="Hyperlink"/>
            <w:rFonts w:cs="Arial"/>
            <w:szCs w:val="24"/>
          </w:rPr>
          <w:t>https://researchmgt.monash.edu/ws/portalfiles/portal/630694855/556685537.pdf</w:t>
        </w:r>
      </w:hyperlink>
      <w:r w:rsidRPr="00381E85">
        <w:rPr>
          <w:rFonts w:cs="Arial"/>
          <w:szCs w:val="24"/>
        </w:rPr>
        <w:t xml:space="preserve"> (Accessed: 18 September 2026).</w:t>
      </w:r>
    </w:p>
    <w:p w14:paraId="6185C023" w14:textId="77777777" w:rsidR="00FD0D30" w:rsidRPr="00381E85" w:rsidRDefault="00FD0D30">
      <w:pPr>
        <w:rPr>
          <w:rFonts w:cs="Arial"/>
          <w:szCs w:val="24"/>
        </w:rPr>
      </w:pPr>
      <w:r w:rsidRPr="00381E85">
        <w:rPr>
          <w:rFonts w:cs="Arial"/>
          <w:szCs w:val="24"/>
        </w:rPr>
        <w:t>Adu, D.A., Flynn, A. and Grey, C. (2022) ‘Executive compensation and sustainable business practices: The moderating role of sustainability</w:t>
      </w:r>
      <w:r w:rsidRPr="00381E85">
        <w:rPr>
          <w:rFonts w:ascii="Cambria Math" w:hAnsi="Cambria Math" w:cs="Cambria Math"/>
          <w:szCs w:val="24"/>
        </w:rPr>
        <w:t>‐</w:t>
      </w:r>
      <w:r w:rsidRPr="00381E85">
        <w:rPr>
          <w:rFonts w:cs="Arial"/>
          <w:szCs w:val="24"/>
        </w:rPr>
        <w:t>based compensation’, </w:t>
      </w:r>
      <w:r w:rsidRPr="00381E85">
        <w:rPr>
          <w:rFonts w:cs="Arial"/>
          <w:i/>
          <w:iCs/>
          <w:szCs w:val="24"/>
        </w:rPr>
        <w:t>Business Strategy and the Environment</w:t>
      </w:r>
      <w:r w:rsidRPr="00381E85">
        <w:rPr>
          <w:rFonts w:cs="Arial"/>
          <w:szCs w:val="24"/>
        </w:rPr>
        <w:t xml:space="preserve">, 31(3), pp.698-736. Available at: </w:t>
      </w:r>
      <w:hyperlink r:id="rId11" w:history="1">
        <w:r w:rsidRPr="00381E85">
          <w:rPr>
            <w:rStyle w:val="Hyperlink"/>
            <w:rFonts w:cs="Arial"/>
            <w:szCs w:val="24"/>
          </w:rPr>
          <w:t>https://onlinelibrary.wiley.com/doi/pdf/10.1002/bse.2913</w:t>
        </w:r>
      </w:hyperlink>
    </w:p>
    <w:p w14:paraId="6328DEB2" w14:textId="77777777" w:rsidR="00FD0D30" w:rsidRPr="00381E85" w:rsidRDefault="00FD0D30">
      <w:pPr>
        <w:rPr>
          <w:rFonts w:cs="Arial"/>
          <w:szCs w:val="24"/>
        </w:rPr>
      </w:pPr>
      <w:r w:rsidRPr="00381E85">
        <w:rPr>
          <w:rFonts w:cs="Arial"/>
          <w:szCs w:val="24"/>
        </w:rPr>
        <w:t xml:space="preserve">Ateljević, J., </w:t>
      </w:r>
      <w:proofErr w:type="spellStart"/>
      <w:r w:rsidRPr="00381E85">
        <w:rPr>
          <w:rFonts w:cs="Arial"/>
          <w:szCs w:val="24"/>
        </w:rPr>
        <w:t>Kulović</w:t>
      </w:r>
      <w:proofErr w:type="spellEnd"/>
      <w:r w:rsidRPr="00381E85">
        <w:rPr>
          <w:rFonts w:cs="Arial"/>
          <w:szCs w:val="24"/>
        </w:rPr>
        <w:t xml:space="preserve">, D., Đoković, F. and </w:t>
      </w:r>
      <w:proofErr w:type="spellStart"/>
      <w:r w:rsidRPr="00381E85">
        <w:rPr>
          <w:rFonts w:cs="Arial"/>
          <w:szCs w:val="24"/>
        </w:rPr>
        <w:t>Bavčić</w:t>
      </w:r>
      <w:proofErr w:type="spellEnd"/>
      <w:r w:rsidRPr="00381E85">
        <w:rPr>
          <w:rFonts w:cs="Arial"/>
          <w:szCs w:val="24"/>
        </w:rPr>
        <w:t>, M. (2023) </w:t>
      </w:r>
      <w:r w:rsidRPr="00381E85">
        <w:rPr>
          <w:rFonts w:cs="Arial"/>
          <w:i/>
          <w:iCs/>
          <w:szCs w:val="24"/>
        </w:rPr>
        <w:t>Business strategy and competitive advantage: A reinterpretation of Michael Porter’s work</w:t>
      </w:r>
      <w:r w:rsidRPr="00381E85">
        <w:rPr>
          <w:rFonts w:cs="Arial"/>
          <w:szCs w:val="24"/>
        </w:rPr>
        <w:t>. Abingdon: Taylor &amp; Francis.</w:t>
      </w:r>
    </w:p>
    <w:p w14:paraId="31F446A7" w14:textId="77777777" w:rsidR="00FD0D30" w:rsidRDefault="00FD0D30">
      <w:pPr>
        <w:rPr>
          <w:rFonts w:cs="Arial"/>
          <w:szCs w:val="24"/>
        </w:rPr>
      </w:pPr>
      <w:r w:rsidRPr="00381E85">
        <w:rPr>
          <w:rFonts w:cs="Arial"/>
          <w:szCs w:val="24"/>
        </w:rPr>
        <w:t xml:space="preserve">AUSIMM. (2026) </w:t>
      </w:r>
      <w:r w:rsidRPr="00381E85">
        <w:rPr>
          <w:rFonts w:cs="Arial"/>
          <w:i/>
          <w:iCs/>
          <w:szCs w:val="24"/>
        </w:rPr>
        <w:t>Australia plays a leading role in mining on a global platform and is continually recognised for its strong and ever-growing industry</w:t>
      </w:r>
      <w:r w:rsidRPr="00381E85">
        <w:rPr>
          <w:rFonts w:cs="Arial"/>
          <w:szCs w:val="24"/>
        </w:rPr>
        <w:t xml:space="preserve">. Available at: </w:t>
      </w:r>
      <w:hyperlink r:id="rId12" w:history="1">
        <w:r w:rsidRPr="00381E85">
          <w:rPr>
            <w:rStyle w:val="Hyperlink"/>
            <w:rFonts w:cs="Arial"/>
            <w:szCs w:val="24"/>
          </w:rPr>
          <w:t>https://www.ausimm.com/insights-and-resources/mining-industry/australian-mining-industry/</w:t>
        </w:r>
      </w:hyperlink>
      <w:r w:rsidRPr="00381E85">
        <w:rPr>
          <w:rFonts w:cs="Arial"/>
          <w:szCs w:val="24"/>
        </w:rPr>
        <w:t xml:space="preserve"> (Accessed: 18 September 2026).</w:t>
      </w:r>
    </w:p>
    <w:p w14:paraId="03475568" w14:textId="77777777" w:rsidR="00D74974" w:rsidRPr="00477C24" w:rsidRDefault="00D74974" w:rsidP="00D74974">
      <w:pPr>
        <w:rPr>
          <w:rFonts w:cs="Arial"/>
          <w:szCs w:val="24"/>
          <w:lang w:val="en-IN"/>
        </w:rPr>
      </w:pPr>
      <w:r w:rsidRPr="00477C24">
        <w:rPr>
          <w:rFonts w:cs="Arial"/>
          <w:szCs w:val="24"/>
        </w:rPr>
        <w:t xml:space="preserve">BHP. (2015) </w:t>
      </w:r>
      <w:r w:rsidRPr="00D74974">
        <w:rPr>
          <w:rFonts w:cs="Arial"/>
          <w:i/>
          <w:iCs/>
          <w:szCs w:val="24"/>
          <w:lang w:val="en-IN"/>
        </w:rPr>
        <w:t>Sustaining Australia’s competitive advantage</w:t>
      </w:r>
      <w:r w:rsidRPr="00477C24">
        <w:rPr>
          <w:rFonts w:cs="Arial"/>
          <w:szCs w:val="24"/>
          <w:lang w:val="en-IN"/>
        </w:rPr>
        <w:t xml:space="preserve">. Available at: </w:t>
      </w:r>
      <w:hyperlink r:id="rId13" w:history="1">
        <w:r w:rsidRPr="00AE7EA7">
          <w:rPr>
            <w:rStyle w:val="Hyperlink"/>
            <w:rFonts w:cs="Arial"/>
            <w:szCs w:val="24"/>
            <w:lang w:val="en-IN"/>
          </w:rPr>
          <w:t>https://www.bhp.com/news/media-centre/reports-presentations/2021/05/sustaining-australias-competitive-advantage</w:t>
        </w:r>
      </w:hyperlink>
      <w:r w:rsidRPr="00477C24">
        <w:rPr>
          <w:rFonts w:cs="Arial"/>
          <w:szCs w:val="24"/>
          <w:lang w:val="en-IN"/>
        </w:rPr>
        <w:t xml:space="preserve"> (Accessed: 10 October 2026).</w:t>
      </w:r>
    </w:p>
    <w:p w14:paraId="62A41700" w14:textId="77777777" w:rsidR="00D74974" w:rsidRPr="00381E85" w:rsidRDefault="00D74974">
      <w:pPr>
        <w:rPr>
          <w:rFonts w:cs="Arial"/>
          <w:szCs w:val="24"/>
        </w:rPr>
      </w:pPr>
      <w:r w:rsidRPr="00D74974">
        <w:rPr>
          <w:rFonts w:cs="Arial"/>
          <w:szCs w:val="24"/>
        </w:rPr>
        <w:t xml:space="preserve">BHP. (2023) </w:t>
      </w:r>
      <w:r w:rsidRPr="00D74974">
        <w:rPr>
          <w:rFonts w:cs="Arial"/>
          <w:i/>
          <w:iCs/>
          <w:szCs w:val="24"/>
        </w:rPr>
        <w:t>Annual Report</w:t>
      </w:r>
      <w:r w:rsidRPr="00D74974">
        <w:rPr>
          <w:rFonts w:cs="Arial"/>
          <w:szCs w:val="24"/>
        </w:rPr>
        <w:t xml:space="preserve">. Available at: </w:t>
      </w:r>
      <w:hyperlink r:id="rId14" w:history="1">
        <w:r w:rsidRPr="00AE7EA7">
          <w:rPr>
            <w:rStyle w:val="Hyperlink"/>
            <w:rFonts w:cs="Arial"/>
            <w:szCs w:val="24"/>
          </w:rPr>
          <w:t>https://www.bhp.com/-/media/documents/investors/annual-reports/2023/230822_bhpannualreport2023.pdf</w:t>
        </w:r>
      </w:hyperlink>
      <w:r w:rsidRPr="00D74974">
        <w:rPr>
          <w:rFonts w:cs="Arial"/>
          <w:szCs w:val="24"/>
        </w:rPr>
        <w:t xml:space="preserve"> (Accessed: 10 October 2026).</w:t>
      </w:r>
      <w:r>
        <w:rPr>
          <w:rFonts w:cs="Arial"/>
          <w:szCs w:val="24"/>
        </w:rPr>
        <w:t xml:space="preserve"> </w:t>
      </w:r>
    </w:p>
    <w:p w14:paraId="4C1338E3" w14:textId="77777777" w:rsidR="00290F54" w:rsidRPr="00290F54" w:rsidRDefault="00290F54">
      <w:pPr>
        <w:rPr>
          <w:rFonts w:cs="Arial"/>
          <w:i/>
          <w:iCs/>
          <w:szCs w:val="24"/>
        </w:rPr>
      </w:pPr>
      <w:r w:rsidRPr="002E161E">
        <w:rPr>
          <w:rFonts w:cs="Arial"/>
          <w:szCs w:val="24"/>
        </w:rPr>
        <w:t>BHP. (2024)</w:t>
      </w:r>
      <w:r w:rsidRPr="002E161E">
        <w:rPr>
          <w:rFonts w:cs="Arial"/>
          <w:i/>
          <w:iCs/>
          <w:szCs w:val="24"/>
        </w:rPr>
        <w:t xml:space="preserve"> Climate change. </w:t>
      </w:r>
      <w:r w:rsidRPr="002E161E">
        <w:rPr>
          <w:rFonts w:cs="Arial"/>
          <w:szCs w:val="24"/>
        </w:rPr>
        <w:t xml:space="preserve">Available at: </w:t>
      </w:r>
      <w:hyperlink r:id="rId15" w:history="1">
        <w:r w:rsidRPr="00AE7EA7">
          <w:rPr>
            <w:rStyle w:val="Hyperlink"/>
            <w:rFonts w:cs="Arial"/>
            <w:szCs w:val="24"/>
          </w:rPr>
          <w:t>https://www.bhp.com/sustainability/climate-change</w:t>
        </w:r>
      </w:hyperlink>
      <w:r w:rsidRPr="000068BC">
        <w:rPr>
          <w:rFonts w:cs="Arial"/>
          <w:szCs w:val="24"/>
        </w:rPr>
        <w:t xml:space="preserve"> (Accessed: 10 October 2026)</w:t>
      </w:r>
      <w:r w:rsidRPr="0090216F">
        <w:rPr>
          <w:rFonts w:cs="Arial"/>
          <w:i/>
          <w:iCs/>
          <w:szCs w:val="24"/>
        </w:rPr>
        <w:t>.</w:t>
      </w:r>
      <w:r w:rsidRPr="00290F54">
        <w:rPr>
          <w:rFonts w:cs="Arial"/>
          <w:i/>
          <w:iCs/>
          <w:szCs w:val="24"/>
        </w:rPr>
        <w:t xml:space="preserve"> </w:t>
      </w:r>
    </w:p>
    <w:p w14:paraId="187A3DCD" w14:textId="77777777" w:rsidR="00FD0D30" w:rsidRPr="00381E85" w:rsidRDefault="00FD0D30">
      <w:pPr>
        <w:rPr>
          <w:rFonts w:cs="Arial"/>
          <w:szCs w:val="24"/>
        </w:rPr>
      </w:pPr>
      <w:r w:rsidRPr="00381E85">
        <w:rPr>
          <w:rFonts w:cs="Arial"/>
          <w:szCs w:val="24"/>
        </w:rPr>
        <w:t xml:space="preserve">BHP Group. (2025) </w:t>
      </w:r>
      <w:r w:rsidRPr="00381E85">
        <w:rPr>
          <w:rFonts w:cs="Arial"/>
          <w:i/>
          <w:iCs/>
          <w:szCs w:val="24"/>
        </w:rPr>
        <w:t>Report Of Foreign Private Issuer</w:t>
      </w:r>
      <w:r w:rsidRPr="00381E85">
        <w:rPr>
          <w:rFonts w:cs="Arial"/>
          <w:szCs w:val="24"/>
        </w:rPr>
        <w:t xml:space="preserve">. Available at: </w:t>
      </w:r>
      <w:hyperlink r:id="rId16" w:history="1">
        <w:r w:rsidRPr="00381E85">
          <w:rPr>
            <w:rStyle w:val="Hyperlink"/>
            <w:rFonts w:cs="Arial"/>
            <w:szCs w:val="24"/>
          </w:rPr>
          <w:t>https://www.sec.gov/Archives/edgar/data/811809/000119312525183071/d35528d6k.htm</w:t>
        </w:r>
      </w:hyperlink>
      <w:r w:rsidRPr="00381E85">
        <w:rPr>
          <w:rFonts w:cs="Arial"/>
          <w:szCs w:val="24"/>
        </w:rPr>
        <w:t xml:space="preserve"> (Accessed: 18 September 2026).</w:t>
      </w:r>
    </w:p>
    <w:p w14:paraId="24A19314" w14:textId="77777777" w:rsidR="00FD0D30" w:rsidRPr="00381E85" w:rsidRDefault="00FD0D30">
      <w:pPr>
        <w:rPr>
          <w:rFonts w:cs="Arial"/>
          <w:szCs w:val="24"/>
        </w:rPr>
      </w:pPr>
      <w:r w:rsidRPr="00381E85">
        <w:rPr>
          <w:rFonts w:cs="Arial"/>
          <w:szCs w:val="24"/>
        </w:rPr>
        <w:t xml:space="preserve">BHP. (2026a) </w:t>
      </w:r>
      <w:r w:rsidRPr="00381E85">
        <w:rPr>
          <w:rFonts w:cs="Arial"/>
          <w:i/>
          <w:iCs/>
          <w:szCs w:val="24"/>
        </w:rPr>
        <w:t>About us</w:t>
      </w:r>
      <w:r w:rsidRPr="00381E85">
        <w:rPr>
          <w:rFonts w:cs="Arial"/>
          <w:szCs w:val="24"/>
        </w:rPr>
        <w:t xml:space="preserve">. Available at: </w:t>
      </w:r>
      <w:hyperlink r:id="rId17" w:history="1">
        <w:r w:rsidRPr="00381E85">
          <w:rPr>
            <w:rStyle w:val="Hyperlink"/>
            <w:rFonts w:cs="Arial"/>
            <w:szCs w:val="24"/>
          </w:rPr>
          <w:t>https://www.bhp.com/about</w:t>
        </w:r>
      </w:hyperlink>
      <w:r w:rsidRPr="00381E85">
        <w:rPr>
          <w:rFonts w:cs="Arial"/>
          <w:szCs w:val="24"/>
        </w:rPr>
        <w:t xml:space="preserve"> (Accessed: 18 September 2026).</w:t>
      </w:r>
    </w:p>
    <w:p w14:paraId="6594232E" w14:textId="77777777" w:rsidR="00FD0D30" w:rsidRPr="00381E85" w:rsidRDefault="00FD0D30">
      <w:pPr>
        <w:rPr>
          <w:rFonts w:cs="Arial"/>
          <w:szCs w:val="24"/>
        </w:rPr>
      </w:pPr>
      <w:r w:rsidRPr="00381E85">
        <w:rPr>
          <w:rFonts w:cs="Arial"/>
          <w:szCs w:val="24"/>
        </w:rPr>
        <w:lastRenderedPageBreak/>
        <w:t xml:space="preserve">BHP. (2026b) </w:t>
      </w:r>
      <w:r w:rsidRPr="00381E85">
        <w:rPr>
          <w:rFonts w:cs="Arial"/>
          <w:i/>
          <w:iCs/>
          <w:szCs w:val="24"/>
        </w:rPr>
        <w:t>BHP: the world’s largest copper producer</w:t>
      </w:r>
      <w:r w:rsidRPr="00381E85">
        <w:rPr>
          <w:rFonts w:cs="Arial"/>
          <w:szCs w:val="24"/>
        </w:rPr>
        <w:t xml:space="preserve">. Available at: </w:t>
      </w:r>
      <w:hyperlink r:id="rId18" w:history="1">
        <w:r w:rsidRPr="00381E85">
          <w:rPr>
            <w:rStyle w:val="Hyperlink"/>
            <w:rFonts w:cs="Arial"/>
            <w:szCs w:val="24"/>
          </w:rPr>
          <w:t>https://www.bhp.com/about/coppergrowth</w:t>
        </w:r>
      </w:hyperlink>
      <w:r w:rsidRPr="00381E85">
        <w:rPr>
          <w:rFonts w:cs="Arial"/>
          <w:szCs w:val="24"/>
        </w:rPr>
        <w:t xml:space="preserve"> (Accessed: 18 September 2026).</w:t>
      </w:r>
    </w:p>
    <w:p w14:paraId="7F168F66" w14:textId="77777777" w:rsidR="00FD0D30" w:rsidRDefault="00FD0D30">
      <w:pPr>
        <w:rPr>
          <w:rFonts w:cs="Arial"/>
          <w:szCs w:val="24"/>
        </w:rPr>
      </w:pPr>
      <w:r w:rsidRPr="00381E85">
        <w:rPr>
          <w:rFonts w:cs="Arial"/>
          <w:szCs w:val="24"/>
        </w:rPr>
        <w:t xml:space="preserve">BHP. (2026c) </w:t>
      </w:r>
      <w:r w:rsidRPr="00381E85">
        <w:rPr>
          <w:rFonts w:cs="Arial"/>
          <w:i/>
          <w:iCs/>
          <w:szCs w:val="24"/>
        </w:rPr>
        <w:t>Annual Report</w:t>
      </w:r>
      <w:r w:rsidRPr="00381E85">
        <w:rPr>
          <w:rFonts w:cs="Arial"/>
          <w:szCs w:val="24"/>
        </w:rPr>
        <w:t xml:space="preserve">. Available at: </w:t>
      </w:r>
      <w:hyperlink r:id="rId19" w:history="1">
        <w:r w:rsidRPr="00381E85">
          <w:rPr>
            <w:rStyle w:val="Hyperlink"/>
            <w:rFonts w:cs="Arial"/>
            <w:szCs w:val="24"/>
          </w:rPr>
          <w:t>https://www.bhp.com/investor-hub/reports-and-presentations/annual-report</w:t>
        </w:r>
      </w:hyperlink>
      <w:r w:rsidRPr="00381E85">
        <w:rPr>
          <w:rFonts w:cs="Arial"/>
          <w:szCs w:val="24"/>
        </w:rPr>
        <w:t xml:space="preserve"> (Accessed: 18 September 2026).</w:t>
      </w:r>
    </w:p>
    <w:p w14:paraId="1F882748" w14:textId="77777777" w:rsidR="000068BC" w:rsidRPr="000068BC" w:rsidRDefault="000068BC">
      <w:pPr>
        <w:rPr>
          <w:rFonts w:cs="Arial"/>
          <w:szCs w:val="24"/>
          <w:lang w:val="en-IN"/>
        </w:rPr>
      </w:pPr>
      <w:r w:rsidRPr="000068BC">
        <w:rPr>
          <w:rFonts w:cs="Arial"/>
          <w:szCs w:val="24"/>
        </w:rPr>
        <w:t xml:space="preserve">BHP. (2026d) </w:t>
      </w:r>
      <w:r w:rsidRPr="000068BC">
        <w:rPr>
          <w:rFonts w:cs="Arial"/>
          <w:i/>
          <w:iCs/>
          <w:szCs w:val="24"/>
          <w:lang w:val="en-IN"/>
        </w:rPr>
        <w:t>Operational GHG emissions (Scopes 1 and 2 emissions from our operated assets).</w:t>
      </w:r>
      <w:r w:rsidRPr="000068BC">
        <w:rPr>
          <w:rFonts w:cs="Arial"/>
          <w:szCs w:val="24"/>
          <w:lang w:val="en-IN"/>
        </w:rPr>
        <w:t xml:space="preserve"> Available at: </w:t>
      </w:r>
      <w:hyperlink r:id="rId20" w:history="1">
        <w:r w:rsidRPr="00AE7EA7">
          <w:rPr>
            <w:rStyle w:val="Hyperlink"/>
            <w:rFonts w:cs="Arial"/>
            <w:szCs w:val="24"/>
            <w:lang w:val="en-IN"/>
          </w:rPr>
          <w:t>https://www.bhp.com/sustainability/climate-change/operational-ghg-emissions</w:t>
        </w:r>
      </w:hyperlink>
      <w:r w:rsidRPr="000068BC">
        <w:rPr>
          <w:rFonts w:cs="Arial"/>
          <w:szCs w:val="24"/>
          <w:lang w:val="en-IN"/>
        </w:rPr>
        <w:t xml:space="preserve"> (Accessed: 10 October 2026).</w:t>
      </w:r>
      <w:r>
        <w:rPr>
          <w:rFonts w:cs="Arial"/>
          <w:szCs w:val="24"/>
          <w:lang w:val="en-IN"/>
        </w:rPr>
        <w:t xml:space="preserve"> </w:t>
      </w:r>
    </w:p>
    <w:p w14:paraId="4557A5EF" w14:textId="77777777" w:rsidR="00FD0D30" w:rsidRPr="00381E85" w:rsidRDefault="00FD0D30">
      <w:pPr>
        <w:rPr>
          <w:rFonts w:cs="Arial"/>
          <w:szCs w:val="24"/>
        </w:rPr>
      </w:pPr>
      <w:r w:rsidRPr="00381E85">
        <w:rPr>
          <w:rFonts w:cs="Arial"/>
          <w:szCs w:val="24"/>
        </w:rPr>
        <w:t>Biswas, R.R. and Rahman, A. (2023) ‘Adaptation to climate change: A study on regional climate change adaptation policy and practice framework’, </w:t>
      </w:r>
      <w:r w:rsidRPr="00381E85">
        <w:rPr>
          <w:rFonts w:cs="Arial"/>
          <w:i/>
          <w:iCs/>
          <w:szCs w:val="24"/>
        </w:rPr>
        <w:t>Journal of Environmental Management</w:t>
      </w:r>
      <w:r w:rsidRPr="00381E85">
        <w:rPr>
          <w:rFonts w:cs="Arial"/>
          <w:szCs w:val="24"/>
        </w:rPr>
        <w:t xml:space="preserve">, 336. Available at: </w:t>
      </w:r>
      <w:hyperlink r:id="rId21" w:history="1">
        <w:r w:rsidRPr="00381E85">
          <w:rPr>
            <w:rStyle w:val="Hyperlink"/>
            <w:rFonts w:cs="Arial"/>
            <w:szCs w:val="24"/>
          </w:rPr>
          <w:t>https://www.sciencedirect.com/science/article/pii/S0301479723004541</w:t>
        </w:r>
      </w:hyperlink>
    </w:p>
    <w:p w14:paraId="4E85A52E" w14:textId="77777777" w:rsidR="00FD0D30" w:rsidRPr="00381E85" w:rsidRDefault="00FD0D30">
      <w:pPr>
        <w:rPr>
          <w:rFonts w:cs="Arial"/>
          <w:szCs w:val="24"/>
        </w:rPr>
      </w:pPr>
      <w:proofErr w:type="spellStart"/>
      <w:r w:rsidRPr="00381E85">
        <w:rPr>
          <w:rFonts w:cs="Arial"/>
          <w:szCs w:val="24"/>
        </w:rPr>
        <w:t>Cathles</w:t>
      </w:r>
      <w:proofErr w:type="spellEnd"/>
      <w:r w:rsidRPr="00381E85">
        <w:rPr>
          <w:rFonts w:cs="Arial"/>
          <w:szCs w:val="24"/>
        </w:rPr>
        <w:t>, L.M., Simon, A.C. and Wood, D. (2025) ‘Copper: mining, development, and electrification’, </w:t>
      </w:r>
      <w:r w:rsidRPr="00381E85">
        <w:rPr>
          <w:rFonts w:cs="Arial"/>
          <w:i/>
          <w:iCs/>
          <w:szCs w:val="24"/>
        </w:rPr>
        <w:t>SEG Discovery</w:t>
      </w:r>
      <w:r w:rsidRPr="00381E85">
        <w:rPr>
          <w:rFonts w:cs="Arial"/>
          <w:szCs w:val="24"/>
        </w:rPr>
        <w:t xml:space="preserve">, 1(141), pp.13-20. Available at: </w:t>
      </w:r>
      <w:hyperlink r:id="rId22" w:history="1">
        <w:r w:rsidRPr="00381E85">
          <w:rPr>
            <w:rStyle w:val="Hyperlink"/>
            <w:rFonts w:cs="Arial"/>
            <w:szCs w:val="24"/>
          </w:rPr>
          <w:t>https://pubs.geoscienceworld.org/segweb/segdiscovery/article-abstract/doi/10.5382/SEGnews.2025-141.fea-01/654182</w:t>
        </w:r>
      </w:hyperlink>
    </w:p>
    <w:p w14:paraId="781EAA01" w14:textId="77777777" w:rsidR="00FD0D30" w:rsidRPr="00381E85" w:rsidRDefault="00FD0D30">
      <w:pPr>
        <w:rPr>
          <w:rFonts w:cs="Arial"/>
          <w:szCs w:val="24"/>
        </w:rPr>
      </w:pPr>
      <w:proofErr w:type="spellStart"/>
      <w:r w:rsidRPr="00381E85">
        <w:rPr>
          <w:rFonts w:cs="Arial"/>
          <w:szCs w:val="24"/>
        </w:rPr>
        <w:t>Harpprecht</w:t>
      </w:r>
      <w:proofErr w:type="spellEnd"/>
      <w:r w:rsidRPr="00381E85">
        <w:rPr>
          <w:rFonts w:cs="Arial"/>
          <w:szCs w:val="24"/>
        </w:rPr>
        <w:t xml:space="preserve">, C., van </w:t>
      </w:r>
      <w:proofErr w:type="spellStart"/>
      <w:r w:rsidRPr="00381E85">
        <w:rPr>
          <w:rFonts w:cs="Arial"/>
          <w:szCs w:val="24"/>
        </w:rPr>
        <w:t>Oers</w:t>
      </w:r>
      <w:proofErr w:type="spellEnd"/>
      <w:r w:rsidRPr="00381E85">
        <w:rPr>
          <w:rFonts w:cs="Arial"/>
          <w:szCs w:val="24"/>
        </w:rPr>
        <w:t>, L., Northey, S.A., Yang, Y. and Steubing, B. (2021) ‘Environmental impacts of key metals' supply and low</w:t>
      </w:r>
      <w:r w:rsidRPr="00381E85">
        <w:rPr>
          <w:rFonts w:ascii="Cambria Math" w:hAnsi="Cambria Math" w:cs="Cambria Math"/>
          <w:szCs w:val="24"/>
        </w:rPr>
        <w:t>‐</w:t>
      </w:r>
      <w:r w:rsidRPr="00381E85">
        <w:rPr>
          <w:rFonts w:cs="Arial"/>
          <w:szCs w:val="24"/>
        </w:rPr>
        <w:t>carbon technologies are likely to decrease in the future’, </w:t>
      </w:r>
      <w:r w:rsidRPr="00381E85">
        <w:rPr>
          <w:rFonts w:cs="Arial"/>
          <w:i/>
          <w:iCs/>
          <w:szCs w:val="24"/>
        </w:rPr>
        <w:t>Journal of Industrial Ecology</w:t>
      </w:r>
      <w:r w:rsidRPr="00381E85">
        <w:rPr>
          <w:rFonts w:cs="Arial"/>
          <w:szCs w:val="24"/>
        </w:rPr>
        <w:t xml:space="preserve">, 25(6), pp.1543-1559. Available at: </w:t>
      </w:r>
      <w:hyperlink r:id="rId23" w:history="1">
        <w:r w:rsidRPr="00381E85">
          <w:rPr>
            <w:rStyle w:val="Hyperlink"/>
            <w:rFonts w:cs="Arial"/>
            <w:szCs w:val="24"/>
          </w:rPr>
          <w:t>https://onlinelibrary.wiley.com/doi/pdf/10.1111/jiec.13181</w:t>
        </w:r>
      </w:hyperlink>
    </w:p>
    <w:p w14:paraId="4B6CCF77" w14:textId="77777777" w:rsidR="00FD0D30" w:rsidRPr="00381E85" w:rsidRDefault="00FD0D30">
      <w:pPr>
        <w:rPr>
          <w:rFonts w:cs="Arial"/>
          <w:szCs w:val="24"/>
        </w:rPr>
      </w:pPr>
      <w:r w:rsidRPr="00381E85">
        <w:rPr>
          <w:rFonts w:cs="Arial"/>
          <w:szCs w:val="24"/>
        </w:rPr>
        <w:t xml:space="preserve">Jiang, H., Liu, W., Zhao, S. and Chen, Y. (2020) ‘Technology standardization, competitive </w:t>
      </w:r>
      <w:proofErr w:type="spellStart"/>
      <w:r w:rsidRPr="00381E85">
        <w:rPr>
          <w:rFonts w:cs="Arial"/>
          <w:szCs w:val="24"/>
        </w:rPr>
        <w:t>behavior</w:t>
      </w:r>
      <w:proofErr w:type="spellEnd"/>
      <w:r w:rsidRPr="00381E85">
        <w:rPr>
          <w:rFonts w:cs="Arial"/>
          <w:szCs w:val="24"/>
        </w:rPr>
        <w:t>, and enterprises’ performance of innovation: A conceptual model’, </w:t>
      </w:r>
      <w:r w:rsidRPr="00381E85">
        <w:rPr>
          <w:rFonts w:cs="Arial"/>
          <w:i/>
          <w:iCs/>
          <w:szCs w:val="24"/>
        </w:rPr>
        <w:t>Library Hi Tech</w:t>
      </w:r>
      <w:r w:rsidRPr="00381E85">
        <w:rPr>
          <w:rFonts w:cs="Arial"/>
          <w:szCs w:val="24"/>
        </w:rPr>
        <w:t xml:space="preserve">, 38(1), pp.251-269. Available at: </w:t>
      </w:r>
      <w:hyperlink r:id="rId24" w:history="1">
        <w:r w:rsidRPr="00381E85">
          <w:rPr>
            <w:rStyle w:val="Hyperlink"/>
            <w:rFonts w:cs="Arial"/>
            <w:szCs w:val="24"/>
          </w:rPr>
          <w:t>https://drive.google.com/file/d/1od_wbi5JkoqgkVIMyReonvWNVie3hqZS/view</w:t>
        </w:r>
      </w:hyperlink>
    </w:p>
    <w:p w14:paraId="285FDFAC" w14:textId="77777777" w:rsidR="003E105A" w:rsidRPr="00381E85" w:rsidRDefault="003E105A" w:rsidP="003E105A">
      <w:pPr>
        <w:rPr>
          <w:rFonts w:cs="Arial"/>
          <w:szCs w:val="24"/>
        </w:rPr>
      </w:pPr>
      <w:r w:rsidRPr="00381E85">
        <w:rPr>
          <w:rFonts w:cs="Arial"/>
          <w:szCs w:val="24"/>
        </w:rPr>
        <w:t xml:space="preserve">Kotler, P., Armstrong, G., Harris, L.C. and He, H. (2024) </w:t>
      </w:r>
      <w:r w:rsidRPr="00381E85">
        <w:rPr>
          <w:rFonts w:cs="Arial"/>
          <w:i/>
          <w:iCs/>
          <w:szCs w:val="24"/>
        </w:rPr>
        <w:t xml:space="preserve">Principles of marketing. 19th </w:t>
      </w:r>
      <w:proofErr w:type="spellStart"/>
      <w:r w:rsidRPr="00381E85">
        <w:rPr>
          <w:rFonts w:cs="Arial"/>
          <w:i/>
          <w:iCs/>
          <w:szCs w:val="24"/>
        </w:rPr>
        <w:t>edn</w:t>
      </w:r>
      <w:proofErr w:type="spellEnd"/>
      <w:r w:rsidRPr="00381E85">
        <w:rPr>
          <w:rFonts w:cs="Arial"/>
          <w:szCs w:val="24"/>
        </w:rPr>
        <w:t>. Harlow: Pearson</w:t>
      </w:r>
    </w:p>
    <w:p w14:paraId="0114A25A" w14:textId="77777777" w:rsidR="00FD0D30" w:rsidRPr="00381E85" w:rsidRDefault="00FD0D30">
      <w:pPr>
        <w:rPr>
          <w:rFonts w:cs="Arial"/>
          <w:szCs w:val="24"/>
        </w:rPr>
      </w:pPr>
      <w:r w:rsidRPr="00381E85">
        <w:rPr>
          <w:rFonts w:cs="Arial"/>
          <w:szCs w:val="24"/>
        </w:rPr>
        <w:t>Marston, A.J. (2017) ‘Alloyed waterscapes: mining and water at the nexus of corporate social responsibility, resource nationalism, and small</w:t>
      </w:r>
      <w:r w:rsidRPr="00381E85">
        <w:rPr>
          <w:rFonts w:ascii="Cambria Math" w:hAnsi="Cambria Math" w:cs="Cambria Math"/>
          <w:szCs w:val="24"/>
        </w:rPr>
        <w:t>‐</w:t>
      </w:r>
      <w:r w:rsidRPr="00381E85">
        <w:rPr>
          <w:rFonts w:cs="Arial"/>
          <w:szCs w:val="24"/>
        </w:rPr>
        <w:t>scale mining’, </w:t>
      </w:r>
      <w:r w:rsidRPr="00381E85">
        <w:rPr>
          <w:rFonts w:cs="Arial"/>
          <w:i/>
          <w:iCs/>
          <w:szCs w:val="24"/>
        </w:rPr>
        <w:t>Wiley Interdisciplinary Reviews: Water</w:t>
      </w:r>
      <w:r w:rsidRPr="00381E85">
        <w:rPr>
          <w:rFonts w:cs="Arial"/>
          <w:szCs w:val="24"/>
        </w:rPr>
        <w:t xml:space="preserve">, 4(1). Available at: </w:t>
      </w:r>
      <w:hyperlink r:id="rId25" w:history="1">
        <w:r w:rsidRPr="00381E85">
          <w:rPr>
            <w:rStyle w:val="Hyperlink"/>
            <w:rFonts w:cs="Arial"/>
            <w:szCs w:val="24"/>
          </w:rPr>
          <w:t>https://www.researchgate.net/profile/Andrea-Marston/publication/308739709_Alloyed_waterscapes_mining_and_water_at_the_n</w:t>
        </w:r>
        <w:r w:rsidRPr="00381E85">
          <w:rPr>
            <w:rStyle w:val="Hyperlink"/>
            <w:rFonts w:cs="Arial"/>
            <w:szCs w:val="24"/>
          </w:rPr>
          <w:lastRenderedPageBreak/>
          <w:t>exus_of_corporate_social_responsibility_resource_nationalism_and_small-scale_mining/links/5b68da0692851ca6505118af/Alloyed-waterscapes-mining-and-water-at-the-nexus-of-corporate-social-responsibility-resource-nationalism-and-small-scale-mining.pdf</w:t>
        </w:r>
      </w:hyperlink>
    </w:p>
    <w:p w14:paraId="0FA51A82" w14:textId="77777777" w:rsidR="00FD0D30" w:rsidRPr="00381E85" w:rsidRDefault="00FD0D30">
      <w:pPr>
        <w:rPr>
          <w:rFonts w:cs="Arial"/>
          <w:szCs w:val="24"/>
        </w:rPr>
      </w:pPr>
      <w:r w:rsidRPr="00381E85">
        <w:rPr>
          <w:rFonts w:cs="Arial"/>
          <w:szCs w:val="24"/>
        </w:rPr>
        <w:t xml:space="preserve">Nasih, M., </w:t>
      </w:r>
      <w:proofErr w:type="spellStart"/>
      <w:r w:rsidRPr="00381E85">
        <w:rPr>
          <w:rFonts w:cs="Arial"/>
          <w:szCs w:val="24"/>
        </w:rPr>
        <w:t>Harymawan</w:t>
      </w:r>
      <w:proofErr w:type="spellEnd"/>
      <w:r w:rsidRPr="00381E85">
        <w:rPr>
          <w:rFonts w:cs="Arial"/>
          <w:szCs w:val="24"/>
        </w:rPr>
        <w:t xml:space="preserve">, I., </w:t>
      </w:r>
      <w:proofErr w:type="spellStart"/>
      <w:r w:rsidRPr="00381E85">
        <w:rPr>
          <w:rFonts w:cs="Arial"/>
          <w:szCs w:val="24"/>
        </w:rPr>
        <w:t>Paramitasari</w:t>
      </w:r>
      <w:proofErr w:type="spellEnd"/>
      <w:r w:rsidRPr="00381E85">
        <w:rPr>
          <w:rFonts w:cs="Arial"/>
          <w:szCs w:val="24"/>
        </w:rPr>
        <w:t xml:space="preserve">, Y.I. and </w:t>
      </w:r>
      <w:proofErr w:type="spellStart"/>
      <w:r w:rsidRPr="00381E85">
        <w:rPr>
          <w:rFonts w:cs="Arial"/>
          <w:szCs w:val="24"/>
        </w:rPr>
        <w:t>Handayani</w:t>
      </w:r>
      <w:proofErr w:type="spellEnd"/>
      <w:r w:rsidRPr="00381E85">
        <w:rPr>
          <w:rFonts w:cs="Arial"/>
          <w:szCs w:val="24"/>
        </w:rPr>
        <w:t>, A. (2019) ‘Carbon emissions, firm size, and corporate governance structure: Evidence from the mining and agricultural industries in Indonesia’, </w:t>
      </w:r>
      <w:r w:rsidRPr="00381E85">
        <w:rPr>
          <w:rFonts w:cs="Arial"/>
          <w:i/>
          <w:iCs/>
          <w:szCs w:val="24"/>
        </w:rPr>
        <w:t>Sustainability</w:t>
      </w:r>
      <w:r w:rsidRPr="00381E85">
        <w:rPr>
          <w:rFonts w:cs="Arial"/>
          <w:szCs w:val="24"/>
        </w:rPr>
        <w:t xml:space="preserve">, 11(9). Available at: </w:t>
      </w:r>
      <w:hyperlink r:id="rId26" w:history="1">
        <w:r w:rsidRPr="00381E85">
          <w:rPr>
            <w:rStyle w:val="Hyperlink"/>
            <w:rFonts w:cs="Arial"/>
            <w:szCs w:val="24"/>
          </w:rPr>
          <w:t>https://www.mdpi.com/2071-1050/11/9/2483</w:t>
        </w:r>
      </w:hyperlink>
    </w:p>
    <w:p w14:paraId="4BF6AF77" w14:textId="77777777" w:rsidR="00D522D1" w:rsidRDefault="00D522D1">
      <w:pPr>
        <w:rPr>
          <w:rFonts w:cs="Arial"/>
          <w:szCs w:val="24"/>
        </w:rPr>
      </w:pPr>
      <w:r w:rsidRPr="00D522D1">
        <w:rPr>
          <w:rFonts w:cs="Arial"/>
          <w:szCs w:val="24"/>
        </w:rPr>
        <w:t xml:space="preserve">Owen, R., Brennan, G. and Lyon, F. (2018) ‘Enabling investment for the transition to a low carbon economy: Government policy to finance early stage green innovation’, </w:t>
      </w:r>
      <w:r w:rsidRPr="00D522D1">
        <w:rPr>
          <w:rFonts w:cs="Arial"/>
          <w:i/>
          <w:iCs/>
          <w:szCs w:val="24"/>
        </w:rPr>
        <w:t>Current opinion in environmental sustainability</w:t>
      </w:r>
      <w:r w:rsidRPr="00D522D1">
        <w:rPr>
          <w:rFonts w:cs="Arial"/>
          <w:szCs w:val="24"/>
        </w:rPr>
        <w:t xml:space="preserve">, 31, pp.137-145. Available at: </w:t>
      </w:r>
      <w:hyperlink r:id="rId27" w:history="1">
        <w:r w:rsidRPr="00AE7EA7">
          <w:rPr>
            <w:rStyle w:val="Hyperlink"/>
            <w:rFonts w:cs="Arial"/>
            <w:szCs w:val="24"/>
          </w:rPr>
          <w:t>https://repository.mdx.ac.uk/download/7986484fcc9918ba50175968fd70dfc639b0843ad82bba4a39fc8c2f65194f20/305007/RO%20COES%20Enabling%20investment%20-march11-18.pdf</w:t>
        </w:r>
      </w:hyperlink>
      <w:r>
        <w:rPr>
          <w:rFonts w:cs="Arial"/>
          <w:szCs w:val="24"/>
        </w:rPr>
        <w:t xml:space="preserve"> </w:t>
      </w:r>
    </w:p>
    <w:p w14:paraId="51B63D16" w14:textId="77777777" w:rsidR="00FD0D30" w:rsidRPr="00381E85" w:rsidRDefault="00FD0D30">
      <w:pPr>
        <w:rPr>
          <w:rFonts w:cs="Arial"/>
          <w:szCs w:val="24"/>
        </w:rPr>
      </w:pPr>
      <w:r w:rsidRPr="00381E85">
        <w:rPr>
          <w:rFonts w:cs="Arial"/>
          <w:szCs w:val="24"/>
        </w:rPr>
        <w:t>Yu, W., Ramanathan, R. and Nath, P. (2017) ‘Environmental pressures and performance: An analysis of the roles of environmental innovation strategy and marketing capability’, </w:t>
      </w:r>
      <w:r w:rsidRPr="00381E85">
        <w:rPr>
          <w:rFonts w:cs="Arial"/>
          <w:i/>
          <w:iCs/>
          <w:szCs w:val="24"/>
        </w:rPr>
        <w:t>Technological Forecasting and Social Change</w:t>
      </w:r>
      <w:r w:rsidRPr="00381E85">
        <w:rPr>
          <w:rFonts w:cs="Arial"/>
          <w:szCs w:val="24"/>
        </w:rPr>
        <w:t xml:space="preserve">, 117, pp.160-169. Available at: </w:t>
      </w:r>
      <w:hyperlink r:id="rId28" w:history="1">
        <w:r w:rsidRPr="00381E85">
          <w:rPr>
            <w:rStyle w:val="Hyperlink"/>
            <w:rFonts w:cs="Arial"/>
            <w:szCs w:val="24"/>
          </w:rPr>
          <w:t>https://researchportal.northumbria.ac.uk/ws/portalfiles/portal/27935176/Environmental_pressures_and_performance_An_analysis_of_the_roles_of_environmental_innovation_strategy_and_marketing_capability.pdf</w:t>
        </w:r>
      </w:hyperlink>
    </w:p>
    <w:p w14:paraId="575256D9" w14:textId="77777777" w:rsidR="00FD0D30" w:rsidRPr="00381E85" w:rsidRDefault="00FD0D30">
      <w:pPr>
        <w:rPr>
          <w:rFonts w:cs="Arial"/>
          <w:szCs w:val="24"/>
        </w:rPr>
      </w:pPr>
      <w:r w:rsidRPr="00381E85">
        <w:rPr>
          <w:rFonts w:cs="Arial"/>
          <w:szCs w:val="24"/>
        </w:rPr>
        <w:t>Zugay, B. (2023) </w:t>
      </w:r>
      <w:r w:rsidRPr="00381E85">
        <w:rPr>
          <w:rFonts w:cs="Arial"/>
          <w:i/>
          <w:iCs/>
          <w:szCs w:val="24"/>
        </w:rPr>
        <w:t>Ansoff matrix</w:t>
      </w:r>
      <w:r w:rsidRPr="00381E85">
        <w:rPr>
          <w:rFonts w:cs="Arial"/>
          <w:szCs w:val="24"/>
        </w:rPr>
        <w:t>. California: SAGE Publications.</w:t>
      </w:r>
    </w:p>
    <w:p w14:paraId="0CDAA537" w14:textId="77777777" w:rsidR="004A4883" w:rsidRPr="00381E85" w:rsidRDefault="004A4883">
      <w:pPr>
        <w:rPr>
          <w:rFonts w:cs="Arial"/>
          <w:szCs w:val="24"/>
        </w:rPr>
      </w:pPr>
    </w:p>
    <w:p w14:paraId="3B00F56A" w14:textId="77777777" w:rsidR="00E006BF" w:rsidRPr="00381E85" w:rsidRDefault="00E006BF">
      <w:pPr>
        <w:rPr>
          <w:rFonts w:cs="Arial"/>
          <w:szCs w:val="24"/>
        </w:rPr>
      </w:pPr>
    </w:p>
    <w:sectPr w:rsidR="00E006BF" w:rsidRPr="00381E85">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153322" w14:textId="77777777" w:rsidR="00C07C2F" w:rsidRDefault="00C07C2F" w:rsidP="00701B0D">
      <w:pPr>
        <w:spacing w:after="0" w:line="240" w:lineRule="auto"/>
      </w:pPr>
      <w:r>
        <w:separator/>
      </w:r>
    </w:p>
  </w:endnote>
  <w:endnote w:type="continuationSeparator" w:id="0">
    <w:p w14:paraId="789A29E8" w14:textId="77777777" w:rsidR="00C07C2F" w:rsidRDefault="00C07C2F" w:rsidP="00701B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43440B" w14:textId="77777777" w:rsidR="00F41431" w:rsidRDefault="00F414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C5F327" w14:textId="77777777" w:rsidR="00F41431" w:rsidRDefault="00F414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6CD68A" w14:textId="77777777" w:rsidR="00F41431" w:rsidRDefault="00F414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0421DC" w14:textId="77777777" w:rsidR="00C07C2F" w:rsidRDefault="00C07C2F" w:rsidP="00701B0D">
      <w:pPr>
        <w:spacing w:after="0" w:line="240" w:lineRule="auto"/>
      </w:pPr>
      <w:r>
        <w:separator/>
      </w:r>
    </w:p>
  </w:footnote>
  <w:footnote w:type="continuationSeparator" w:id="0">
    <w:p w14:paraId="44A2F038" w14:textId="77777777" w:rsidR="00C07C2F" w:rsidRDefault="00C07C2F" w:rsidP="00701B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F04E55" w14:textId="77777777" w:rsidR="00F41431" w:rsidRDefault="00F414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A9F62B" w14:textId="77777777" w:rsidR="00701B0D" w:rsidRDefault="00D82DE0" w:rsidP="00D82DE0">
    <w:pPr>
      <w:pStyle w:val="Header"/>
    </w:pPr>
    <w:r>
      <w:tab/>
    </w:r>
    <w:r>
      <w:tab/>
    </w:r>
    <w:sdt>
      <w:sdtPr>
        <w:id w:val="-307935684"/>
        <w:docPartObj>
          <w:docPartGallery w:val="Page Numbers (Top of Page)"/>
          <w:docPartUnique/>
        </w:docPartObj>
      </w:sdtPr>
      <w:sdtEndPr>
        <w:rPr>
          <w:noProof/>
        </w:rPr>
      </w:sdtEndPr>
      <w:sdtContent>
        <w:r w:rsidR="00701B0D">
          <w:fldChar w:fldCharType="begin"/>
        </w:r>
        <w:r w:rsidR="00701B0D">
          <w:instrText xml:space="preserve"> PAGE   \* MERGEFORMAT </w:instrText>
        </w:r>
        <w:r w:rsidR="00701B0D">
          <w:fldChar w:fldCharType="separate"/>
        </w:r>
        <w:r w:rsidR="00701B0D">
          <w:rPr>
            <w:noProof/>
          </w:rPr>
          <w:t>2</w:t>
        </w:r>
        <w:r w:rsidR="00701B0D">
          <w:rPr>
            <w:noProof/>
          </w:rPr>
          <w:fldChar w:fldCharType="end"/>
        </w:r>
      </w:sdtContent>
    </w:sdt>
  </w:p>
  <w:p w14:paraId="4455CD6D" w14:textId="77777777" w:rsidR="00701B0D" w:rsidRDefault="00701B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199EC7" w14:textId="77777777" w:rsidR="00F41431" w:rsidRDefault="00F414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46112A"/>
    <w:multiLevelType w:val="hybridMultilevel"/>
    <w:tmpl w:val="3D80D198"/>
    <w:lvl w:ilvl="0" w:tplc="3A2E6A9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6569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9"/>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A50"/>
    <w:rsid w:val="000005AD"/>
    <w:rsid w:val="0000179D"/>
    <w:rsid w:val="0000207B"/>
    <w:rsid w:val="000068BC"/>
    <w:rsid w:val="00007376"/>
    <w:rsid w:val="000077FD"/>
    <w:rsid w:val="0001214D"/>
    <w:rsid w:val="000137EC"/>
    <w:rsid w:val="00014095"/>
    <w:rsid w:val="00017598"/>
    <w:rsid w:val="00025F9D"/>
    <w:rsid w:val="000351D0"/>
    <w:rsid w:val="000358DF"/>
    <w:rsid w:val="00036917"/>
    <w:rsid w:val="00041049"/>
    <w:rsid w:val="000420A5"/>
    <w:rsid w:val="00043666"/>
    <w:rsid w:val="00044771"/>
    <w:rsid w:val="000453E3"/>
    <w:rsid w:val="000464D3"/>
    <w:rsid w:val="00051D3C"/>
    <w:rsid w:val="00052D54"/>
    <w:rsid w:val="00053DDF"/>
    <w:rsid w:val="00054298"/>
    <w:rsid w:val="00071409"/>
    <w:rsid w:val="00075FE1"/>
    <w:rsid w:val="00080F27"/>
    <w:rsid w:val="000830DA"/>
    <w:rsid w:val="0008377E"/>
    <w:rsid w:val="00083B37"/>
    <w:rsid w:val="00084337"/>
    <w:rsid w:val="000849DD"/>
    <w:rsid w:val="00085807"/>
    <w:rsid w:val="000871F1"/>
    <w:rsid w:val="0009088B"/>
    <w:rsid w:val="00091C5B"/>
    <w:rsid w:val="00092A6C"/>
    <w:rsid w:val="0009625B"/>
    <w:rsid w:val="000A6FEC"/>
    <w:rsid w:val="000A7C73"/>
    <w:rsid w:val="000B1930"/>
    <w:rsid w:val="000B3585"/>
    <w:rsid w:val="000B44AA"/>
    <w:rsid w:val="000B5BAC"/>
    <w:rsid w:val="000C3577"/>
    <w:rsid w:val="000C4A68"/>
    <w:rsid w:val="000D05C6"/>
    <w:rsid w:val="000D1EBE"/>
    <w:rsid w:val="000D36C3"/>
    <w:rsid w:val="000D49E4"/>
    <w:rsid w:val="000D4AF5"/>
    <w:rsid w:val="000D4C02"/>
    <w:rsid w:val="000E02CB"/>
    <w:rsid w:val="000E2B33"/>
    <w:rsid w:val="000E378E"/>
    <w:rsid w:val="000E740D"/>
    <w:rsid w:val="000F25B1"/>
    <w:rsid w:val="000F2BA6"/>
    <w:rsid w:val="001027C6"/>
    <w:rsid w:val="00103450"/>
    <w:rsid w:val="00104843"/>
    <w:rsid w:val="00104983"/>
    <w:rsid w:val="00104D20"/>
    <w:rsid w:val="0010700C"/>
    <w:rsid w:val="00112A32"/>
    <w:rsid w:val="001141A0"/>
    <w:rsid w:val="0011468A"/>
    <w:rsid w:val="00120778"/>
    <w:rsid w:val="001216BC"/>
    <w:rsid w:val="00121867"/>
    <w:rsid w:val="00121944"/>
    <w:rsid w:val="00123B6F"/>
    <w:rsid w:val="00123DF9"/>
    <w:rsid w:val="00124221"/>
    <w:rsid w:val="00130288"/>
    <w:rsid w:val="00130B0B"/>
    <w:rsid w:val="001313EE"/>
    <w:rsid w:val="001328A2"/>
    <w:rsid w:val="001332CE"/>
    <w:rsid w:val="0013355F"/>
    <w:rsid w:val="00133D7E"/>
    <w:rsid w:val="001343E5"/>
    <w:rsid w:val="00134B9E"/>
    <w:rsid w:val="00134CDB"/>
    <w:rsid w:val="00136AEE"/>
    <w:rsid w:val="00137400"/>
    <w:rsid w:val="00140309"/>
    <w:rsid w:val="001413E2"/>
    <w:rsid w:val="001436DA"/>
    <w:rsid w:val="001437DC"/>
    <w:rsid w:val="00145053"/>
    <w:rsid w:val="00145BA7"/>
    <w:rsid w:val="00151F7D"/>
    <w:rsid w:val="00152A5D"/>
    <w:rsid w:val="00153AB4"/>
    <w:rsid w:val="00154514"/>
    <w:rsid w:val="00154F1D"/>
    <w:rsid w:val="001568DA"/>
    <w:rsid w:val="00174AAE"/>
    <w:rsid w:val="00174C96"/>
    <w:rsid w:val="001844FC"/>
    <w:rsid w:val="00185A13"/>
    <w:rsid w:val="00190C2B"/>
    <w:rsid w:val="0019103E"/>
    <w:rsid w:val="001927F9"/>
    <w:rsid w:val="00193CF1"/>
    <w:rsid w:val="00193FE8"/>
    <w:rsid w:val="00194223"/>
    <w:rsid w:val="00196885"/>
    <w:rsid w:val="00197B40"/>
    <w:rsid w:val="001A3FCF"/>
    <w:rsid w:val="001A4627"/>
    <w:rsid w:val="001A6ADF"/>
    <w:rsid w:val="001A7322"/>
    <w:rsid w:val="001B07A9"/>
    <w:rsid w:val="001B1600"/>
    <w:rsid w:val="001B425E"/>
    <w:rsid w:val="001B4535"/>
    <w:rsid w:val="001B49EA"/>
    <w:rsid w:val="001B668D"/>
    <w:rsid w:val="001B6CD4"/>
    <w:rsid w:val="001C0C38"/>
    <w:rsid w:val="001C0E60"/>
    <w:rsid w:val="001C63D2"/>
    <w:rsid w:val="001D12FB"/>
    <w:rsid w:val="001D180F"/>
    <w:rsid w:val="001D1BE8"/>
    <w:rsid w:val="001D4CA4"/>
    <w:rsid w:val="001E1BE6"/>
    <w:rsid w:val="001E5A4F"/>
    <w:rsid w:val="001E6449"/>
    <w:rsid w:val="001E7A50"/>
    <w:rsid w:val="001F3205"/>
    <w:rsid w:val="001F3B68"/>
    <w:rsid w:val="001F3CBB"/>
    <w:rsid w:val="001F4891"/>
    <w:rsid w:val="001F4909"/>
    <w:rsid w:val="00201731"/>
    <w:rsid w:val="002029BF"/>
    <w:rsid w:val="0020395E"/>
    <w:rsid w:val="00203AF0"/>
    <w:rsid w:val="00203C50"/>
    <w:rsid w:val="00204C53"/>
    <w:rsid w:val="00207C73"/>
    <w:rsid w:val="00212CD0"/>
    <w:rsid w:val="00215E0A"/>
    <w:rsid w:val="00220DF8"/>
    <w:rsid w:val="00220E60"/>
    <w:rsid w:val="00221772"/>
    <w:rsid w:val="00222E69"/>
    <w:rsid w:val="00226050"/>
    <w:rsid w:val="002308D3"/>
    <w:rsid w:val="00235894"/>
    <w:rsid w:val="00235932"/>
    <w:rsid w:val="002402F0"/>
    <w:rsid w:val="002409F4"/>
    <w:rsid w:val="002463BA"/>
    <w:rsid w:val="002468F5"/>
    <w:rsid w:val="00247CC8"/>
    <w:rsid w:val="00253215"/>
    <w:rsid w:val="00253BFA"/>
    <w:rsid w:val="00255EA4"/>
    <w:rsid w:val="00256F49"/>
    <w:rsid w:val="002572F9"/>
    <w:rsid w:val="002600F9"/>
    <w:rsid w:val="00263215"/>
    <w:rsid w:val="00263657"/>
    <w:rsid w:val="00270BBF"/>
    <w:rsid w:val="00271C7E"/>
    <w:rsid w:val="002722BB"/>
    <w:rsid w:val="00273CFD"/>
    <w:rsid w:val="00276151"/>
    <w:rsid w:val="002773F4"/>
    <w:rsid w:val="00280F92"/>
    <w:rsid w:val="00281C44"/>
    <w:rsid w:val="0028393B"/>
    <w:rsid w:val="00283E6F"/>
    <w:rsid w:val="00286150"/>
    <w:rsid w:val="00287384"/>
    <w:rsid w:val="00290F54"/>
    <w:rsid w:val="00290FA7"/>
    <w:rsid w:val="00291192"/>
    <w:rsid w:val="00291349"/>
    <w:rsid w:val="00291F14"/>
    <w:rsid w:val="00295AB7"/>
    <w:rsid w:val="00296B48"/>
    <w:rsid w:val="00296ECC"/>
    <w:rsid w:val="002A2714"/>
    <w:rsid w:val="002A2B2E"/>
    <w:rsid w:val="002A3723"/>
    <w:rsid w:val="002A40F5"/>
    <w:rsid w:val="002A431B"/>
    <w:rsid w:val="002A554D"/>
    <w:rsid w:val="002A6702"/>
    <w:rsid w:val="002B10DE"/>
    <w:rsid w:val="002B335B"/>
    <w:rsid w:val="002B434A"/>
    <w:rsid w:val="002B517F"/>
    <w:rsid w:val="002B6FB9"/>
    <w:rsid w:val="002B75BB"/>
    <w:rsid w:val="002B7CCD"/>
    <w:rsid w:val="002C04B0"/>
    <w:rsid w:val="002C6FCC"/>
    <w:rsid w:val="002C70F6"/>
    <w:rsid w:val="002C785C"/>
    <w:rsid w:val="002C7BDB"/>
    <w:rsid w:val="002C7E1D"/>
    <w:rsid w:val="002D0FC2"/>
    <w:rsid w:val="002D1506"/>
    <w:rsid w:val="002D32DD"/>
    <w:rsid w:val="002D550E"/>
    <w:rsid w:val="002D69F5"/>
    <w:rsid w:val="002D7F7C"/>
    <w:rsid w:val="002D7F8C"/>
    <w:rsid w:val="002E079E"/>
    <w:rsid w:val="002E0AD4"/>
    <w:rsid w:val="002E161E"/>
    <w:rsid w:val="002E1939"/>
    <w:rsid w:val="002E6AAA"/>
    <w:rsid w:val="002F0420"/>
    <w:rsid w:val="002F053E"/>
    <w:rsid w:val="00301673"/>
    <w:rsid w:val="0030188F"/>
    <w:rsid w:val="00301FF9"/>
    <w:rsid w:val="00304D54"/>
    <w:rsid w:val="00305FE8"/>
    <w:rsid w:val="00306D38"/>
    <w:rsid w:val="003072B3"/>
    <w:rsid w:val="00307A57"/>
    <w:rsid w:val="00310F41"/>
    <w:rsid w:val="00312333"/>
    <w:rsid w:val="00317E0E"/>
    <w:rsid w:val="00323CFD"/>
    <w:rsid w:val="00324E37"/>
    <w:rsid w:val="003264DC"/>
    <w:rsid w:val="00333102"/>
    <w:rsid w:val="003337E0"/>
    <w:rsid w:val="00335996"/>
    <w:rsid w:val="003417C5"/>
    <w:rsid w:val="00341D79"/>
    <w:rsid w:val="00342335"/>
    <w:rsid w:val="00343E7D"/>
    <w:rsid w:val="00344788"/>
    <w:rsid w:val="0034605C"/>
    <w:rsid w:val="0034622D"/>
    <w:rsid w:val="00350856"/>
    <w:rsid w:val="00350A7E"/>
    <w:rsid w:val="00351706"/>
    <w:rsid w:val="0035196C"/>
    <w:rsid w:val="003533E9"/>
    <w:rsid w:val="00354AA5"/>
    <w:rsid w:val="00356698"/>
    <w:rsid w:val="0036136B"/>
    <w:rsid w:val="003711B1"/>
    <w:rsid w:val="00372EB4"/>
    <w:rsid w:val="00374FEE"/>
    <w:rsid w:val="00376B7B"/>
    <w:rsid w:val="00381E85"/>
    <w:rsid w:val="00382F7F"/>
    <w:rsid w:val="003859A6"/>
    <w:rsid w:val="003A1954"/>
    <w:rsid w:val="003A1FFA"/>
    <w:rsid w:val="003A5117"/>
    <w:rsid w:val="003B0677"/>
    <w:rsid w:val="003B26B7"/>
    <w:rsid w:val="003B37B7"/>
    <w:rsid w:val="003B49EA"/>
    <w:rsid w:val="003B4FB1"/>
    <w:rsid w:val="003B742A"/>
    <w:rsid w:val="003C1B79"/>
    <w:rsid w:val="003C2126"/>
    <w:rsid w:val="003C6372"/>
    <w:rsid w:val="003D0458"/>
    <w:rsid w:val="003D264A"/>
    <w:rsid w:val="003D4349"/>
    <w:rsid w:val="003D58C7"/>
    <w:rsid w:val="003D6805"/>
    <w:rsid w:val="003D7005"/>
    <w:rsid w:val="003D7241"/>
    <w:rsid w:val="003E0FD4"/>
    <w:rsid w:val="003E105A"/>
    <w:rsid w:val="003E223B"/>
    <w:rsid w:val="003E303F"/>
    <w:rsid w:val="003E32AA"/>
    <w:rsid w:val="003E37D1"/>
    <w:rsid w:val="003E42FB"/>
    <w:rsid w:val="003E47CF"/>
    <w:rsid w:val="003E543B"/>
    <w:rsid w:val="003E616A"/>
    <w:rsid w:val="003E671C"/>
    <w:rsid w:val="003E7421"/>
    <w:rsid w:val="003F1C1A"/>
    <w:rsid w:val="003F3CD2"/>
    <w:rsid w:val="003F3EC4"/>
    <w:rsid w:val="003F4AF0"/>
    <w:rsid w:val="003F6E11"/>
    <w:rsid w:val="003F73FB"/>
    <w:rsid w:val="004000C5"/>
    <w:rsid w:val="00400D7E"/>
    <w:rsid w:val="004016BC"/>
    <w:rsid w:val="00405269"/>
    <w:rsid w:val="004116E5"/>
    <w:rsid w:val="00413022"/>
    <w:rsid w:val="00415323"/>
    <w:rsid w:val="004169E5"/>
    <w:rsid w:val="004200DD"/>
    <w:rsid w:val="004238B2"/>
    <w:rsid w:val="0042589D"/>
    <w:rsid w:val="00427C5C"/>
    <w:rsid w:val="004315F2"/>
    <w:rsid w:val="004322FE"/>
    <w:rsid w:val="00433936"/>
    <w:rsid w:val="004366DF"/>
    <w:rsid w:val="0043699F"/>
    <w:rsid w:val="0044290A"/>
    <w:rsid w:val="00443188"/>
    <w:rsid w:val="004446AD"/>
    <w:rsid w:val="00445FE5"/>
    <w:rsid w:val="004530F4"/>
    <w:rsid w:val="00453FC4"/>
    <w:rsid w:val="00454116"/>
    <w:rsid w:val="00455166"/>
    <w:rsid w:val="004611D4"/>
    <w:rsid w:val="0046120A"/>
    <w:rsid w:val="0046183C"/>
    <w:rsid w:val="00464D07"/>
    <w:rsid w:val="004667A1"/>
    <w:rsid w:val="00466EAB"/>
    <w:rsid w:val="00470E3B"/>
    <w:rsid w:val="00471714"/>
    <w:rsid w:val="00471CD8"/>
    <w:rsid w:val="00472109"/>
    <w:rsid w:val="00472F02"/>
    <w:rsid w:val="004742B1"/>
    <w:rsid w:val="004742B5"/>
    <w:rsid w:val="004762C8"/>
    <w:rsid w:val="00476670"/>
    <w:rsid w:val="004767B2"/>
    <w:rsid w:val="0047769B"/>
    <w:rsid w:val="00477C24"/>
    <w:rsid w:val="00482364"/>
    <w:rsid w:val="0048286A"/>
    <w:rsid w:val="0048540B"/>
    <w:rsid w:val="00486797"/>
    <w:rsid w:val="00490202"/>
    <w:rsid w:val="00491447"/>
    <w:rsid w:val="0049229E"/>
    <w:rsid w:val="00492D4B"/>
    <w:rsid w:val="00493BDA"/>
    <w:rsid w:val="00496160"/>
    <w:rsid w:val="004A06A2"/>
    <w:rsid w:val="004A1FE7"/>
    <w:rsid w:val="004A46E1"/>
    <w:rsid w:val="004A4883"/>
    <w:rsid w:val="004A4F9B"/>
    <w:rsid w:val="004A7E8B"/>
    <w:rsid w:val="004B44C7"/>
    <w:rsid w:val="004B5C9F"/>
    <w:rsid w:val="004B652A"/>
    <w:rsid w:val="004B73D2"/>
    <w:rsid w:val="004B74B0"/>
    <w:rsid w:val="004C2DBD"/>
    <w:rsid w:val="004D17EF"/>
    <w:rsid w:val="004D6064"/>
    <w:rsid w:val="004E0639"/>
    <w:rsid w:val="004F1166"/>
    <w:rsid w:val="004F3CC3"/>
    <w:rsid w:val="004F4213"/>
    <w:rsid w:val="004F52B5"/>
    <w:rsid w:val="004F6922"/>
    <w:rsid w:val="004F7430"/>
    <w:rsid w:val="00500216"/>
    <w:rsid w:val="00500669"/>
    <w:rsid w:val="00504450"/>
    <w:rsid w:val="00504BA4"/>
    <w:rsid w:val="0050530A"/>
    <w:rsid w:val="00505E6C"/>
    <w:rsid w:val="00514102"/>
    <w:rsid w:val="00514DEB"/>
    <w:rsid w:val="00515879"/>
    <w:rsid w:val="005215D7"/>
    <w:rsid w:val="00521BB0"/>
    <w:rsid w:val="005224DB"/>
    <w:rsid w:val="00522F6E"/>
    <w:rsid w:val="00524D70"/>
    <w:rsid w:val="00526F39"/>
    <w:rsid w:val="00530295"/>
    <w:rsid w:val="00531D59"/>
    <w:rsid w:val="0053352F"/>
    <w:rsid w:val="00533D7A"/>
    <w:rsid w:val="0053494D"/>
    <w:rsid w:val="0053708C"/>
    <w:rsid w:val="005414E0"/>
    <w:rsid w:val="00544C58"/>
    <w:rsid w:val="00551C95"/>
    <w:rsid w:val="0055229F"/>
    <w:rsid w:val="005532B0"/>
    <w:rsid w:val="00553D05"/>
    <w:rsid w:val="00553D52"/>
    <w:rsid w:val="005562AF"/>
    <w:rsid w:val="005601F2"/>
    <w:rsid w:val="00562364"/>
    <w:rsid w:val="00562D17"/>
    <w:rsid w:val="00563CCE"/>
    <w:rsid w:val="00564EAE"/>
    <w:rsid w:val="005652C5"/>
    <w:rsid w:val="00565CCA"/>
    <w:rsid w:val="00566A6C"/>
    <w:rsid w:val="00566D1A"/>
    <w:rsid w:val="00567198"/>
    <w:rsid w:val="00567673"/>
    <w:rsid w:val="00570EE3"/>
    <w:rsid w:val="00571DAF"/>
    <w:rsid w:val="00572DCE"/>
    <w:rsid w:val="00582C0D"/>
    <w:rsid w:val="00584877"/>
    <w:rsid w:val="00585448"/>
    <w:rsid w:val="005877A2"/>
    <w:rsid w:val="0059067A"/>
    <w:rsid w:val="00590EC5"/>
    <w:rsid w:val="00591BC8"/>
    <w:rsid w:val="0059335F"/>
    <w:rsid w:val="005958B1"/>
    <w:rsid w:val="005A2CD0"/>
    <w:rsid w:val="005A36DE"/>
    <w:rsid w:val="005A74B7"/>
    <w:rsid w:val="005B1515"/>
    <w:rsid w:val="005B19B9"/>
    <w:rsid w:val="005B4CD7"/>
    <w:rsid w:val="005B5A78"/>
    <w:rsid w:val="005B6D68"/>
    <w:rsid w:val="005B6DAF"/>
    <w:rsid w:val="005C0FAE"/>
    <w:rsid w:val="005C3E74"/>
    <w:rsid w:val="005C43A1"/>
    <w:rsid w:val="005C6D0A"/>
    <w:rsid w:val="005C79DE"/>
    <w:rsid w:val="005D3A8D"/>
    <w:rsid w:val="005D3E08"/>
    <w:rsid w:val="005D45AC"/>
    <w:rsid w:val="005D4AA8"/>
    <w:rsid w:val="005D5539"/>
    <w:rsid w:val="005D65AF"/>
    <w:rsid w:val="005E1D9A"/>
    <w:rsid w:val="005E1F61"/>
    <w:rsid w:val="005E336E"/>
    <w:rsid w:val="005E3D89"/>
    <w:rsid w:val="005E56ED"/>
    <w:rsid w:val="005E58D2"/>
    <w:rsid w:val="005F015B"/>
    <w:rsid w:val="005F0C78"/>
    <w:rsid w:val="005F1E4F"/>
    <w:rsid w:val="005F403E"/>
    <w:rsid w:val="005F565C"/>
    <w:rsid w:val="005F633B"/>
    <w:rsid w:val="005F7E76"/>
    <w:rsid w:val="005F7E8E"/>
    <w:rsid w:val="005F7FE2"/>
    <w:rsid w:val="006013D0"/>
    <w:rsid w:val="00602506"/>
    <w:rsid w:val="006048B0"/>
    <w:rsid w:val="00604B17"/>
    <w:rsid w:val="00610530"/>
    <w:rsid w:val="006130F2"/>
    <w:rsid w:val="00615424"/>
    <w:rsid w:val="0062195E"/>
    <w:rsid w:val="00630284"/>
    <w:rsid w:val="006306F3"/>
    <w:rsid w:val="006315AE"/>
    <w:rsid w:val="006318F2"/>
    <w:rsid w:val="00632259"/>
    <w:rsid w:val="006340A4"/>
    <w:rsid w:val="006355C4"/>
    <w:rsid w:val="00636493"/>
    <w:rsid w:val="00643247"/>
    <w:rsid w:val="00645671"/>
    <w:rsid w:val="006511C1"/>
    <w:rsid w:val="00652E53"/>
    <w:rsid w:val="0065609A"/>
    <w:rsid w:val="0066051C"/>
    <w:rsid w:val="006605F6"/>
    <w:rsid w:val="00660D14"/>
    <w:rsid w:val="00660E60"/>
    <w:rsid w:val="006615B7"/>
    <w:rsid w:val="006671EF"/>
    <w:rsid w:val="006707AB"/>
    <w:rsid w:val="00670C09"/>
    <w:rsid w:val="00674584"/>
    <w:rsid w:val="00674EC8"/>
    <w:rsid w:val="006761BD"/>
    <w:rsid w:val="00680032"/>
    <w:rsid w:val="00680F69"/>
    <w:rsid w:val="00681359"/>
    <w:rsid w:val="0068403A"/>
    <w:rsid w:val="0068638A"/>
    <w:rsid w:val="00686C9C"/>
    <w:rsid w:val="006875C8"/>
    <w:rsid w:val="00690550"/>
    <w:rsid w:val="00693A8E"/>
    <w:rsid w:val="006963E8"/>
    <w:rsid w:val="006A125A"/>
    <w:rsid w:val="006A167E"/>
    <w:rsid w:val="006A20D3"/>
    <w:rsid w:val="006A35E3"/>
    <w:rsid w:val="006A4B26"/>
    <w:rsid w:val="006A5F32"/>
    <w:rsid w:val="006B1415"/>
    <w:rsid w:val="006B1694"/>
    <w:rsid w:val="006B27DE"/>
    <w:rsid w:val="006B393B"/>
    <w:rsid w:val="006B6D98"/>
    <w:rsid w:val="006B7356"/>
    <w:rsid w:val="006C057A"/>
    <w:rsid w:val="006C1C3A"/>
    <w:rsid w:val="006C3759"/>
    <w:rsid w:val="006C524D"/>
    <w:rsid w:val="006C596F"/>
    <w:rsid w:val="006C67A3"/>
    <w:rsid w:val="006C79C6"/>
    <w:rsid w:val="006D0A05"/>
    <w:rsid w:val="006D3117"/>
    <w:rsid w:val="006D5EBD"/>
    <w:rsid w:val="006D68D9"/>
    <w:rsid w:val="006E227E"/>
    <w:rsid w:val="006E63CC"/>
    <w:rsid w:val="006F160F"/>
    <w:rsid w:val="006F71DC"/>
    <w:rsid w:val="006F7D4D"/>
    <w:rsid w:val="00701145"/>
    <w:rsid w:val="00701B0D"/>
    <w:rsid w:val="007060B3"/>
    <w:rsid w:val="0071105E"/>
    <w:rsid w:val="007116B0"/>
    <w:rsid w:val="00711E8D"/>
    <w:rsid w:val="00712A03"/>
    <w:rsid w:val="0071307D"/>
    <w:rsid w:val="007157AD"/>
    <w:rsid w:val="007209D7"/>
    <w:rsid w:val="00722AA3"/>
    <w:rsid w:val="007231EE"/>
    <w:rsid w:val="00723634"/>
    <w:rsid w:val="007244BE"/>
    <w:rsid w:val="00724C36"/>
    <w:rsid w:val="007310E8"/>
    <w:rsid w:val="00731B12"/>
    <w:rsid w:val="007327B6"/>
    <w:rsid w:val="00737ECD"/>
    <w:rsid w:val="007402C0"/>
    <w:rsid w:val="007450BF"/>
    <w:rsid w:val="00746DC3"/>
    <w:rsid w:val="007513EB"/>
    <w:rsid w:val="00751613"/>
    <w:rsid w:val="00751D73"/>
    <w:rsid w:val="00756D50"/>
    <w:rsid w:val="0076026E"/>
    <w:rsid w:val="00761B6D"/>
    <w:rsid w:val="00761EB9"/>
    <w:rsid w:val="00764B59"/>
    <w:rsid w:val="00765119"/>
    <w:rsid w:val="00771E28"/>
    <w:rsid w:val="007722EC"/>
    <w:rsid w:val="0077317B"/>
    <w:rsid w:val="00773862"/>
    <w:rsid w:val="0078079D"/>
    <w:rsid w:val="00781B4F"/>
    <w:rsid w:val="00782F35"/>
    <w:rsid w:val="00782FC9"/>
    <w:rsid w:val="00786277"/>
    <w:rsid w:val="00786EFA"/>
    <w:rsid w:val="00787E5E"/>
    <w:rsid w:val="007901F4"/>
    <w:rsid w:val="007920FD"/>
    <w:rsid w:val="00793A51"/>
    <w:rsid w:val="007A05D0"/>
    <w:rsid w:val="007A3A49"/>
    <w:rsid w:val="007A50A7"/>
    <w:rsid w:val="007B4304"/>
    <w:rsid w:val="007B69A5"/>
    <w:rsid w:val="007C27A3"/>
    <w:rsid w:val="007C5904"/>
    <w:rsid w:val="007D41DC"/>
    <w:rsid w:val="007D4679"/>
    <w:rsid w:val="007D573C"/>
    <w:rsid w:val="007E17CB"/>
    <w:rsid w:val="007E1BCE"/>
    <w:rsid w:val="007E2E70"/>
    <w:rsid w:val="007E4913"/>
    <w:rsid w:val="007E76C7"/>
    <w:rsid w:val="007F24FD"/>
    <w:rsid w:val="007F2F7A"/>
    <w:rsid w:val="007F2FCC"/>
    <w:rsid w:val="007F3FDC"/>
    <w:rsid w:val="007F4289"/>
    <w:rsid w:val="007F5F39"/>
    <w:rsid w:val="008006BD"/>
    <w:rsid w:val="00803A6F"/>
    <w:rsid w:val="008133F4"/>
    <w:rsid w:val="008138B1"/>
    <w:rsid w:val="00813E62"/>
    <w:rsid w:val="00814175"/>
    <w:rsid w:val="00820F63"/>
    <w:rsid w:val="008217D1"/>
    <w:rsid w:val="008225C7"/>
    <w:rsid w:val="008235F9"/>
    <w:rsid w:val="00826D01"/>
    <w:rsid w:val="00827125"/>
    <w:rsid w:val="00831E69"/>
    <w:rsid w:val="0083503C"/>
    <w:rsid w:val="008354D2"/>
    <w:rsid w:val="008357FC"/>
    <w:rsid w:val="00837DA9"/>
    <w:rsid w:val="00841111"/>
    <w:rsid w:val="00841EBA"/>
    <w:rsid w:val="00847895"/>
    <w:rsid w:val="00851FA9"/>
    <w:rsid w:val="00861C74"/>
    <w:rsid w:val="0087055C"/>
    <w:rsid w:val="008731AA"/>
    <w:rsid w:val="008851AF"/>
    <w:rsid w:val="00886707"/>
    <w:rsid w:val="008871F1"/>
    <w:rsid w:val="00891697"/>
    <w:rsid w:val="00896150"/>
    <w:rsid w:val="008962F3"/>
    <w:rsid w:val="00897C07"/>
    <w:rsid w:val="008A4436"/>
    <w:rsid w:val="008A4DE2"/>
    <w:rsid w:val="008A5FF1"/>
    <w:rsid w:val="008A66D7"/>
    <w:rsid w:val="008A6FCC"/>
    <w:rsid w:val="008A7074"/>
    <w:rsid w:val="008A7E6E"/>
    <w:rsid w:val="008B3678"/>
    <w:rsid w:val="008B5E02"/>
    <w:rsid w:val="008C298B"/>
    <w:rsid w:val="008C3FFB"/>
    <w:rsid w:val="008C4422"/>
    <w:rsid w:val="008C4949"/>
    <w:rsid w:val="008C4D83"/>
    <w:rsid w:val="008C52E0"/>
    <w:rsid w:val="008C602B"/>
    <w:rsid w:val="008C7CE6"/>
    <w:rsid w:val="008D26BB"/>
    <w:rsid w:val="008D308F"/>
    <w:rsid w:val="008D50FD"/>
    <w:rsid w:val="008D5ED3"/>
    <w:rsid w:val="008D7D9B"/>
    <w:rsid w:val="008E0C48"/>
    <w:rsid w:val="008E0F30"/>
    <w:rsid w:val="008E34FD"/>
    <w:rsid w:val="008E47F6"/>
    <w:rsid w:val="008E594F"/>
    <w:rsid w:val="008E631E"/>
    <w:rsid w:val="008F24EF"/>
    <w:rsid w:val="008F2C0D"/>
    <w:rsid w:val="008F43D6"/>
    <w:rsid w:val="0090216F"/>
    <w:rsid w:val="009029D6"/>
    <w:rsid w:val="00904E84"/>
    <w:rsid w:val="00905BC3"/>
    <w:rsid w:val="00907D47"/>
    <w:rsid w:val="00907F39"/>
    <w:rsid w:val="009129FC"/>
    <w:rsid w:val="009165F7"/>
    <w:rsid w:val="00921B25"/>
    <w:rsid w:val="00921C7C"/>
    <w:rsid w:val="00926CC1"/>
    <w:rsid w:val="009278AF"/>
    <w:rsid w:val="00930008"/>
    <w:rsid w:val="00931342"/>
    <w:rsid w:val="009331AD"/>
    <w:rsid w:val="00933A07"/>
    <w:rsid w:val="009342A2"/>
    <w:rsid w:val="009378F5"/>
    <w:rsid w:val="00937B19"/>
    <w:rsid w:val="0094071C"/>
    <w:rsid w:val="0094256B"/>
    <w:rsid w:val="009437D7"/>
    <w:rsid w:val="00944523"/>
    <w:rsid w:val="00945656"/>
    <w:rsid w:val="0094646C"/>
    <w:rsid w:val="009507EE"/>
    <w:rsid w:val="00950D8B"/>
    <w:rsid w:val="00952B95"/>
    <w:rsid w:val="00952D90"/>
    <w:rsid w:val="00954D19"/>
    <w:rsid w:val="009555CE"/>
    <w:rsid w:val="00960A3C"/>
    <w:rsid w:val="00970126"/>
    <w:rsid w:val="009720DB"/>
    <w:rsid w:val="00974A4B"/>
    <w:rsid w:val="009767AF"/>
    <w:rsid w:val="00976E31"/>
    <w:rsid w:val="00977AD1"/>
    <w:rsid w:val="00977D4F"/>
    <w:rsid w:val="00981C9E"/>
    <w:rsid w:val="00982610"/>
    <w:rsid w:val="00987B91"/>
    <w:rsid w:val="00990048"/>
    <w:rsid w:val="00990C04"/>
    <w:rsid w:val="00992487"/>
    <w:rsid w:val="00994E99"/>
    <w:rsid w:val="00995896"/>
    <w:rsid w:val="0099711B"/>
    <w:rsid w:val="009A2CA9"/>
    <w:rsid w:val="009A2FA0"/>
    <w:rsid w:val="009A36A8"/>
    <w:rsid w:val="009A3DA3"/>
    <w:rsid w:val="009A40BF"/>
    <w:rsid w:val="009A4531"/>
    <w:rsid w:val="009B07B9"/>
    <w:rsid w:val="009B12AA"/>
    <w:rsid w:val="009C0CAA"/>
    <w:rsid w:val="009D031F"/>
    <w:rsid w:val="009D1955"/>
    <w:rsid w:val="009D4891"/>
    <w:rsid w:val="009D5036"/>
    <w:rsid w:val="009E0303"/>
    <w:rsid w:val="009E28CD"/>
    <w:rsid w:val="009E4EE3"/>
    <w:rsid w:val="009E5841"/>
    <w:rsid w:val="009F02F7"/>
    <w:rsid w:val="009F2369"/>
    <w:rsid w:val="009F2742"/>
    <w:rsid w:val="009F2D30"/>
    <w:rsid w:val="009F3738"/>
    <w:rsid w:val="009F55BA"/>
    <w:rsid w:val="009F746E"/>
    <w:rsid w:val="00A0006D"/>
    <w:rsid w:val="00A00460"/>
    <w:rsid w:val="00A014EB"/>
    <w:rsid w:val="00A015CE"/>
    <w:rsid w:val="00A119FC"/>
    <w:rsid w:val="00A12D0F"/>
    <w:rsid w:val="00A13F82"/>
    <w:rsid w:val="00A22E9E"/>
    <w:rsid w:val="00A2624F"/>
    <w:rsid w:val="00A3216A"/>
    <w:rsid w:val="00A3341F"/>
    <w:rsid w:val="00A34ECC"/>
    <w:rsid w:val="00A4222A"/>
    <w:rsid w:val="00A42725"/>
    <w:rsid w:val="00A430BD"/>
    <w:rsid w:val="00A4532D"/>
    <w:rsid w:val="00A507D6"/>
    <w:rsid w:val="00A5237C"/>
    <w:rsid w:val="00A54B2F"/>
    <w:rsid w:val="00A56321"/>
    <w:rsid w:val="00A57FAC"/>
    <w:rsid w:val="00A6208A"/>
    <w:rsid w:val="00A70AF6"/>
    <w:rsid w:val="00A70F24"/>
    <w:rsid w:val="00A73222"/>
    <w:rsid w:val="00A77168"/>
    <w:rsid w:val="00A801E5"/>
    <w:rsid w:val="00A8308C"/>
    <w:rsid w:val="00A8497E"/>
    <w:rsid w:val="00A8735A"/>
    <w:rsid w:val="00A94E74"/>
    <w:rsid w:val="00A9775D"/>
    <w:rsid w:val="00A97E60"/>
    <w:rsid w:val="00AA11E6"/>
    <w:rsid w:val="00AA12AB"/>
    <w:rsid w:val="00AA16B1"/>
    <w:rsid w:val="00AA1721"/>
    <w:rsid w:val="00AA38AD"/>
    <w:rsid w:val="00AB514D"/>
    <w:rsid w:val="00AC019B"/>
    <w:rsid w:val="00AC1C91"/>
    <w:rsid w:val="00AC34EC"/>
    <w:rsid w:val="00AC4967"/>
    <w:rsid w:val="00AC6030"/>
    <w:rsid w:val="00AC6741"/>
    <w:rsid w:val="00AD0413"/>
    <w:rsid w:val="00AD32FB"/>
    <w:rsid w:val="00AD3BB8"/>
    <w:rsid w:val="00AD65FF"/>
    <w:rsid w:val="00AE1D86"/>
    <w:rsid w:val="00AE1FF2"/>
    <w:rsid w:val="00AE2BEC"/>
    <w:rsid w:val="00AE45D1"/>
    <w:rsid w:val="00AE6A64"/>
    <w:rsid w:val="00AE7EA7"/>
    <w:rsid w:val="00AF0D67"/>
    <w:rsid w:val="00AF31DA"/>
    <w:rsid w:val="00B013D9"/>
    <w:rsid w:val="00B026F1"/>
    <w:rsid w:val="00B075D1"/>
    <w:rsid w:val="00B07748"/>
    <w:rsid w:val="00B07A4B"/>
    <w:rsid w:val="00B10B40"/>
    <w:rsid w:val="00B12B30"/>
    <w:rsid w:val="00B202DB"/>
    <w:rsid w:val="00B2458D"/>
    <w:rsid w:val="00B25B22"/>
    <w:rsid w:val="00B32F3E"/>
    <w:rsid w:val="00B34CCD"/>
    <w:rsid w:val="00B40480"/>
    <w:rsid w:val="00B415AC"/>
    <w:rsid w:val="00B447DF"/>
    <w:rsid w:val="00B456E3"/>
    <w:rsid w:val="00B4616A"/>
    <w:rsid w:val="00B47241"/>
    <w:rsid w:val="00B47D0D"/>
    <w:rsid w:val="00B5081C"/>
    <w:rsid w:val="00B52FD4"/>
    <w:rsid w:val="00B53292"/>
    <w:rsid w:val="00B543B9"/>
    <w:rsid w:val="00B56961"/>
    <w:rsid w:val="00B571EC"/>
    <w:rsid w:val="00B6144A"/>
    <w:rsid w:val="00B620D0"/>
    <w:rsid w:val="00B63F90"/>
    <w:rsid w:val="00B72609"/>
    <w:rsid w:val="00B72817"/>
    <w:rsid w:val="00B7295C"/>
    <w:rsid w:val="00B73D00"/>
    <w:rsid w:val="00B74BE6"/>
    <w:rsid w:val="00B75B5C"/>
    <w:rsid w:val="00B75EB0"/>
    <w:rsid w:val="00B76490"/>
    <w:rsid w:val="00B77A9F"/>
    <w:rsid w:val="00B77B70"/>
    <w:rsid w:val="00B80D82"/>
    <w:rsid w:val="00B81AB8"/>
    <w:rsid w:val="00B825B0"/>
    <w:rsid w:val="00B82AE9"/>
    <w:rsid w:val="00B84A63"/>
    <w:rsid w:val="00B86DD5"/>
    <w:rsid w:val="00B87260"/>
    <w:rsid w:val="00B9075E"/>
    <w:rsid w:val="00B90BA5"/>
    <w:rsid w:val="00B917C0"/>
    <w:rsid w:val="00B918D4"/>
    <w:rsid w:val="00BA19B2"/>
    <w:rsid w:val="00BA1BD8"/>
    <w:rsid w:val="00BA412B"/>
    <w:rsid w:val="00BA419F"/>
    <w:rsid w:val="00BA4C2D"/>
    <w:rsid w:val="00BA524C"/>
    <w:rsid w:val="00BA6A55"/>
    <w:rsid w:val="00BA7121"/>
    <w:rsid w:val="00BA73FE"/>
    <w:rsid w:val="00BB0DA6"/>
    <w:rsid w:val="00BB2526"/>
    <w:rsid w:val="00BB4A76"/>
    <w:rsid w:val="00BC040B"/>
    <w:rsid w:val="00BC0573"/>
    <w:rsid w:val="00BC0882"/>
    <w:rsid w:val="00BC0F16"/>
    <w:rsid w:val="00BC38B9"/>
    <w:rsid w:val="00BC45CF"/>
    <w:rsid w:val="00BD1476"/>
    <w:rsid w:val="00BD2BDD"/>
    <w:rsid w:val="00BD3767"/>
    <w:rsid w:val="00BD43C9"/>
    <w:rsid w:val="00BE2A7F"/>
    <w:rsid w:val="00BE3D56"/>
    <w:rsid w:val="00BE4119"/>
    <w:rsid w:val="00BE4795"/>
    <w:rsid w:val="00BE7B7B"/>
    <w:rsid w:val="00BF2817"/>
    <w:rsid w:val="00BF37CA"/>
    <w:rsid w:val="00BF6365"/>
    <w:rsid w:val="00BF7808"/>
    <w:rsid w:val="00C00F93"/>
    <w:rsid w:val="00C04535"/>
    <w:rsid w:val="00C04558"/>
    <w:rsid w:val="00C0494B"/>
    <w:rsid w:val="00C07C2F"/>
    <w:rsid w:val="00C17374"/>
    <w:rsid w:val="00C21793"/>
    <w:rsid w:val="00C21EBD"/>
    <w:rsid w:val="00C2202B"/>
    <w:rsid w:val="00C221DE"/>
    <w:rsid w:val="00C23D17"/>
    <w:rsid w:val="00C24592"/>
    <w:rsid w:val="00C25F8D"/>
    <w:rsid w:val="00C34A63"/>
    <w:rsid w:val="00C35CDD"/>
    <w:rsid w:val="00C41D6C"/>
    <w:rsid w:val="00C421E1"/>
    <w:rsid w:val="00C42FF3"/>
    <w:rsid w:val="00C44018"/>
    <w:rsid w:val="00C45387"/>
    <w:rsid w:val="00C5083D"/>
    <w:rsid w:val="00C550FA"/>
    <w:rsid w:val="00C57651"/>
    <w:rsid w:val="00C57B99"/>
    <w:rsid w:val="00C57D02"/>
    <w:rsid w:val="00C64A77"/>
    <w:rsid w:val="00C67F89"/>
    <w:rsid w:val="00C76223"/>
    <w:rsid w:val="00C776DD"/>
    <w:rsid w:val="00C804E2"/>
    <w:rsid w:val="00C80D2F"/>
    <w:rsid w:val="00C81B00"/>
    <w:rsid w:val="00C83F9C"/>
    <w:rsid w:val="00C874DC"/>
    <w:rsid w:val="00C87F0F"/>
    <w:rsid w:val="00C92412"/>
    <w:rsid w:val="00C93054"/>
    <w:rsid w:val="00C94532"/>
    <w:rsid w:val="00CA28B9"/>
    <w:rsid w:val="00CA3266"/>
    <w:rsid w:val="00CA5251"/>
    <w:rsid w:val="00CA5E7C"/>
    <w:rsid w:val="00CA61E2"/>
    <w:rsid w:val="00CA7EB6"/>
    <w:rsid w:val="00CB372C"/>
    <w:rsid w:val="00CB5924"/>
    <w:rsid w:val="00CB7397"/>
    <w:rsid w:val="00CB765B"/>
    <w:rsid w:val="00CC2E3D"/>
    <w:rsid w:val="00CC304E"/>
    <w:rsid w:val="00CC4301"/>
    <w:rsid w:val="00CC5C8B"/>
    <w:rsid w:val="00CC6D10"/>
    <w:rsid w:val="00CD6C59"/>
    <w:rsid w:val="00CD6DF0"/>
    <w:rsid w:val="00CE12B9"/>
    <w:rsid w:val="00CE1B35"/>
    <w:rsid w:val="00CE3C58"/>
    <w:rsid w:val="00CE6805"/>
    <w:rsid w:val="00CE7E45"/>
    <w:rsid w:val="00CF1BA7"/>
    <w:rsid w:val="00CF5344"/>
    <w:rsid w:val="00CF6438"/>
    <w:rsid w:val="00CF7DEA"/>
    <w:rsid w:val="00D04952"/>
    <w:rsid w:val="00D06433"/>
    <w:rsid w:val="00D07A75"/>
    <w:rsid w:val="00D07B71"/>
    <w:rsid w:val="00D10F5A"/>
    <w:rsid w:val="00D11746"/>
    <w:rsid w:val="00D13CDB"/>
    <w:rsid w:val="00D20A6A"/>
    <w:rsid w:val="00D22049"/>
    <w:rsid w:val="00D24AD8"/>
    <w:rsid w:val="00D25BA1"/>
    <w:rsid w:val="00D26E17"/>
    <w:rsid w:val="00D30A67"/>
    <w:rsid w:val="00D31C62"/>
    <w:rsid w:val="00D3455C"/>
    <w:rsid w:val="00D35768"/>
    <w:rsid w:val="00D37081"/>
    <w:rsid w:val="00D41B2C"/>
    <w:rsid w:val="00D41BE4"/>
    <w:rsid w:val="00D44933"/>
    <w:rsid w:val="00D44EF9"/>
    <w:rsid w:val="00D466F0"/>
    <w:rsid w:val="00D510A8"/>
    <w:rsid w:val="00D51ABF"/>
    <w:rsid w:val="00D51D06"/>
    <w:rsid w:val="00D522D1"/>
    <w:rsid w:val="00D54A30"/>
    <w:rsid w:val="00D56025"/>
    <w:rsid w:val="00D56BD5"/>
    <w:rsid w:val="00D574B5"/>
    <w:rsid w:val="00D60825"/>
    <w:rsid w:val="00D62A5E"/>
    <w:rsid w:val="00D64636"/>
    <w:rsid w:val="00D67F4C"/>
    <w:rsid w:val="00D67FB7"/>
    <w:rsid w:val="00D70A1B"/>
    <w:rsid w:val="00D72062"/>
    <w:rsid w:val="00D74974"/>
    <w:rsid w:val="00D75064"/>
    <w:rsid w:val="00D77F86"/>
    <w:rsid w:val="00D82DE0"/>
    <w:rsid w:val="00D833A0"/>
    <w:rsid w:val="00D8391D"/>
    <w:rsid w:val="00D83C98"/>
    <w:rsid w:val="00D91075"/>
    <w:rsid w:val="00D91941"/>
    <w:rsid w:val="00D93194"/>
    <w:rsid w:val="00D97094"/>
    <w:rsid w:val="00D97F54"/>
    <w:rsid w:val="00DA003D"/>
    <w:rsid w:val="00DA4083"/>
    <w:rsid w:val="00DA40F9"/>
    <w:rsid w:val="00DA640A"/>
    <w:rsid w:val="00DA7359"/>
    <w:rsid w:val="00DA7F38"/>
    <w:rsid w:val="00DB281E"/>
    <w:rsid w:val="00DB2A13"/>
    <w:rsid w:val="00DB5AB4"/>
    <w:rsid w:val="00DC1CF1"/>
    <w:rsid w:val="00DC2823"/>
    <w:rsid w:val="00DC4C4E"/>
    <w:rsid w:val="00DC5469"/>
    <w:rsid w:val="00DC7373"/>
    <w:rsid w:val="00DD172F"/>
    <w:rsid w:val="00DD488F"/>
    <w:rsid w:val="00DD4EFE"/>
    <w:rsid w:val="00DE1937"/>
    <w:rsid w:val="00DE24F8"/>
    <w:rsid w:val="00DE33A2"/>
    <w:rsid w:val="00DE5741"/>
    <w:rsid w:val="00DE7D75"/>
    <w:rsid w:val="00DE7ED9"/>
    <w:rsid w:val="00DF1097"/>
    <w:rsid w:val="00DF26DB"/>
    <w:rsid w:val="00E006BF"/>
    <w:rsid w:val="00E03509"/>
    <w:rsid w:val="00E11FA9"/>
    <w:rsid w:val="00E15966"/>
    <w:rsid w:val="00E164B1"/>
    <w:rsid w:val="00E16DA0"/>
    <w:rsid w:val="00E17502"/>
    <w:rsid w:val="00E204EB"/>
    <w:rsid w:val="00E206E9"/>
    <w:rsid w:val="00E21546"/>
    <w:rsid w:val="00E238CB"/>
    <w:rsid w:val="00E26058"/>
    <w:rsid w:val="00E310FF"/>
    <w:rsid w:val="00E33125"/>
    <w:rsid w:val="00E34F11"/>
    <w:rsid w:val="00E36142"/>
    <w:rsid w:val="00E3690C"/>
    <w:rsid w:val="00E454F8"/>
    <w:rsid w:val="00E46739"/>
    <w:rsid w:val="00E47621"/>
    <w:rsid w:val="00E53005"/>
    <w:rsid w:val="00E535F5"/>
    <w:rsid w:val="00E5502A"/>
    <w:rsid w:val="00E60321"/>
    <w:rsid w:val="00E62808"/>
    <w:rsid w:val="00E628EF"/>
    <w:rsid w:val="00E643CA"/>
    <w:rsid w:val="00E65C5F"/>
    <w:rsid w:val="00E671CE"/>
    <w:rsid w:val="00E72F7B"/>
    <w:rsid w:val="00E7497D"/>
    <w:rsid w:val="00E754B4"/>
    <w:rsid w:val="00E75744"/>
    <w:rsid w:val="00E76EDB"/>
    <w:rsid w:val="00E827BD"/>
    <w:rsid w:val="00E861C8"/>
    <w:rsid w:val="00E86313"/>
    <w:rsid w:val="00E86697"/>
    <w:rsid w:val="00E866CC"/>
    <w:rsid w:val="00EA1798"/>
    <w:rsid w:val="00EA294B"/>
    <w:rsid w:val="00EB1F7D"/>
    <w:rsid w:val="00EB1F8B"/>
    <w:rsid w:val="00EB21BF"/>
    <w:rsid w:val="00EB3BA6"/>
    <w:rsid w:val="00EB57FB"/>
    <w:rsid w:val="00EB6C59"/>
    <w:rsid w:val="00EC45AE"/>
    <w:rsid w:val="00ED0522"/>
    <w:rsid w:val="00ED3389"/>
    <w:rsid w:val="00ED4E86"/>
    <w:rsid w:val="00ED71F0"/>
    <w:rsid w:val="00ED73DF"/>
    <w:rsid w:val="00EE3752"/>
    <w:rsid w:val="00EE629F"/>
    <w:rsid w:val="00EE63E3"/>
    <w:rsid w:val="00EE6AB3"/>
    <w:rsid w:val="00EE6E15"/>
    <w:rsid w:val="00EE7709"/>
    <w:rsid w:val="00EE7F6B"/>
    <w:rsid w:val="00EF022A"/>
    <w:rsid w:val="00EF11E3"/>
    <w:rsid w:val="00EF31C4"/>
    <w:rsid w:val="00F01071"/>
    <w:rsid w:val="00F0344E"/>
    <w:rsid w:val="00F055E3"/>
    <w:rsid w:val="00F07CFF"/>
    <w:rsid w:val="00F11F4D"/>
    <w:rsid w:val="00F12903"/>
    <w:rsid w:val="00F13C57"/>
    <w:rsid w:val="00F177A5"/>
    <w:rsid w:val="00F225D5"/>
    <w:rsid w:val="00F236CD"/>
    <w:rsid w:val="00F249A2"/>
    <w:rsid w:val="00F24DCE"/>
    <w:rsid w:val="00F27CE8"/>
    <w:rsid w:val="00F30049"/>
    <w:rsid w:val="00F30D93"/>
    <w:rsid w:val="00F322B0"/>
    <w:rsid w:val="00F338A5"/>
    <w:rsid w:val="00F33EA4"/>
    <w:rsid w:val="00F41431"/>
    <w:rsid w:val="00F44C80"/>
    <w:rsid w:val="00F560A3"/>
    <w:rsid w:val="00F632D2"/>
    <w:rsid w:val="00F63C64"/>
    <w:rsid w:val="00F64826"/>
    <w:rsid w:val="00F64B21"/>
    <w:rsid w:val="00F721EC"/>
    <w:rsid w:val="00F73CD6"/>
    <w:rsid w:val="00F775F2"/>
    <w:rsid w:val="00F80159"/>
    <w:rsid w:val="00F8142D"/>
    <w:rsid w:val="00F855FD"/>
    <w:rsid w:val="00F903CD"/>
    <w:rsid w:val="00F922EE"/>
    <w:rsid w:val="00F92BFD"/>
    <w:rsid w:val="00F94429"/>
    <w:rsid w:val="00F9510F"/>
    <w:rsid w:val="00F95491"/>
    <w:rsid w:val="00FA4F7B"/>
    <w:rsid w:val="00FA73F6"/>
    <w:rsid w:val="00FA75D7"/>
    <w:rsid w:val="00FB05BD"/>
    <w:rsid w:val="00FB2520"/>
    <w:rsid w:val="00FB28DE"/>
    <w:rsid w:val="00FB302B"/>
    <w:rsid w:val="00FB3C05"/>
    <w:rsid w:val="00FB5B56"/>
    <w:rsid w:val="00FB6B15"/>
    <w:rsid w:val="00FB75D4"/>
    <w:rsid w:val="00FC1921"/>
    <w:rsid w:val="00FC3F28"/>
    <w:rsid w:val="00FC5D1B"/>
    <w:rsid w:val="00FC7EF3"/>
    <w:rsid w:val="00FD0D30"/>
    <w:rsid w:val="00FD3DC1"/>
    <w:rsid w:val="00FD50FD"/>
    <w:rsid w:val="00FD6BBC"/>
    <w:rsid w:val="00FD7DB2"/>
    <w:rsid w:val="00FE17C0"/>
    <w:rsid w:val="00FE2058"/>
    <w:rsid w:val="00FE246C"/>
    <w:rsid w:val="00FE386C"/>
    <w:rsid w:val="00FE5948"/>
    <w:rsid w:val="00FE69A9"/>
    <w:rsid w:val="00FF6D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564D3A"/>
  <w15:chartTrackingRefBased/>
  <w15:docId w15:val="{FBC80F70-1509-4F90-814C-CFCA9F3F9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2D1"/>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4B44C7"/>
    <w:pPr>
      <w:keepNext/>
      <w:keepLines/>
      <w:spacing w:before="360" w:after="80"/>
      <w:jc w:val="left"/>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4B44C7"/>
    <w:pPr>
      <w:keepNext/>
      <w:keepLines/>
      <w:spacing w:before="160" w:after="80"/>
      <w:jc w:val="left"/>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1E7A5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E7A5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E7A5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E7A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7A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7A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7A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4C7"/>
    <w:rPr>
      <w:rFonts w:ascii="Times New Roman" w:eastAsiaTheme="majorEastAsia" w:hAnsi="Times New Roman" w:cstheme="majorBidi"/>
      <w:b/>
      <w:sz w:val="24"/>
      <w:szCs w:val="40"/>
      <w:lang w:val="en-GB"/>
    </w:rPr>
  </w:style>
  <w:style w:type="character" w:customStyle="1" w:styleId="Heading2Char">
    <w:name w:val="Heading 2 Char"/>
    <w:basedOn w:val="DefaultParagraphFont"/>
    <w:link w:val="Heading2"/>
    <w:uiPriority w:val="9"/>
    <w:semiHidden/>
    <w:rsid w:val="004B44C7"/>
    <w:rPr>
      <w:rFonts w:ascii="Times New Roman" w:eastAsiaTheme="majorEastAsia" w:hAnsi="Times New Roman" w:cstheme="majorBidi"/>
      <w:b/>
      <w:sz w:val="24"/>
      <w:szCs w:val="32"/>
      <w:lang w:val="en-GB"/>
    </w:rPr>
  </w:style>
  <w:style w:type="character" w:customStyle="1" w:styleId="Heading3Char">
    <w:name w:val="Heading 3 Char"/>
    <w:basedOn w:val="DefaultParagraphFont"/>
    <w:link w:val="Heading3"/>
    <w:uiPriority w:val="9"/>
    <w:semiHidden/>
    <w:rsid w:val="001E7A50"/>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1E7A50"/>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1E7A50"/>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1E7A5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E7A5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E7A5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E7A5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E7A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7A5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E7A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7A5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E7A50"/>
    <w:pPr>
      <w:spacing w:before="160"/>
      <w:jc w:val="center"/>
    </w:pPr>
    <w:rPr>
      <w:i/>
      <w:iCs/>
      <w:color w:val="404040" w:themeColor="text1" w:themeTint="BF"/>
    </w:rPr>
  </w:style>
  <w:style w:type="character" w:customStyle="1" w:styleId="QuoteChar">
    <w:name w:val="Quote Char"/>
    <w:basedOn w:val="DefaultParagraphFont"/>
    <w:link w:val="Quote"/>
    <w:uiPriority w:val="29"/>
    <w:rsid w:val="001E7A50"/>
    <w:rPr>
      <w:i/>
      <w:iCs/>
      <w:color w:val="404040" w:themeColor="text1" w:themeTint="BF"/>
      <w:lang w:val="en-GB"/>
    </w:rPr>
  </w:style>
  <w:style w:type="paragraph" w:styleId="ListParagraph">
    <w:name w:val="List Paragraph"/>
    <w:basedOn w:val="Normal"/>
    <w:link w:val="ListParagraphChar"/>
    <w:uiPriority w:val="1"/>
    <w:qFormat/>
    <w:rsid w:val="001E7A50"/>
    <w:pPr>
      <w:ind w:left="720"/>
      <w:contextualSpacing/>
    </w:pPr>
  </w:style>
  <w:style w:type="character" w:styleId="IntenseEmphasis">
    <w:name w:val="Intense Emphasis"/>
    <w:basedOn w:val="DefaultParagraphFont"/>
    <w:uiPriority w:val="21"/>
    <w:qFormat/>
    <w:rsid w:val="001E7A50"/>
    <w:rPr>
      <w:i/>
      <w:iCs/>
      <w:color w:val="2F5496" w:themeColor="accent1" w:themeShade="BF"/>
    </w:rPr>
  </w:style>
  <w:style w:type="paragraph" w:styleId="IntenseQuote">
    <w:name w:val="Intense Quote"/>
    <w:basedOn w:val="Normal"/>
    <w:next w:val="Normal"/>
    <w:link w:val="IntenseQuoteChar"/>
    <w:uiPriority w:val="30"/>
    <w:qFormat/>
    <w:rsid w:val="001E7A5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E7A50"/>
    <w:rPr>
      <w:i/>
      <w:iCs/>
      <w:color w:val="2F5496" w:themeColor="accent1" w:themeShade="BF"/>
      <w:lang w:val="en-GB"/>
    </w:rPr>
  </w:style>
  <w:style w:type="character" w:styleId="IntenseReference">
    <w:name w:val="Intense Reference"/>
    <w:basedOn w:val="DefaultParagraphFont"/>
    <w:uiPriority w:val="32"/>
    <w:qFormat/>
    <w:rsid w:val="001E7A50"/>
    <w:rPr>
      <w:b/>
      <w:bCs/>
      <w:smallCaps/>
      <w:color w:val="2F5496" w:themeColor="accent1" w:themeShade="BF"/>
      <w:spacing w:val="5"/>
    </w:rPr>
  </w:style>
  <w:style w:type="character" w:styleId="Hyperlink">
    <w:name w:val="Hyperlink"/>
    <w:basedOn w:val="DefaultParagraphFont"/>
    <w:uiPriority w:val="99"/>
    <w:unhideWhenUsed/>
    <w:rsid w:val="00D06433"/>
    <w:rPr>
      <w:color w:val="0563C1" w:themeColor="hyperlink"/>
      <w:u w:val="single"/>
    </w:rPr>
  </w:style>
  <w:style w:type="character" w:styleId="UnresolvedMention">
    <w:name w:val="Unresolved Mention"/>
    <w:basedOn w:val="DefaultParagraphFont"/>
    <w:uiPriority w:val="99"/>
    <w:semiHidden/>
    <w:unhideWhenUsed/>
    <w:rsid w:val="00D06433"/>
    <w:rPr>
      <w:color w:val="605E5C"/>
      <w:shd w:val="clear" w:color="auto" w:fill="E1DFDD"/>
    </w:rPr>
  </w:style>
  <w:style w:type="table" w:styleId="TableGrid">
    <w:name w:val="Table Grid"/>
    <w:basedOn w:val="TableNormal"/>
    <w:uiPriority w:val="39"/>
    <w:rsid w:val="001A73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01B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B0D"/>
    <w:rPr>
      <w:rFonts w:ascii="Times New Roman" w:hAnsi="Times New Roman"/>
      <w:sz w:val="24"/>
      <w:lang w:val="en-GB"/>
    </w:rPr>
  </w:style>
  <w:style w:type="paragraph" w:styleId="Footer">
    <w:name w:val="footer"/>
    <w:basedOn w:val="Normal"/>
    <w:link w:val="FooterChar"/>
    <w:uiPriority w:val="99"/>
    <w:unhideWhenUsed/>
    <w:rsid w:val="00701B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B0D"/>
    <w:rPr>
      <w:rFonts w:ascii="Times New Roman" w:hAnsi="Times New Roman"/>
      <w:sz w:val="24"/>
      <w:lang w:val="en-GB"/>
    </w:rPr>
  </w:style>
  <w:style w:type="paragraph" w:styleId="TOCHeading">
    <w:name w:val="TOC Heading"/>
    <w:basedOn w:val="Heading1"/>
    <w:next w:val="Normal"/>
    <w:uiPriority w:val="39"/>
    <w:unhideWhenUsed/>
    <w:qFormat/>
    <w:rsid w:val="00701B0D"/>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701B0D"/>
    <w:pPr>
      <w:spacing w:after="100"/>
    </w:pPr>
  </w:style>
  <w:style w:type="character" w:customStyle="1" w:styleId="ListParagraphChar">
    <w:name w:val="List Paragraph Char"/>
    <w:basedOn w:val="DefaultParagraphFont"/>
    <w:link w:val="ListParagraph"/>
    <w:uiPriority w:val="1"/>
    <w:qFormat/>
    <w:locked/>
    <w:rsid w:val="00D82DE0"/>
    <w:rPr>
      <w:rFonts w:ascii="Times New Roman" w:hAnsi="Times New Roman"/>
      <w:sz w:val="24"/>
      <w:lang w:val="en-GB"/>
    </w:rPr>
  </w:style>
  <w:style w:type="paragraph" w:styleId="NormalWeb">
    <w:name w:val="Normal (Web)"/>
    <w:basedOn w:val="Normal"/>
    <w:uiPriority w:val="99"/>
    <w:semiHidden/>
    <w:unhideWhenUsed/>
    <w:rsid w:val="00280F92"/>
    <w:rPr>
      <w:rFonts w:cs="Times New Roman"/>
      <w:szCs w:val="24"/>
    </w:rPr>
  </w:style>
  <w:style w:type="character" w:styleId="CommentReference">
    <w:name w:val="annotation reference"/>
    <w:basedOn w:val="DefaultParagraphFont"/>
    <w:uiPriority w:val="99"/>
    <w:semiHidden/>
    <w:unhideWhenUsed/>
    <w:rsid w:val="00712A03"/>
    <w:rPr>
      <w:sz w:val="16"/>
      <w:szCs w:val="16"/>
    </w:rPr>
  </w:style>
  <w:style w:type="paragraph" w:styleId="CommentText">
    <w:name w:val="annotation text"/>
    <w:basedOn w:val="Normal"/>
    <w:link w:val="CommentTextChar"/>
    <w:uiPriority w:val="99"/>
    <w:unhideWhenUsed/>
    <w:rsid w:val="00712A03"/>
    <w:pPr>
      <w:spacing w:line="240" w:lineRule="auto"/>
    </w:pPr>
    <w:rPr>
      <w:sz w:val="20"/>
      <w:szCs w:val="20"/>
    </w:rPr>
  </w:style>
  <w:style w:type="character" w:customStyle="1" w:styleId="CommentTextChar">
    <w:name w:val="Comment Text Char"/>
    <w:basedOn w:val="DefaultParagraphFont"/>
    <w:link w:val="CommentText"/>
    <w:uiPriority w:val="99"/>
    <w:rsid w:val="00712A03"/>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712A03"/>
    <w:rPr>
      <w:b/>
      <w:bCs/>
    </w:rPr>
  </w:style>
  <w:style w:type="character" w:customStyle="1" w:styleId="CommentSubjectChar">
    <w:name w:val="Comment Subject Char"/>
    <w:basedOn w:val="CommentTextChar"/>
    <w:link w:val="CommentSubject"/>
    <w:uiPriority w:val="99"/>
    <w:semiHidden/>
    <w:rsid w:val="00712A03"/>
    <w:rPr>
      <w:rFonts w:ascii="Times New Roman" w:hAnsi="Times New Roman"/>
      <w:b/>
      <w:bCs/>
      <w:sz w:val="20"/>
      <w:szCs w:val="20"/>
      <w:lang w:val="en-GB"/>
    </w:rPr>
  </w:style>
  <w:style w:type="character" w:styleId="Strong">
    <w:name w:val="Strong"/>
    <w:basedOn w:val="DefaultParagraphFont"/>
    <w:uiPriority w:val="22"/>
    <w:qFormat/>
    <w:rsid w:val="00350856"/>
    <w:rPr>
      <w:b/>
      <w:bCs/>
    </w:rPr>
  </w:style>
  <w:style w:type="paragraph" w:styleId="Revision">
    <w:name w:val="Revision"/>
    <w:hidden/>
    <w:uiPriority w:val="99"/>
    <w:semiHidden/>
    <w:rsid w:val="002E161E"/>
    <w:pPr>
      <w:spacing w:after="0" w:line="240" w:lineRule="auto"/>
    </w:pPr>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hp.com/news/media-centre/reports-presentations/2021/05/sustaining-australias-competitive-advantage" TargetMode="External"/><Relationship Id="rId18" Type="http://schemas.openxmlformats.org/officeDocument/2006/relationships/hyperlink" Target="https://www.bhp.com/about/coppergrowth" TargetMode="External"/><Relationship Id="rId26" Type="http://schemas.openxmlformats.org/officeDocument/2006/relationships/hyperlink" Target="https://www.mdpi.com/2071-1050/11/9/2483" TargetMode="External"/><Relationship Id="rId3" Type="http://schemas.openxmlformats.org/officeDocument/2006/relationships/styles" Target="styles.xml"/><Relationship Id="rId21" Type="http://schemas.openxmlformats.org/officeDocument/2006/relationships/hyperlink" Target="https://www.sciencedirect.com/science/article/pii/S0301479723004541"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ausimm.com/insights-and-resources/mining-industry/australian-mining-industry/" TargetMode="External"/><Relationship Id="rId17" Type="http://schemas.openxmlformats.org/officeDocument/2006/relationships/hyperlink" Target="https://www.bhp.com/about" TargetMode="External"/><Relationship Id="rId25" Type="http://schemas.openxmlformats.org/officeDocument/2006/relationships/hyperlink" Target="https://www.researchgate.net/profile/Andrea-Marston/publication/308739709_Alloyed_waterscapes_mining_and_water_at_the_nexus_of_corporate_social_responsibility_resource_nationalism_and_small-scale_mining/links/5b68da0692851ca6505118af/Alloyed-waterscapes-mining-and-water-at-the-nexus-of-corporate-social-responsibility-resource-nationalism-and-small-scale-mining.pdf" TargetMode="Externa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sec.gov/Archives/edgar/data/811809/000119312525183071/d35528d6k.htm" TargetMode="External"/><Relationship Id="rId20" Type="http://schemas.openxmlformats.org/officeDocument/2006/relationships/hyperlink" Target="https://www.bhp.com/sustainability/climate-change/operational-ghg-emission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pdf/10.1002/bse.2913" TargetMode="External"/><Relationship Id="rId24" Type="http://schemas.openxmlformats.org/officeDocument/2006/relationships/hyperlink" Target="https://drive.google.com/file/d/1od_wbi5JkoqgkVIMyReonvWNVie3hqZS/view"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bhp.com/sustainability/climate-change" TargetMode="External"/><Relationship Id="rId23" Type="http://schemas.openxmlformats.org/officeDocument/2006/relationships/hyperlink" Target="https://onlinelibrary.wiley.com/doi/pdf/10.1111/jiec.13181" TargetMode="External"/><Relationship Id="rId28" Type="http://schemas.openxmlformats.org/officeDocument/2006/relationships/hyperlink" Target="https://researchportal.northumbria.ac.uk/ws/portalfiles/portal/27935176/Environmental_pressures_and_performance_An_analysis_of_the_roles_of_environmental_innovation_strategy_and_marketing_capability.pdf" TargetMode="External"/><Relationship Id="rId36" Type="http://schemas.openxmlformats.org/officeDocument/2006/relationships/theme" Target="theme/theme1.xml"/><Relationship Id="rId10" Type="http://schemas.openxmlformats.org/officeDocument/2006/relationships/hyperlink" Target="https://researchmgt.monash.edu/ws/portalfiles/portal/630694855/556685537.pdf" TargetMode="External"/><Relationship Id="rId19" Type="http://schemas.openxmlformats.org/officeDocument/2006/relationships/hyperlink" Target="https://www.bhp.com/investor-hub/reports-and-presentations/annual-report"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bhp.com/-/media/documents/investors/annual-reports/2023/230822_bhpannualreport2023.pdf" TargetMode="External"/><Relationship Id="rId22" Type="http://schemas.openxmlformats.org/officeDocument/2006/relationships/hyperlink" Target="https://pubs.geoscienceworld.org/segweb/segdiscovery/article-abstract/doi/10.5382/SEGnews.2025-141.fea-01/654182" TargetMode="External"/><Relationship Id="rId27" Type="http://schemas.openxmlformats.org/officeDocument/2006/relationships/hyperlink" Target="https://repository.mdx.ac.uk/download/7986484fcc9918ba50175968fd70dfc639b0843ad82bba4a39fc8c2f65194f20/305007/RO%20COES%20Enabling%20investment%20-march11-18.pdf"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96541E-8F9A-470A-BAD5-1A04F335B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14</Pages>
  <Words>3298</Words>
  <Characters>22857</Characters>
  <Application>Microsoft Office Word</Application>
  <DocSecurity>0</DocSecurity>
  <Lines>557</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Gabriela Savity (2312231)</cp:lastModifiedBy>
  <cp:revision>5</cp:revision>
  <dcterms:created xsi:type="dcterms:W3CDTF">2026-10-15T17:01:00Z</dcterms:created>
  <dcterms:modified xsi:type="dcterms:W3CDTF">2026-10-17T19:52:00Z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5ced3d7d-d72b-4f89-954f-b077174c1465</vt:lpwstr>
  </property>
</Properties>
</file>