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AA576" w14:textId="77777777" w:rsidR="00DC61C5" w:rsidRPr="001F21AC" w:rsidRDefault="00DC61C5" w:rsidP="001F21AC">
      <w:pPr>
        <w:spacing w:line="360" w:lineRule="auto"/>
        <w:jc w:val="both"/>
        <w:rPr>
          <w:rFonts w:ascii="Arial" w:hAnsi="Arial" w:cs="Arial"/>
        </w:rPr>
      </w:pPr>
    </w:p>
    <w:p w14:paraId="764A4926" w14:textId="77777777" w:rsidR="00DC61C5" w:rsidRPr="001F21AC" w:rsidRDefault="00DC61C5" w:rsidP="001F21AC">
      <w:pPr>
        <w:spacing w:line="360" w:lineRule="auto"/>
        <w:jc w:val="both"/>
        <w:rPr>
          <w:rFonts w:ascii="Arial" w:hAnsi="Arial" w:cs="Arial"/>
        </w:rPr>
      </w:pPr>
    </w:p>
    <w:p w14:paraId="1AE53A3C" w14:textId="77777777" w:rsidR="00DC61C5" w:rsidRPr="001F21AC" w:rsidRDefault="00DC61C5" w:rsidP="001F21AC">
      <w:pPr>
        <w:spacing w:line="360" w:lineRule="auto"/>
        <w:jc w:val="both"/>
        <w:rPr>
          <w:rFonts w:ascii="Arial" w:hAnsi="Arial" w:cs="Arial"/>
        </w:rPr>
      </w:pPr>
    </w:p>
    <w:p w14:paraId="66F7BF60" w14:textId="77777777" w:rsidR="00DC61C5" w:rsidRPr="001F21AC" w:rsidRDefault="00DC61C5" w:rsidP="001F21AC">
      <w:pPr>
        <w:spacing w:line="360" w:lineRule="auto"/>
        <w:jc w:val="both"/>
        <w:rPr>
          <w:rFonts w:ascii="Arial" w:hAnsi="Arial" w:cs="Arial"/>
        </w:rPr>
      </w:pPr>
      <w:r w:rsidRPr="001F21AC">
        <w:rPr>
          <w:rFonts w:ascii="Arial" w:hAnsi="Arial" w:cs="Arial"/>
          <w:noProof/>
        </w:rPr>
        <w:drawing>
          <wp:inline distT="0" distB="0" distL="0" distR="0" wp14:anchorId="52F34074" wp14:editId="5DF42133">
            <wp:extent cx="2857893" cy="1587581"/>
            <wp:effectExtent l="0" t="0" r="0" b="6350"/>
            <wp:docPr id="1416979084" name="Picture 1" descr="university-of-wales-trinity-saint-david-logo-vector | ESRC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857893" cy="1587581"/>
                    </a:xfrm>
                    <a:prstGeom prst="rect">
                      <a:avLst/>
                    </a:prstGeom>
                    <a:noFill/>
                    <a:ln>
                      <a:noFill/>
                      <a:prstDash/>
                    </a:ln>
                  </pic:spPr>
                </pic:pic>
              </a:graphicData>
            </a:graphic>
          </wp:inline>
        </w:drawing>
      </w:r>
    </w:p>
    <w:p w14:paraId="4975ACD4" w14:textId="77777777" w:rsidR="00DC61C5" w:rsidRPr="001F21AC" w:rsidRDefault="00DC61C5" w:rsidP="001F21AC">
      <w:pPr>
        <w:spacing w:line="360" w:lineRule="auto"/>
        <w:jc w:val="both"/>
        <w:rPr>
          <w:rFonts w:ascii="Arial" w:hAnsi="Arial" w:cs="Arial"/>
        </w:rPr>
      </w:pPr>
    </w:p>
    <w:p w14:paraId="42740A85" w14:textId="2C8F2D2E" w:rsidR="00DC61C5" w:rsidRPr="001F21AC" w:rsidRDefault="00DC61C5" w:rsidP="001F21AC">
      <w:pPr>
        <w:spacing w:line="360" w:lineRule="auto"/>
        <w:jc w:val="both"/>
        <w:rPr>
          <w:rFonts w:ascii="Arial" w:hAnsi="Arial" w:cs="Arial"/>
        </w:rPr>
      </w:pPr>
      <w:r w:rsidRPr="001F21AC">
        <w:rPr>
          <w:rFonts w:ascii="Arial" w:hAnsi="Arial" w:cs="Arial"/>
          <w:b/>
          <w:bCs/>
        </w:rPr>
        <w:t xml:space="preserve"> Module Name: </w:t>
      </w:r>
      <w:r w:rsidR="00CA0E37" w:rsidRPr="001F21AC">
        <w:rPr>
          <w:rFonts w:ascii="Arial" w:hAnsi="Arial" w:cs="Arial"/>
        </w:rPr>
        <w:t>Problem Solving and Innovation</w:t>
      </w:r>
    </w:p>
    <w:p w14:paraId="78C4716C" w14:textId="00C127B1" w:rsidR="00DC61C5" w:rsidRPr="001F21AC" w:rsidRDefault="00DC61C5" w:rsidP="001F21AC">
      <w:pPr>
        <w:spacing w:line="360" w:lineRule="auto"/>
        <w:jc w:val="both"/>
        <w:rPr>
          <w:rFonts w:ascii="Arial" w:hAnsi="Arial" w:cs="Arial"/>
          <w:b/>
          <w:bCs/>
        </w:rPr>
      </w:pPr>
      <w:r w:rsidRPr="001F21AC">
        <w:rPr>
          <w:rFonts w:ascii="Arial" w:hAnsi="Arial" w:cs="Arial"/>
          <w:b/>
          <w:bCs/>
        </w:rPr>
        <w:t>Module Code:</w:t>
      </w:r>
      <w:r w:rsidR="00CA0E37" w:rsidRPr="001F21AC">
        <w:rPr>
          <w:rFonts w:ascii="Arial" w:hAnsi="Arial" w:cs="Arial"/>
          <w:b/>
          <w:bCs/>
        </w:rPr>
        <w:t xml:space="preserve"> </w:t>
      </w:r>
      <w:r w:rsidR="00CA0E37" w:rsidRPr="001F21AC">
        <w:rPr>
          <w:rFonts w:ascii="Arial" w:hAnsi="Arial" w:cs="Arial"/>
        </w:rPr>
        <w:t>BMSW4014</w:t>
      </w:r>
    </w:p>
    <w:p w14:paraId="234025A9" w14:textId="4A27EDCE" w:rsidR="00DC61C5" w:rsidRPr="001F21AC" w:rsidRDefault="00DC61C5" w:rsidP="001F21AC">
      <w:pPr>
        <w:spacing w:line="360" w:lineRule="auto"/>
        <w:jc w:val="both"/>
        <w:rPr>
          <w:rFonts w:ascii="Arial" w:hAnsi="Arial" w:cs="Arial"/>
        </w:rPr>
      </w:pPr>
      <w:r w:rsidRPr="001F21AC">
        <w:rPr>
          <w:rFonts w:ascii="Arial" w:hAnsi="Arial" w:cs="Arial"/>
          <w:b/>
          <w:bCs/>
        </w:rPr>
        <w:t>Assignment Name:</w:t>
      </w:r>
      <w:r w:rsidR="00CA0E37" w:rsidRPr="001F21AC">
        <w:rPr>
          <w:rFonts w:ascii="Arial" w:hAnsi="Arial" w:cs="Arial"/>
          <w:b/>
          <w:bCs/>
        </w:rPr>
        <w:t xml:space="preserve"> </w:t>
      </w:r>
      <w:r w:rsidR="00BE0AD0" w:rsidRPr="001F21AC">
        <w:rPr>
          <w:rFonts w:ascii="Arial" w:hAnsi="Arial" w:cs="Arial"/>
        </w:rPr>
        <w:t>Understanding the Business Environment of the UK EV Industry</w:t>
      </w:r>
    </w:p>
    <w:p w14:paraId="6EF18DBF" w14:textId="0A56661E" w:rsidR="00DC61C5" w:rsidRPr="001F21AC" w:rsidRDefault="00DC61C5" w:rsidP="001F21AC">
      <w:pPr>
        <w:spacing w:line="360" w:lineRule="auto"/>
        <w:jc w:val="both"/>
        <w:rPr>
          <w:rFonts w:ascii="Arial" w:hAnsi="Arial" w:cs="Arial"/>
        </w:rPr>
      </w:pPr>
      <w:r w:rsidRPr="001F21AC">
        <w:rPr>
          <w:rFonts w:ascii="Arial" w:hAnsi="Arial" w:cs="Arial"/>
          <w:b/>
          <w:bCs/>
        </w:rPr>
        <w:t>Student Name:</w:t>
      </w:r>
      <w:r w:rsidR="00BE0AD0" w:rsidRPr="001F21AC">
        <w:rPr>
          <w:rFonts w:ascii="Arial" w:hAnsi="Arial" w:cs="Arial"/>
          <w:b/>
          <w:bCs/>
        </w:rPr>
        <w:t xml:space="preserve"> </w:t>
      </w:r>
      <w:r w:rsidR="00020C1C" w:rsidRPr="001F21AC">
        <w:rPr>
          <w:rFonts w:ascii="Arial" w:hAnsi="Arial" w:cs="Arial"/>
        </w:rPr>
        <w:t>Devi Raju</w:t>
      </w:r>
    </w:p>
    <w:p w14:paraId="43D7D1EC" w14:textId="74A1A22B" w:rsidR="00DC61C5" w:rsidRPr="001F21AC" w:rsidRDefault="00DC61C5" w:rsidP="001F21AC">
      <w:pPr>
        <w:spacing w:line="360" w:lineRule="auto"/>
        <w:jc w:val="both"/>
        <w:rPr>
          <w:rFonts w:ascii="Arial" w:hAnsi="Arial" w:cs="Arial"/>
          <w:b/>
          <w:bCs/>
        </w:rPr>
      </w:pPr>
      <w:r w:rsidRPr="001F21AC">
        <w:rPr>
          <w:rFonts w:ascii="Arial" w:hAnsi="Arial" w:cs="Arial"/>
          <w:b/>
          <w:bCs/>
        </w:rPr>
        <w:t>Student Number:</w:t>
      </w:r>
      <w:r w:rsidR="00020C1C" w:rsidRPr="001F21AC">
        <w:rPr>
          <w:rFonts w:ascii="Arial" w:hAnsi="Arial" w:cs="Arial"/>
          <w:b/>
          <w:bCs/>
        </w:rPr>
        <w:t xml:space="preserve"> </w:t>
      </w:r>
      <w:r w:rsidR="00020C1C" w:rsidRPr="001F21AC">
        <w:rPr>
          <w:rFonts w:ascii="Arial" w:hAnsi="Arial" w:cs="Arial"/>
        </w:rPr>
        <w:t>2435195</w:t>
      </w:r>
    </w:p>
    <w:p w14:paraId="499D1630" w14:textId="470EBB39" w:rsidR="00DC61C5" w:rsidRPr="001F21AC" w:rsidRDefault="00DC61C5" w:rsidP="001F21AC">
      <w:pPr>
        <w:spacing w:line="360" w:lineRule="auto"/>
        <w:jc w:val="both"/>
        <w:rPr>
          <w:rFonts w:ascii="Arial" w:hAnsi="Arial" w:cs="Arial"/>
          <w:b/>
          <w:bCs/>
        </w:rPr>
      </w:pPr>
      <w:r w:rsidRPr="001F21AC">
        <w:rPr>
          <w:rFonts w:ascii="Arial" w:hAnsi="Arial" w:cs="Arial"/>
          <w:b/>
          <w:bCs/>
        </w:rPr>
        <w:t>Lecturer:</w:t>
      </w:r>
      <w:r w:rsidR="00020C1C" w:rsidRPr="001F21AC">
        <w:rPr>
          <w:rFonts w:ascii="Arial" w:hAnsi="Arial" w:cs="Arial"/>
          <w:b/>
          <w:bCs/>
        </w:rPr>
        <w:t xml:space="preserve"> </w:t>
      </w:r>
      <w:proofErr w:type="spellStart"/>
      <w:r w:rsidR="00020C1C" w:rsidRPr="001F21AC">
        <w:rPr>
          <w:rFonts w:ascii="Arial" w:hAnsi="Arial" w:cs="Arial"/>
        </w:rPr>
        <w:t>Arpu</w:t>
      </w:r>
      <w:proofErr w:type="spellEnd"/>
      <w:r w:rsidR="00020C1C" w:rsidRPr="001F21AC">
        <w:rPr>
          <w:rFonts w:ascii="Arial" w:hAnsi="Arial" w:cs="Arial"/>
        </w:rPr>
        <w:t xml:space="preserve"> Kumar</w:t>
      </w:r>
    </w:p>
    <w:p w14:paraId="2A6905E8" w14:textId="0E3B972A" w:rsidR="00DC61C5" w:rsidRPr="001F21AC" w:rsidRDefault="00DC61C5" w:rsidP="001F21AC">
      <w:pPr>
        <w:spacing w:line="360" w:lineRule="auto"/>
        <w:jc w:val="both"/>
        <w:rPr>
          <w:rFonts w:ascii="Arial" w:hAnsi="Arial" w:cs="Arial"/>
        </w:rPr>
      </w:pPr>
      <w:r w:rsidRPr="001F21AC">
        <w:rPr>
          <w:rFonts w:ascii="Arial" w:hAnsi="Arial" w:cs="Arial"/>
          <w:b/>
          <w:bCs/>
        </w:rPr>
        <w:t>Deadline:</w:t>
      </w:r>
      <w:r w:rsidR="00020C1C" w:rsidRPr="001F21AC">
        <w:rPr>
          <w:rFonts w:ascii="Arial" w:hAnsi="Arial" w:cs="Arial"/>
          <w:b/>
          <w:bCs/>
        </w:rPr>
        <w:t xml:space="preserve"> </w:t>
      </w:r>
      <w:r w:rsidR="0011200A" w:rsidRPr="001F21AC">
        <w:rPr>
          <w:rFonts w:ascii="Arial" w:hAnsi="Arial" w:cs="Arial"/>
        </w:rPr>
        <w:t>5</w:t>
      </w:r>
      <w:r w:rsidR="0011200A" w:rsidRPr="001F21AC">
        <w:rPr>
          <w:rFonts w:ascii="Arial" w:hAnsi="Arial" w:cs="Arial"/>
          <w:vertAlign w:val="superscript"/>
        </w:rPr>
        <w:t>th</w:t>
      </w:r>
      <w:r w:rsidR="0011200A" w:rsidRPr="001F21AC">
        <w:rPr>
          <w:rFonts w:ascii="Arial" w:hAnsi="Arial" w:cs="Arial"/>
        </w:rPr>
        <w:t xml:space="preserve"> December 2025</w:t>
      </w:r>
    </w:p>
    <w:p w14:paraId="1A14604A" w14:textId="46468074" w:rsidR="00DC61C5" w:rsidRPr="001F21AC" w:rsidRDefault="00DC61C5" w:rsidP="001F21AC">
      <w:pPr>
        <w:spacing w:line="360" w:lineRule="auto"/>
        <w:jc w:val="both"/>
        <w:rPr>
          <w:rFonts w:ascii="Arial" w:hAnsi="Arial" w:cs="Arial"/>
          <w:b/>
          <w:bCs/>
        </w:rPr>
      </w:pPr>
      <w:r w:rsidRPr="001F21AC">
        <w:rPr>
          <w:rFonts w:ascii="Arial" w:hAnsi="Arial" w:cs="Arial"/>
          <w:b/>
          <w:bCs/>
        </w:rPr>
        <w:t>Word Count:</w:t>
      </w:r>
      <w:r w:rsidR="0044227D" w:rsidRPr="001F21AC">
        <w:rPr>
          <w:rFonts w:ascii="Arial" w:hAnsi="Arial" w:cs="Arial"/>
          <w:b/>
          <w:bCs/>
        </w:rPr>
        <w:t xml:space="preserve"> </w:t>
      </w:r>
    </w:p>
    <w:p w14:paraId="1ABEA38B" w14:textId="77777777" w:rsidR="00DC61C5" w:rsidRPr="001F21AC" w:rsidRDefault="00DC61C5" w:rsidP="001F21AC">
      <w:pPr>
        <w:spacing w:line="360" w:lineRule="auto"/>
        <w:jc w:val="both"/>
        <w:rPr>
          <w:rFonts w:ascii="Arial" w:hAnsi="Arial" w:cs="Arial"/>
        </w:rPr>
      </w:pPr>
    </w:p>
    <w:p w14:paraId="1E94C8DD" w14:textId="77777777" w:rsidR="00DC61C5" w:rsidRPr="001F21AC" w:rsidRDefault="00DC61C5" w:rsidP="001F21AC">
      <w:pPr>
        <w:spacing w:line="360" w:lineRule="auto"/>
        <w:jc w:val="both"/>
        <w:rPr>
          <w:rFonts w:ascii="Arial" w:hAnsi="Arial" w:cs="Arial"/>
        </w:rPr>
      </w:pPr>
    </w:p>
    <w:p w14:paraId="4CEA970F" w14:textId="77777777" w:rsidR="00DC61C5" w:rsidRPr="001F21AC" w:rsidRDefault="00DC61C5" w:rsidP="001F21AC">
      <w:pPr>
        <w:spacing w:line="360" w:lineRule="auto"/>
        <w:jc w:val="both"/>
        <w:rPr>
          <w:rFonts w:ascii="Arial" w:hAnsi="Arial" w:cs="Arial"/>
        </w:rPr>
      </w:pPr>
    </w:p>
    <w:p w14:paraId="5EB1ECF2" w14:textId="77777777" w:rsidR="00DC61C5" w:rsidRPr="001F21AC" w:rsidRDefault="00DC61C5" w:rsidP="001F21AC">
      <w:pPr>
        <w:spacing w:line="360" w:lineRule="auto"/>
        <w:jc w:val="both"/>
        <w:rPr>
          <w:rFonts w:ascii="Arial" w:hAnsi="Arial" w:cs="Arial"/>
        </w:rPr>
      </w:pPr>
    </w:p>
    <w:p w14:paraId="6ADBD93A" w14:textId="77777777" w:rsidR="00DC61C5" w:rsidRPr="001F21AC" w:rsidRDefault="00DC61C5" w:rsidP="001F21AC">
      <w:pPr>
        <w:spacing w:line="360" w:lineRule="auto"/>
        <w:jc w:val="both"/>
        <w:rPr>
          <w:rFonts w:ascii="Arial" w:hAnsi="Arial" w:cs="Arial"/>
        </w:rPr>
      </w:pPr>
    </w:p>
    <w:p w14:paraId="0F2973B2" w14:textId="77777777" w:rsidR="00DC61C5" w:rsidRPr="001F21AC" w:rsidRDefault="00DC61C5" w:rsidP="001F21AC">
      <w:pPr>
        <w:spacing w:line="360" w:lineRule="auto"/>
        <w:jc w:val="both"/>
        <w:rPr>
          <w:rFonts w:ascii="Arial" w:hAnsi="Arial" w:cs="Arial"/>
        </w:rPr>
      </w:pPr>
    </w:p>
    <w:p w14:paraId="528CB261" w14:textId="77777777" w:rsidR="00DC61C5" w:rsidRPr="001F21AC" w:rsidRDefault="00DC61C5" w:rsidP="001F21AC">
      <w:pPr>
        <w:spacing w:line="360" w:lineRule="auto"/>
        <w:jc w:val="both"/>
        <w:rPr>
          <w:rFonts w:ascii="Arial" w:hAnsi="Arial" w:cs="Arial"/>
        </w:rPr>
      </w:pPr>
    </w:p>
    <w:p w14:paraId="7AA421AE" w14:textId="77777777" w:rsidR="00DC61C5" w:rsidRPr="001F21AC" w:rsidRDefault="00DC61C5" w:rsidP="001F21AC">
      <w:pPr>
        <w:spacing w:line="360" w:lineRule="auto"/>
        <w:jc w:val="both"/>
        <w:rPr>
          <w:rFonts w:ascii="Arial" w:hAnsi="Arial" w:cs="Arial"/>
          <w:b/>
          <w:bCs/>
          <w:u w:val="single"/>
        </w:rPr>
      </w:pPr>
      <w:r w:rsidRPr="001F21AC">
        <w:rPr>
          <w:rFonts w:ascii="Arial" w:hAnsi="Arial" w:cs="Arial"/>
          <w:b/>
          <w:bCs/>
          <w:u w:val="single"/>
        </w:rPr>
        <w:lastRenderedPageBreak/>
        <w:t>AI Acknowledgement:</w:t>
      </w:r>
    </w:p>
    <w:p w14:paraId="05AD0660" w14:textId="77777777" w:rsidR="00DC61C5" w:rsidRPr="001F21AC" w:rsidRDefault="00DC61C5" w:rsidP="001F21AC">
      <w:pPr>
        <w:spacing w:line="360" w:lineRule="auto"/>
        <w:jc w:val="both"/>
        <w:rPr>
          <w:rFonts w:ascii="Arial" w:hAnsi="Arial" w:cs="Arial"/>
        </w:rPr>
      </w:pPr>
      <w:r w:rsidRPr="001F21AC">
        <w:rPr>
          <w:rFonts w:ascii="Arial" w:hAnsi="Arial" w:cs="Arial"/>
        </w:rPr>
        <w:t>I confirm that I have not presented any AI generated materials as my own work.</w:t>
      </w:r>
    </w:p>
    <w:p w14:paraId="11620C1D" w14:textId="77777777" w:rsidR="00371EFB" w:rsidRPr="001F21AC" w:rsidRDefault="00DC61C5" w:rsidP="001F21AC">
      <w:pPr>
        <w:spacing w:line="360" w:lineRule="auto"/>
        <w:jc w:val="both"/>
        <w:rPr>
          <w:rFonts w:ascii="Arial" w:hAnsi="Arial" w:cs="Arial"/>
        </w:rPr>
      </w:pPr>
      <w:r w:rsidRPr="001F21AC">
        <w:rPr>
          <w:rFonts w:ascii="Arial" w:hAnsi="Arial" w:cs="Arial"/>
        </w:rPr>
        <w:t>I confirm that I have copies of my drafts, notes, and other resources I used, which I may be asked to prove in evidence.</w:t>
      </w:r>
    </w:p>
    <w:p w14:paraId="78A9A10C" w14:textId="77777777" w:rsidR="00371EFB" w:rsidRPr="001F21AC" w:rsidRDefault="00371EFB" w:rsidP="001F21AC">
      <w:pPr>
        <w:spacing w:line="360" w:lineRule="auto"/>
        <w:jc w:val="both"/>
        <w:rPr>
          <w:rFonts w:ascii="Arial" w:hAnsi="Arial" w:cs="Arial"/>
        </w:rPr>
      </w:pPr>
    </w:p>
    <w:p w14:paraId="37FF8045" w14:textId="77777777" w:rsidR="00371EFB" w:rsidRPr="001F21AC" w:rsidRDefault="00371EFB" w:rsidP="001F21AC">
      <w:pPr>
        <w:spacing w:line="360" w:lineRule="auto"/>
        <w:jc w:val="both"/>
        <w:rPr>
          <w:rFonts w:ascii="Arial" w:hAnsi="Arial" w:cs="Arial"/>
        </w:rPr>
      </w:pPr>
    </w:p>
    <w:p w14:paraId="7B9E340C" w14:textId="77777777" w:rsidR="00371EFB" w:rsidRPr="001F21AC" w:rsidRDefault="00371EFB" w:rsidP="001F21AC">
      <w:pPr>
        <w:spacing w:line="360" w:lineRule="auto"/>
        <w:jc w:val="both"/>
        <w:rPr>
          <w:rFonts w:ascii="Arial" w:hAnsi="Arial" w:cs="Arial"/>
        </w:rPr>
      </w:pPr>
    </w:p>
    <w:p w14:paraId="47A7CA08" w14:textId="77777777" w:rsidR="00371EFB" w:rsidRPr="001F21AC" w:rsidRDefault="00371EFB" w:rsidP="001F21AC">
      <w:pPr>
        <w:spacing w:line="360" w:lineRule="auto"/>
        <w:jc w:val="both"/>
        <w:rPr>
          <w:rFonts w:ascii="Arial" w:hAnsi="Arial" w:cs="Arial"/>
        </w:rPr>
      </w:pPr>
    </w:p>
    <w:p w14:paraId="5BDA7EDA" w14:textId="77777777" w:rsidR="00371EFB" w:rsidRPr="001F21AC" w:rsidRDefault="00371EFB" w:rsidP="001F21AC">
      <w:pPr>
        <w:spacing w:line="360" w:lineRule="auto"/>
        <w:jc w:val="both"/>
        <w:rPr>
          <w:rFonts w:ascii="Arial" w:hAnsi="Arial" w:cs="Arial"/>
        </w:rPr>
      </w:pPr>
    </w:p>
    <w:p w14:paraId="303DF806" w14:textId="77777777" w:rsidR="00371EFB" w:rsidRPr="001F21AC" w:rsidRDefault="00371EFB" w:rsidP="001F21AC">
      <w:pPr>
        <w:spacing w:line="360" w:lineRule="auto"/>
        <w:jc w:val="both"/>
        <w:rPr>
          <w:rFonts w:ascii="Arial" w:hAnsi="Arial" w:cs="Arial"/>
        </w:rPr>
      </w:pPr>
    </w:p>
    <w:p w14:paraId="1F8EA90C" w14:textId="77777777" w:rsidR="00371EFB" w:rsidRPr="001F21AC" w:rsidRDefault="00371EFB" w:rsidP="001F21AC">
      <w:pPr>
        <w:spacing w:line="360" w:lineRule="auto"/>
        <w:jc w:val="both"/>
        <w:rPr>
          <w:rFonts w:ascii="Arial" w:hAnsi="Arial" w:cs="Arial"/>
        </w:rPr>
      </w:pPr>
    </w:p>
    <w:p w14:paraId="4837EA39" w14:textId="77777777" w:rsidR="00371EFB" w:rsidRPr="001F21AC" w:rsidRDefault="00371EFB" w:rsidP="001F21AC">
      <w:pPr>
        <w:spacing w:line="360" w:lineRule="auto"/>
        <w:jc w:val="both"/>
        <w:rPr>
          <w:rFonts w:ascii="Arial" w:hAnsi="Arial" w:cs="Arial"/>
        </w:rPr>
      </w:pPr>
    </w:p>
    <w:p w14:paraId="3095D877" w14:textId="77777777" w:rsidR="00371EFB" w:rsidRPr="001F21AC" w:rsidRDefault="00371EFB" w:rsidP="001F21AC">
      <w:pPr>
        <w:spacing w:line="360" w:lineRule="auto"/>
        <w:jc w:val="both"/>
        <w:rPr>
          <w:rFonts w:ascii="Arial" w:hAnsi="Arial" w:cs="Arial"/>
        </w:rPr>
      </w:pPr>
    </w:p>
    <w:p w14:paraId="6D1A9F94" w14:textId="77777777" w:rsidR="00371EFB" w:rsidRPr="001F21AC" w:rsidRDefault="00371EFB" w:rsidP="001F21AC">
      <w:pPr>
        <w:spacing w:line="360" w:lineRule="auto"/>
        <w:jc w:val="both"/>
        <w:rPr>
          <w:rFonts w:ascii="Arial" w:hAnsi="Arial" w:cs="Arial"/>
        </w:rPr>
      </w:pPr>
    </w:p>
    <w:p w14:paraId="1D22E332" w14:textId="77777777" w:rsidR="00371EFB" w:rsidRPr="001F21AC" w:rsidRDefault="00371EFB" w:rsidP="001F21AC">
      <w:pPr>
        <w:spacing w:line="360" w:lineRule="auto"/>
        <w:jc w:val="both"/>
        <w:rPr>
          <w:rFonts w:ascii="Arial" w:hAnsi="Arial" w:cs="Arial"/>
        </w:rPr>
      </w:pPr>
    </w:p>
    <w:p w14:paraId="7094038C" w14:textId="77777777" w:rsidR="00371EFB" w:rsidRPr="001F21AC" w:rsidRDefault="00371EFB" w:rsidP="001F21AC">
      <w:pPr>
        <w:spacing w:line="360" w:lineRule="auto"/>
        <w:jc w:val="both"/>
        <w:rPr>
          <w:rFonts w:ascii="Arial" w:hAnsi="Arial" w:cs="Arial"/>
        </w:rPr>
      </w:pPr>
    </w:p>
    <w:p w14:paraId="68B22602" w14:textId="77777777" w:rsidR="00371EFB" w:rsidRPr="001F21AC" w:rsidRDefault="00371EFB" w:rsidP="001F21AC">
      <w:pPr>
        <w:spacing w:line="360" w:lineRule="auto"/>
        <w:jc w:val="both"/>
        <w:rPr>
          <w:rFonts w:ascii="Arial" w:hAnsi="Arial" w:cs="Arial"/>
        </w:rPr>
      </w:pPr>
    </w:p>
    <w:p w14:paraId="7ACAFEAF" w14:textId="77777777" w:rsidR="00371EFB" w:rsidRPr="001F21AC" w:rsidRDefault="00371EFB" w:rsidP="001F21AC">
      <w:pPr>
        <w:spacing w:line="360" w:lineRule="auto"/>
        <w:jc w:val="both"/>
        <w:rPr>
          <w:rFonts w:ascii="Arial" w:hAnsi="Arial" w:cs="Arial"/>
        </w:rPr>
      </w:pPr>
    </w:p>
    <w:p w14:paraId="1246985F" w14:textId="77777777" w:rsidR="00371EFB" w:rsidRPr="001F21AC" w:rsidRDefault="00371EFB" w:rsidP="001F21AC">
      <w:pPr>
        <w:spacing w:line="360" w:lineRule="auto"/>
        <w:jc w:val="both"/>
        <w:rPr>
          <w:rFonts w:ascii="Arial" w:hAnsi="Arial" w:cs="Arial"/>
        </w:rPr>
      </w:pPr>
    </w:p>
    <w:p w14:paraId="5659A135" w14:textId="77777777" w:rsidR="00371EFB" w:rsidRPr="001F21AC" w:rsidRDefault="00371EFB" w:rsidP="001F21AC">
      <w:pPr>
        <w:spacing w:line="360" w:lineRule="auto"/>
        <w:jc w:val="both"/>
        <w:rPr>
          <w:rFonts w:ascii="Arial" w:hAnsi="Arial" w:cs="Arial"/>
        </w:rPr>
      </w:pPr>
    </w:p>
    <w:p w14:paraId="1EA93625" w14:textId="77777777" w:rsidR="00371EFB" w:rsidRPr="001F21AC" w:rsidRDefault="00371EFB" w:rsidP="001F21AC">
      <w:pPr>
        <w:spacing w:line="360" w:lineRule="auto"/>
        <w:jc w:val="both"/>
        <w:rPr>
          <w:rFonts w:ascii="Arial" w:hAnsi="Arial" w:cs="Arial"/>
        </w:rPr>
      </w:pPr>
    </w:p>
    <w:p w14:paraId="70564E30" w14:textId="77777777" w:rsidR="00371EFB" w:rsidRPr="001F21AC" w:rsidRDefault="00371EFB" w:rsidP="001F21AC">
      <w:pPr>
        <w:spacing w:line="360" w:lineRule="auto"/>
        <w:jc w:val="both"/>
        <w:rPr>
          <w:rFonts w:ascii="Arial" w:hAnsi="Arial" w:cs="Arial"/>
        </w:rPr>
      </w:pPr>
    </w:p>
    <w:p w14:paraId="0A0CBF17" w14:textId="77777777" w:rsidR="00371EFB" w:rsidRPr="001F21AC" w:rsidRDefault="00371EFB" w:rsidP="001F21AC">
      <w:pPr>
        <w:spacing w:line="360" w:lineRule="auto"/>
        <w:jc w:val="both"/>
        <w:rPr>
          <w:rFonts w:ascii="Arial" w:hAnsi="Arial" w:cs="Arial"/>
        </w:rPr>
      </w:pPr>
    </w:p>
    <w:p w14:paraId="070D3022" w14:textId="77777777" w:rsidR="00787FA6" w:rsidRPr="001F21AC" w:rsidRDefault="00787FA6" w:rsidP="001F21AC">
      <w:pPr>
        <w:spacing w:line="360" w:lineRule="auto"/>
        <w:jc w:val="both"/>
        <w:rPr>
          <w:rFonts w:ascii="Arial" w:hAnsi="Arial" w:cs="Arial"/>
          <w:b/>
          <w:bCs/>
          <w:u w:val="single"/>
        </w:rPr>
      </w:pPr>
    </w:p>
    <w:p w14:paraId="27E6C457" w14:textId="77777777" w:rsidR="00787FA6" w:rsidRPr="001F21AC" w:rsidRDefault="00787FA6" w:rsidP="001F21AC">
      <w:pPr>
        <w:spacing w:line="360" w:lineRule="auto"/>
        <w:jc w:val="both"/>
        <w:rPr>
          <w:rFonts w:ascii="Arial" w:hAnsi="Arial" w:cs="Arial"/>
          <w:b/>
          <w:bCs/>
          <w:u w:val="single"/>
        </w:rPr>
      </w:pPr>
    </w:p>
    <w:p w14:paraId="5A264301" w14:textId="1FFC2A12" w:rsidR="00AA6604" w:rsidRPr="0051490C" w:rsidRDefault="00AA6604" w:rsidP="0051490C">
      <w:pPr>
        <w:spacing w:line="360" w:lineRule="auto"/>
        <w:jc w:val="center"/>
        <w:rPr>
          <w:rFonts w:ascii="Arial" w:hAnsi="Arial" w:cs="Arial"/>
        </w:rPr>
      </w:pPr>
      <w:r w:rsidRPr="0051490C">
        <w:rPr>
          <w:rFonts w:ascii="Arial" w:hAnsi="Arial" w:cs="Arial"/>
          <w:b/>
          <w:bCs/>
          <w:u w:val="single"/>
        </w:rPr>
        <w:lastRenderedPageBreak/>
        <w:t>Understanding the Business Environment of the UK EV Industry</w:t>
      </w:r>
    </w:p>
    <w:p w14:paraId="08E55D93" w14:textId="77777777" w:rsidR="00AA6604" w:rsidRPr="0051490C" w:rsidRDefault="00AA6604" w:rsidP="0051490C">
      <w:pPr>
        <w:spacing w:line="360" w:lineRule="auto"/>
        <w:jc w:val="both"/>
        <w:rPr>
          <w:rFonts w:ascii="Arial" w:eastAsia="Times New Roman" w:hAnsi="Arial" w:cs="Arial"/>
          <w:b/>
          <w:bCs/>
          <w:kern w:val="0"/>
          <w:lang w:eastAsia="en-GB"/>
        </w:rPr>
      </w:pPr>
      <w:r w:rsidRPr="0051490C">
        <w:rPr>
          <w:rFonts w:ascii="Arial" w:hAnsi="Arial" w:cs="Arial"/>
          <w:b/>
          <w:bCs/>
        </w:rPr>
        <w:t>Introduction:</w:t>
      </w:r>
      <w:r w:rsidRPr="0051490C">
        <w:rPr>
          <w:rFonts w:ascii="Arial" w:eastAsia="Times New Roman" w:hAnsi="Arial" w:cs="Arial"/>
          <w:b/>
          <w:bCs/>
          <w:kern w:val="0"/>
          <w:lang w:eastAsia="en-GB"/>
        </w:rPr>
        <w:t xml:space="preserve"> </w:t>
      </w:r>
    </w:p>
    <w:p w14:paraId="62438C91" w14:textId="77777777"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kern w:val="0"/>
          <w:lang w:eastAsia="en-GB"/>
        </w:rPr>
        <w:t>The UK electric vehicle (EV) industry has grown at a remarkable pace over the past decade. This growth has been fuelled by advances in technology, rising public concern about the environment, and government efforts to cut carbon emissions. More drivers are choosing EVS has manufacturers release models that are more affordable, offer longer ranges and benefits from your steadily involving charging network. The sector also presents important economic opportunities, including the expansion of battery production within the UK to strengthen its position as a leader in sustainable transport. Innovation continues the industry, particularly in areas such as smart charging renewable energy integration, and connected vehicle technologies.</w:t>
      </w:r>
    </w:p>
    <w:p w14:paraId="54749168" w14:textId="77777777"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kern w:val="0"/>
          <w:lang w:eastAsia="en-GB"/>
        </w:rPr>
        <w:t>However, the sector also faces challenges that could slow its progress. High purchase prices remain a barrier for many consumers and access to reliable charging infrastructure is still uneven across the country. Global supply chain issues, especially those affecting battery materials, and a further uncertainty. In addition, changes in government policy and increasing competition from overseas manufacturers, some of whom are producing lawyers cost EV’s, contribute to a complex and uncertain operating environment. These issues underlying the importance of addressing the external factors that are influencing in the industry’s development.</w:t>
      </w:r>
    </w:p>
    <w:p w14:paraId="16FB30DB" w14:textId="77777777" w:rsidR="00AA6604" w:rsidRPr="0051490C" w:rsidRDefault="00AA6604" w:rsidP="0051490C">
      <w:pPr>
        <w:spacing w:line="360" w:lineRule="auto"/>
        <w:jc w:val="both"/>
        <w:rPr>
          <w:rFonts w:ascii="Arial" w:eastAsia="Times New Roman" w:hAnsi="Arial" w:cs="Arial"/>
          <w:b/>
          <w:bCs/>
          <w:kern w:val="0"/>
          <w:lang w:eastAsia="en-GB"/>
        </w:rPr>
      </w:pPr>
      <w:r w:rsidRPr="0051490C">
        <w:rPr>
          <w:rFonts w:ascii="Arial" w:eastAsia="Times New Roman" w:hAnsi="Arial" w:cs="Arial"/>
          <w:b/>
          <w:bCs/>
          <w:kern w:val="0"/>
          <w:lang w:eastAsia="en-GB"/>
        </w:rPr>
        <w:t>Current situation after UK electric vehicle (EV) industry: Growth, Opportunities, Innovation and Key challenges:</w:t>
      </w:r>
    </w:p>
    <w:p w14:paraId="3D8DEE84" w14:textId="77777777"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noProof/>
          <w:kern w:val="0"/>
          <w:lang w:eastAsia="en-GB"/>
        </w:rPr>
        <w:drawing>
          <wp:anchor distT="0" distB="0" distL="114300" distR="114300" simplePos="0" relativeHeight="251659264" behindDoc="1" locked="0" layoutInCell="1" allowOverlap="1" wp14:anchorId="3F5FBA88" wp14:editId="239E3627">
            <wp:simplePos x="0" y="0"/>
            <wp:positionH relativeFrom="column">
              <wp:posOffset>4297680</wp:posOffset>
            </wp:positionH>
            <wp:positionV relativeFrom="paragraph">
              <wp:posOffset>1287145</wp:posOffset>
            </wp:positionV>
            <wp:extent cx="2057400" cy="1543050"/>
            <wp:effectExtent l="0" t="0" r="0" b="0"/>
            <wp:wrapTight wrapText="bothSides">
              <wp:wrapPolygon edited="0">
                <wp:start x="0" y="0"/>
                <wp:lineTo x="0" y="21333"/>
                <wp:lineTo x="21400" y="21333"/>
                <wp:lineTo x="21400" y="0"/>
                <wp:lineTo x="0" y="0"/>
              </wp:wrapPolygon>
            </wp:wrapTight>
            <wp:docPr id="716425076" name="Picture 7" descr="A graph showing the price of electric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425076" name="Picture 7" descr="A graph showing the price of electric vehicle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57400" cy="1543050"/>
                    </a:xfrm>
                    <a:prstGeom prst="rect">
                      <a:avLst/>
                    </a:prstGeom>
                    <a:noFill/>
                  </pic:spPr>
                </pic:pic>
              </a:graphicData>
            </a:graphic>
            <wp14:sizeRelH relativeFrom="margin">
              <wp14:pctWidth>0</wp14:pctWidth>
            </wp14:sizeRelH>
            <wp14:sizeRelV relativeFrom="margin">
              <wp14:pctHeight>0</wp14:pctHeight>
            </wp14:sizeRelV>
          </wp:anchor>
        </w:drawing>
      </w:r>
      <w:r w:rsidRPr="0051490C">
        <w:rPr>
          <w:rFonts w:ascii="Arial" w:eastAsia="Times New Roman" w:hAnsi="Arial" w:cs="Arial"/>
          <w:kern w:val="0"/>
          <w:lang w:eastAsia="en-GB"/>
        </w:rPr>
        <w:t xml:space="preserve">The UK electric vehicle industry has grown rapidly in recent years since supported by increasing public concern about climate change and the continued government efforts to cut carbon emissions. According to Hill et al. (2019) the emphasise that electric vehicles are key to reducing emissions and helping the UK meet its carbon budget. Sales of battery electric vehicles (BEVs) have rising steadily, with the more drivers showing confidence in the technology as charging infrastructure expands and manufacturers introduce a wide range of models. According to Wellings et al. (2021), multiple factors influence the EV market and will shape its future development. Major automotive companies are investing heavily in EV production, signalling a clear move away from </w:t>
      </w:r>
      <w:r w:rsidRPr="0051490C">
        <w:rPr>
          <w:rFonts w:ascii="Arial" w:eastAsia="Times New Roman" w:hAnsi="Arial" w:cs="Arial"/>
          <w:kern w:val="0"/>
          <w:lang w:eastAsia="en-GB"/>
        </w:rPr>
        <w:lastRenderedPageBreak/>
        <w:t>traditional internal combustion engine vehicles. Although charging facilities have improved access remains uneven, with the rural areas developing more slowly than major towns and cities. As a result, the industry is shifting towards mainstream adoption, but progress is still influenced by economic pressures and policy decisions.</w:t>
      </w:r>
    </w:p>
    <w:p w14:paraId="09041732" w14:textId="77777777"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kern w:val="0"/>
          <w:lang w:eastAsia="en-GB"/>
        </w:rPr>
        <w:t>Growth brings substantial opportunities. According to Sathiyan et al. (2022), the development and deployment of EVs, along with supportive policies present both opportunities and challenges for reducing greenhouse gas emissions. The development of domestic battery manufacturing, including planned Giga factories could reduce reliance on imported components and create new, high skilled jobs. There is also significant potential for innovation in renewable energy integration, smart charging and Vehicle to grit (V2G) systems, all of which could strengthen the U.K.’s position in the global green transport market. The country strong research base in engineering and battery technology further increases its ability to attract international investment. According to Zaino et al. (2024), EV adoption is affected by a combination of technological, environmental, organisational and policy factors. In addition, related services such as EV leasing, recycling, mobility platforms and after sales support offer opportunities for diversification across the wider automotive sectors.</w:t>
      </w:r>
      <w:r w:rsidRPr="0051490C">
        <w:rPr>
          <w:rFonts w:ascii="Arial" w:hAnsi="Arial" w:cs="Arial"/>
        </w:rPr>
        <w:t xml:space="preserve"> </w:t>
      </w:r>
      <w:r w:rsidRPr="0051490C">
        <w:rPr>
          <w:rFonts w:ascii="Arial" w:hAnsi="Arial" w:cs="Arial"/>
          <w:noProof/>
        </w:rPr>
        <w:drawing>
          <wp:inline distT="0" distB="0" distL="0" distR="0" wp14:anchorId="1671BD93" wp14:editId="07902A06">
            <wp:extent cx="5731510" cy="2780030"/>
            <wp:effectExtent l="0" t="0" r="2540" b="1270"/>
            <wp:docPr id="172040377" name="Picture 5" descr="A diagram of a car shar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0377" name="Picture 5" descr="A diagram of a car sharing system&#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80030"/>
                    </a:xfrm>
                    <a:prstGeom prst="rect">
                      <a:avLst/>
                    </a:prstGeom>
                    <a:noFill/>
                    <a:ln>
                      <a:noFill/>
                    </a:ln>
                  </pic:spPr>
                </pic:pic>
              </a:graphicData>
            </a:graphic>
          </wp:inline>
        </w:drawing>
      </w:r>
    </w:p>
    <w:p w14:paraId="7CFA9973" w14:textId="6FAFB6A4"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kern w:val="0"/>
          <w:lang w:eastAsia="en-GB"/>
        </w:rPr>
        <w:t xml:space="preserve">Innovation continues to drive progress across the industry. Advances in battery chemistry, improved energy density, and the faster charging speeds are helping to reduce range anxiety and improve consumer confidence. Research into solid-state batteries holds longer term promise for safer and more efficient energy storage. Digital technologies are also becoming more prominent, with the connected systems, </w:t>
      </w:r>
      <w:r w:rsidRPr="0051490C">
        <w:rPr>
          <w:rFonts w:ascii="Arial" w:eastAsia="Times New Roman" w:hAnsi="Arial" w:cs="Arial"/>
          <w:kern w:val="0"/>
          <w:lang w:eastAsia="en-GB"/>
        </w:rPr>
        <w:lastRenderedPageBreak/>
        <w:t xml:space="preserve">autonomous features and integrated software platforms improving user experience and the supporting fleet management. </w:t>
      </w:r>
    </w:p>
    <w:p w14:paraId="34DDCB23" w14:textId="64BC15EE"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noProof/>
          <w:kern w:val="0"/>
          <w:lang w:eastAsia="en-GB"/>
        </w:rPr>
        <w:drawing>
          <wp:anchor distT="0" distB="0" distL="114300" distR="114300" simplePos="0" relativeHeight="251660288" behindDoc="1" locked="0" layoutInCell="1" allowOverlap="1" wp14:anchorId="3AA01081" wp14:editId="40A8CFF8">
            <wp:simplePos x="0" y="0"/>
            <wp:positionH relativeFrom="column">
              <wp:posOffset>4259580</wp:posOffset>
            </wp:positionH>
            <wp:positionV relativeFrom="paragraph">
              <wp:posOffset>279400</wp:posOffset>
            </wp:positionV>
            <wp:extent cx="2217420" cy="2217420"/>
            <wp:effectExtent l="0" t="0" r="0" b="0"/>
            <wp:wrapTight wrapText="bothSides">
              <wp:wrapPolygon edited="0">
                <wp:start x="0" y="0"/>
                <wp:lineTo x="0" y="21340"/>
                <wp:lineTo x="21340" y="21340"/>
                <wp:lineTo x="21340" y="0"/>
                <wp:lineTo x="0" y="0"/>
              </wp:wrapPolygon>
            </wp:wrapTight>
            <wp:docPr id="926643628" name="Picture 11" descr="A graph of a number of electric vehi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643628" name="Picture 11" descr="A graph of a number of electric vehicles&#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7420" cy="2217420"/>
                    </a:xfrm>
                    <a:prstGeom prst="rect">
                      <a:avLst/>
                    </a:prstGeom>
                    <a:noFill/>
                  </pic:spPr>
                </pic:pic>
              </a:graphicData>
            </a:graphic>
          </wp:anchor>
        </w:drawing>
      </w:r>
      <w:r w:rsidRPr="0051490C">
        <w:rPr>
          <w:rFonts w:ascii="Arial" w:eastAsia="Times New Roman" w:hAnsi="Arial" w:cs="Arial"/>
          <w:kern w:val="0"/>
          <w:lang w:eastAsia="en-GB"/>
        </w:rPr>
        <w:t xml:space="preserve">However, the industry also faces several challenges. High upfront costs remain year barrier for many buyers, especially following the withdrawal of some government incentives. According to Anastasiadou ang </w:t>
      </w:r>
      <w:proofErr w:type="spellStart"/>
      <w:r w:rsidRPr="0051490C">
        <w:rPr>
          <w:rFonts w:ascii="Arial" w:eastAsia="Times New Roman" w:hAnsi="Arial" w:cs="Arial"/>
          <w:kern w:val="0"/>
          <w:lang w:eastAsia="en-GB"/>
        </w:rPr>
        <w:t>Gavanas</w:t>
      </w:r>
      <w:proofErr w:type="spellEnd"/>
      <w:r w:rsidRPr="0051490C">
        <w:rPr>
          <w:rFonts w:ascii="Arial" w:eastAsia="Times New Roman" w:hAnsi="Arial" w:cs="Arial"/>
          <w:kern w:val="0"/>
          <w:lang w:eastAsia="en-GB"/>
        </w:rPr>
        <w:t xml:space="preserve"> (2022), several key factors influence consumer adoption of electric vehicles. Inflation and the rising cost of living have further affected purchasing decisions. Infrastructure gaps, particularly in rural regions continue to limit confident in long-distance EV travel. According to Gnanavendan et al. (2024), electric vehicle technology faces various challenges, but there are emerging solutions and evolving trends that are shaping its future development. Uncertainty created by shifting government policy, adds further pressure to the sector.</w:t>
      </w:r>
    </w:p>
    <w:p w14:paraId="3BC6C905" w14:textId="77777777" w:rsidR="00AA6604" w:rsidRPr="0051490C" w:rsidRDefault="00AA6604" w:rsidP="0051490C">
      <w:pPr>
        <w:spacing w:line="360" w:lineRule="auto"/>
        <w:jc w:val="both"/>
        <w:rPr>
          <w:rFonts w:ascii="Arial" w:eastAsia="Times New Roman" w:hAnsi="Arial" w:cs="Arial"/>
          <w:kern w:val="0"/>
          <w:lang w:eastAsia="en-GB"/>
        </w:rPr>
      </w:pPr>
      <w:r w:rsidRPr="0051490C">
        <w:rPr>
          <w:rFonts w:ascii="Arial" w:eastAsia="Times New Roman" w:hAnsi="Arial" w:cs="Arial"/>
          <w:kern w:val="0"/>
          <w:lang w:eastAsia="en-GB"/>
        </w:rPr>
        <w:t>The purpose of this report is to critically analyse the external factors influencing UK EV industry, using the PESTLE and SWOT frameworks. It considers how innovation especially technology and infrastructure shaping the sector, drawing on theory, policy and real-world examples. The scope includes macro-environmental drivers, internal industry strengths and weakness and strategy correspondences. The report concludes with actionable recommendations for UK EV companies to enhance their competitiveness, sustainability and resilience.</w:t>
      </w:r>
    </w:p>
    <w:p w14:paraId="541A8D59" w14:textId="77777777" w:rsidR="00AA6604" w:rsidRPr="0051490C" w:rsidRDefault="00AA6604" w:rsidP="0051490C">
      <w:pPr>
        <w:spacing w:line="360" w:lineRule="auto"/>
        <w:jc w:val="both"/>
        <w:rPr>
          <w:rFonts w:ascii="Arial" w:eastAsia="Times New Roman" w:hAnsi="Arial" w:cs="Arial"/>
          <w:b/>
          <w:bCs/>
          <w:kern w:val="0"/>
          <w:lang w:eastAsia="en-GB"/>
        </w:rPr>
      </w:pPr>
      <w:r w:rsidRPr="0051490C">
        <w:rPr>
          <w:rFonts w:ascii="Arial" w:eastAsia="Times New Roman" w:hAnsi="Arial" w:cs="Arial"/>
          <w:b/>
          <w:bCs/>
          <w:kern w:val="0"/>
          <w:lang w:eastAsia="en-GB"/>
        </w:rPr>
        <w:t>Findings:</w:t>
      </w:r>
    </w:p>
    <w:p w14:paraId="19AD6294" w14:textId="77777777" w:rsidR="00AA6604" w:rsidRPr="0051490C" w:rsidRDefault="00AA6604" w:rsidP="0051490C">
      <w:pPr>
        <w:spacing w:line="360" w:lineRule="auto"/>
        <w:jc w:val="both"/>
        <w:rPr>
          <w:rFonts w:ascii="Arial" w:eastAsia="Times New Roman" w:hAnsi="Arial" w:cs="Arial"/>
          <w:b/>
          <w:bCs/>
          <w:kern w:val="0"/>
          <w:lang w:eastAsia="en-GB"/>
        </w:rPr>
      </w:pPr>
      <w:r w:rsidRPr="0051490C">
        <w:rPr>
          <w:rFonts w:ascii="Arial" w:eastAsia="Times New Roman" w:hAnsi="Arial" w:cs="Arial"/>
          <w:b/>
          <w:bCs/>
          <w:kern w:val="0"/>
          <w:lang w:eastAsia="en-GB"/>
        </w:rPr>
        <w:t>PESTLE analysis of external factors influencing the UK EV industry:</w:t>
      </w:r>
    </w:p>
    <w:p w14:paraId="22BEDCF4" w14:textId="02E5741B" w:rsidR="00F867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noProof/>
        </w:rPr>
        <w:drawing>
          <wp:anchor distT="0" distB="0" distL="114300" distR="114300" simplePos="0" relativeHeight="251661312" behindDoc="1" locked="0" layoutInCell="1" allowOverlap="1" wp14:anchorId="5EDE7FEF" wp14:editId="273F21E1">
            <wp:simplePos x="0" y="0"/>
            <wp:positionH relativeFrom="column">
              <wp:posOffset>4640580</wp:posOffset>
            </wp:positionH>
            <wp:positionV relativeFrom="paragraph">
              <wp:posOffset>-196850</wp:posOffset>
            </wp:positionV>
            <wp:extent cx="1805940" cy="1705957"/>
            <wp:effectExtent l="0" t="0" r="3810" b="8890"/>
            <wp:wrapTight wrapText="bothSides">
              <wp:wrapPolygon edited="0">
                <wp:start x="0" y="0"/>
                <wp:lineTo x="0" y="21471"/>
                <wp:lineTo x="21418" y="21471"/>
                <wp:lineTo x="21418" y="0"/>
                <wp:lineTo x="0" y="0"/>
              </wp:wrapPolygon>
            </wp:wrapTight>
            <wp:docPr id="1826880520" name="Picture 12" descr="PESTLE Analysis: The CEO's Guide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ESTLE Analysis: The CEO's Guide to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5940" cy="170595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1490C">
        <w:rPr>
          <w:rFonts w:ascii="Arial" w:eastAsia="Times New Roman" w:hAnsi="Arial" w:cs="Arial"/>
          <w:kern w:val="0"/>
          <w:lang w:eastAsia="en-GB"/>
        </w:rPr>
        <w:t>PESTLE analysis is a strategic used to evaluate the external factors that can impact the organisation’s performance and decision-making.</w:t>
      </w:r>
      <w:r w:rsidR="00854330" w:rsidRPr="0051490C">
        <w:rPr>
          <w:rFonts w:ascii="Arial" w:hAnsi="Arial" w:cs="Arial"/>
        </w:rPr>
        <w:t xml:space="preserve"> </w:t>
      </w:r>
      <w:r w:rsidR="00854330" w:rsidRPr="0051490C">
        <w:rPr>
          <w:rFonts w:ascii="Arial" w:eastAsia="Times New Roman" w:hAnsi="Arial" w:cs="Arial"/>
          <w:kern w:val="0"/>
          <w:lang w:eastAsia="en-GB"/>
        </w:rPr>
        <w:t>According to Bathla</w:t>
      </w:r>
      <w:r w:rsidR="00593B94" w:rsidRPr="0051490C">
        <w:rPr>
          <w:rFonts w:ascii="Arial" w:eastAsia="Times New Roman" w:hAnsi="Arial" w:cs="Arial"/>
          <w:kern w:val="0"/>
          <w:lang w:eastAsia="en-GB"/>
        </w:rPr>
        <w:t xml:space="preserve"> et al. </w:t>
      </w:r>
      <w:r w:rsidR="00854330" w:rsidRPr="0051490C">
        <w:rPr>
          <w:rFonts w:ascii="Arial" w:eastAsia="Times New Roman" w:hAnsi="Arial" w:cs="Arial"/>
          <w:kern w:val="0"/>
          <w:lang w:eastAsia="en-GB"/>
        </w:rPr>
        <w:t>(2022), PESTEL analysis provides a structured way to examine the external factors influencing the automotive industry.</w:t>
      </w:r>
      <w:r w:rsidRPr="0051490C">
        <w:rPr>
          <w:rFonts w:ascii="Arial" w:eastAsia="Times New Roman" w:hAnsi="Arial" w:cs="Arial"/>
          <w:kern w:val="0"/>
          <w:lang w:eastAsia="en-GB"/>
        </w:rPr>
        <w:t xml:space="preserve"> It stands for Political, Economic, Social, Technological, Legal and Environmental.</w:t>
      </w:r>
      <w:r w:rsidRPr="0051490C">
        <w:rPr>
          <w:rFonts w:ascii="Arial" w:hAnsi="Arial" w:cs="Arial"/>
          <w:color w:val="0A0A0A"/>
          <w:shd w:val="clear" w:color="auto" w:fill="FFFFFF"/>
        </w:rPr>
        <w:t xml:space="preserve"> This analysis helps organisations understand the macro-environment to identify opportunities and threats, which inform strategic planning and risk assessment</w:t>
      </w:r>
      <w:r w:rsidR="00F86704" w:rsidRPr="0051490C">
        <w:rPr>
          <w:rFonts w:ascii="Arial" w:hAnsi="Arial" w:cs="Arial"/>
          <w:color w:val="0A0A0A"/>
          <w:shd w:val="clear" w:color="auto" w:fill="FFFFFF"/>
        </w:rPr>
        <w:t xml:space="preserve">. </w:t>
      </w:r>
      <w:r w:rsidR="00F86704" w:rsidRPr="0051490C">
        <w:rPr>
          <w:rFonts w:ascii="Arial" w:hAnsi="Arial" w:cs="Arial"/>
          <w:color w:val="0A0A0A"/>
          <w:shd w:val="clear" w:color="auto" w:fill="FFFFFF"/>
        </w:rPr>
        <w:t xml:space="preserve">According to Debnath et al. (2021), electric </w:t>
      </w:r>
      <w:r w:rsidR="00F86704" w:rsidRPr="0051490C">
        <w:rPr>
          <w:rFonts w:ascii="Arial" w:hAnsi="Arial" w:cs="Arial"/>
          <w:color w:val="0A0A0A"/>
          <w:shd w:val="clear" w:color="auto" w:fill="FFFFFF"/>
        </w:rPr>
        <w:lastRenderedPageBreak/>
        <w:t>vehicle adoption is shaped by a wide range of political, economic, social, technological, legal, and environmental factors.</w:t>
      </w:r>
    </w:p>
    <w:p w14:paraId="7141360A"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Political Factors:</w:t>
      </w:r>
    </w:p>
    <w:p w14:paraId="6DC3179D" w14:textId="77777777" w:rsidR="00AA6604" w:rsidRPr="000B7C9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 xml:space="preserve">The UK government has taken the decision to end the sale of petrol and diesel vehicles by 2030 and zero emissions by 2035. With this decision, all the existent trends with the sale of this fossil vehicle will be stopped and replaced with EVs. Government </w:t>
      </w:r>
      <w:proofErr w:type="spellStart"/>
      <w:r w:rsidRPr="0051490C">
        <w:rPr>
          <w:rFonts w:ascii="Arial" w:hAnsi="Arial" w:cs="Arial"/>
          <w:color w:val="0A0A0A"/>
          <w:shd w:val="clear" w:color="auto" w:fill="FFFFFF"/>
        </w:rPr>
        <w:t>gants</w:t>
      </w:r>
      <w:proofErr w:type="spellEnd"/>
      <w:r w:rsidRPr="0051490C">
        <w:rPr>
          <w:rFonts w:ascii="Arial" w:hAnsi="Arial" w:cs="Arial"/>
          <w:color w:val="0A0A0A"/>
          <w:shd w:val="clear" w:color="auto" w:fill="FFFFFF"/>
        </w:rPr>
        <w:t xml:space="preserve"> and subsides to establish infrastructure and changing points in business places, homes and local authorities to spread across the UK that will avoid the main pain of the customers regarding the charging. UK government has imposed the ban on the Russian oil and oil related products that will increase the oil prices. Government </w:t>
      </w:r>
      <w:proofErr w:type="gramStart"/>
      <w:r w:rsidRPr="0051490C">
        <w:rPr>
          <w:rFonts w:ascii="Arial" w:hAnsi="Arial" w:cs="Arial"/>
          <w:color w:val="0A0A0A"/>
          <w:shd w:val="clear" w:color="auto" w:fill="FFFFFF"/>
        </w:rPr>
        <w:t>grant</w:t>
      </w:r>
      <w:proofErr w:type="gramEnd"/>
      <w:r w:rsidRPr="0051490C">
        <w:rPr>
          <w:rFonts w:ascii="Arial" w:hAnsi="Arial" w:cs="Arial"/>
          <w:color w:val="0A0A0A"/>
          <w:shd w:val="clear" w:color="auto" w:fill="FFFFFF"/>
        </w:rPr>
        <w:t xml:space="preserve"> £500 million to support the 169000 job opportunities (GOV.UK, 2020). Road taxes are exempt from EVs.</w:t>
      </w:r>
    </w:p>
    <w:p w14:paraId="706DD725"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Economic Factors:</w:t>
      </w:r>
    </w:p>
    <w:p w14:paraId="40E3A30C"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The high upfront cost of EVs and rising living expenses affect affordability and demand. Supply chain disruptions, particularly for key battery materials, create cost pressures. However domestic battery manufacturing and infrastructure investments offer economic opportunities through job creation and technology led growth. With the transition of EVs, new job opportunities will be raised in production and support services. Fully charged EVs can travel 200 miles with cost £15.10 and other vehicle fuel cost is £104 travel 200 – 400 miles range (British gas, n.d.</w:t>
      </w:r>
    </w:p>
    <w:p w14:paraId="77F2DFE5"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Social Factors:</w:t>
      </w:r>
    </w:p>
    <w:p w14:paraId="3B843A8B"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In the years 2021 and 2022, the best EVs seller is Tesla selling the vehicles without marketing expense or marketing team. Only selling them by tweeting the products details. Younger generations are more concerned about environment, safety, environment friendly, and luxury features for their convenience.</w:t>
      </w:r>
    </w:p>
    <w:p w14:paraId="5AC6C521"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Technological Factors:</w:t>
      </w:r>
    </w:p>
    <w:p w14:paraId="16856CA4"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 xml:space="preserve">R&amp; D is the most important factors for EVs. In the year 2021, Tesla invested the 2.59 billion to achieve their target (TESLA, INC, 2021). Continuous innovation in the EVs and battery will lead to a reduction in the cost per EV and </w:t>
      </w:r>
      <w:proofErr w:type="gramStart"/>
      <w:r w:rsidRPr="0051490C">
        <w:rPr>
          <w:rFonts w:ascii="Arial" w:hAnsi="Arial" w:cs="Arial"/>
          <w:color w:val="0A0A0A"/>
          <w:shd w:val="clear" w:color="auto" w:fill="FFFFFF"/>
        </w:rPr>
        <w:t>long distance</w:t>
      </w:r>
      <w:proofErr w:type="gramEnd"/>
      <w:r w:rsidRPr="0051490C">
        <w:rPr>
          <w:rFonts w:ascii="Arial" w:hAnsi="Arial" w:cs="Arial"/>
          <w:color w:val="0A0A0A"/>
          <w:shd w:val="clear" w:color="auto" w:fill="FFFFFF"/>
        </w:rPr>
        <w:t xml:space="preserve"> drive.</w:t>
      </w:r>
    </w:p>
    <w:p w14:paraId="17A58767"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Legal Factors:</w:t>
      </w:r>
    </w:p>
    <w:p w14:paraId="44483A42"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lastRenderedPageBreak/>
        <w:t>Many trade agreements under production in EU, decrease the tariff of EV’s will lead to decrease the prices. Some technical issue will raise some legal implications in future.</w:t>
      </w:r>
    </w:p>
    <w:p w14:paraId="21EFC687" w14:textId="77777777"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Environmental Factors:</w:t>
      </w:r>
    </w:p>
    <w:p w14:paraId="069FE6A3" w14:textId="092D0453" w:rsidR="00AA6604" w:rsidRPr="0051490C" w:rsidRDefault="00AA6604" w:rsidP="0051490C">
      <w:pPr>
        <w:spacing w:line="360" w:lineRule="auto"/>
        <w:jc w:val="both"/>
        <w:rPr>
          <w:rFonts w:ascii="Arial" w:hAnsi="Arial" w:cs="Arial"/>
          <w:color w:val="0A0A0A"/>
          <w:shd w:val="clear" w:color="auto" w:fill="FFFFFF"/>
        </w:rPr>
      </w:pPr>
      <w:r w:rsidRPr="0051490C">
        <w:rPr>
          <w:rFonts w:ascii="Arial" w:hAnsi="Arial" w:cs="Arial"/>
          <w:color w:val="0A0A0A"/>
          <w:shd w:val="clear" w:color="auto" w:fill="FFFFFF"/>
        </w:rPr>
        <w:t>Many customers main concerns about the green product usage with great awareness about the environment. Carbon emission and noise pollution will create great attraction for the customer EVs.</w:t>
      </w:r>
      <w:r w:rsidR="00077A59" w:rsidRPr="0051490C">
        <w:rPr>
          <w:rFonts w:ascii="Arial" w:hAnsi="Arial" w:cs="Arial"/>
          <w:color w:val="0A0A0A"/>
          <w:shd w:val="clear" w:color="auto" w:fill="FFFFFF"/>
        </w:rPr>
        <w:t xml:space="preserve"> According to Thompson (2023), Strategic </w:t>
      </w:r>
      <w:r w:rsidR="00B55FB3" w:rsidRPr="0051490C">
        <w:rPr>
          <w:rFonts w:ascii="Arial" w:hAnsi="Arial" w:cs="Arial"/>
          <w:color w:val="0A0A0A"/>
          <w:shd w:val="clear" w:color="auto" w:fill="FFFFFF"/>
        </w:rPr>
        <w:t xml:space="preserve">analysis </w:t>
      </w:r>
      <w:r w:rsidR="008C3279" w:rsidRPr="0051490C">
        <w:rPr>
          <w:rFonts w:ascii="Arial" w:hAnsi="Arial" w:cs="Arial"/>
          <w:color w:val="0A0A0A"/>
          <w:shd w:val="clear" w:color="auto" w:fill="FFFFFF"/>
        </w:rPr>
        <w:t xml:space="preserve">highlights </w:t>
      </w:r>
      <w:r w:rsidR="007366E6" w:rsidRPr="0051490C">
        <w:rPr>
          <w:rFonts w:ascii="Arial" w:hAnsi="Arial" w:cs="Arial"/>
          <w:color w:val="0A0A0A"/>
          <w:shd w:val="clear" w:color="auto" w:fill="FFFFFF"/>
        </w:rPr>
        <w:t>how the transition to renewable electricity can play a central</w:t>
      </w:r>
      <w:r w:rsidR="009130B0" w:rsidRPr="0051490C">
        <w:rPr>
          <w:rFonts w:ascii="Arial" w:hAnsi="Arial" w:cs="Arial"/>
          <w:color w:val="0A0A0A"/>
          <w:shd w:val="clear" w:color="auto" w:fill="FFFFFF"/>
        </w:rPr>
        <w:t xml:space="preserve"> role in achieving low carbon energy system</w:t>
      </w:r>
      <w:r w:rsidR="00AB6A69" w:rsidRPr="0051490C">
        <w:rPr>
          <w:rFonts w:ascii="Arial" w:hAnsi="Arial" w:cs="Arial"/>
          <w:color w:val="0A0A0A"/>
          <w:shd w:val="clear" w:color="auto" w:fill="FFFFFF"/>
        </w:rPr>
        <w:t>.</w:t>
      </w:r>
    </w:p>
    <w:p w14:paraId="244DBC63" w14:textId="0CF5070F" w:rsidR="00371EFB" w:rsidRPr="0051490C" w:rsidRDefault="00241BDF" w:rsidP="0051490C">
      <w:pPr>
        <w:spacing w:line="360" w:lineRule="auto"/>
        <w:jc w:val="both"/>
        <w:rPr>
          <w:rFonts w:ascii="Arial" w:hAnsi="Arial" w:cs="Arial"/>
          <w:b/>
          <w:bCs/>
          <w:color w:val="0A0A0A"/>
          <w:shd w:val="clear" w:color="auto" w:fill="FFFFFF"/>
        </w:rPr>
      </w:pPr>
      <w:r w:rsidRPr="0051490C">
        <w:rPr>
          <w:rFonts w:ascii="Arial" w:hAnsi="Arial" w:cs="Arial"/>
          <w:noProof/>
        </w:rPr>
        <w:drawing>
          <wp:anchor distT="0" distB="0" distL="114300" distR="114300" simplePos="0" relativeHeight="251662336" behindDoc="1" locked="0" layoutInCell="1" allowOverlap="1" wp14:anchorId="1411F3A8" wp14:editId="2F1C80D9">
            <wp:simplePos x="0" y="0"/>
            <wp:positionH relativeFrom="page">
              <wp:align>right</wp:align>
            </wp:positionH>
            <wp:positionV relativeFrom="paragraph">
              <wp:posOffset>86360</wp:posOffset>
            </wp:positionV>
            <wp:extent cx="2228850" cy="2047875"/>
            <wp:effectExtent l="0" t="0" r="0" b="9525"/>
            <wp:wrapTight wrapText="bothSides">
              <wp:wrapPolygon edited="0">
                <wp:start x="0" y="0"/>
                <wp:lineTo x="0" y="21500"/>
                <wp:lineTo x="21415" y="21500"/>
                <wp:lineTo x="21415" y="0"/>
                <wp:lineTo x="0" y="0"/>
              </wp:wrapPolygon>
            </wp:wrapTight>
            <wp:docPr id="11252586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8850" cy="2047875"/>
                    </a:xfrm>
                    <a:prstGeom prst="rect">
                      <a:avLst/>
                    </a:prstGeom>
                    <a:noFill/>
                  </pic:spPr>
                </pic:pic>
              </a:graphicData>
            </a:graphic>
          </wp:anchor>
        </w:drawing>
      </w:r>
      <w:r w:rsidR="00AA6604" w:rsidRPr="0051490C">
        <w:rPr>
          <w:rFonts w:ascii="Arial" w:hAnsi="Arial" w:cs="Arial"/>
          <w:b/>
          <w:bCs/>
          <w:color w:val="0A0A0A"/>
          <w:shd w:val="clear" w:color="auto" w:fill="FFFFFF"/>
        </w:rPr>
        <w:t>SWOT Analysis:</w:t>
      </w:r>
    </w:p>
    <w:p w14:paraId="6ABBAC67" w14:textId="11B0F65C" w:rsidR="00641019" w:rsidRPr="0051490C" w:rsidRDefault="00641019" w:rsidP="0051490C">
      <w:pPr>
        <w:spacing w:line="360" w:lineRule="auto"/>
        <w:jc w:val="both"/>
        <w:rPr>
          <w:rFonts w:ascii="Arial" w:hAnsi="Arial" w:cs="Arial"/>
        </w:rPr>
      </w:pPr>
      <w:r w:rsidRPr="0051490C">
        <w:rPr>
          <w:rFonts w:ascii="Arial" w:hAnsi="Arial" w:cs="Arial"/>
        </w:rPr>
        <w:t xml:space="preserve">A planning tool used to understand key factors involved in a project or an organisation. Often used as part of strategic planning but can be applied to help understand an organisation or a situation, </w:t>
      </w:r>
      <w:proofErr w:type="gramStart"/>
      <w:r w:rsidRPr="0051490C">
        <w:rPr>
          <w:rFonts w:ascii="Arial" w:hAnsi="Arial" w:cs="Arial"/>
        </w:rPr>
        <w:t>and also</w:t>
      </w:r>
      <w:proofErr w:type="gramEnd"/>
      <w:r w:rsidRPr="0051490C">
        <w:rPr>
          <w:rFonts w:ascii="Arial" w:hAnsi="Arial" w:cs="Arial"/>
        </w:rPr>
        <w:t xml:space="preserve"> decision making</w:t>
      </w:r>
      <w:r w:rsidR="00B8371F" w:rsidRPr="0051490C">
        <w:rPr>
          <w:rFonts w:ascii="Arial" w:hAnsi="Arial" w:cs="Arial"/>
        </w:rPr>
        <w:t>.</w:t>
      </w:r>
      <w:r w:rsidR="007D14A0" w:rsidRPr="0051490C">
        <w:rPr>
          <w:rFonts w:ascii="Arial" w:hAnsi="Arial" w:cs="Arial"/>
        </w:rPr>
        <w:t xml:space="preserve"> According to </w:t>
      </w:r>
      <w:proofErr w:type="spellStart"/>
      <w:r w:rsidR="007D14A0" w:rsidRPr="0051490C">
        <w:rPr>
          <w:rFonts w:ascii="Arial" w:hAnsi="Arial" w:cs="Arial"/>
        </w:rPr>
        <w:t>Pandyaswargo</w:t>
      </w:r>
      <w:proofErr w:type="spellEnd"/>
      <w:r w:rsidR="007D14A0" w:rsidRPr="0051490C">
        <w:rPr>
          <w:rFonts w:ascii="Arial" w:hAnsi="Arial" w:cs="Arial"/>
        </w:rPr>
        <w:t xml:space="preserve"> et al.</w:t>
      </w:r>
      <w:r w:rsidR="00314ADC" w:rsidRPr="0051490C">
        <w:rPr>
          <w:rFonts w:ascii="Arial" w:hAnsi="Arial" w:cs="Arial"/>
        </w:rPr>
        <w:t xml:space="preserve"> (2021), the growth of the electrical vehicle and battery industry in Indonesia is closely linked to policy actions such as nickel</w:t>
      </w:r>
      <w:r w:rsidR="00014365" w:rsidRPr="0051490C">
        <w:rPr>
          <w:rFonts w:ascii="Arial" w:hAnsi="Arial" w:cs="Arial"/>
        </w:rPr>
        <w:t xml:space="preserve"> or export ban and a swot analysis highlights the sector’s main strengths, weakness, opportunities and challenges</w:t>
      </w:r>
    </w:p>
    <w:p w14:paraId="714D9F42" w14:textId="3BBCD677" w:rsidR="00AA6260" w:rsidRPr="0051490C" w:rsidRDefault="00AA6260" w:rsidP="0051490C">
      <w:pPr>
        <w:spacing w:line="360" w:lineRule="auto"/>
        <w:jc w:val="both"/>
        <w:rPr>
          <w:rFonts w:ascii="Arial" w:hAnsi="Arial" w:cs="Arial"/>
        </w:rPr>
      </w:pPr>
      <w:r w:rsidRPr="0051490C">
        <w:rPr>
          <w:rFonts w:ascii="Arial" w:hAnsi="Arial" w:cs="Arial"/>
        </w:rPr>
        <w:t>Strengths:</w:t>
      </w:r>
    </w:p>
    <w:p w14:paraId="7B8E5E72" w14:textId="1253D086" w:rsidR="00AA6260" w:rsidRPr="0051490C" w:rsidRDefault="00917B81" w:rsidP="0051490C">
      <w:pPr>
        <w:spacing w:line="360" w:lineRule="auto"/>
        <w:jc w:val="both"/>
        <w:rPr>
          <w:rFonts w:ascii="Arial" w:hAnsi="Arial" w:cs="Arial"/>
        </w:rPr>
      </w:pPr>
      <w:r w:rsidRPr="0051490C">
        <w:rPr>
          <w:rFonts w:ascii="Arial" w:hAnsi="Arial" w:cs="Arial"/>
        </w:rPr>
        <w:t>T</w:t>
      </w:r>
      <w:r w:rsidR="00AA6260" w:rsidRPr="0051490C">
        <w:rPr>
          <w:rFonts w:ascii="Arial" w:hAnsi="Arial" w:cs="Arial"/>
        </w:rPr>
        <w:t>he UK EV sector is supported by f</w:t>
      </w:r>
      <w:r w:rsidRPr="0051490C">
        <w:rPr>
          <w:rFonts w:ascii="Arial" w:hAnsi="Arial" w:cs="Arial"/>
        </w:rPr>
        <w:t>ast</w:t>
      </w:r>
      <w:r w:rsidR="00AA6260" w:rsidRPr="0051490C">
        <w:rPr>
          <w:rFonts w:ascii="Arial" w:hAnsi="Arial" w:cs="Arial"/>
        </w:rPr>
        <w:t xml:space="preserve"> placed technological progress</w:t>
      </w:r>
      <w:r w:rsidRPr="0051490C">
        <w:rPr>
          <w:rFonts w:ascii="Arial" w:hAnsi="Arial" w:cs="Arial"/>
        </w:rPr>
        <w:t>, your wider choice of models and strong government commitments to reducing emissions</w:t>
      </w:r>
      <w:r w:rsidR="0090390D" w:rsidRPr="0051490C">
        <w:rPr>
          <w:rFonts w:ascii="Arial" w:hAnsi="Arial" w:cs="Arial"/>
        </w:rPr>
        <w:t>. Public interest in cleaner transport is also steadily rising.</w:t>
      </w:r>
    </w:p>
    <w:p w14:paraId="49853722" w14:textId="359E8F26" w:rsidR="0090390D" w:rsidRPr="0051490C" w:rsidRDefault="0090390D" w:rsidP="0051490C">
      <w:pPr>
        <w:spacing w:line="360" w:lineRule="auto"/>
        <w:jc w:val="both"/>
        <w:rPr>
          <w:rFonts w:ascii="Arial" w:hAnsi="Arial" w:cs="Arial"/>
        </w:rPr>
      </w:pPr>
      <w:r w:rsidRPr="0051490C">
        <w:rPr>
          <w:rFonts w:ascii="Arial" w:hAnsi="Arial" w:cs="Arial"/>
        </w:rPr>
        <w:t>Weakness:</w:t>
      </w:r>
    </w:p>
    <w:p w14:paraId="7C98DC73" w14:textId="1FE2222C" w:rsidR="001059AD" w:rsidRPr="0051490C" w:rsidRDefault="005C415F" w:rsidP="0051490C">
      <w:pPr>
        <w:spacing w:line="360" w:lineRule="auto"/>
        <w:jc w:val="both"/>
        <w:rPr>
          <w:rFonts w:ascii="Arial" w:hAnsi="Arial" w:cs="Arial"/>
        </w:rPr>
      </w:pPr>
      <w:r w:rsidRPr="0051490C">
        <w:rPr>
          <w:rFonts w:ascii="Arial" w:hAnsi="Arial" w:cs="Arial"/>
        </w:rPr>
        <w:t>High purchase prices continue to</w:t>
      </w:r>
      <w:r w:rsidR="00D86515" w:rsidRPr="0051490C">
        <w:rPr>
          <w:rFonts w:ascii="Arial" w:hAnsi="Arial" w:cs="Arial"/>
        </w:rPr>
        <w:t xml:space="preserve"> limit accessibility for many consumers. Charging availability varies greatly between regions and the industry remains</w:t>
      </w:r>
      <w:r w:rsidR="00AC10F0" w:rsidRPr="0051490C">
        <w:rPr>
          <w:rFonts w:ascii="Arial" w:hAnsi="Arial" w:cs="Arial"/>
        </w:rPr>
        <w:t xml:space="preserve"> dependent on imported battery materials</w:t>
      </w:r>
      <w:r w:rsidR="001059AD" w:rsidRPr="0051490C">
        <w:rPr>
          <w:rFonts w:ascii="Arial" w:hAnsi="Arial" w:cs="Arial"/>
        </w:rPr>
        <w:t xml:space="preserve"> creating supply vulnerabilities.</w:t>
      </w:r>
    </w:p>
    <w:p w14:paraId="27C6F318" w14:textId="467BE479" w:rsidR="001059AD" w:rsidRPr="0051490C" w:rsidRDefault="001059AD" w:rsidP="0051490C">
      <w:pPr>
        <w:spacing w:line="360" w:lineRule="auto"/>
        <w:jc w:val="both"/>
        <w:rPr>
          <w:rFonts w:ascii="Arial" w:hAnsi="Arial" w:cs="Arial"/>
        </w:rPr>
      </w:pPr>
      <w:r w:rsidRPr="0051490C">
        <w:rPr>
          <w:rFonts w:ascii="Arial" w:hAnsi="Arial" w:cs="Arial"/>
        </w:rPr>
        <w:t>Opportunities:</w:t>
      </w:r>
    </w:p>
    <w:p w14:paraId="77C1A85E" w14:textId="7CD3709D" w:rsidR="001059AD" w:rsidRPr="0051490C" w:rsidRDefault="001059AD" w:rsidP="0051490C">
      <w:pPr>
        <w:spacing w:line="360" w:lineRule="auto"/>
        <w:jc w:val="both"/>
        <w:rPr>
          <w:rFonts w:ascii="Arial" w:hAnsi="Arial" w:cs="Arial"/>
        </w:rPr>
      </w:pPr>
      <w:r w:rsidRPr="0051490C">
        <w:rPr>
          <w:rFonts w:ascii="Arial" w:hAnsi="Arial" w:cs="Arial"/>
        </w:rPr>
        <w:t>growth opportunities include expanding domestic battery production</w:t>
      </w:r>
      <w:r w:rsidR="009B7FE0" w:rsidRPr="0051490C">
        <w:rPr>
          <w:rFonts w:ascii="Arial" w:hAnsi="Arial" w:cs="Arial"/>
        </w:rPr>
        <w:t xml:space="preserve"> and advancing smart charging renewable integration and vehicle to grid technologies. New services such as</w:t>
      </w:r>
      <w:r w:rsidR="00A96294" w:rsidRPr="0051490C">
        <w:rPr>
          <w:rFonts w:ascii="Arial" w:hAnsi="Arial" w:cs="Arial"/>
        </w:rPr>
        <w:t xml:space="preserve"> leasing and mobility solution also offer potential for market expansion.</w:t>
      </w:r>
    </w:p>
    <w:p w14:paraId="2B78CE2E" w14:textId="785DCE50" w:rsidR="009F2062" w:rsidRPr="0051490C" w:rsidRDefault="009F2062" w:rsidP="0051490C">
      <w:pPr>
        <w:spacing w:line="360" w:lineRule="auto"/>
        <w:jc w:val="both"/>
        <w:rPr>
          <w:rFonts w:ascii="Arial" w:hAnsi="Arial" w:cs="Arial"/>
        </w:rPr>
      </w:pPr>
      <w:r w:rsidRPr="0051490C">
        <w:rPr>
          <w:rFonts w:ascii="Arial" w:hAnsi="Arial" w:cs="Arial"/>
        </w:rPr>
        <w:lastRenderedPageBreak/>
        <w:t>Threats:</w:t>
      </w:r>
    </w:p>
    <w:p w14:paraId="1B0F2290" w14:textId="58D37F58" w:rsidR="009F2062" w:rsidRPr="0051490C" w:rsidRDefault="009F2062" w:rsidP="0051490C">
      <w:pPr>
        <w:spacing w:line="360" w:lineRule="auto"/>
        <w:jc w:val="both"/>
        <w:rPr>
          <w:rFonts w:ascii="Arial" w:hAnsi="Arial" w:cs="Arial"/>
        </w:rPr>
      </w:pPr>
      <w:r w:rsidRPr="0051490C">
        <w:rPr>
          <w:rFonts w:ascii="Arial" w:hAnsi="Arial" w:cs="Arial"/>
        </w:rPr>
        <w:t>the industry faces competition from low-cost international EV manufacturers,</w:t>
      </w:r>
      <w:r w:rsidR="00B847B3" w:rsidRPr="0051490C">
        <w:rPr>
          <w:rFonts w:ascii="Arial" w:hAnsi="Arial" w:cs="Arial"/>
        </w:rPr>
        <w:t xml:space="preserve"> alongside risks from supply chain disruptions and material shortages</w:t>
      </w:r>
      <w:r w:rsidR="00A15A35" w:rsidRPr="0051490C">
        <w:rPr>
          <w:rFonts w:ascii="Arial" w:hAnsi="Arial" w:cs="Arial"/>
        </w:rPr>
        <w:t>. Uncertain are changing government policies may also hinder long-term investment and planning.</w:t>
      </w:r>
    </w:p>
    <w:p w14:paraId="36EDC6B0" w14:textId="235BB59E" w:rsidR="00787FA6" w:rsidRPr="0051490C" w:rsidRDefault="00787FA6" w:rsidP="0051490C">
      <w:pPr>
        <w:spacing w:line="360" w:lineRule="auto"/>
        <w:jc w:val="both"/>
        <w:rPr>
          <w:rFonts w:ascii="Arial" w:hAnsi="Arial" w:cs="Arial"/>
          <w:b/>
          <w:bCs/>
        </w:rPr>
      </w:pPr>
      <w:r w:rsidRPr="0051490C">
        <w:rPr>
          <w:rFonts w:ascii="Arial" w:hAnsi="Arial" w:cs="Arial"/>
          <w:b/>
          <w:bCs/>
        </w:rPr>
        <w:t xml:space="preserve">Conclusion, </w:t>
      </w:r>
      <w:r w:rsidR="004C6C92" w:rsidRPr="0051490C">
        <w:rPr>
          <w:rFonts w:ascii="Arial" w:hAnsi="Arial" w:cs="Arial"/>
          <w:b/>
          <w:bCs/>
        </w:rPr>
        <w:t>Limitations and Recommendations:</w:t>
      </w:r>
    </w:p>
    <w:p w14:paraId="25A1E034" w14:textId="2CC0B859" w:rsidR="00806D1F" w:rsidRPr="0051490C" w:rsidRDefault="00243057" w:rsidP="0051490C">
      <w:pPr>
        <w:spacing w:line="360" w:lineRule="auto"/>
        <w:jc w:val="both"/>
        <w:rPr>
          <w:rFonts w:ascii="Arial" w:hAnsi="Arial" w:cs="Arial"/>
        </w:rPr>
      </w:pPr>
      <w:r w:rsidRPr="0051490C">
        <w:rPr>
          <w:rFonts w:ascii="Arial" w:hAnsi="Arial" w:cs="Arial"/>
        </w:rPr>
        <w:t>Conclusion:</w:t>
      </w:r>
    </w:p>
    <w:p w14:paraId="0907BB5C" w14:textId="19B63BA3" w:rsidR="00243057" w:rsidRPr="0051490C" w:rsidRDefault="00243057" w:rsidP="0051490C">
      <w:pPr>
        <w:spacing w:line="360" w:lineRule="auto"/>
        <w:jc w:val="both"/>
        <w:rPr>
          <w:rFonts w:ascii="Arial" w:hAnsi="Arial" w:cs="Arial"/>
        </w:rPr>
      </w:pPr>
      <w:r w:rsidRPr="0051490C">
        <w:rPr>
          <w:rFonts w:ascii="Arial" w:hAnsi="Arial" w:cs="Arial"/>
        </w:rPr>
        <w:t>The UK electric vehicle industry shaped by a wide range of external influences,</w:t>
      </w:r>
      <w:r w:rsidR="007C02B1" w:rsidRPr="0051490C">
        <w:rPr>
          <w:rFonts w:ascii="Arial" w:hAnsi="Arial" w:cs="Arial"/>
        </w:rPr>
        <w:t xml:space="preserve"> including policy directions economic conditions, technological process and changing social attitudes</w:t>
      </w:r>
      <w:r w:rsidR="00BC511E" w:rsidRPr="0051490C">
        <w:rPr>
          <w:rFonts w:ascii="Arial" w:hAnsi="Arial" w:cs="Arial"/>
        </w:rPr>
        <w:t xml:space="preserve">. The </w:t>
      </w:r>
      <w:r w:rsidR="00912A44" w:rsidRPr="0051490C">
        <w:rPr>
          <w:rFonts w:ascii="Arial" w:hAnsi="Arial" w:cs="Arial"/>
        </w:rPr>
        <w:t xml:space="preserve">PESTLE </w:t>
      </w:r>
      <w:r w:rsidR="00BC511E" w:rsidRPr="0051490C">
        <w:rPr>
          <w:rFonts w:ascii="Arial" w:hAnsi="Arial" w:cs="Arial"/>
        </w:rPr>
        <w:t>analysis</w:t>
      </w:r>
      <w:r w:rsidR="00912A44" w:rsidRPr="0051490C">
        <w:rPr>
          <w:rFonts w:ascii="Arial" w:hAnsi="Arial" w:cs="Arial"/>
        </w:rPr>
        <w:t xml:space="preserve"> shows that government support and innovation are driving growth, while the high cost, uneven infrastructure</w:t>
      </w:r>
      <w:r w:rsidR="00D75A50" w:rsidRPr="0051490C">
        <w:rPr>
          <w:rFonts w:ascii="Arial" w:hAnsi="Arial" w:cs="Arial"/>
        </w:rPr>
        <w:t>, supply chain issues and policy uncertainty remains significant barriers. The SWOT findings</w:t>
      </w:r>
      <w:r w:rsidR="00AE2FE1" w:rsidRPr="0051490C">
        <w:rPr>
          <w:rFonts w:ascii="Arial" w:hAnsi="Arial" w:cs="Arial"/>
        </w:rPr>
        <w:t xml:space="preserve"> further highlight that sector is strong potential but faces increasing global competition and material shortages overall the industry is moving forward,</w:t>
      </w:r>
      <w:r w:rsidR="00C56C37" w:rsidRPr="0051490C">
        <w:rPr>
          <w:rFonts w:ascii="Arial" w:hAnsi="Arial" w:cs="Arial"/>
        </w:rPr>
        <w:t xml:space="preserve"> but continued progress depends on</w:t>
      </w:r>
      <w:r w:rsidR="00327718" w:rsidRPr="0051490C">
        <w:rPr>
          <w:rFonts w:ascii="Arial" w:hAnsi="Arial" w:cs="Arial"/>
        </w:rPr>
        <w:t xml:space="preserve"> stable policies improved infrastructure and stronger domestic capabilities.</w:t>
      </w:r>
    </w:p>
    <w:p w14:paraId="2B51F49C" w14:textId="6F21F81B" w:rsidR="00327718" w:rsidRPr="0051490C" w:rsidRDefault="003D5776" w:rsidP="0051490C">
      <w:pPr>
        <w:spacing w:line="360" w:lineRule="auto"/>
        <w:jc w:val="both"/>
        <w:rPr>
          <w:rFonts w:ascii="Arial" w:hAnsi="Arial" w:cs="Arial"/>
        </w:rPr>
      </w:pPr>
      <w:r w:rsidRPr="0051490C">
        <w:rPr>
          <w:rFonts w:ascii="Arial" w:hAnsi="Arial" w:cs="Arial"/>
        </w:rPr>
        <w:t>Limitations:</w:t>
      </w:r>
    </w:p>
    <w:p w14:paraId="52C23BC1" w14:textId="2CDA17F5" w:rsidR="003D5776" w:rsidRPr="0051490C" w:rsidRDefault="003D5776" w:rsidP="0051490C">
      <w:pPr>
        <w:spacing w:line="360" w:lineRule="auto"/>
        <w:jc w:val="both"/>
        <w:rPr>
          <w:rFonts w:ascii="Arial" w:hAnsi="Arial" w:cs="Arial"/>
        </w:rPr>
      </w:pPr>
      <w:r w:rsidRPr="0051490C">
        <w:rPr>
          <w:rFonts w:ascii="Arial" w:hAnsi="Arial" w:cs="Arial"/>
        </w:rPr>
        <w:t>This analysis is limited by rapidly changing industry developments</w:t>
      </w:r>
      <w:r w:rsidR="00FB106F" w:rsidRPr="0051490C">
        <w:rPr>
          <w:rFonts w:ascii="Arial" w:hAnsi="Arial" w:cs="Arial"/>
        </w:rPr>
        <w:t>, the data availability on charging networks and supply chains, and the focus on external factors</w:t>
      </w:r>
      <w:r w:rsidR="00AC6D6B" w:rsidRPr="0051490C">
        <w:rPr>
          <w:rFonts w:ascii="Arial" w:hAnsi="Arial" w:cs="Arial"/>
        </w:rPr>
        <w:t xml:space="preserve"> rather than internal organisational strategies. Global influences also</w:t>
      </w:r>
      <w:r w:rsidR="000E5D64" w:rsidRPr="0051490C">
        <w:rPr>
          <w:rFonts w:ascii="Arial" w:hAnsi="Arial" w:cs="Arial"/>
        </w:rPr>
        <w:t xml:space="preserve"> add complexity that cannot be fully captured within the UK only assessment.</w:t>
      </w:r>
    </w:p>
    <w:p w14:paraId="35A18F0B" w14:textId="2894FA7A" w:rsidR="000E5D64" w:rsidRPr="0051490C" w:rsidRDefault="000E5D64" w:rsidP="0051490C">
      <w:pPr>
        <w:spacing w:line="360" w:lineRule="auto"/>
        <w:jc w:val="both"/>
        <w:rPr>
          <w:rFonts w:ascii="Arial" w:hAnsi="Arial" w:cs="Arial"/>
        </w:rPr>
      </w:pPr>
      <w:r w:rsidRPr="0051490C">
        <w:rPr>
          <w:rFonts w:ascii="Arial" w:hAnsi="Arial" w:cs="Arial"/>
        </w:rPr>
        <w:t>Recommendations:</w:t>
      </w:r>
    </w:p>
    <w:p w14:paraId="628D791C" w14:textId="77777777" w:rsidR="00591E97" w:rsidRPr="0051490C" w:rsidRDefault="00D2525D" w:rsidP="0051490C">
      <w:pPr>
        <w:spacing w:line="360" w:lineRule="auto"/>
        <w:jc w:val="both"/>
        <w:rPr>
          <w:rFonts w:ascii="Arial" w:hAnsi="Arial" w:cs="Arial"/>
        </w:rPr>
      </w:pPr>
      <w:r w:rsidRPr="0051490C">
        <w:rPr>
          <w:rFonts w:ascii="Arial" w:hAnsi="Arial" w:cs="Arial"/>
        </w:rPr>
        <w:t xml:space="preserve">Maintain clear, consistent government policy to support long-term investment. </w:t>
      </w:r>
      <w:r w:rsidR="009C365E" w:rsidRPr="0051490C">
        <w:rPr>
          <w:rFonts w:ascii="Arial" w:hAnsi="Arial" w:cs="Arial"/>
        </w:rPr>
        <w:t>Improve charging infrastructure especially in rural areas, strengthen domestic battery production</w:t>
      </w:r>
      <w:r w:rsidR="00676990" w:rsidRPr="0051490C">
        <w:rPr>
          <w:rFonts w:ascii="Arial" w:hAnsi="Arial" w:cs="Arial"/>
        </w:rPr>
        <w:t xml:space="preserve"> and recycling to reduce import reliance. Support further innovation in batteries smart charging and digital mobility. Increase public </w:t>
      </w:r>
      <w:r w:rsidR="00DA4E00" w:rsidRPr="0051490C">
        <w:rPr>
          <w:rFonts w:ascii="Arial" w:hAnsi="Arial" w:cs="Arial"/>
        </w:rPr>
        <w:t>awareness to build consumer confidence.</w:t>
      </w:r>
    </w:p>
    <w:p w14:paraId="66F54B58" w14:textId="77777777" w:rsidR="00B84B4D" w:rsidRDefault="00B84B4D" w:rsidP="001F21AC">
      <w:pPr>
        <w:spacing w:line="360" w:lineRule="auto"/>
        <w:jc w:val="both"/>
        <w:rPr>
          <w:rFonts w:ascii="Arial" w:eastAsia="Times New Roman" w:hAnsi="Arial" w:cs="Arial"/>
          <w:kern w:val="0"/>
          <w:lang w:eastAsia="en-GB"/>
        </w:rPr>
      </w:pPr>
    </w:p>
    <w:p w14:paraId="355B39F5" w14:textId="77777777" w:rsidR="00B84B4D" w:rsidRDefault="00B84B4D" w:rsidP="001F21AC">
      <w:pPr>
        <w:spacing w:line="360" w:lineRule="auto"/>
        <w:jc w:val="both"/>
        <w:rPr>
          <w:rFonts w:ascii="Arial" w:eastAsia="Times New Roman" w:hAnsi="Arial" w:cs="Arial"/>
          <w:kern w:val="0"/>
          <w:lang w:eastAsia="en-GB"/>
        </w:rPr>
      </w:pPr>
    </w:p>
    <w:p w14:paraId="1BB9475A" w14:textId="77777777" w:rsidR="00B84B4D" w:rsidRDefault="00B84B4D" w:rsidP="001F21AC">
      <w:pPr>
        <w:spacing w:line="360" w:lineRule="auto"/>
        <w:jc w:val="both"/>
        <w:rPr>
          <w:rFonts w:ascii="Arial" w:eastAsia="Times New Roman" w:hAnsi="Arial" w:cs="Arial"/>
          <w:kern w:val="0"/>
          <w:lang w:eastAsia="en-GB"/>
        </w:rPr>
      </w:pPr>
    </w:p>
    <w:p w14:paraId="5E6F4F16" w14:textId="77777777" w:rsidR="00B84B4D" w:rsidRDefault="00B84B4D" w:rsidP="001F21AC">
      <w:pPr>
        <w:spacing w:line="360" w:lineRule="auto"/>
        <w:jc w:val="both"/>
        <w:rPr>
          <w:rFonts w:ascii="Arial" w:eastAsia="Times New Roman" w:hAnsi="Arial" w:cs="Arial"/>
          <w:kern w:val="0"/>
          <w:lang w:eastAsia="en-GB"/>
        </w:rPr>
      </w:pPr>
    </w:p>
    <w:p w14:paraId="2467D7CE" w14:textId="2DF300B8" w:rsidR="00EA34A8" w:rsidRPr="00591E97" w:rsidRDefault="00EA34A8" w:rsidP="001F21AC">
      <w:pPr>
        <w:spacing w:line="360" w:lineRule="auto"/>
        <w:jc w:val="both"/>
        <w:rPr>
          <w:rFonts w:ascii="Arial" w:hAnsi="Arial" w:cs="Arial"/>
        </w:rPr>
      </w:pPr>
      <w:r w:rsidRPr="001F21AC">
        <w:rPr>
          <w:rFonts w:ascii="Arial" w:eastAsia="Times New Roman" w:hAnsi="Arial" w:cs="Arial"/>
          <w:kern w:val="0"/>
          <w:lang w:eastAsia="en-GB"/>
        </w:rPr>
        <w:lastRenderedPageBreak/>
        <w:t>References:</w:t>
      </w:r>
    </w:p>
    <w:p w14:paraId="1D20221A" w14:textId="77777777" w:rsidR="00EA34A8" w:rsidRPr="001F21AC" w:rsidRDefault="00EA34A8"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Anastasiadou, K. and </w:t>
      </w:r>
      <w:proofErr w:type="spellStart"/>
      <w:r w:rsidRPr="001F21AC">
        <w:rPr>
          <w:rFonts w:ascii="Arial" w:eastAsia="Times New Roman" w:hAnsi="Arial" w:cs="Arial"/>
          <w:kern w:val="0"/>
          <w:lang w:eastAsia="en-GB"/>
        </w:rPr>
        <w:t>Gavanas</w:t>
      </w:r>
      <w:proofErr w:type="spellEnd"/>
      <w:r w:rsidRPr="001F21AC">
        <w:rPr>
          <w:rFonts w:ascii="Arial" w:eastAsia="Times New Roman" w:hAnsi="Arial" w:cs="Arial"/>
          <w:kern w:val="0"/>
          <w:lang w:eastAsia="en-GB"/>
        </w:rPr>
        <w:t>, N., 2022. State-of-the-art review of the key factors affecting electric vehicle adoption by consumers. Energies, 15(24), p.9409.</w:t>
      </w:r>
    </w:p>
    <w:p w14:paraId="6A5D8D75" w14:textId="5E437F69" w:rsidR="00EA34A8" w:rsidRPr="001F21AC" w:rsidRDefault="00EA34A8"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11" w:history="1">
        <w:r w:rsidRPr="001F21AC">
          <w:rPr>
            <w:rStyle w:val="Hyperlink"/>
            <w:rFonts w:ascii="Arial" w:eastAsia="Times New Roman" w:hAnsi="Arial" w:cs="Arial"/>
            <w:kern w:val="0"/>
            <w:lang w:eastAsia="en-GB"/>
          </w:rPr>
          <w:t>https://www.mdpi.com/1996-1073/15/24/9409</w:t>
        </w:r>
      </w:hyperlink>
    </w:p>
    <w:p w14:paraId="76068FD4" w14:textId="77777777" w:rsidR="00F91EAF" w:rsidRPr="001F21AC" w:rsidRDefault="00F91EAF" w:rsidP="001F21AC">
      <w:pPr>
        <w:spacing w:line="360" w:lineRule="auto"/>
        <w:jc w:val="both"/>
        <w:rPr>
          <w:rFonts w:ascii="Arial" w:eastAsia="Times New Roman" w:hAnsi="Arial" w:cs="Arial"/>
          <w:kern w:val="0"/>
          <w:lang w:eastAsia="en-GB"/>
        </w:rPr>
      </w:pPr>
    </w:p>
    <w:p w14:paraId="577204F8" w14:textId="4DC1A825" w:rsidR="00F91EAF" w:rsidRPr="001F21AC" w:rsidRDefault="00F91EAF"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Bathla, D., Awasthi, S. and Ahuja, R., 2022. PESTEL Analysis of the Automotive Industry. In </w:t>
      </w:r>
      <w:r w:rsidRPr="001F21AC">
        <w:rPr>
          <w:rFonts w:ascii="Arial" w:eastAsia="Times New Roman" w:hAnsi="Arial" w:cs="Arial"/>
          <w:i/>
          <w:iCs/>
          <w:kern w:val="0"/>
          <w:lang w:eastAsia="en-GB"/>
        </w:rPr>
        <w:t xml:space="preserve">Applying </w:t>
      </w:r>
      <w:proofErr w:type="spellStart"/>
      <w:r w:rsidRPr="001F21AC">
        <w:rPr>
          <w:rFonts w:ascii="Arial" w:eastAsia="Times New Roman" w:hAnsi="Arial" w:cs="Arial"/>
          <w:i/>
          <w:iCs/>
          <w:kern w:val="0"/>
          <w:lang w:eastAsia="en-GB"/>
        </w:rPr>
        <w:t>Metalytics</w:t>
      </w:r>
      <w:proofErr w:type="spellEnd"/>
      <w:r w:rsidRPr="001F21AC">
        <w:rPr>
          <w:rFonts w:ascii="Arial" w:eastAsia="Times New Roman" w:hAnsi="Arial" w:cs="Arial"/>
          <w:i/>
          <w:iCs/>
          <w:kern w:val="0"/>
          <w:lang w:eastAsia="en-GB"/>
        </w:rPr>
        <w:t xml:space="preserve"> to Measure Customer Experience in the Metaverse</w:t>
      </w:r>
      <w:r w:rsidRPr="001F21AC">
        <w:rPr>
          <w:rFonts w:ascii="Arial" w:eastAsia="Times New Roman" w:hAnsi="Arial" w:cs="Arial"/>
          <w:kern w:val="0"/>
          <w:lang w:eastAsia="en-GB"/>
        </w:rPr>
        <w:t> (pp. 143-160). IGI Global Scientific Publishing.</w:t>
      </w:r>
    </w:p>
    <w:p w14:paraId="50349A71" w14:textId="77777777" w:rsidR="000A3EC7" w:rsidRPr="001F21AC" w:rsidRDefault="00F91EAF"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p>
    <w:p w14:paraId="545E41EF" w14:textId="2D5DA37F" w:rsidR="00F91EAF" w:rsidRDefault="000A3EC7" w:rsidP="001F21AC">
      <w:pPr>
        <w:spacing w:line="360" w:lineRule="auto"/>
        <w:jc w:val="both"/>
        <w:rPr>
          <w:rFonts w:ascii="Arial" w:eastAsia="Times New Roman" w:hAnsi="Arial" w:cs="Arial"/>
          <w:kern w:val="0"/>
          <w:lang w:eastAsia="en-GB"/>
        </w:rPr>
      </w:pPr>
      <w:hyperlink r:id="rId12" w:history="1">
        <w:r w:rsidRPr="001F21AC">
          <w:rPr>
            <w:rStyle w:val="Hyperlink"/>
            <w:rFonts w:ascii="Arial" w:eastAsia="Times New Roman" w:hAnsi="Arial" w:cs="Arial"/>
            <w:kern w:val="0"/>
            <w:lang w:eastAsia="en-GB"/>
          </w:rPr>
          <w:t>https://www.researchgate.net/profile/Rohit-Markan/publication/362591143_Factors_Influencing_Imbursements_Study_on_Payment_Preference_Among_Cash_MW_and_NFC/links/668777372aa57f3b826edc56/Factors-Influencing-Imbursements-Study-on-Payment-Preference-Among-Cash-MW-and-NFC.pdf#page=164</w:t>
        </w:r>
      </w:hyperlink>
    </w:p>
    <w:p w14:paraId="59881522" w14:textId="77777777" w:rsidR="00E6759B" w:rsidRDefault="00E6759B" w:rsidP="001F21AC">
      <w:pPr>
        <w:spacing w:line="360" w:lineRule="auto"/>
        <w:jc w:val="both"/>
        <w:rPr>
          <w:rFonts w:ascii="Arial" w:eastAsia="Times New Roman" w:hAnsi="Arial" w:cs="Arial"/>
          <w:kern w:val="0"/>
          <w:lang w:eastAsia="en-GB"/>
        </w:rPr>
      </w:pPr>
    </w:p>
    <w:p w14:paraId="0BBB8F7F" w14:textId="73E1D8AE" w:rsidR="00E6759B" w:rsidRDefault="00E6759B" w:rsidP="001F21AC">
      <w:pPr>
        <w:spacing w:line="360" w:lineRule="auto"/>
        <w:jc w:val="both"/>
        <w:rPr>
          <w:rFonts w:ascii="Arial" w:eastAsia="Times New Roman" w:hAnsi="Arial" w:cs="Arial"/>
          <w:kern w:val="0"/>
          <w:lang w:eastAsia="en-GB"/>
        </w:rPr>
      </w:pPr>
      <w:r w:rsidRPr="00E6759B">
        <w:rPr>
          <w:rFonts w:ascii="Arial" w:eastAsia="Times New Roman" w:hAnsi="Arial" w:cs="Arial"/>
          <w:kern w:val="0"/>
          <w:lang w:eastAsia="en-GB"/>
        </w:rPr>
        <w:t>Chamberlain, K. and Al Majeed, S., 2021. Evaluating the barrier effects of charge point trauma on UK electric vehicle growth. </w:t>
      </w:r>
      <w:r w:rsidRPr="00E6759B">
        <w:rPr>
          <w:rFonts w:ascii="Arial" w:eastAsia="Times New Roman" w:hAnsi="Arial" w:cs="Arial"/>
          <w:i/>
          <w:iCs/>
          <w:kern w:val="0"/>
          <w:lang w:eastAsia="en-GB"/>
        </w:rPr>
        <w:t>World Electric Vehicle Journal</w:t>
      </w:r>
      <w:r w:rsidRPr="00E6759B">
        <w:rPr>
          <w:rFonts w:ascii="Arial" w:eastAsia="Times New Roman" w:hAnsi="Arial" w:cs="Arial"/>
          <w:kern w:val="0"/>
          <w:lang w:eastAsia="en-GB"/>
        </w:rPr>
        <w:t>, </w:t>
      </w:r>
      <w:r w:rsidRPr="00E6759B">
        <w:rPr>
          <w:rFonts w:ascii="Arial" w:eastAsia="Times New Roman" w:hAnsi="Arial" w:cs="Arial"/>
          <w:i/>
          <w:iCs/>
          <w:kern w:val="0"/>
          <w:lang w:eastAsia="en-GB"/>
        </w:rPr>
        <w:t>12</w:t>
      </w:r>
      <w:r w:rsidRPr="00E6759B">
        <w:rPr>
          <w:rFonts w:ascii="Arial" w:eastAsia="Times New Roman" w:hAnsi="Arial" w:cs="Arial"/>
          <w:kern w:val="0"/>
          <w:lang w:eastAsia="en-GB"/>
        </w:rPr>
        <w:t>(3), p.152.</w:t>
      </w:r>
    </w:p>
    <w:p w14:paraId="2F41B7E9" w14:textId="049E2A2A" w:rsidR="00E6759B" w:rsidRDefault="00E6759B" w:rsidP="001F21AC">
      <w:pPr>
        <w:spacing w:line="360" w:lineRule="auto"/>
        <w:jc w:val="both"/>
        <w:rPr>
          <w:rFonts w:ascii="Arial" w:eastAsia="Times New Roman" w:hAnsi="Arial" w:cs="Arial"/>
          <w:kern w:val="0"/>
          <w:lang w:eastAsia="en-GB"/>
        </w:rPr>
      </w:pPr>
      <w:r>
        <w:rPr>
          <w:rFonts w:ascii="Arial" w:eastAsia="Times New Roman" w:hAnsi="Arial" w:cs="Arial"/>
          <w:kern w:val="0"/>
          <w:lang w:eastAsia="en-GB"/>
        </w:rPr>
        <w:t>Available at:</w:t>
      </w:r>
      <w:r w:rsidR="00414428">
        <w:rPr>
          <w:rFonts w:ascii="Arial" w:eastAsia="Times New Roman" w:hAnsi="Arial" w:cs="Arial"/>
          <w:kern w:val="0"/>
          <w:lang w:eastAsia="en-GB"/>
        </w:rPr>
        <w:t xml:space="preserve"> </w:t>
      </w:r>
      <w:hyperlink r:id="rId13" w:history="1">
        <w:r w:rsidR="00414428" w:rsidRPr="00564E00">
          <w:rPr>
            <w:rStyle w:val="Hyperlink"/>
            <w:rFonts w:ascii="Arial" w:eastAsia="Times New Roman" w:hAnsi="Arial" w:cs="Arial"/>
            <w:kern w:val="0"/>
            <w:lang w:eastAsia="en-GB"/>
          </w:rPr>
          <w:t>https://www.mdpi.com/2032-6653/12/3/152/pdf</w:t>
        </w:r>
      </w:hyperlink>
    </w:p>
    <w:p w14:paraId="3FF55975" w14:textId="77777777" w:rsidR="00775A3B" w:rsidRDefault="00775A3B" w:rsidP="001F21AC">
      <w:pPr>
        <w:spacing w:line="360" w:lineRule="auto"/>
        <w:jc w:val="both"/>
        <w:rPr>
          <w:rFonts w:ascii="Arial" w:eastAsia="Times New Roman" w:hAnsi="Arial" w:cs="Arial"/>
          <w:kern w:val="0"/>
          <w:lang w:eastAsia="en-GB"/>
        </w:rPr>
      </w:pPr>
    </w:p>
    <w:p w14:paraId="2307CBA9" w14:textId="77777777" w:rsidR="00775A3B" w:rsidRPr="001F21AC" w:rsidRDefault="00775A3B" w:rsidP="00775A3B">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Debnath, R., Bardhan, R., Reiner, D.M. and Miller, J.R., 2021. Political, economic, social, technological, legal and environmental dimensions of electric vehicle adoption in the United States: A social-media interaction analysis. </w:t>
      </w:r>
      <w:r w:rsidRPr="001F21AC">
        <w:rPr>
          <w:rFonts w:ascii="Arial" w:eastAsia="Times New Roman" w:hAnsi="Arial" w:cs="Arial"/>
          <w:i/>
          <w:iCs/>
          <w:kern w:val="0"/>
          <w:lang w:eastAsia="en-GB"/>
        </w:rPr>
        <w:t>Renewable and Sustainable Energy Reviews</w:t>
      </w:r>
      <w:r w:rsidRPr="001F21AC">
        <w:rPr>
          <w:rFonts w:ascii="Arial" w:eastAsia="Times New Roman" w:hAnsi="Arial" w:cs="Arial"/>
          <w:kern w:val="0"/>
          <w:lang w:eastAsia="en-GB"/>
        </w:rPr>
        <w:t>, </w:t>
      </w:r>
      <w:r w:rsidRPr="001F21AC">
        <w:rPr>
          <w:rFonts w:ascii="Arial" w:eastAsia="Times New Roman" w:hAnsi="Arial" w:cs="Arial"/>
          <w:i/>
          <w:iCs/>
          <w:kern w:val="0"/>
          <w:lang w:eastAsia="en-GB"/>
        </w:rPr>
        <w:t>152</w:t>
      </w:r>
      <w:r w:rsidRPr="001F21AC">
        <w:rPr>
          <w:rFonts w:ascii="Arial" w:eastAsia="Times New Roman" w:hAnsi="Arial" w:cs="Arial"/>
          <w:kern w:val="0"/>
          <w:lang w:eastAsia="en-GB"/>
        </w:rPr>
        <w:t>, p.11170</w:t>
      </w:r>
    </w:p>
    <w:p w14:paraId="7D1CE3B0" w14:textId="77777777" w:rsidR="00775A3B" w:rsidRDefault="00775A3B" w:rsidP="00775A3B">
      <w:pPr>
        <w:spacing w:line="360" w:lineRule="auto"/>
        <w:jc w:val="both"/>
        <w:rPr>
          <w:rFonts w:ascii="Arial" w:eastAsia="Times New Roman" w:hAnsi="Arial" w:cs="Arial"/>
          <w:kern w:val="0"/>
          <w:lang w:eastAsia="en-GB"/>
        </w:rPr>
      </w:pPr>
      <w:proofErr w:type="spellStart"/>
      <w:r w:rsidRPr="001F21AC">
        <w:rPr>
          <w:rFonts w:ascii="Arial" w:eastAsia="Times New Roman" w:hAnsi="Arial" w:cs="Arial"/>
          <w:kern w:val="0"/>
          <w:lang w:eastAsia="en-GB"/>
        </w:rPr>
        <w:t>Availableat</w:t>
      </w:r>
      <w:proofErr w:type="spellEnd"/>
      <w:r w:rsidRPr="001F21AC">
        <w:rPr>
          <w:rFonts w:ascii="Arial" w:eastAsia="Times New Roman" w:hAnsi="Arial" w:cs="Arial"/>
          <w:kern w:val="0"/>
          <w:lang w:eastAsia="en-GB"/>
        </w:rPr>
        <w:t xml:space="preserve"> </w:t>
      </w:r>
      <w:hyperlink r:id="rId14" w:history="1">
        <w:r w:rsidRPr="001F21AC">
          <w:rPr>
            <w:rStyle w:val="Hyperlink"/>
            <w:rFonts w:ascii="Arial" w:eastAsia="Times New Roman" w:hAnsi="Arial" w:cs="Arial"/>
            <w:kern w:val="0"/>
            <w:lang w:eastAsia="en-GB"/>
          </w:rPr>
          <w:t>https://www.sciencedirect.com/science/article/pii/S1364032121009813?casa_token=GMHt-656GokAAAAA:NfZUnRBJMNKG_cVlZBwFYxwpY-EoD4Yto9KzNLri2YMqvEJvTjwmUc9doLn6Te-qniyi7JsXsJw</w:t>
        </w:r>
      </w:hyperlink>
    </w:p>
    <w:p w14:paraId="35AC034F" w14:textId="77777777" w:rsidR="00775A3B" w:rsidRPr="001F21AC" w:rsidRDefault="00775A3B" w:rsidP="001F21AC">
      <w:pPr>
        <w:spacing w:line="360" w:lineRule="auto"/>
        <w:jc w:val="both"/>
        <w:rPr>
          <w:rFonts w:ascii="Arial" w:eastAsia="Times New Roman" w:hAnsi="Arial" w:cs="Arial"/>
          <w:kern w:val="0"/>
          <w:lang w:eastAsia="en-GB"/>
        </w:rPr>
      </w:pPr>
    </w:p>
    <w:p w14:paraId="794B5245" w14:textId="77777777" w:rsidR="00EA34A8" w:rsidRPr="001F21AC" w:rsidRDefault="00EA34A8"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lastRenderedPageBreak/>
        <w:t xml:space="preserve">Gnanavendan, S., Selvaraj, S.K., Dev, S.J., Mahato, K.K., </w:t>
      </w:r>
      <w:proofErr w:type="spellStart"/>
      <w:r w:rsidRPr="001F21AC">
        <w:rPr>
          <w:rFonts w:ascii="Arial" w:eastAsia="Times New Roman" w:hAnsi="Arial" w:cs="Arial"/>
          <w:kern w:val="0"/>
          <w:lang w:eastAsia="en-GB"/>
        </w:rPr>
        <w:t>Swathish</w:t>
      </w:r>
      <w:proofErr w:type="spellEnd"/>
      <w:r w:rsidRPr="001F21AC">
        <w:rPr>
          <w:rFonts w:ascii="Arial" w:eastAsia="Times New Roman" w:hAnsi="Arial" w:cs="Arial"/>
          <w:kern w:val="0"/>
          <w:lang w:eastAsia="en-GB"/>
        </w:rPr>
        <w:t xml:space="preserve">, R.S., </w:t>
      </w:r>
      <w:proofErr w:type="spellStart"/>
      <w:r w:rsidRPr="001F21AC">
        <w:rPr>
          <w:rFonts w:ascii="Arial" w:eastAsia="Times New Roman" w:hAnsi="Arial" w:cs="Arial"/>
          <w:kern w:val="0"/>
          <w:lang w:eastAsia="en-GB"/>
        </w:rPr>
        <w:t>Sundaramali</w:t>
      </w:r>
      <w:proofErr w:type="spellEnd"/>
      <w:r w:rsidRPr="001F21AC">
        <w:rPr>
          <w:rFonts w:ascii="Arial" w:eastAsia="Times New Roman" w:hAnsi="Arial" w:cs="Arial"/>
          <w:kern w:val="0"/>
          <w:lang w:eastAsia="en-GB"/>
        </w:rPr>
        <w:t>, G., Accouche, O. and Azab, M., 2024. Challenges, solutions and future trends in EV-technology: A review. </w:t>
      </w:r>
      <w:proofErr w:type="spellStart"/>
      <w:r w:rsidRPr="001F21AC">
        <w:rPr>
          <w:rFonts w:ascii="Arial" w:eastAsia="Times New Roman" w:hAnsi="Arial" w:cs="Arial"/>
          <w:kern w:val="0"/>
          <w:lang w:eastAsia="en-GB"/>
        </w:rPr>
        <w:t>IEEe</w:t>
      </w:r>
      <w:proofErr w:type="spellEnd"/>
      <w:r w:rsidRPr="001F21AC">
        <w:rPr>
          <w:rFonts w:ascii="Arial" w:eastAsia="Times New Roman" w:hAnsi="Arial" w:cs="Arial"/>
          <w:kern w:val="0"/>
          <w:lang w:eastAsia="en-GB"/>
        </w:rPr>
        <w:t xml:space="preserve"> Access, 12, pp.17242-17260.</w:t>
      </w:r>
    </w:p>
    <w:p w14:paraId="0E984F91" w14:textId="77777777" w:rsidR="004554A3" w:rsidRDefault="00EA34A8"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15" w:history="1">
        <w:r w:rsidR="00854BF5" w:rsidRPr="001F21AC">
          <w:rPr>
            <w:rStyle w:val="Hyperlink"/>
            <w:rFonts w:ascii="Arial" w:eastAsia="Times New Roman" w:hAnsi="Arial" w:cs="Arial"/>
            <w:kern w:val="0"/>
            <w:lang w:eastAsia="en-GB"/>
          </w:rPr>
          <w:t>https://ieeexplore.ieee.org/iel7/6287639/6514899/10398193.pdf</w:t>
        </w:r>
      </w:hyperlink>
    </w:p>
    <w:p w14:paraId="38C79F5E" w14:textId="77777777" w:rsidR="003D392D" w:rsidRDefault="003D392D" w:rsidP="004554A3">
      <w:pPr>
        <w:spacing w:line="360" w:lineRule="auto"/>
        <w:jc w:val="both"/>
        <w:rPr>
          <w:rFonts w:ascii="Arial" w:eastAsia="Times New Roman" w:hAnsi="Arial" w:cs="Arial"/>
          <w:kern w:val="0"/>
          <w:lang w:eastAsia="en-GB"/>
        </w:rPr>
      </w:pPr>
    </w:p>
    <w:p w14:paraId="36B3771F" w14:textId="31EDE5DE" w:rsidR="004554A3" w:rsidRPr="001F21AC"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Hill, G., Heidrich, O., </w:t>
      </w:r>
      <w:proofErr w:type="spellStart"/>
      <w:r w:rsidRPr="001F21AC">
        <w:rPr>
          <w:rFonts w:ascii="Arial" w:eastAsia="Times New Roman" w:hAnsi="Arial" w:cs="Arial"/>
          <w:kern w:val="0"/>
          <w:lang w:eastAsia="en-GB"/>
        </w:rPr>
        <w:t>Creutzig</w:t>
      </w:r>
      <w:proofErr w:type="spellEnd"/>
      <w:r w:rsidRPr="001F21AC">
        <w:rPr>
          <w:rFonts w:ascii="Arial" w:eastAsia="Times New Roman" w:hAnsi="Arial" w:cs="Arial"/>
          <w:kern w:val="0"/>
          <w:lang w:eastAsia="en-GB"/>
        </w:rPr>
        <w:t>, F. and Blythe, P., 2019. The role of electric vehicles in near-term mitigation pathways and achieving the UK’s carbon budget. Applied Energy, 251, p.113111.</w:t>
      </w:r>
    </w:p>
    <w:p w14:paraId="1DEDB455" w14:textId="77777777" w:rsidR="004554A3"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16" w:history="1">
        <w:r w:rsidRPr="001F21AC">
          <w:rPr>
            <w:rStyle w:val="Hyperlink"/>
            <w:rFonts w:ascii="Arial" w:eastAsia="Times New Roman" w:hAnsi="Arial" w:cs="Arial"/>
            <w:kern w:val="0"/>
            <w:lang w:eastAsia="en-GB"/>
          </w:rPr>
          <w:t>https://www.sciencedirect.com/science/article/pii/S0306261919307834</w:t>
        </w:r>
      </w:hyperlink>
    </w:p>
    <w:p w14:paraId="02BE0F53" w14:textId="77777777" w:rsidR="00954F17" w:rsidRDefault="00954F17" w:rsidP="004554A3">
      <w:pPr>
        <w:spacing w:line="360" w:lineRule="auto"/>
        <w:jc w:val="both"/>
        <w:rPr>
          <w:rFonts w:ascii="Arial" w:eastAsia="Times New Roman" w:hAnsi="Arial" w:cs="Arial"/>
          <w:kern w:val="0"/>
          <w:lang w:eastAsia="en-GB"/>
        </w:rPr>
      </w:pPr>
    </w:p>
    <w:p w14:paraId="54BA7335" w14:textId="7B461E73" w:rsidR="00954F17" w:rsidRDefault="00954F17" w:rsidP="004554A3">
      <w:pPr>
        <w:spacing w:line="360" w:lineRule="auto"/>
        <w:jc w:val="both"/>
        <w:rPr>
          <w:rFonts w:ascii="Arial" w:eastAsia="Times New Roman" w:hAnsi="Arial" w:cs="Arial"/>
          <w:kern w:val="0"/>
          <w:lang w:eastAsia="en-GB"/>
        </w:rPr>
      </w:pPr>
      <w:r w:rsidRPr="00954F17">
        <w:rPr>
          <w:rFonts w:ascii="Arial" w:eastAsia="Times New Roman" w:hAnsi="Arial" w:cs="Arial"/>
          <w:kern w:val="0"/>
          <w:lang w:eastAsia="en-GB"/>
        </w:rPr>
        <w:t xml:space="preserve">Kostenko, G.P., </w:t>
      </w:r>
      <w:proofErr w:type="spellStart"/>
      <w:r w:rsidRPr="00954F17">
        <w:rPr>
          <w:rFonts w:ascii="Arial" w:eastAsia="Times New Roman" w:hAnsi="Arial" w:cs="Arial"/>
          <w:kern w:val="0"/>
          <w:lang w:eastAsia="en-GB"/>
        </w:rPr>
        <w:t>Zgurovets</w:t>
      </w:r>
      <w:proofErr w:type="spellEnd"/>
      <w:r w:rsidRPr="00954F17">
        <w:rPr>
          <w:rFonts w:ascii="Arial" w:eastAsia="Times New Roman" w:hAnsi="Arial" w:cs="Arial"/>
          <w:kern w:val="0"/>
          <w:lang w:eastAsia="en-GB"/>
        </w:rPr>
        <w:t>, O.V. and Tovstenko, M.M., 2023, October. SWOT analysis of electric transport and V2G implementation for power system sustainable development in the terms of Ukraine. In </w:t>
      </w:r>
      <w:r w:rsidRPr="00954F17">
        <w:rPr>
          <w:rFonts w:ascii="Arial" w:eastAsia="Times New Roman" w:hAnsi="Arial" w:cs="Arial"/>
          <w:i/>
          <w:iCs/>
          <w:kern w:val="0"/>
          <w:lang w:eastAsia="en-GB"/>
        </w:rPr>
        <w:t>IOP Conference Series: Earth and Environmental Science</w:t>
      </w:r>
      <w:r w:rsidRPr="00954F17">
        <w:rPr>
          <w:rFonts w:ascii="Arial" w:eastAsia="Times New Roman" w:hAnsi="Arial" w:cs="Arial"/>
          <w:kern w:val="0"/>
          <w:lang w:eastAsia="en-GB"/>
        </w:rPr>
        <w:t> (Vol. 1254, No. 1, p. 012030). IOP Publishing.</w:t>
      </w:r>
    </w:p>
    <w:p w14:paraId="00B9B100" w14:textId="03DC73A3" w:rsidR="00CA2DF5" w:rsidRDefault="00CA2DF5" w:rsidP="004554A3">
      <w:pPr>
        <w:spacing w:line="360" w:lineRule="auto"/>
        <w:jc w:val="both"/>
        <w:rPr>
          <w:rFonts w:ascii="Arial" w:eastAsia="Times New Roman" w:hAnsi="Arial" w:cs="Arial"/>
          <w:kern w:val="0"/>
          <w:lang w:eastAsia="en-GB"/>
        </w:rPr>
      </w:pPr>
      <w:r>
        <w:rPr>
          <w:rFonts w:ascii="Arial" w:eastAsia="Times New Roman" w:hAnsi="Arial" w:cs="Arial"/>
          <w:kern w:val="0"/>
          <w:lang w:eastAsia="en-GB"/>
        </w:rPr>
        <w:t xml:space="preserve">Available at </w:t>
      </w:r>
      <w:hyperlink r:id="rId17" w:history="1">
        <w:r w:rsidR="007B0AFE" w:rsidRPr="00564E00">
          <w:rPr>
            <w:rStyle w:val="Hyperlink"/>
            <w:rFonts w:ascii="Arial" w:eastAsia="Times New Roman" w:hAnsi="Arial" w:cs="Arial"/>
            <w:kern w:val="0"/>
            <w:lang w:eastAsia="en-GB"/>
          </w:rPr>
          <w:t>https://iopscience.iop.org/article/10.1088/1755-1315/1254/1/012030/pdf</w:t>
        </w:r>
      </w:hyperlink>
    </w:p>
    <w:p w14:paraId="6B6E4079" w14:textId="77777777" w:rsidR="004554A3" w:rsidRDefault="004554A3" w:rsidP="004554A3">
      <w:pPr>
        <w:spacing w:line="360" w:lineRule="auto"/>
        <w:jc w:val="both"/>
        <w:rPr>
          <w:rFonts w:ascii="Arial" w:eastAsia="Times New Roman" w:hAnsi="Arial" w:cs="Arial"/>
          <w:kern w:val="0"/>
          <w:lang w:eastAsia="en-GB"/>
        </w:rPr>
      </w:pPr>
    </w:p>
    <w:p w14:paraId="6464E249" w14:textId="77777777" w:rsidR="004554A3" w:rsidRDefault="004554A3" w:rsidP="004554A3">
      <w:pPr>
        <w:spacing w:line="360" w:lineRule="auto"/>
        <w:jc w:val="both"/>
        <w:rPr>
          <w:rFonts w:ascii="Arial" w:eastAsia="Times New Roman" w:hAnsi="Arial" w:cs="Arial"/>
          <w:kern w:val="0"/>
          <w:lang w:eastAsia="en-GB"/>
        </w:rPr>
      </w:pPr>
      <w:proofErr w:type="spellStart"/>
      <w:r w:rsidRPr="00482DF3">
        <w:rPr>
          <w:rFonts w:ascii="Arial" w:eastAsia="Times New Roman" w:hAnsi="Arial" w:cs="Arial"/>
          <w:kern w:val="0"/>
          <w:lang w:eastAsia="en-GB"/>
        </w:rPr>
        <w:t>Pandyaswargo</w:t>
      </w:r>
      <w:proofErr w:type="spellEnd"/>
      <w:r w:rsidRPr="00482DF3">
        <w:rPr>
          <w:rFonts w:ascii="Arial" w:eastAsia="Times New Roman" w:hAnsi="Arial" w:cs="Arial"/>
          <w:kern w:val="0"/>
          <w:lang w:eastAsia="en-GB"/>
        </w:rPr>
        <w:t xml:space="preserve">, A.H., Wibowo, A.D., </w:t>
      </w:r>
      <w:proofErr w:type="spellStart"/>
      <w:r w:rsidRPr="00482DF3">
        <w:rPr>
          <w:rFonts w:ascii="Arial" w:eastAsia="Times New Roman" w:hAnsi="Arial" w:cs="Arial"/>
          <w:kern w:val="0"/>
          <w:lang w:eastAsia="en-GB"/>
        </w:rPr>
        <w:t>Maghfiroh</w:t>
      </w:r>
      <w:proofErr w:type="spellEnd"/>
      <w:r w:rsidRPr="00482DF3">
        <w:rPr>
          <w:rFonts w:ascii="Arial" w:eastAsia="Times New Roman" w:hAnsi="Arial" w:cs="Arial"/>
          <w:kern w:val="0"/>
          <w:lang w:eastAsia="en-GB"/>
        </w:rPr>
        <w:t>, M.F.N., Rezqita, A. and Onoda, H., 2021. The emerging electric vehicle and battery industry in Indonesia: Actions around the nickel ore export ban and a SWOT analysis. </w:t>
      </w:r>
      <w:r w:rsidRPr="00482DF3">
        <w:rPr>
          <w:rFonts w:ascii="Arial" w:eastAsia="Times New Roman" w:hAnsi="Arial" w:cs="Arial"/>
          <w:i/>
          <w:iCs/>
          <w:kern w:val="0"/>
          <w:lang w:eastAsia="en-GB"/>
        </w:rPr>
        <w:t>Batteries</w:t>
      </w:r>
      <w:r w:rsidRPr="00482DF3">
        <w:rPr>
          <w:rFonts w:ascii="Arial" w:eastAsia="Times New Roman" w:hAnsi="Arial" w:cs="Arial"/>
          <w:kern w:val="0"/>
          <w:lang w:eastAsia="en-GB"/>
        </w:rPr>
        <w:t>, </w:t>
      </w:r>
      <w:r w:rsidRPr="00482DF3">
        <w:rPr>
          <w:rFonts w:ascii="Arial" w:eastAsia="Times New Roman" w:hAnsi="Arial" w:cs="Arial"/>
          <w:i/>
          <w:iCs/>
          <w:kern w:val="0"/>
          <w:lang w:eastAsia="en-GB"/>
        </w:rPr>
        <w:t>7</w:t>
      </w:r>
      <w:r w:rsidRPr="00482DF3">
        <w:rPr>
          <w:rFonts w:ascii="Arial" w:eastAsia="Times New Roman" w:hAnsi="Arial" w:cs="Arial"/>
          <w:kern w:val="0"/>
          <w:lang w:eastAsia="en-GB"/>
        </w:rPr>
        <w:t>(4), p.80.</w:t>
      </w:r>
    </w:p>
    <w:p w14:paraId="0D4A051B" w14:textId="77777777" w:rsidR="004554A3" w:rsidRDefault="004554A3" w:rsidP="004554A3">
      <w:pPr>
        <w:spacing w:line="360" w:lineRule="auto"/>
        <w:jc w:val="both"/>
        <w:rPr>
          <w:rFonts w:ascii="Arial" w:eastAsia="Times New Roman" w:hAnsi="Arial" w:cs="Arial"/>
          <w:kern w:val="0"/>
          <w:lang w:eastAsia="en-GB"/>
        </w:rPr>
      </w:pPr>
      <w:r>
        <w:rPr>
          <w:rFonts w:ascii="Arial" w:eastAsia="Times New Roman" w:hAnsi="Arial" w:cs="Arial"/>
          <w:kern w:val="0"/>
          <w:lang w:eastAsia="en-GB"/>
        </w:rPr>
        <w:t xml:space="preserve">Available at </w:t>
      </w:r>
      <w:hyperlink r:id="rId18" w:history="1">
        <w:r w:rsidRPr="00564E00">
          <w:rPr>
            <w:rStyle w:val="Hyperlink"/>
            <w:rFonts w:ascii="Arial" w:eastAsia="Times New Roman" w:hAnsi="Arial" w:cs="Arial"/>
            <w:kern w:val="0"/>
            <w:lang w:eastAsia="en-GB"/>
          </w:rPr>
          <w:t>https://www.mdpi.com/2313-0105/7/4/80</w:t>
        </w:r>
      </w:hyperlink>
    </w:p>
    <w:p w14:paraId="49C7F737" w14:textId="77777777" w:rsidR="004554A3" w:rsidRDefault="004554A3" w:rsidP="004554A3">
      <w:pPr>
        <w:spacing w:line="360" w:lineRule="auto"/>
        <w:jc w:val="both"/>
        <w:rPr>
          <w:rFonts w:ascii="Arial" w:eastAsia="Times New Roman" w:hAnsi="Arial" w:cs="Arial"/>
          <w:kern w:val="0"/>
          <w:lang w:eastAsia="en-GB"/>
        </w:rPr>
      </w:pPr>
    </w:p>
    <w:p w14:paraId="265A001E" w14:textId="77777777" w:rsidR="004554A3" w:rsidRPr="001F21AC"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Sathiyan, S.P., Pratap, C.B., Stonier, A.A., Peter, G., Sherine, A., </w:t>
      </w:r>
      <w:proofErr w:type="spellStart"/>
      <w:r w:rsidRPr="001F21AC">
        <w:rPr>
          <w:rFonts w:ascii="Arial" w:eastAsia="Times New Roman" w:hAnsi="Arial" w:cs="Arial"/>
          <w:kern w:val="0"/>
          <w:lang w:eastAsia="en-GB"/>
        </w:rPr>
        <w:t>Praghash</w:t>
      </w:r>
      <w:proofErr w:type="spellEnd"/>
      <w:r w:rsidRPr="001F21AC">
        <w:rPr>
          <w:rFonts w:ascii="Arial" w:eastAsia="Times New Roman" w:hAnsi="Arial" w:cs="Arial"/>
          <w:kern w:val="0"/>
          <w:lang w:eastAsia="en-GB"/>
        </w:rPr>
        <w:t>, K. and Ganji, V., 2022. Comprehensive assessment of electric vehicle development, deployment, and policy initiatives to reduce GHG emissions: opportunities and challenges. IEEE Access, 10, pp.53614-53639.</w:t>
      </w:r>
    </w:p>
    <w:p w14:paraId="65C3560A" w14:textId="77777777" w:rsidR="004554A3"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19" w:history="1">
        <w:r w:rsidRPr="001F21AC">
          <w:rPr>
            <w:rStyle w:val="Hyperlink"/>
            <w:rFonts w:ascii="Arial" w:eastAsia="Times New Roman" w:hAnsi="Arial" w:cs="Arial"/>
            <w:kern w:val="0"/>
            <w:lang w:eastAsia="en-GB"/>
          </w:rPr>
          <w:t>https://ieeexplore.ieee.org/iel7/6287639/6514899/09775727.pdf</w:t>
        </w:r>
      </w:hyperlink>
    </w:p>
    <w:p w14:paraId="166105FB" w14:textId="77777777" w:rsidR="004554A3" w:rsidRDefault="004554A3" w:rsidP="004554A3">
      <w:pPr>
        <w:spacing w:line="360" w:lineRule="auto"/>
        <w:jc w:val="both"/>
        <w:rPr>
          <w:rFonts w:ascii="Arial" w:eastAsia="Times New Roman" w:hAnsi="Arial" w:cs="Arial"/>
          <w:kern w:val="0"/>
          <w:lang w:eastAsia="en-GB"/>
        </w:rPr>
      </w:pPr>
    </w:p>
    <w:p w14:paraId="2D6F696B" w14:textId="77777777" w:rsidR="004554A3" w:rsidRPr="001F21AC"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lastRenderedPageBreak/>
        <w:t xml:space="preserve">Thompson, S., 2023. Strategic analysis of the renewable electricity transition: power to the world without carbon </w:t>
      </w:r>
      <w:proofErr w:type="gramStart"/>
      <w:r w:rsidRPr="001F21AC">
        <w:rPr>
          <w:rFonts w:ascii="Arial" w:eastAsia="Times New Roman" w:hAnsi="Arial" w:cs="Arial"/>
          <w:kern w:val="0"/>
          <w:lang w:eastAsia="en-GB"/>
        </w:rPr>
        <w:t>emissions?.</w:t>
      </w:r>
      <w:proofErr w:type="gramEnd"/>
      <w:r w:rsidRPr="001F21AC">
        <w:rPr>
          <w:rFonts w:ascii="Arial" w:eastAsia="Times New Roman" w:hAnsi="Arial" w:cs="Arial"/>
          <w:kern w:val="0"/>
          <w:lang w:eastAsia="en-GB"/>
        </w:rPr>
        <w:t> </w:t>
      </w:r>
      <w:r w:rsidRPr="001F21AC">
        <w:rPr>
          <w:rFonts w:ascii="Arial" w:eastAsia="Times New Roman" w:hAnsi="Arial" w:cs="Arial"/>
          <w:i/>
          <w:iCs/>
          <w:kern w:val="0"/>
          <w:lang w:eastAsia="en-GB"/>
        </w:rPr>
        <w:t>Energies</w:t>
      </w:r>
      <w:r w:rsidRPr="001F21AC">
        <w:rPr>
          <w:rFonts w:ascii="Arial" w:eastAsia="Times New Roman" w:hAnsi="Arial" w:cs="Arial"/>
          <w:kern w:val="0"/>
          <w:lang w:eastAsia="en-GB"/>
        </w:rPr>
        <w:t>, </w:t>
      </w:r>
      <w:r w:rsidRPr="001F21AC">
        <w:rPr>
          <w:rFonts w:ascii="Arial" w:eastAsia="Times New Roman" w:hAnsi="Arial" w:cs="Arial"/>
          <w:i/>
          <w:iCs/>
          <w:kern w:val="0"/>
          <w:lang w:eastAsia="en-GB"/>
        </w:rPr>
        <w:t>16</w:t>
      </w:r>
      <w:r w:rsidRPr="001F21AC">
        <w:rPr>
          <w:rFonts w:ascii="Arial" w:eastAsia="Times New Roman" w:hAnsi="Arial" w:cs="Arial"/>
          <w:kern w:val="0"/>
          <w:lang w:eastAsia="en-GB"/>
        </w:rPr>
        <w:t>(17), p.6183.</w:t>
      </w:r>
    </w:p>
    <w:p w14:paraId="262BED90" w14:textId="77777777" w:rsidR="004554A3" w:rsidRDefault="004554A3" w:rsidP="004554A3">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20" w:history="1">
        <w:r w:rsidRPr="001F21AC">
          <w:rPr>
            <w:rStyle w:val="Hyperlink"/>
            <w:rFonts w:ascii="Arial" w:eastAsia="Times New Roman" w:hAnsi="Arial" w:cs="Arial"/>
            <w:kern w:val="0"/>
            <w:lang w:eastAsia="en-GB"/>
          </w:rPr>
          <w:t>https://www.mdpi.com/1996-1073/16/17/6183</w:t>
        </w:r>
      </w:hyperlink>
    </w:p>
    <w:p w14:paraId="1430E312" w14:textId="77777777" w:rsidR="003849AE" w:rsidRDefault="003849AE" w:rsidP="004554A3">
      <w:pPr>
        <w:spacing w:line="360" w:lineRule="auto"/>
        <w:jc w:val="both"/>
        <w:rPr>
          <w:rFonts w:ascii="Arial" w:eastAsia="Times New Roman" w:hAnsi="Arial" w:cs="Arial"/>
          <w:kern w:val="0"/>
          <w:lang w:eastAsia="en-GB"/>
        </w:rPr>
      </w:pPr>
    </w:p>
    <w:p w14:paraId="2A802C75" w14:textId="77777777" w:rsidR="00E918FE" w:rsidRDefault="00E918FE" w:rsidP="004554A3">
      <w:pPr>
        <w:spacing w:line="360" w:lineRule="auto"/>
        <w:jc w:val="both"/>
        <w:rPr>
          <w:rFonts w:ascii="Arial" w:eastAsia="Times New Roman" w:hAnsi="Arial" w:cs="Arial"/>
          <w:kern w:val="0"/>
          <w:lang w:eastAsia="en-GB"/>
        </w:rPr>
      </w:pPr>
    </w:p>
    <w:p w14:paraId="0AA852C3" w14:textId="55E0C205" w:rsidR="003849AE" w:rsidRDefault="003849AE" w:rsidP="004554A3">
      <w:pPr>
        <w:spacing w:line="360" w:lineRule="auto"/>
        <w:jc w:val="both"/>
        <w:rPr>
          <w:rFonts w:ascii="Arial" w:eastAsia="Times New Roman" w:hAnsi="Arial" w:cs="Arial"/>
          <w:kern w:val="0"/>
          <w:lang w:eastAsia="en-GB"/>
        </w:rPr>
      </w:pPr>
      <w:r w:rsidRPr="003849AE">
        <w:rPr>
          <w:rFonts w:ascii="Arial" w:eastAsia="Times New Roman" w:hAnsi="Arial" w:cs="Arial"/>
          <w:kern w:val="0"/>
          <w:lang w:eastAsia="en-GB"/>
        </w:rPr>
        <w:t xml:space="preserve">Tripathy, A., Bhuyan, A., </w:t>
      </w:r>
      <w:proofErr w:type="spellStart"/>
      <w:r w:rsidRPr="003849AE">
        <w:rPr>
          <w:rFonts w:ascii="Arial" w:eastAsia="Times New Roman" w:hAnsi="Arial" w:cs="Arial"/>
          <w:kern w:val="0"/>
          <w:lang w:eastAsia="en-GB"/>
        </w:rPr>
        <w:t>Padhy</w:t>
      </w:r>
      <w:proofErr w:type="spellEnd"/>
      <w:r w:rsidRPr="003849AE">
        <w:rPr>
          <w:rFonts w:ascii="Arial" w:eastAsia="Times New Roman" w:hAnsi="Arial" w:cs="Arial"/>
          <w:kern w:val="0"/>
          <w:lang w:eastAsia="en-GB"/>
        </w:rPr>
        <w:t>, R. and Corazza, L., 2022. Technological, organizational, and environmental factors affecting the adoption of electric vehicle battery recycling. </w:t>
      </w:r>
      <w:r w:rsidRPr="003849AE">
        <w:rPr>
          <w:rFonts w:ascii="Arial" w:eastAsia="Times New Roman" w:hAnsi="Arial" w:cs="Arial"/>
          <w:i/>
          <w:iCs/>
          <w:kern w:val="0"/>
          <w:lang w:eastAsia="en-GB"/>
        </w:rPr>
        <w:t>IEEE Transactions on Engineering Management</w:t>
      </w:r>
      <w:r w:rsidRPr="003849AE">
        <w:rPr>
          <w:rFonts w:ascii="Arial" w:eastAsia="Times New Roman" w:hAnsi="Arial" w:cs="Arial"/>
          <w:kern w:val="0"/>
          <w:lang w:eastAsia="en-GB"/>
        </w:rPr>
        <w:t>, </w:t>
      </w:r>
      <w:r w:rsidRPr="003849AE">
        <w:rPr>
          <w:rFonts w:ascii="Arial" w:eastAsia="Times New Roman" w:hAnsi="Arial" w:cs="Arial"/>
          <w:i/>
          <w:iCs/>
          <w:kern w:val="0"/>
          <w:lang w:eastAsia="en-GB"/>
        </w:rPr>
        <w:t>71</w:t>
      </w:r>
      <w:r w:rsidRPr="003849AE">
        <w:rPr>
          <w:rFonts w:ascii="Arial" w:eastAsia="Times New Roman" w:hAnsi="Arial" w:cs="Arial"/>
          <w:kern w:val="0"/>
          <w:lang w:eastAsia="en-GB"/>
        </w:rPr>
        <w:t>, pp.12992-13005.</w:t>
      </w:r>
    </w:p>
    <w:p w14:paraId="471D2614" w14:textId="762FE715" w:rsidR="00E918FE" w:rsidRDefault="00E918FE" w:rsidP="004554A3">
      <w:pPr>
        <w:spacing w:line="360" w:lineRule="auto"/>
        <w:jc w:val="both"/>
        <w:rPr>
          <w:rFonts w:ascii="Arial" w:eastAsia="Times New Roman" w:hAnsi="Arial" w:cs="Arial"/>
          <w:kern w:val="0"/>
          <w:lang w:eastAsia="en-GB"/>
        </w:rPr>
      </w:pPr>
      <w:r>
        <w:rPr>
          <w:rFonts w:ascii="Arial" w:eastAsia="Times New Roman" w:hAnsi="Arial" w:cs="Arial"/>
          <w:kern w:val="0"/>
          <w:lang w:eastAsia="en-GB"/>
        </w:rPr>
        <w:t xml:space="preserve">Available at: </w:t>
      </w:r>
      <w:hyperlink r:id="rId21" w:history="1">
        <w:r w:rsidRPr="00564E00">
          <w:rPr>
            <w:rStyle w:val="Hyperlink"/>
            <w:rFonts w:ascii="Arial" w:eastAsia="Times New Roman" w:hAnsi="Arial" w:cs="Arial"/>
            <w:kern w:val="0"/>
            <w:lang w:eastAsia="en-GB"/>
          </w:rPr>
          <w:t>https://ieeexplore.ieee.org/iel7/17/4429834/09761796.pdf?casa_token=ZlUbeXEuFdwAAAAA:jJc1BuqiLwBAmnaxoyBWy-x0rl6F9_mcnbUjCMZQRudqmUtQOb7ueObQOfJsZHNH2mZbPwexwk4R</w:t>
        </w:r>
      </w:hyperlink>
    </w:p>
    <w:p w14:paraId="5DDE60A8" w14:textId="77777777" w:rsidR="00E918FE" w:rsidRDefault="00E918FE" w:rsidP="004554A3">
      <w:pPr>
        <w:spacing w:line="360" w:lineRule="auto"/>
        <w:jc w:val="both"/>
        <w:rPr>
          <w:rFonts w:ascii="Arial" w:eastAsia="Times New Roman" w:hAnsi="Arial" w:cs="Arial"/>
          <w:kern w:val="0"/>
          <w:lang w:eastAsia="en-GB"/>
        </w:rPr>
      </w:pPr>
    </w:p>
    <w:p w14:paraId="4A1DF045" w14:textId="36DE66A0" w:rsidR="00EA34A8" w:rsidRPr="001F21AC" w:rsidRDefault="00EA34A8"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Wellings, J., Greenwood, D. and Coles, S.R., 2021. Understanding the future impacts of electric vehicles—an analysis of multiple factors that influence the market. Vehicles, 3(4), pp.851-871.</w:t>
      </w:r>
    </w:p>
    <w:p w14:paraId="4BE86782" w14:textId="3C0029F7" w:rsidR="00EA34A8" w:rsidRPr="001F21AC" w:rsidRDefault="00EA34A8"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22" w:history="1">
        <w:r w:rsidRPr="001F21AC">
          <w:rPr>
            <w:rStyle w:val="Hyperlink"/>
            <w:rFonts w:ascii="Arial" w:eastAsia="Times New Roman" w:hAnsi="Arial" w:cs="Arial"/>
            <w:kern w:val="0"/>
            <w:lang w:eastAsia="en-GB"/>
          </w:rPr>
          <w:t>https://www.mdpi.com/2624-8921/3/4/51</w:t>
        </w:r>
      </w:hyperlink>
    </w:p>
    <w:p w14:paraId="122D8639" w14:textId="77777777" w:rsidR="00854BF5" w:rsidRPr="001F21AC" w:rsidRDefault="00854BF5" w:rsidP="001F21AC">
      <w:pPr>
        <w:spacing w:line="360" w:lineRule="auto"/>
        <w:jc w:val="both"/>
        <w:rPr>
          <w:rFonts w:ascii="Arial" w:eastAsia="Times New Roman" w:hAnsi="Arial" w:cs="Arial"/>
          <w:kern w:val="0"/>
          <w:lang w:eastAsia="en-GB"/>
        </w:rPr>
      </w:pPr>
    </w:p>
    <w:p w14:paraId="2B09F72E" w14:textId="77777777" w:rsidR="00BB4FB6" w:rsidRPr="001F21AC" w:rsidRDefault="00BB4FB6" w:rsidP="00BB4FB6">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Zaino, R., Ahmed, V., Alhammadi, A.M. and </w:t>
      </w:r>
      <w:proofErr w:type="spellStart"/>
      <w:r w:rsidRPr="001F21AC">
        <w:rPr>
          <w:rFonts w:ascii="Arial" w:eastAsia="Times New Roman" w:hAnsi="Arial" w:cs="Arial"/>
          <w:kern w:val="0"/>
          <w:lang w:eastAsia="en-GB"/>
        </w:rPr>
        <w:t>Alghoush</w:t>
      </w:r>
      <w:proofErr w:type="spellEnd"/>
      <w:r w:rsidRPr="001F21AC">
        <w:rPr>
          <w:rFonts w:ascii="Arial" w:eastAsia="Times New Roman" w:hAnsi="Arial" w:cs="Arial"/>
          <w:kern w:val="0"/>
          <w:lang w:eastAsia="en-GB"/>
        </w:rPr>
        <w:t>, M., 2024. Electric vehicle adoption: A comprehensive systematic review of technological, environmental, organizational and policy impacts. World electric vehicle journal, 15(8), p.375.</w:t>
      </w:r>
    </w:p>
    <w:p w14:paraId="385C5EE0" w14:textId="77777777" w:rsidR="00BB4FB6" w:rsidRPr="001F21AC" w:rsidRDefault="00BB4FB6" w:rsidP="00BB4FB6">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Available at: </w:t>
      </w:r>
      <w:hyperlink r:id="rId23" w:history="1">
        <w:r w:rsidRPr="001F21AC">
          <w:rPr>
            <w:rStyle w:val="Hyperlink"/>
            <w:rFonts w:ascii="Arial" w:eastAsia="Times New Roman" w:hAnsi="Arial" w:cs="Arial"/>
            <w:kern w:val="0"/>
            <w:lang w:eastAsia="en-GB"/>
          </w:rPr>
          <w:t>https://www.mdpi.com/2032-6653/15/8/375</w:t>
        </w:r>
      </w:hyperlink>
    </w:p>
    <w:p w14:paraId="2B6363FC" w14:textId="77777777" w:rsidR="004D2E74" w:rsidRPr="001F21AC" w:rsidRDefault="004D2E74" w:rsidP="001F21AC">
      <w:pPr>
        <w:spacing w:line="360" w:lineRule="auto"/>
        <w:jc w:val="both"/>
        <w:rPr>
          <w:rFonts w:ascii="Arial" w:eastAsia="Times New Roman" w:hAnsi="Arial" w:cs="Arial"/>
          <w:kern w:val="0"/>
          <w:lang w:eastAsia="en-GB"/>
        </w:rPr>
      </w:pPr>
    </w:p>
    <w:p w14:paraId="69365685" w14:textId="6C3DBBD5" w:rsidR="005400E1" w:rsidRPr="001F21AC" w:rsidRDefault="005400E1" w:rsidP="001F21AC">
      <w:pPr>
        <w:spacing w:line="360" w:lineRule="auto"/>
        <w:jc w:val="both"/>
        <w:rPr>
          <w:rFonts w:ascii="Arial" w:eastAsia="Times New Roman" w:hAnsi="Arial" w:cs="Arial"/>
          <w:kern w:val="0"/>
          <w:lang w:eastAsia="en-GB"/>
        </w:rPr>
      </w:pPr>
      <w:r w:rsidRPr="001F21AC">
        <w:rPr>
          <w:rFonts w:ascii="Arial" w:eastAsia="Times New Roman" w:hAnsi="Arial" w:cs="Arial"/>
          <w:kern w:val="0"/>
          <w:lang w:eastAsia="en-GB"/>
        </w:rPr>
        <w:t xml:space="preserve">Zhang, Y., </w:t>
      </w:r>
      <w:proofErr w:type="spellStart"/>
      <w:r w:rsidRPr="001F21AC">
        <w:rPr>
          <w:rFonts w:ascii="Arial" w:eastAsia="Times New Roman" w:hAnsi="Arial" w:cs="Arial"/>
          <w:kern w:val="0"/>
          <w:lang w:eastAsia="en-GB"/>
        </w:rPr>
        <w:t>Rysiecki</w:t>
      </w:r>
      <w:proofErr w:type="spellEnd"/>
      <w:r w:rsidRPr="001F21AC">
        <w:rPr>
          <w:rFonts w:ascii="Arial" w:eastAsia="Times New Roman" w:hAnsi="Arial" w:cs="Arial"/>
          <w:kern w:val="0"/>
          <w:lang w:eastAsia="en-GB"/>
        </w:rPr>
        <w:t>, L., Gong, Y. and Shi, Q., 2020. A SWOT analysis of the UK EV battery supply chain. </w:t>
      </w:r>
      <w:r w:rsidRPr="001F21AC">
        <w:rPr>
          <w:rFonts w:ascii="Arial" w:eastAsia="Times New Roman" w:hAnsi="Arial" w:cs="Arial"/>
          <w:i/>
          <w:iCs/>
          <w:kern w:val="0"/>
          <w:lang w:eastAsia="en-GB"/>
        </w:rPr>
        <w:t>Sustainability</w:t>
      </w:r>
      <w:r w:rsidRPr="001F21AC">
        <w:rPr>
          <w:rFonts w:ascii="Arial" w:eastAsia="Times New Roman" w:hAnsi="Arial" w:cs="Arial"/>
          <w:kern w:val="0"/>
          <w:lang w:eastAsia="en-GB"/>
        </w:rPr>
        <w:t>, </w:t>
      </w:r>
      <w:r w:rsidRPr="001F21AC">
        <w:rPr>
          <w:rFonts w:ascii="Arial" w:eastAsia="Times New Roman" w:hAnsi="Arial" w:cs="Arial"/>
          <w:i/>
          <w:iCs/>
          <w:kern w:val="0"/>
          <w:lang w:eastAsia="en-GB"/>
        </w:rPr>
        <w:t>12</w:t>
      </w:r>
      <w:r w:rsidRPr="001F21AC">
        <w:rPr>
          <w:rFonts w:ascii="Arial" w:eastAsia="Times New Roman" w:hAnsi="Arial" w:cs="Arial"/>
          <w:kern w:val="0"/>
          <w:lang w:eastAsia="en-GB"/>
        </w:rPr>
        <w:t>(23), p.9807.</w:t>
      </w:r>
    </w:p>
    <w:p w14:paraId="08AC1899" w14:textId="386FB271" w:rsidR="005400E1" w:rsidRDefault="005400E1" w:rsidP="001F21AC">
      <w:pPr>
        <w:spacing w:line="360" w:lineRule="auto"/>
        <w:jc w:val="both"/>
        <w:rPr>
          <w:rFonts w:ascii="Arial" w:eastAsia="Times New Roman" w:hAnsi="Arial" w:cs="Arial"/>
          <w:kern w:val="0"/>
          <w:lang w:eastAsia="en-GB"/>
        </w:rPr>
      </w:pPr>
      <w:proofErr w:type="spellStart"/>
      <w:r w:rsidRPr="001F21AC">
        <w:rPr>
          <w:rFonts w:ascii="Arial" w:eastAsia="Times New Roman" w:hAnsi="Arial" w:cs="Arial"/>
          <w:kern w:val="0"/>
          <w:lang w:eastAsia="en-GB"/>
        </w:rPr>
        <w:t>Avaliable</w:t>
      </w:r>
      <w:proofErr w:type="spellEnd"/>
      <w:r w:rsidRPr="001F21AC">
        <w:rPr>
          <w:rFonts w:ascii="Arial" w:eastAsia="Times New Roman" w:hAnsi="Arial" w:cs="Arial"/>
          <w:kern w:val="0"/>
          <w:lang w:eastAsia="en-GB"/>
        </w:rPr>
        <w:t xml:space="preserve"> at: </w:t>
      </w:r>
      <w:hyperlink r:id="rId24" w:history="1">
        <w:r w:rsidR="00A8426D" w:rsidRPr="001F21AC">
          <w:rPr>
            <w:rStyle w:val="Hyperlink"/>
            <w:rFonts w:ascii="Arial" w:eastAsia="Times New Roman" w:hAnsi="Arial" w:cs="Arial"/>
            <w:kern w:val="0"/>
            <w:lang w:eastAsia="en-GB"/>
          </w:rPr>
          <w:t>https://www.mdpi.com/2071-1050/12/23/9807</w:t>
        </w:r>
      </w:hyperlink>
    </w:p>
    <w:p w14:paraId="0FBC2087" w14:textId="77777777" w:rsidR="009564C1" w:rsidRDefault="009564C1" w:rsidP="001F21AC">
      <w:pPr>
        <w:spacing w:line="360" w:lineRule="auto"/>
        <w:jc w:val="both"/>
        <w:rPr>
          <w:rFonts w:ascii="Arial" w:eastAsia="Times New Roman" w:hAnsi="Arial" w:cs="Arial"/>
          <w:kern w:val="0"/>
          <w:lang w:eastAsia="en-GB"/>
        </w:rPr>
      </w:pPr>
    </w:p>
    <w:p w14:paraId="77E5B44E" w14:textId="129F4EBE" w:rsidR="009564C1" w:rsidRDefault="009564C1" w:rsidP="001F21AC">
      <w:pPr>
        <w:spacing w:line="360" w:lineRule="auto"/>
        <w:jc w:val="both"/>
        <w:rPr>
          <w:rFonts w:ascii="Arial" w:eastAsia="Times New Roman" w:hAnsi="Arial" w:cs="Arial"/>
          <w:kern w:val="0"/>
          <w:lang w:eastAsia="en-GB"/>
        </w:rPr>
      </w:pPr>
      <w:r w:rsidRPr="009564C1">
        <w:rPr>
          <w:rFonts w:ascii="Arial" w:eastAsia="Times New Roman" w:hAnsi="Arial" w:cs="Arial"/>
          <w:kern w:val="0"/>
          <w:lang w:eastAsia="en-GB"/>
        </w:rPr>
        <w:lastRenderedPageBreak/>
        <w:t>Zhao, G. and Baker, J., 2022. Effects on environmental impacts of introducing electric vehicle batteries as storage-A case study of the United Kingdom. Energy Strategy Reviews, 40, p.100819.</w:t>
      </w:r>
    </w:p>
    <w:p w14:paraId="4D5C2416" w14:textId="4E5114F5" w:rsidR="00C15ADA" w:rsidRDefault="00C15ADA" w:rsidP="001F21AC">
      <w:pPr>
        <w:spacing w:line="360" w:lineRule="auto"/>
        <w:jc w:val="both"/>
        <w:rPr>
          <w:rFonts w:ascii="Arial" w:eastAsia="Times New Roman" w:hAnsi="Arial" w:cs="Arial"/>
          <w:kern w:val="0"/>
          <w:lang w:eastAsia="en-GB"/>
        </w:rPr>
      </w:pPr>
      <w:r>
        <w:rPr>
          <w:rFonts w:ascii="Arial" w:eastAsia="Times New Roman" w:hAnsi="Arial" w:cs="Arial"/>
          <w:kern w:val="0"/>
          <w:lang w:eastAsia="en-GB"/>
        </w:rPr>
        <w:t xml:space="preserve">Available </w:t>
      </w:r>
      <w:proofErr w:type="gramStart"/>
      <w:r>
        <w:rPr>
          <w:rFonts w:ascii="Arial" w:eastAsia="Times New Roman" w:hAnsi="Arial" w:cs="Arial"/>
          <w:kern w:val="0"/>
          <w:lang w:eastAsia="en-GB"/>
        </w:rPr>
        <w:t>at :</w:t>
      </w:r>
      <w:proofErr w:type="gramEnd"/>
      <w:r>
        <w:rPr>
          <w:rFonts w:ascii="Arial" w:eastAsia="Times New Roman" w:hAnsi="Arial" w:cs="Arial"/>
          <w:kern w:val="0"/>
          <w:lang w:eastAsia="en-GB"/>
        </w:rPr>
        <w:t xml:space="preserve"> </w:t>
      </w:r>
      <w:hyperlink r:id="rId25" w:history="1">
        <w:r w:rsidRPr="00564E00">
          <w:rPr>
            <w:rStyle w:val="Hyperlink"/>
            <w:rFonts w:ascii="Arial" w:eastAsia="Times New Roman" w:hAnsi="Arial" w:cs="Arial"/>
            <w:kern w:val="0"/>
            <w:lang w:eastAsia="en-GB"/>
          </w:rPr>
          <w:t>https://www.sciencedirect.com/science/article/pii/S2211467X22000190</w:t>
        </w:r>
      </w:hyperlink>
    </w:p>
    <w:p w14:paraId="3E941075" w14:textId="77777777" w:rsidR="00C15ADA" w:rsidRPr="001F21AC" w:rsidRDefault="00C15ADA" w:rsidP="001F21AC">
      <w:pPr>
        <w:spacing w:line="360" w:lineRule="auto"/>
        <w:jc w:val="both"/>
        <w:rPr>
          <w:rFonts w:ascii="Arial" w:eastAsia="Times New Roman" w:hAnsi="Arial" w:cs="Arial"/>
          <w:kern w:val="0"/>
          <w:lang w:eastAsia="en-GB"/>
        </w:rPr>
      </w:pPr>
    </w:p>
    <w:p w14:paraId="3DC4DC23" w14:textId="77777777" w:rsidR="00A8426D" w:rsidRPr="001F21AC" w:rsidRDefault="00A8426D" w:rsidP="001F21AC">
      <w:pPr>
        <w:spacing w:line="360" w:lineRule="auto"/>
        <w:jc w:val="both"/>
        <w:rPr>
          <w:rFonts w:ascii="Arial" w:eastAsia="Times New Roman" w:hAnsi="Arial" w:cs="Arial"/>
          <w:kern w:val="0"/>
          <w:lang w:eastAsia="en-GB"/>
        </w:rPr>
      </w:pPr>
    </w:p>
    <w:p w14:paraId="7376271A" w14:textId="77777777" w:rsidR="00535F8C" w:rsidRPr="001F21AC" w:rsidRDefault="00535F8C" w:rsidP="001F21AC">
      <w:pPr>
        <w:spacing w:line="360" w:lineRule="auto"/>
        <w:jc w:val="both"/>
        <w:rPr>
          <w:rFonts w:ascii="Arial" w:eastAsia="Times New Roman" w:hAnsi="Arial" w:cs="Arial"/>
          <w:kern w:val="0"/>
          <w:lang w:eastAsia="en-GB"/>
        </w:rPr>
      </w:pPr>
    </w:p>
    <w:p w14:paraId="30C2FD23" w14:textId="77777777" w:rsidR="00EA34A8" w:rsidRPr="001F21AC" w:rsidRDefault="00EA34A8" w:rsidP="001F21AC">
      <w:pPr>
        <w:spacing w:line="360" w:lineRule="auto"/>
        <w:jc w:val="both"/>
        <w:rPr>
          <w:rFonts w:ascii="Arial" w:eastAsia="Times New Roman" w:hAnsi="Arial" w:cs="Arial"/>
          <w:kern w:val="0"/>
          <w:lang w:eastAsia="en-GB"/>
        </w:rPr>
      </w:pPr>
    </w:p>
    <w:p w14:paraId="2193B158" w14:textId="77777777" w:rsidR="00EA34A8" w:rsidRPr="001F21AC" w:rsidRDefault="00EA34A8" w:rsidP="001F21AC">
      <w:pPr>
        <w:spacing w:line="360" w:lineRule="auto"/>
        <w:jc w:val="both"/>
        <w:rPr>
          <w:rFonts w:ascii="Arial" w:eastAsia="Times New Roman" w:hAnsi="Arial" w:cs="Arial"/>
          <w:kern w:val="0"/>
          <w:lang w:eastAsia="en-GB"/>
        </w:rPr>
      </w:pPr>
    </w:p>
    <w:p w14:paraId="46101B14" w14:textId="77777777" w:rsidR="00EA34A8" w:rsidRPr="001F21AC" w:rsidRDefault="00EA34A8" w:rsidP="001F21AC">
      <w:pPr>
        <w:spacing w:line="360" w:lineRule="auto"/>
        <w:jc w:val="both"/>
        <w:rPr>
          <w:rFonts w:ascii="Arial" w:eastAsia="Times New Roman" w:hAnsi="Arial" w:cs="Arial"/>
          <w:kern w:val="0"/>
          <w:lang w:eastAsia="en-GB"/>
        </w:rPr>
      </w:pPr>
    </w:p>
    <w:p w14:paraId="56719BE9" w14:textId="77777777" w:rsidR="00EA34A8" w:rsidRPr="00735048" w:rsidRDefault="00EA34A8" w:rsidP="001F21AC">
      <w:pPr>
        <w:spacing w:line="360" w:lineRule="auto"/>
        <w:jc w:val="both"/>
        <w:rPr>
          <w:rFonts w:ascii="Arial" w:eastAsia="Times New Roman" w:hAnsi="Arial" w:cs="Arial"/>
          <w:kern w:val="0"/>
          <w:lang w:eastAsia="en-GB"/>
        </w:rPr>
      </w:pPr>
    </w:p>
    <w:p w14:paraId="57A1427C" w14:textId="77777777" w:rsidR="00157B9A" w:rsidRPr="001F21AC" w:rsidRDefault="00157B9A" w:rsidP="001F21AC">
      <w:pPr>
        <w:spacing w:line="360" w:lineRule="auto"/>
        <w:jc w:val="both"/>
        <w:rPr>
          <w:rFonts w:ascii="Arial" w:hAnsi="Arial" w:cs="Arial"/>
        </w:rPr>
      </w:pPr>
    </w:p>
    <w:sectPr w:rsidR="00157B9A" w:rsidRPr="001F21AC" w:rsidSect="00DC61C5">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C02F19"/>
    <w:multiLevelType w:val="hybridMultilevel"/>
    <w:tmpl w:val="BF0C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45767E"/>
    <w:multiLevelType w:val="multilevel"/>
    <w:tmpl w:val="3DAA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942099">
    <w:abstractNumId w:val="0"/>
  </w:num>
  <w:num w:numId="2" w16cid:durableId="14106904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6F747F0-4FFC-495E-8D8B-959FD75352FD}"/>
    <w:docVar w:name="dgnword-eventsink" w:val="1907494668432"/>
  </w:docVars>
  <w:rsids>
    <w:rsidRoot w:val="00DC61C5"/>
    <w:rsid w:val="00012796"/>
    <w:rsid w:val="00014365"/>
    <w:rsid w:val="00020C1C"/>
    <w:rsid w:val="000358E0"/>
    <w:rsid w:val="000433DE"/>
    <w:rsid w:val="000464D5"/>
    <w:rsid w:val="0006029A"/>
    <w:rsid w:val="00060B4C"/>
    <w:rsid w:val="00063E0E"/>
    <w:rsid w:val="00077A59"/>
    <w:rsid w:val="00077FED"/>
    <w:rsid w:val="00084DA9"/>
    <w:rsid w:val="000A3EC7"/>
    <w:rsid w:val="000B10D6"/>
    <w:rsid w:val="000B24D8"/>
    <w:rsid w:val="000B7C9C"/>
    <w:rsid w:val="000C742B"/>
    <w:rsid w:val="000D1E8B"/>
    <w:rsid w:val="000D6CE7"/>
    <w:rsid w:val="000D6F61"/>
    <w:rsid w:val="000E5D64"/>
    <w:rsid w:val="0010262A"/>
    <w:rsid w:val="001059AD"/>
    <w:rsid w:val="00111994"/>
    <w:rsid w:val="0011200A"/>
    <w:rsid w:val="0011258E"/>
    <w:rsid w:val="0011686F"/>
    <w:rsid w:val="00132D81"/>
    <w:rsid w:val="00142F4B"/>
    <w:rsid w:val="00157B9A"/>
    <w:rsid w:val="00165B4E"/>
    <w:rsid w:val="0018041E"/>
    <w:rsid w:val="00186730"/>
    <w:rsid w:val="001A29B0"/>
    <w:rsid w:val="001A5EF9"/>
    <w:rsid w:val="001A6719"/>
    <w:rsid w:val="001B0108"/>
    <w:rsid w:val="001B65F2"/>
    <w:rsid w:val="001B7CCB"/>
    <w:rsid w:val="001C7405"/>
    <w:rsid w:val="001F21AC"/>
    <w:rsid w:val="001F5B57"/>
    <w:rsid w:val="002034E3"/>
    <w:rsid w:val="00221ABC"/>
    <w:rsid w:val="00221AEA"/>
    <w:rsid w:val="00241BDF"/>
    <w:rsid w:val="00243057"/>
    <w:rsid w:val="00247082"/>
    <w:rsid w:val="00253F64"/>
    <w:rsid w:val="00260EFB"/>
    <w:rsid w:val="002657B3"/>
    <w:rsid w:val="00270BA8"/>
    <w:rsid w:val="002737CD"/>
    <w:rsid w:val="002815AC"/>
    <w:rsid w:val="00286504"/>
    <w:rsid w:val="002867F2"/>
    <w:rsid w:val="0029415E"/>
    <w:rsid w:val="002A1D1D"/>
    <w:rsid w:val="002A781A"/>
    <w:rsid w:val="002B3CED"/>
    <w:rsid w:val="002C0C19"/>
    <w:rsid w:val="002D1F73"/>
    <w:rsid w:val="002E6321"/>
    <w:rsid w:val="002F0F2B"/>
    <w:rsid w:val="002F296B"/>
    <w:rsid w:val="002F5134"/>
    <w:rsid w:val="002F6B2A"/>
    <w:rsid w:val="00314ADC"/>
    <w:rsid w:val="00327718"/>
    <w:rsid w:val="00331270"/>
    <w:rsid w:val="00365C12"/>
    <w:rsid w:val="00371EFB"/>
    <w:rsid w:val="00376D83"/>
    <w:rsid w:val="00383D49"/>
    <w:rsid w:val="00384254"/>
    <w:rsid w:val="003849AE"/>
    <w:rsid w:val="00387EB3"/>
    <w:rsid w:val="003A388B"/>
    <w:rsid w:val="003B215E"/>
    <w:rsid w:val="003B4E92"/>
    <w:rsid w:val="003C1073"/>
    <w:rsid w:val="003C7F94"/>
    <w:rsid w:val="003D392D"/>
    <w:rsid w:val="003D39E5"/>
    <w:rsid w:val="003D5776"/>
    <w:rsid w:val="003E2607"/>
    <w:rsid w:val="003F08CF"/>
    <w:rsid w:val="00405341"/>
    <w:rsid w:val="00414428"/>
    <w:rsid w:val="004214E7"/>
    <w:rsid w:val="0043104F"/>
    <w:rsid w:val="0044227D"/>
    <w:rsid w:val="004442C5"/>
    <w:rsid w:val="004554A3"/>
    <w:rsid w:val="00460A5F"/>
    <w:rsid w:val="004626E4"/>
    <w:rsid w:val="004665F1"/>
    <w:rsid w:val="004679F7"/>
    <w:rsid w:val="00482DF3"/>
    <w:rsid w:val="0048604E"/>
    <w:rsid w:val="00486DA0"/>
    <w:rsid w:val="00491E07"/>
    <w:rsid w:val="0049411B"/>
    <w:rsid w:val="004C6C92"/>
    <w:rsid w:val="004D2E74"/>
    <w:rsid w:val="004F050A"/>
    <w:rsid w:val="004F2E95"/>
    <w:rsid w:val="004F7A06"/>
    <w:rsid w:val="0050021F"/>
    <w:rsid w:val="0050452D"/>
    <w:rsid w:val="0051490C"/>
    <w:rsid w:val="0052554A"/>
    <w:rsid w:val="005321D3"/>
    <w:rsid w:val="00535F8C"/>
    <w:rsid w:val="005400E1"/>
    <w:rsid w:val="00541672"/>
    <w:rsid w:val="00543829"/>
    <w:rsid w:val="00544D66"/>
    <w:rsid w:val="00546841"/>
    <w:rsid w:val="00570AFD"/>
    <w:rsid w:val="0058040B"/>
    <w:rsid w:val="00591B37"/>
    <w:rsid w:val="00591E97"/>
    <w:rsid w:val="00593860"/>
    <w:rsid w:val="00593B94"/>
    <w:rsid w:val="005A67B5"/>
    <w:rsid w:val="005A685F"/>
    <w:rsid w:val="005A6D25"/>
    <w:rsid w:val="005B5C4D"/>
    <w:rsid w:val="005C2116"/>
    <w:rsid w:val="005C415F"/>
    <w:rsid w:val="005F0465"/>
    <w:rsid w:val="005F0EED"/>
    <w:rsid w:val="005F1E7E"/>
    <w:rsid w:val="00602167"/>
    <w:rsid w:val="00604D3F"/>
    <w:rsid w:val="0060768B"/>
    <w:rsid w:val="0061070D"/>
    <w:rsid w:val="00622D32"/>
    <w:rsid w:val="00625EBF"/>
    <w:rsid w:val="006303BF"/>
    <w:rsid w:val="006362B5"/>
    <w:rsid w:val="00641019"/>
    <w:rsid w:val="00655465"/>
    <w:rsid w:val="00661D5F"/>
    <w:rsid w:val="00662B25"/>
    <w:rsid w:val="00670CCE"/>
    <w:rsid w:val="00672763"/>
    <w:rsid w:val="00676990"/>
    <w:rsid w:val="00687B44"/>
    <w:rsid w:val="0069179A"/>
    <w:rsid w:val="00693B53"/>
    <w:rsid w:val="006A1661"/>
    <w:rsid w:val="006A365F"/>
    <w:rsid w:val="006A3BBA"/>
    <w:rsid w:val="006A568D"/>
    <w:rsid w:val="006B156E"/>
    <w:rsid w:val="006C3F3F"/>
    <w:rsid w:val="006D289D"/>
    <w:rsid w:val="006F43AA"/>
    <w:rsid w:val="00704815"/>
    <w:rsid w:val="007139B4"/>
    <w:rsid w:val="00713ED3"/>
    <w:rsid w:val="00725981"/>
    <w:rsid w:val="00735048"/>
    <w:rsid w:val="007366E6"/>
    <w:rsid w:val="00744BB6"/>
    <w:rsid w:val="00766C77"/>
    <w:rsid w:val="007715AF"/>
    <w:rsid w:val="00772A69"/>
    <w:rsid w:val="00775A3B"/>
    <w:rsid w:val="0077643A"/>
    <w:rsid w:val="0078663F"/>
    <w:rsid w:val="00787FA6"/>
    <w:rsid w:val="007A4F30"/>
    <w:rsid w:val="007B0AFE"/>
    <w:rsid w:val="007B4DC4"/>
    <w:rsid w:val="007C02B1"/>
    <w:rsid w:val="007D14A0"/>
    <w:rsid w:val="008045C8"/>
    <w:rsid w:val="00804BDE"/>
    <w:rsid w:val="00805E39"/>
    <w:rsid w:val="00806D1F"/>
    <w:rsid w:val="00807A92"/>
    <w:rsid w:val="008133A4"/>
    <w:rsid w:val="0082222E"/>
    <w:rsid w:val="008275FF"/>
    <w:rsid w:val="00831E23"/>
    <w:rsid w:val="00841138"/>
    <w:rsid w:val="00843601"/>
    <w:rsid w:val="00854330"/>
    <w:rsid w:val="00854BF5"/>
    <w:rsid w:val="00856B83"/>
    <w:rsid w:val="0088081E"/>
    <w:rsid w:val="00884755"/>
    <w:rsid w:val="0088493A"/>
    <w:rsid w:val="008A1F0D"/>
    <w:rsid w:val="008A593C"/>
    <w:rsid w:val="008B0E33"/>
    <w:rsid w:val="008B3A06"/>
    <w:rsid w:val="008B42E4"/>
    <w:rsid w:val="008C3279"/>
    <w:rsid w:val="008C3678"/>
    <w:rsid w:val="008C693F"/>
    <w:rsid w:val="008E1E12"/>
    <w:rsid w:val="008F53C9"/>
    <w:rsid w:val="00901125"/>
    <w:rsid w:val="0090390D"/>
    <w:rsid w:val="00912A44"/>
    <w:rsid w:val="009130B0"/>
    <w:rsid w:val="00917B81"/>
    <w:rsid w:val="00954F17"/>
    <w:rsid w:val="009564C1"/>
    <w:rsid w:val="009576E4"/>
    <w:rsid w:val="00957E60"/>
    <w:rsid w:val="0096431C"/>
    <w:rsid w:val="00964F6C"/>
    <w:rsid w:val="00965AFC"/>
    <w:rsid w:val="00965C5E"/>
    <w:rsid w:val="00973708"/>
    <w:rsid w:val="00991BC6"/>
    <w:rsid w:val="009A1321"/>
    <w:rsid w:val="009B6DFE"/>
    <w:rsid w:val="009B75A2"/>
    <w:rsid w:val="009B77F7"/>
    <w:rsid w:val="009B7FE0"/>
    <w:rsid w:val="009C365E"/>
    <w:rsid w:val="009C3ACA"/>
    <w:rsid w:val="009D61E8"/>
    <w:rsid w:val="009F2062"/>
    <w:rsid w:val="00A00215"/>
    <w:rsid w:val="00A00C57"/>
    <w:rsid w:val="00A040CA"/>
    <w:rsid w:val="00A040EC"/>
    <w:rsid w:val="00A12601"/>
    <w:rsid w:val="00A15A35"/>
    <w:rsid w:val="00A1679C"/>
    <w:rsid w:val="00A22921"/>
    <w:rsid w:val="00A35FBE"/>
    <w:rsid w:val="00A4379D"/>
    <w:rsid w:val="00A43EE5"/>
    <w:rsid w:val="00A500C2"/>
    <w:rsid w:val="00A514EE"/>
    <w:rsid w:val="00A71165"/>
    <w:rsid w:val="00A802BC"/>
    <w:rsid w:val="00A8426D"/>
    <w:rsid w:val="00A93C70"/>
    <w:rsid w:val="00A96294"/>
    <w:rsid w:val="00A9738F"/>
    <w:rsid w:val="00AA6260"/>
    <w:rsid w:val="00AA6604"/>
    <w:rsid w:val="00AA757F"/>
    <w:rsid w:val="00AB1282"/>
    <w:rsid w:val="00AB2AF1"/>
    <w:rsid w:val="00AB4454"/>
    <w:rsid w:val="00AB6A69"/>
    <w:rsid w:val="00AC10F0"/>
    <w:rsid w:val="00AC1450"/>
    <w:rsid w:val="00AC6D6B"/>
    <w:rsid w:val="00AD4786"/>
    <w:rsid w:val="00AE2FE1"/>
    <w:rsid w:val="00B029F4"/>
    <w:rsid w:val="00B17640"/>
    <w:rsid w:val="00B21BE1"/>
    <w:rsid w:val="00B26FE9"/>
    <w:rsid w:val="00B42842"/>
    <w:rsid w:val="00B46508"/>
    <w:rsid w:val="00B55FB3"/>
    <w:rsid w:val="00B62582"/>
    <w:rsid w:val="00B63450"/>
    <w:rsid w:val="00B73551"/>
    <w:rsid w:val="00B8371F"/>
    <w:rsid w:val="00B847B3"/>
    <w:rsid w:val="00B84B4D"/>
    <w:rsid w:val="00B86B96"/>
    <w:rsid w:val="00BA36B1"/>
    <w:rsid w:val="00BB4FB6"/>
    <w:rsid w:val="00BC040C"/>
    <w:rsid w:val="00BC511E"/>
    <w:rsid w:val="00BC57F0"/>
    <w:rsid w:val="00BD5CFF"/>
    <w:rsid w:val="00BD7067"/>
    <w:rsid w:val="00BE0AD0"/>
    <w:rsid w:val="00BE360D"/>
    <w:rsid w:val="00BF6222"/>
    <w:rsid w:val="00C15ADA"/>
    <w:rsid w:val="00C21343"/>
    <w:rsid w:val="00C231A2"/>
    <w:rsid w:val="00C245B7"/>
    <w:rsid w:val="00C25660"/>
    <w:rsid w:val="00C27962"/>
    <w:rsid w:val="00C53F80"/>
    <w:rsid w:val="00C564D1"/>
    <w:rsid w:val="00C56C37"/>
    <w:rsid w:val="00C81FF9"/>
    <w:rsid w:val="00CA0E37"/>
    <w:rsid w:val="00CA2DF5"/>
    <w:rsid w:val="00CA5A82"/>
    <w:rsid w:val="00CA6BA8"/>
    <w:rsid w:val="00CA74DD"/>
    <w:rsid w:val="00CC5D68"/>
    <w:rsid w:val="00CC6DE6"/>
    <w:rsid w:val="00CD4E60"/>
    <w:rsid w:val="00CE1170"/>
    <w:rsid w:val="00CE2AC8"/>
    <w:rsid w:val="00CF1B75"/>
    <w:rsid w:val="00D07EFF"/>
    <w:rsid w:val="00D21510"/>
    <w:rsid w:val="00D2525D"/>
    <w:rsid w:val="00D25826"/>
    <w:rsid w:val="00D31B17"/>
    <w:rsid w:val="00D33ECA"/>
    <w:rsid w:val="00D65425"/>
    <w:rsid w:val="00D75A50"/>
    <w:rsid w:val="00D7755F"/>
    <w:rsid w:val="00D84F7A"/>
    <w:rsid w:val="00D851DF"/>
    <w:rsid w:val="00D86515"/>
    <w:rsid w:val="00D90BA1"/>
    <w:rsid w:val="00DA4E00"/>
    <w:rsid w:val="00DB475C"/>
    <w:rsid w:val="00DC61C5"/>
    <w:rsid w:val="00DD07B8"/>
    <w:rsid w:val="00DD0D56"/>
    <w:rsid w:val="00DD24BF"/>
    <w:rsid w:val="00DD646D"/>
    <w:rsid w:val="00DE6245"/>
    <w:rsid w:val="00DE6640"/>
    <w:rsid w:val="00E14B09"/>
    <w:rsid w:val="00E316A4"/>
    <w:rsid w:val="00E53F07"/>
    <w:rsid w:val="00E54078"/>
    <w:rsid w:val="00E6759B"/>
    <w:rsid w:val="00E73A39"/>
    <w:rsid w:val="00E76AE4"/>
    <w:rsid w:val="00E918FE"/>
    <w:rsid w:val="00E91A6C"/>
    <w:rsid w:val="00EA34A8"/>
    <w:rsid w:val="00EA4811"/>
    <w:rsid w:val="00EB78FD"/>
    <w:rsid w:val="00EC6400"/>
    <w:rsid w:val="00ED5B37"/>
    <w:rsid w:val="00EE07D2"/>
    <w:rsid w:val="00EE3DD9"/>
    <w:rsid w:val="00EE5049"/>
    <w:rsid w:val="00EF76C9"/>
    <w:rsid w:val="00F13EFD"/>
    <w:rsid w:val="00F16221"/>
    <w:rsid w:val="00F204E0"/>
    <w:rsid w:val="00F26CE9"/>
    <w:rsid w:val="00F3421C"/>
    <w:rsid w:val="00F34C2D"/>
    <w:rsid w:val="00F43D8B"/>
    <w:rsid w:val="00F467AE"/>
    <w:rsid w:val="00F65CC6"/>
    <w:rsid w:val="00F67D55"/>
    <w:rsid w:val="00F71A11"/>
    <w:rsid w:val="00F75908"/>
    <w:rsid w:val="00F86704"/>
    <w:rsid w:val="00F90DAF"/>
    <w:rsid w:val="00F91EAF"/>
    <w:rsid w:val="00F929CB"/>
    <w:rsid w:val="00FA1AF7"/>
    <w:rsid w:val="00FA6570"/>
    <w:rsid w:val="00FA7E15"/>
    <w:rsid w:val="00FB106F"/>
    <w:rsid w:val="00FD4551"/>
    <w:rsid w:val="00FF08F7"/>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105DC6EC"/>
  <w15:chartTrackingRefBased/>
  <w15:docId w15:val="{A3FC9F26-4DE8-401C-83A0-DAB4A30EE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1C5"/>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DC61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1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1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1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1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1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1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1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1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1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1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1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1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1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1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1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1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1C5"/>
    <w:rPr>
      <w:rFonts w:eastAsiaTheme="majorEastAsia" w:cstheme="majorBidi"/>
      <w:color w:val="272727" w:themeColor="text1" w:themeTint="D8"/>
    </w:rPr>
  </w:style>
  <w:style w:type="paragraph" w:styleId="Title">
    <w:name w:val="Title"/>
    <w:basedOn w:val="Normal"/>
    <w:next w:val="Normal"/>
    <w:link w:val="TitleChar"/>
    <w:uiPriority w:val="10"/>
    <w:qFormat/>
    <w:rsid w:val="00DC61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1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1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1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1C5"/>
    <w:pPr>
      <w:spacing w:before="160"/>
      <w:jc w:val="center"/>
    </w:pPr>
    <w:rPr>
      <w:i/>
      <w:iCs/>
      <w:color w:val="404040" w:themeColor="text1" w:themeTint="BF"/>
    </w:rPr>
  </w:style>
  <w:style w:type="character" w:customStyle="1" w:styleId="QuoteChar">
    <w:name w:val="Quote Char"/>
    <w:basedOn w:val="DefaultParagraphFont"/>
    <w:link w:val="Quote"/>
    <w:uiPriority w:val="29"/>
    <w:rsid w:val="00DC61C5"/>
    <w:rPr>
      <w:i/>
      <w:iCs/>
      <w:color w:val="404040" w:themeColor="text1" w:themeTint="BF"/>
    </w:rPr>
  </w:style>
  <w:style w:type="paragraph" w:styleId="ListParagraph">
    <w:name w:val="List Paragraph"/>
    <w:basedOn w:val="Normal"/>
    <w:uiPriority w:val="34"/>
    <w:qFormat/>
    <w:rsid w:val="00DC61C5"/>
    <w:pPr>
      <w:ind w:left="720"/>
      <w:contextualSpacing/>
    </w:pPr>
  </w:style>
  <w:style w:type="character" w:styleId="IntenseEmphasis">
    <w:name w:val="Intense Emphasis"/>
    <w:basedOn w:val="DefaultParagraphFont"/>
    <w:uiPriority w:val="21"/>
    <w:qFormat/>
    <w:rsid w:val="00DC61C5"/>
    <w:rPr>
      <w:i/>
      <w:iCs/>
      <w:color w:val="0F4761" w:themeColor="accent1" w:themeShade="BF"/>
    </w:rPr>
  </w:style>
  <w:style w:type="paragraph" w:styleId="IntenseQuote">
    <w:name w:val="Intense Quote"/>
    <w:basedOn w:val="Normal"/>
    <w:next w:val="Normal"/>
    <w:link w:val="IntenseQuoteChar"/>
    <w:uiPriority w:val="30"/>
    <w:qFormat/>
    <w:rsid w:val="00DC61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1C5"/>
    <w:rPr>
      <w:i/>
      <w:iCs/>
      <w:color w:val="0F4761" w:themeColor="accent1" w:themeShade="BF"/>
    </w:rPr>
  </w:style>
  <w:style w:type="character" w:styleId="IntenseReference">
    <w:name w:val="Intense Reference"/>
    <w:basedOn w:val="DefaultParagraphFont"/>
    <w:uiPriority w:val="32"/>
    <w:qFormat/>
    <w:rsid w:val="00DC61C5"/>
    <w:rPr>
      <w:b/>
      <w:bCs/>
      <w:smallCaps/>
      <w:color w:val="0F4761" w:themeColor="accent1" w:themeShade="BF"/>
      <w:spacing w:val="5"/>
    </w:rPr>
  </w:style>
  <w:style w:type="paragraph" w:styleId="NormalWeb">
    <w:name w:val="Normal (Web)"/>
    <w:basedOn w:val="Normal"/>
    <w:uiPriority w:val="99"/>
    <w:semiHidden/>
    <w:unhideWhenUsed/>
    <w:rsid w:val="001B7CCB"/>
    <w:rPr>
      <w:rFonts w:ascii="Times New Roman" w:hAnsi="Times New Roman"/>
    </w:rPr>
  </w:style>
  <w:style w:type="character" w:styleId="Hyperlink">
    <w:name w:val="Hyperlink"/>
    <w:basedOn w:val="DefaultParagraphFont"/>
    <w:uiPriority w:val="99"/>
    <w:unhideWhenUsed/>
    <w:rsid w:val="00157B9A"/>
    <w:rPr>
      <w:color w:val="467886" w:themeColor="hyperlink"/>
      <w:u w:val="single"/>
    </w:rPr>
  </w:style>
  <w:style w:type="character" w:styleId="UnresolvedMention">
    <w:name w:val="Unresolved Mention"/>
    <w:basedOn w:val="DefaultParagraphFont"/>
    <w:uiPriority w:val="99"/>
    <w:semiHidden/>
    <w:unhideWhenUsed/>
    <w:rsid w:val="00157B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dpi.com/2032-6653/12/3/152/pdf" TargetMode="External"/><Relationship Id="rId18" Type="http://schemas.openxmlformats.org/officeDocument/2006/relationships/hyperlink" Target="https://www.mdpi.com/2313-0105/7/4/8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ieeexplore.ieee.org/iel7/17/4429834/09761796.pdf?casa_token=ZlUbeXEuFdwAAAAA:jJc1BuqiLwBAmnaxoyBWy-x0rl6F9_mcnbUjCMZQRudqmUtQOb7ueObQOfJsZHNH2mZbPwexwk4R" TargetMode="External"/><Relationship Id="rId7" Type="http://schemas.openxmlformats.org/officeDocument/2006/relationships/image" Target="media/image3.png"/><Relationship Id="rId12" Type="http://schemas.openxmlformats.org/officeDocument/2006/relationships/hyperlink" Target="https://www.researchgate.net/profile/Rohit-Markan/publication/362591143_Factors_Influencing_Imbursements_Study_on_Payment_Preference_Among_Cash_MW_and_NFC/links/668777372aa57f3b826edc56/Factors-Influencing-Imbursements-Study-on-Payment-Preference-Among-Cash-MW-and-NFC.pdf#page=164" TargetMode="External"/><Relationship Id="rId17" Type="http://schemas.openxmlformats.org/officeDocument/2006/relationships/hyperlink" Target="https://iopscience.iop.org/article/10.1088/1755-1315/1254/1/012030/pdf" TargetMode="External"/><Relationship Id="rId25" Type="http://schemas.openxmlformats.org/officeDocument/2006/relationships/hyperlink" Target="https://www.sciencedirect.com/science/article/pii/S2211467X22000190" TargetMode="External"/><Relationship Id="rId2" Type="http://schemas.openxmlformats.org/officeDocument/2006/relationships/styles" Target="styles.xml"/><Relationship Id="rId16" Type="http://schemas.openxmlformats.org/officeDocument/2006/relationships/hyperlink" Target="https://www.sciencedirect.com/science/article/pii/S0306261919307834" TargetMode="External"/><Relationship Id="rId20" Type="http://schemas.openxmlformats.org/officeDocument/2006/relationships/hyperlink" Target="https://www.mdpi.com/1996-1073/16/17/618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dpi.com/1996-1073/15/24/9409" TargetMode="External"/><Relationship Id="rId24" Type="http://schemas.openxmlformats.org/officeDocument/2006/relationships/hyperlink" Target="https://www.mdpi.com/2071-1050/12/23/9807" TargetMode="External"/><Relationship Id="rId5" Type="http://schemas.openxmlformats.org/officeDocument/2006/relationships/image" Target="media/image1.png"/><Relationship Id="rId15" Type="http://schemas.openxmlformats.org/officeDocument/2006/relationships/hyperlink" Target="https://ieeexplore.ieee.org/iel7/6287639/6514899/10398193.pdf" TargetMode="External"/><Relationship Id="rId23" Type="http://schemas.openxmlformats.org/officeDocument/2006/relationships/hyperlink" Target="https://www.mdpi.com/2032-6653/15/8/375" TargetMode="External"/><Relationship Id="rId10" Type="http://schemas.openxmlformats.org/officeDocument/2006/relationships/image" Target="media/image6.png"/><Relationship Id="rId19" Type="http://schemas.openxmlformats.org/officeDocument/2006/relationships/hyperlink" Target="https://ieeexplore.ieee.org/iel7/6287639/6514899/09775727.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ciencedirect.com/science/article/pii/S1364032121009813?casa_token=GMHt-656GokAAAAA:NfZUnRBJMNKG_cVlZBwFYxwpY-EoD4Yto9KzNLri2YMqvEJvTjwmUc9doLn6Te-qniyi7JsXsJw" TargetMode="External"/><Relationship Id="rId22" Type="http://schemas.openxmlformats.org/officeDocument/2006/relationships/hyperlink" Target="https://www.mdpi.com/2624-8921/3/4/5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1255</TotalTime>
  <Pages>12</Pages>
  <Words>2738</Words>
  <Characters>15610</Characters>
  <Application>Microsoft Office Word</Application>
  <DocSecurity>0</DocSecurity>
  <Lines>130</Lines>
  <Paragraphs>36</Paragraphs>
  <ScaleCrop>false</ScaleCrop>
  <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Devi Raju</dc:creator>
  <cp:keywords/>
  <dc:description/>
  <cp:lastModifiedBy>Devi Raju</cp:lastModifiedBy>
  <cp:revision>322</cp:revision>
  <dcterms:created xsi:type="dcterms:W3CDTF">2025-12-01T19:14:00Z</dcterms:created>
  <dcterms:modified xsi:type="dcterms:W3CDTF">2025-12-04T01:18:00Z</dcterms:modified>
</cp:coreProperties>
</file>