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2E29C22" w14:textId="4AA52B8C" w:rsidR="00187071" w:rsidRPr="00B0196C" w:rsidRDefault="00187071" w:rsidP="00187071">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B0196C">
        <w:rPr>
          <w:rFonts w:ascii="Arial" w:eastAsia="Times New Roman" w:hAnsi="Arial" w:cs="Arial"/>
          <w:kern w:val="0"/>
          <w:sz w:val="22"/>
          <w:szCs w:val="22"/>
          <w:lang w:eastAsia="en-GB"/>
          <w14:ligatures w14:val="none"/>
        </w:rPr>
        <w:t>Student Name: Misbah</w:t>
      </w:r>
      <w:r w:rsidR="00B0196C">
        <w:rPr>
          <w:rFonts w:ascii="Arial" w:eastAsia="Times New Roman" w:hAnsi="Arial" w:cs="Arial"/>
          <w:kern w:val="0"/>
          <w:sz w:val="22"/>
          <w:szCs w:val="22"/>
          <w:lang w:eastAsia="en-GB"/>
          <w14:ligatures w14:val="none"/>
        </w:rPr>
        <w:t xml:space="preserve"> Zafar</w:t>
      </w:r>
    </w:p>
    <w:p w14:paraId="181500C4" w14:textId="7CBE6FE8" w:rsidR="00187071" w:rsidRPr="00B0196C" w:rsidRDefault="00187071" w:rsidP="00187071">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B0196C">
        <w:rPr>
          <w:rFonts w:ascii="Arial" w:eastAsia="Times New Roman" w:hAnsi="Arial" w:cs="Arial"/>
          <w:kern w:val="0"/>
          <w:sz w:val="22"/>
          <w:szCs w:val="22"/>
          <w:lang w:eastAsia="en-GB"/>
          <w14:ligatures w14:val="none"/>
        </w:rPr>
        <w:t>Student ID:</w:t>
      </w:r>
      <w:r w:rsidR="00C34A3D" w:rsidRPr="00B0196C">
        <w:rPr>
          <w:rFonts w:ascii="Arial" w:eastAsia="Times New Roman" w:hAnsi="Arial" w:cs="Arial"/>
          <w:kern w:val="0"/>
          <w:sz w:val="22"/>
          <w:szCs w:val="22"/>
          <w:lang w:eastAsia="en-GB"/>
          <w14:ligatures w14:val="none"/>
        </w:rPr>
        <w:t xml:space="preserve"> </w:t>
      </w:r>
      <w:r w:rsidR="00756811" w:rsidRPr="00B0196C">
        <w:rPr>
          <w:rFonts w:ascii="Arial" w:eastAsia="Times New Roman" w:hAnsi="Arial" w:cs="Arial"/>
          <w:kern w:val="0"/>
          <w:sz w:val="22"/>
          <w:szCs w:val="22"/>
          <w:lang w:eastAsia="en-GB"/>
          <w14:ligatures w14:val="none"/>
        </w:rPr>
        <w:t>2541659</w:t>
      </w:r>
    </w:p>
    <w:p w14:paraId="23C31A73" w14:textId="243EE8D2" w:rsidR="00187071" w:rsidRPr="00B0196C" w:rsidRDefault="00187071" w:rsidP="00187071">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B0196C">
        <w:rPr>
          <w:rFonts w:ascii="Arial" w:eastAsia="Times New Roman" w:hAnsi="Arial" w:cs="Arial"/>
          <w:kern w:val="0"/>
          <w:sz w:val="22"/>
          <w:szCs w:val="22"/>
          <w:lang w:eastAsia="en-GB"/>
          <w14:ligatures w14:val="none"/>
        </w:rPr>
        <w:t xml:space="preserve">Module Code: </w:t>
      </w:r>
      <w:r w:rsidRPr="00B0196C">
        <w:rPr>
          <w:rFonts w:ascii="Arial" w:hAnsi="Arial" w:cs="Arial"/>
          <w:sz w:val="22"/>
          <w:szCs w:val="22"/>
        </w:rPr>
        <w:t>LCHS 4008</w:t>
      </w:r>
    </w:p>
    <w:p w14:paraId="11D48A4B" w14:textId="5A6BD020" w:rsidR="00187071" w:rsidRPr="00B0196C" w:rsidRDefault="00187071" w:rsidP="00187071">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B0196C">
        <w:rPr>
          <w:rFonts w:ascii="Arial" w:eastAsia="Times New Roman" w:hAnsi="Arial" w:cs="Arial"/>
          <w:kern w:val="0"/>
          <w:sz w:val="22"/>
          <w:szCs w:val="22"/>
          <w:lang w:eastAsia="en-GB"/>
          <w14:ligatures w14:val="none"/>
        </w:rPr>
        <w:t xml:space="preserve">Assignment Title: </w:t>
      </w:r>
      <w:r w:rsidRPr="00B0196C">
        <w:rPr>
          <w:rFonts w:ascii="Arial" w:hAnsi="Arial" w:cs="Arial"/>
          <w:sz w:val="22"/>
          <w:szCs w:val="22"/>
        </w:rPr>
        <w:t>Report on a Health Issue</w:t>
      </w:r>
    </w:p>
    <w:p w14:paraId="5C0DFD65" w14:textId="7E6B41D0" w:rsidR="00187071" w:rsidRPr="00B0196C" w:rsidRDefault="00187071" w:rsidP="00187071">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B0196C">
        <w:rPr>
          <w:rFonts w:ascii="Arial" w:eastAsia="Times New Roman" w:hAnsi="Arial" w:cs="Arial"/>
          <w:kern w:val="0"/>
          <w:sz w:val="22"/>
          <w:szCs w:val="22"/>
          <w:lang w:eastAsia="en-GB"/>
          <w14:ligatures w14:val="none"/>
        </w:rPr>
        <w:t>Lecturer:</w:t>
      </w:r>
      <w:r w:rsidR="00C34A3D" w:rsidRPr="00B0196C">
        <w:rPr>
          <w:rFonts w:ascii="Arial" w:eastAsia="Times New Roman" w:hAnsi="Arial" w:cs="Arial"/>
          <w:kern w:val="0"/>
          <w:sz w:val="22"/>
          <w:szCs w:val="22"/>
          <w:lang w:eastAsia="en-GB"/>
          <w14:ligatures w14:val="none"/>
        </w:rPr>
        <w:t xml:space="preserve"> </w:t>
      </w:r>
      <w:r w:rsidR="007C38DB" w:rsidRPr="00B0196C">
        <w:rPr>
          <w:rFonts w:ascii="Arial" w:eastAsia="Times New Roman" w:hAnsi="Arial" w:cs="Arial"/>
          <w:kern w:val="0"/>
          <w:sz w:val="22"/>
          <w:szCs w:val="22"/>
          <w:lang w:eastAsia="en-GB"/>
          <w14:ligatures w14:val="none"/>
        </w:rPr>
        <w:t>Emmanuel Audu</w:t>
      </w:r>
    </w:p>
    <w:p w14:paraId="2EA14496" w14:textId="77777777" w:rsidR="00187071" w:rsidRDefault="00187071" w:rsidP="0018707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3D5609BA" w14:textId="77777777" w:rsidR="00187071" w:rsidRDefault="00187071" w:rsidP="0018707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67620165" w14:textId="77777777" w:rsidR="00187071" w:rsidRDefault="00187071" w:rsidP="0018707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62ED565C" w14:textId="77777777" w:rsidR="00187071" w:rsidRDefault="00187071" w:rsidP="0018707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785C2708" w14:textId="77777777" w:rsidR="00187071" w:rsidRDefault="00187071" w:rsidP="0018707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2D448618" w14:textId="77777777" w:rsidR="00187071" w:rsidRDefault="00187071" w:rsidP="0018707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7C081F07" w14:textId="77777777" w:rsidR="00187071" w:rsidRDefault="00187071" w:rsidP="0018707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05C835BA" w14:textId="77777777" w:rsidR="00187071" w:rsidRDefault="00187071" w:rsidP="0018707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61ABD0A5" w14:textId="77777777" w:rsidR="00187071" w:rsidRDefault="00187071" w:rsidP="0018707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44D738CB" w14:textId="77777777" w:rsidR="00187071" w:rsidRDefault="00187071" w:rsidP="0018707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1ED6DBE4" w14:textId="77777777" w:rsidR="00187071" w:rsidRDefault="00187071" w:rsidP="0018707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2EC134FD" w14:textId="77777777" w:rsidR="00187071" w:rsidRDefault="00187071" w:rsidP="0018707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273869BD" w14:textId="77777777" w:rsidR="00187071" w:rsidRDefault="00187071" w:rsidP="0018707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5B6144B5" w14:textId="77777777" w:rsidR="00187071" w:rsidRDefault="00187071" w:rsidP="0018707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354ACE33" w14:textId="77777777" w:rsidR="00187071" w:rsidRDefault="00187071" w:rsidP="0018707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3C46D788" w14:textId="77777777" w:rsidR="00187071" w:rsidRDefault="00187071" w:rsidP="0018707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085B5C33" w14:textId="6AE9481C" w:rsidR="00187071" w:rsidRPr="00187071" w:rsidRDefault="00187071" w:rsidP="0018707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187071">
        <w:rPr>
          <w:rFonts w:ascii="Arial" w:eastAsia="Times New Roman" w:hAnsi="Arial" w:cs="Arial"/>
          <w:b/>
          <w:bCs/>
          <w:kern w:val="0"/>
          <w:sz w:val="22"/>
          <w:szCs w:val="22"/>
          <w:lang w:eastAsia="en-GB"/>
          <w14:ligatures w14:val="none"/>
        </w:rPr>
        <w:t xml:space="preserve">Introduction </w:t>
      </w:r>
    </w:p>
    <w:p w14:paraId="1C30F729" w14:textId="35AC9941" w:rsidR="00187071" w:rsidRPr="00187071" w:rsidRDefault="00187071" w:rsidP="00187071">
      <w:pPr>
        <w:spacing w:before="100" w:beforeAutospacing="1" w:after="100" w:afterAutospacing="1" w:line="360" w:lineRule="auto"/>
        <w:rPr>
          <w:rFonts w:ascii="Arial" w:eastAsia="Times New Roman" w:hAnsi="Arial" w:cs="Arial"/>
          <w:kern w:val="0"/>
          <w:sz w:val="22"/>
          <w:szCs w:val="22"/>
          <w:lang w:eastAsia="en-GB"/>
          <w14:ligatures w14:val="none"/>
        </w:rPr>
      </w:pPr>
      <w:r w:rsidRPr="00187071">
        <w:rPr>
          <w:rFonts w:ascii="Arial" w:eastAsia="Times New Roman" w:hAnsi="Arial" w:cs="Arial"/>
          <w:kern w:val="0"/>
          <w:sz w:val="22"/>
          <w:szCs w:val="22"/>
          <w:lang w:eastAsia="en-GB"/>
          <w14:ligatures w14:val="none"/>
        </w:rPr>
        <w:t>Type 2 diabetes mellitus is a metabolic disorder characterised by insulin resistance and insufficient insulin production, resulting in elevated blood glucose. Over time, uncontrolled glucose levels can damage blood vessels, nerves and vital organs (NHS, n.d.). Common warning signs include excessive thirst, frequent urination, tiredness and blurred vision, although the condition may remain undetected for years. Unlike type 1 diabetes, type 2 diabetes is strongly associated with interacting genetic, biological, environmental and socioeconomic influences. Although predominantly diagnosed in adults, it increasingly affects younger people, including children. The International Diabetes Federation (IDF, 2025) estimated that 589 million adults worldwide were living with diabetes in 2024, with type 2 accounting for most cases. In the UK, approximately 4.7 million people have diagnosed diabetes, around 90% having type 2 (Diabetes UK, 2025). This report evaluates its health consequences, prevention and treatment, and the influence of social determinants on individual wellbeing and healthcare provision.</w:t>
      </w:r>
    </w:p>
    <w:p w14:paraId="1D869C10" w14:textId="77777777" w:rsidR="00187071" w:rsidRDefault="00187071" w:rsidP="00187071">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187071">
        <w:rPr>
          <w:rFonts w:ascii="Arial" w:eastAsia="Times New Roman" w:hAnsi="Arial" w:cs="Arial"/>
          <w:b/>
          <w:bCs/>
          <w:kern w:val="0"/>
          <w:sz w:val="22"/>
          <w:szCs w:val="22"/>
          <w:lang w:eastAsia="en-GB"/>
          <w14:ligatures w14:val="none"/>
        </w:rPr>
        <w:t>The effects of type 2 diabetes on patients, families and healthcare services</w:t>
      </w:r>
    </w:p>
    <w:p w14:paraId="4266DBD3" w14:textId="77777777" w:rsidR="008C5DEF" w:rsidRPr="00B24B13" w:rsidRDefault="008C5DEF" w:rsidP="00B24B13">
      <w:pPr>
        <w:shd w:val="clear" w:color="auto" w:fill="FCFCFC"/>
        <w:spacing w:before="100" w:beforeAutospacing="1" w:after="100" w:afterAutospacing="1" w:line="360" w:lineRule="auto"/>
        <w:rPr>
          <w:rFonts w:ascii="Arial" w:eastAsia="Times New Roman" w:hAnsi="Arial" w:cs="Arial"/>
          <w:color w:val="0D0D0D"/>
          <w:kern w:val="0"/>
          <w:sz w:val="22"/>
          <w:szCs w:val="22"/>
          <w:lang w:eastAsia="en-GB"/>
          <w14:ligatures w14:val="none"/>
        </w:rPr>
      </w:pPr>
      <w:r w:rsidRPr="00B24B13">
        <w:rPr>
          <w:rFonts w:ascii="Arial" w:eastAsia="Times New Roman" w:hAnsi="Arial" w:cs="Arial"/>
          <w:color w:val="0D0D0D"/>
          <w:kern w:val="0"/>
          <w:sz w:val="22"/>
          <w:szCs w:val="22"/>
          <w:lang w:eastAsia="en-GB"/>
          <w14:ligatures w14:val="none"/>
        </w:rPr>
        <w:t>Type 2 diabetes has consequences that depend on blood glucose control and the effectiveness of ongoing management. Insulin resistance reduces the body's response to insulin, while the pancreas may eventually produce insufficient amounts. Consequently, glucose accumulates in the bloodstream. Persistent hyperglycaemia damages blood vessels and nerves, increasing the risk of cardiovascular disease, stroke, kidney disease, retinopathy and peripheral neuropathy (NICE, 2026). These complications can develop gradually, meaning individuals may remain unaware of damage until symptoms become serious.</w:t>
      </w:r>
    </w:p>
    <w:p w14:paraId="7F0BF7AE" w14:textId="77777777" w:rsidR="008C5DEF" w:rsidRPr="00B24B13" w:rsidRDefault="008C5DEF" w:rsidP="00B24B13">
      <w:pPr>
        <w:shd w:val="clear" w:color="auto" w:fill="FCFCFC"/>
        <w:spacing w:before="100" w:beforeAutospacing="1" w:after="100" w:afterAutospacing="1" w:line="360" w:lineRule="auto"/>
        <w:rPr>
          <w:rFonts w:ascii="Arial" w:eastAsia="Times New Roman" w:hAnsi="Arial" w:cs="Arial"/>
          <w:color w:val="0D0D0D"/>
          <w:kern w:val="0"/>
          <w:sz w:val="22"/>
          <w:szCs w:val="22"/>
          <w:lang w:eastAsia="en-GB"/>
          <w14:ligatures w14:val="none"/>
        </w:rPr>
      </w:pPr>
      <w:r w:rsidRPr="00B24B13">
        <w:rPr>
          <w:rFonts w:ascii="Arial" w:eastAsia="Times New Roman" w:hAnsi="Arial" w:cs="Arial"/>
          <w:color w:val="0D0D0D"/>
          <w:kern w:val="0"/>
          <w:sz w:val="22"/>
          <w:szCs w:val="22"/>
          <w:lang w:eastAsia="en-GB"/>
          <w14:ligatures w14:val="none"/>
        </w:rPr>
        <w:t>Cardiovascular disease can restrict mobility, while kidney failure may require dialysis. Retinopathy can impair vision, and neuropathy can reduce foot sensation. Unnoticed injuries may develop into ulcers, infections and, in severe cases, amputation. These complications can limit employment, driving and independence. However, they are not inevitable. Appropriate medication, blood glucose management, blood pressure control and regular assessments can reduce risks.</w:t>
      </w:r>
    </w:p>
    <w:p w14:paraId="0929B9BD" w14:textId="77777777" w:rsidR="008C5DEF" w:rsidRPr="00B24B13" w:rsidRDefault="008C5DEF" w:rsidP="00B24B13">
      <w:pPr>
        <w:shd w:val="clear" w:color="auto" w:fill="FCFCFC"/>
        <w:spacing w:before="100" w:beforeAutospacing="1" w:after="100" w:afterAutospacing="1" w:line="360" w:lineRule="auto"/>
        <w:rPr>
          <w:rFonts w:ascii="Arial" w:eastAsia="Times New Roman" w:hAnsi="Arial" w:cs="Arial"/>
          <w:color w:val="0D0D0D"/>
          <w:kern w:val="0"/>
          <w:sz w:val="22"/>
          <w:szCs w:val="22"/>
          <w:lang w:eastAsia="en-GB"/>
          <w14:ligatures w14:val="none"/>
        </w:rPr>
      </w:pPr>
      <w:r w:rsidRPr="00B24B13">
        <w:rPr>
          <w:rFonts w:ascii="Arial" w:eastAsia="Times New Roman" w:hAnsi="Arial" w:cs="Arial"/>
          <w:color w:val="0D0D0D"/>
          <w:kern w:val="0"/>
          <w:sz w:val="22"/>
          <w:szCs w:val="22"/>
          <w:lang w:eastAsia="en-GB"/>
          <w14:ligatures w14:val="none"/>
        </w:rPr>
        <w:t>Managing diabetes also creates emotional and practical challenges. Individuals must coordinate meals, physical activity, medication and appointments around everyday responsibilities. Fluctuating glucose levels can cause frustration, while diabetes-related distress may involve anxiety, guilt and exhaustion. Fear of complications can affect relationships, sleep and confidence. Healthcare professionals should therefore assess psychological wellbeing alongside physical health rather than interpreting difficulties with self-management as a lack of motivation.</w:t>
      </w:r>
    </w:p>
    <w:p w14:paraId="20C72DF3" w14:textId="32AA82B0" w:rsidR="008C5DEF" w:rsidRPr="00B24B13" w:rsidRDefault="008C5DEF" w:rsidP="00B24B13">
      <w:pPr>
        <w:shd w:val="clear" w:color="auto" w:fill="FCFCFC"/>
        <w:spacing w:before="100" w:beforeAutospacing="1" w:after="100" w:afterAutospacing="1" w:line="360" w:lineRule="auto"/>
        <w:rPr>
          <w:rFonts w:ascii="Arial" w:eastAsia="Times New Roman" w:hAnsi="Arial" w:cs="Arial"/>
          <w:color w:val="0D0D0D"/>
          <w:kern w:val="0"/>
          <w:sz w:val="22"/>
          <w:szCs w:val="22"/>
          <w:lang w:eastAsia="en-GB"/>
          <w14:ligatures w14:val="none"/>
        </w:rPr>
      </w:pPr>
      <w:r w:rsidRPr="00B24B13">
        <w:rPr>
          <w:rFonts w:ascii="Arial" w:eastAsia="Times New Roman" w:hAnsi="Arial" w:cs="Arial"/>
          <w:color w:val="0D0D0D"/>
          <w:kern w:val="0"/>
          <w:sz w:val="22"/>
          <w:szCs w:val="22"/>
          <w:lang w:eastAsia="en-GB"/>
          <w14:ligatures w14:val="none"/>
        </w:rPr>
        <w:t xml:space="preserve">Families may change shopping habits, prepare different meals and assist with appointments. Parents of children with diabetes may worry about stigma, education and future health. </w:t>
      </w:r>
      <w:r w:rsidR="00B24B13" w:rsidRPr="00B24B13">
        <w:rPr>
          <w:rFonts w:ascii="Arial" w:eastAsia="Times New Roman" w:hAnsi="Arial" w:cs="Arial"/>
          <w:color w:val="0D0D0D"/>
          <w:kern w:val="0"/>
          <w:sz w:val="22"/>
          <w:szCs w:val="22"/>
          <w:lang w:eastAsia="en-GB"/>
          <w14:ligatures w14:val="none"/>
        </w:rPr>
        <w:t>Transport expenses</w:t>
      </w:r>
      <w:r w:rsidRPr="00B24B13">
        <w:rPr>
          <w:rFonts w:ascii="Arial" w:eastAsia="Times New Roman" w:hAnsi="Arial" w:cs="Arial"/>
          <w:color w:val="0D0D0D"/>
          <w:kern w:val="0"/>
          <w:sz w:val="22"/>
          <w:szCs w:val="22"/>
          <w:lang w:eastAsia="en-GB"/>
          <w14:ligatures w14:val="none"/>
        </w:rPr>
        <w:t xml:space="preserve"> reduced working </w:t>
      </w:r>
      <w:r w:rsidR="00B24B13" w:rsidRPr="00B24B13">
        <w:rPr>
          <w:rFonts w:ascii="Arial" w:eastAsia="Times New Roman" w:hAnsi="Arial" w:cs="Arial"/>
          <w:color w:val="0D0D0D"/>
          <w:kern w:val="0"/>
          <w:sz w:val="22"/>
          <w:szCs w:val="22"/>
          <w:lang w:eastAsia="en-GB"/>
          <w14:ligatures w14:val="none"/>
        </w:rPr>
        <w:t>hours,</w:t>
      </w:r>
      <w:r w:rsidRPr="00B24B13">
        <w:rPr>
          <w:rFonts w:ascii="Arial" w:eastAsia="Times New Roman" w:hAnsi="Arial" w:cs="Arial"/>
          <w:color w:val="0D0D0D"/>
          <w:kern w:val="0"/>
          <w:sz w:val="22"/>
          <w:szCs w:val="22"/>
          <w:lang w:eastAsia="en-GB"/>
          <w14:ligatures w14:val="none"/>
        </w:rPr>
        <w:t xml:space="preserve"> and dietary costs can create financial pressure. Fatigue and mobility difficulties may also restrict community participation. Local support groups can offer practical advice and emotional reassurance, provided services are accessible and culturally appropriate.</w:t>
      </w:r>
    </w:p>
    <w:p w14:paraId="143A9627" w14:textId="77777777" w:rsidR="008C5DEF" w:rsidRPr="00B24B13" w:rsidRDefault="008C5DEF" w:rsidP="00B24B13">
      <w:pPr>
        <w:shd w:val="clear" w:color="auto" w:fill="FCFCFC"/>
        <w:spacing w:before="100" w:beforeAutospacing="1" w:after="100" w:afterAutospacing="1" w:line="360" w:lineRule="auto"/>
        <w:rPr>
          <w:rFonts w:ascii="Arial" w:eastAsia="Times New Roman" w:hAnsi="Arial" w:cs="Arial"/>
          <w:color w:val="0D0D0D"/>
          <w:kern w:val="0"/>
          <w:sz w:val="22"/>
          <w:szCs w:val="22"/>
          <w:lang w:eastAsia="en-GB"/>
          <w14:ligatures w14:val="none"/>
        </w:rPr>
      </w:pPr>
      <w:r w:rsidRPr="00B24B13">
        <w:rPr>
          <w:rFonts w:ascii="Arial" w:eastAsia="Times New Roman" w:hAnsi="Arial" w:cs="Arial"/>
          <w:color w:val="0D0D0D"/>
          <w:kern w:val="0"/>
          <w:sz w:val="22"/>
          <w:szCs w:val="22"/>
          <w:lang w:eastAsia="en-GB"/>
          <w14:ligatures w14:val="none"/>
        </w:rPr>
        <w:t>The NHS must fund prevention, primary care, specialist treatment and complication management. General practitioners coordinate monitoring and referrals, while hospital teams manage complex cases and emergencies. Diabetes nurses, dietitians, podiatrists, pharmacists and specialist doctors contribute to care. Monitoring glucose, blood pressure, cholesterol, kidney function, eyes and feet helps identify complications early.</w:t>
      </w:r>
    </w:p>
    <w:p w14:paraId="269F0599" w14:textId="77777777" w:rsidR="008C5DEF" w:rsidRPr="00B24B13" w:rsidRDefault="008C5DEF" w:rsidP="00B24B13">
      <w:pPr>
        <w:shd w:val="clear" w:color="auto" w:fill="FCFCFC"/>
        <w:spacing w:before="100" w:beforeAutospacing="1" w:after="100" w:afterAutospacing="1" w:line="360" w:lineRule="auto"/>
        <w:rPr>
          <w:rFonts w:ascii="Arial" w:eastAsia="Times New Roman" w:hAnsi="Arial" w:cs="Arial"/>
          <w:color w:val="0D0D0D"/>
          <w:kern w:val="0"/>
          <w:sz w:val="22"/>
          <w:szCs w:val="22"/>
          <w:lang w:eastAsia="en-GB"/>
          <w14:ligatures w14:val="none"/>
        </w:rPr>
      </w:pPr>
      <w:r w:rsidRPr="00B24B13">
        <w:rPr>
          <w:rFonts w:ascii="Arial" w:eastAsia="Times New Roman" w:hAnsi="Arial" w:cs="Arial"/>
          <w:color w:val="0D0D0D"/>
          <w:kern w:val="0"/>
          <w:sz w:val="22"/>
          <w:szCs w:val="22"/>
          <w:lang w:eastAsia="en-GB"/>
          <w14:ligatures w14:val="none"/>
        </w:rPr>
        <w:t>Costs include medicines, laboratory tests, hospital admissions and treatment for associated illnesses. Serious complications may require surgery, rehabilitation or social care. NHS England's National Diabetes Audit reported that 58.2% of people with type 2 diabetes received all eight recommended care processes in England during 2024–25 (NHS England, 2026). This highlights gaps in routine monitoring. Improving outcomes requires not only encouraging attendance but also addressing service capacity, communication and practical barriers. Better coordinated care can prevent avoidable complications and reduce pressure on healthcare resources.</w:t>
      </w:r>
    </w:p>
    <w:p w14:paraId="3DA69799" w14:textId="77777777" w:rsidR="008C5DEF" w:rsidRPr="00B24B13" w:rsidRDefault="008C5DEF" w:rsidP="00B24B13">
      <w:pPr>
        <w:shd w:val="clear" w:color="auto" w:fill="FCFCFC"/>
        <w:spacing w:before="100" w:beforeAutospacing="1" w:after="100" w:afterAutospacing="1" w:line="360" w:lineRule="auto"/>
        <w:outlineLvl w:val="1"/>
        <w:rPr>
          <w:rFonts w:ascii="Arial" w:eastAsia="Times New Roman" w:hAnsi="Arial" w:cs="Arial"/>
          <w:b/>
          <w:bCs/>
          <w:color w:val="0D0D0D"/>
          <w:kern w:val="0"/>
          <w:sz w:val="22"/>
          <w:szCs w:val="22"/>
          <w:lang w:eastAsia="en-GB"/>
          <w14:ligatures w14:val="none"/>
        </w:rPr>
      </w:pPr>
      <w:r w:rsidRPr="00B24B13">
        <w:rPr>
          <w:rFonts w:ascii="Arial" w:eastAsia="Times New Roman" w:hAnsi="Arial" w:cs="Arial"/>
          <w:b/>
          <w:bCs/>
          <w:color w:val="0D0D0D"/>
          <w:kern w:val="0"/>
          <w:sz w:val="22"/>
          <w:szCs w:val="22"/>
          <w:lang w:eastAsia="en-GB"/>
          <w14:ligatures w14:val="none"/>
        </w:rPr>
        <w:t>Prevention, clinical management and patient education</w:t>
      </w:r>
    </w:p>
    <w:p w14:paraId="3B129A54" w14:textId="77777777" w:rsidR="008C5DEF" w:rsidRPr="00B24B13" w:rsidRDefault="008C5DEF" w:rsidP="00B24B13">
      <w:pPr>
        <w:shd w:val="clear" w:color="auto" w:fill="FCFCFC"/>
        <w:spacing w:before="100" w:beforeAutospacing="1" w:after="100" w:afterAutospacing="1" w:line="360" w:lineRule="auto"/>
        <w:rPr>
          <w:rFonts w:ascii="Arial" w:eastAsia="Times New Roman" w:hAnsi="Arial" w:cs="Arial"/>
          <w:color w:val="0D0D0D"/>
          <w:kern w:val="0"/>
          <w:sz w:val="22"/>
          <w:szCs w:val="22"/>
          <w:lang w:eastAsia="en-GB"/>
          <w14:ligatures w14:val="none"/>
        </w:rPr>
      </w:pPr>
      <w:r w:rsidRPr="00B24B13">
        <w:rPr>
          <w:rFonts w:ascii="Arial" w:eastAsia="Times New Roman" w:hAnsi="Arial" w:cs="Arial"/>
          <w:color w:val="0D0D0D"/>
          <w:kern w:val="0"/>
          <w:sz w:val="22"/>
          <w:szCs w:val="22"/>
          <w:lang w:eastAsia="en-GB"/>
          <w14:ligatures w14:val="none"/>
        </w:rPr>
        <w:t>Type 2 diabetes develops through interacting genetic, biological and environmental influences. Family history, age, previous gestational diabetes and certain ethnic backgrounds can increase risk. Excess body fat and physical inactivity are also associated with increased likelihood. However, these factors do not make diabetes inevitable, and lifestyle changes cannot prevent every case.</w:t>
      </w:r>
    </w:p>
    <w:p w14:paraId="53B768DF" w14:textId="77777777" w:rsidR="008C5DEF" w:rsidRPr="00B24B13" w:rsidRDefault="008C5DEF" w:rsidP="00B24B13">
      <w:pPr>
        <w:shd w:val="clear" w:color="auto" w:fill="FCFCFC"/>
        <w:spacing w:before="100" w:beforeAutospacing="1" w:after="100" w:afterAutospacing="1" w:line="360" w:lineRule="auto"/>
        <w:rPr>
          <w:rFonts w:ascii="Arial" w:eastAsia="Times New Roman" w:hAnsi="Arial" w:cs="Arial"/>
          <w:color w:val="0D0D0D"/>
          <w:kern w:val="0"/>
          <w:sz w:val="22"/>
          <w:szCs w:val="22"/>
          <w:lang w:eastAsia="en-GB"/>
          <w14:ligatures w14:val="none"/>
        </w:rPr>
      </w:pPr>
      <w:r w:rsidRPr="00B24B13">
        <w:rPr>
          <w:rFonts w:ascii="Arial" w:eastAsia="Times New Roman" w:hAnsi="Arial" w:cs="Arial"/>
          <w:color w:val="0D0D0D"/>
          <w:kern w:val="0"/>
          <w:sz w:val="22"/>
          <w:szCs w:val="22"/>
          <w:lang w:eastAsia="en-GB"/>
          <w14:ligatures w14:val="none"/>
        </w:rPr>
        <w:t>Public health strategies should make healthier choices more accessible. Local authorities can provide safe walking routes, recreation facilities and healthier food environments. Schools can promote nutritious meals and physical activity, while employers can support healthier workplaces. Making nutritious food affordable is particularly important for households on limited incomes. Such measures address environmental barriers instead of placing responsibility entirely on individuals.</w:t>
      </w:r>
    </w:p>
    <w:p w14:paraId="3E3F237B" w14:textId="592C1A7A" w:rsidR="008C5DEF" w:rsidRPr="00B24B13" w:rsidRDefault="008C5DEF" w:rsidP="00B24B13">
      <w:pPr>
        <w:shd w:val="clear" w:color="auto" w:fill="FCFCFC"/>
        <w:spacing w:before="100" w:beforeAutospacing="1" w:after="100" w:afterAutospacing="1" w:line="360" w:lineRule="auto"/>
        <w:rPr>
          <w:rFonts w:ascii="Arial" w:eastAsia="Times New Roman" w:hAnsi="Arial" w:cs="Arial"/>
          <w:color w:val="0D0D0D"/>
          <w:kern w:val="0"/>
          <w:sz w:val="22"/>
          <w:szCs w:val="22"/>
          <w:lang w:eastAsia="en-GB"/>
          <w14:ligatures w14:val="none"/>
        </w:rPr>
      </w:pPr>
      <w:r w:rsidRPr="00B24B13">
        <w:rPr>
          <w:rFonts w:ascii="Arial" w:eastAsia="Times New Roman" w:hAnsi="Arial" w:cs="Arial"/>
          <w:color w:val="0D0D0D"/>
          <w:kern w:val="0"/>
          <w:sz w:val="22"/>
          <w:szCs w:val="22"/>
          <w:lang w:eastAsia="en-GB"/>
          <w14:ligatures w14:val="none"/>
        </w:rPr>
        <w:t xml:space="preserve">The NHS Diabetes Prevention Programme supports eligible people at high risk through dietary advice, weight management and physical activity (NHS England, n.d.). These interventions can reduce progression to diabetes for some participants. However, irregular working hours, caring responsibilities and transport difficulties may prevent attendance. Flexible appointments and culturally appropriate programmes can improve accessibility. Prevention should therefore be assessed by both effectiveness and whether disadvantaged </w:t>
      </w:r>
      <w:r w:rsidR="00B24B13" w:rsidRPr="00B24B13">
        <w:rPr>
          <w:rFonts w:ascii="Arial" w:eastAsia="Times New Roman" w:hAnsi="Arial" w:cs="Arial"/>
          <w:color w:val="0D0D0D"/>
          <w:kern w:val="0"/>
          <w:sz w:val="22"/>
          <w:szCs w:val="22"/>
          <w:lang w:eastAsia="en-GB"/>
          <w14:ligatures w14:val="none"/>
        </w:rPr>
        <w:t>communities’</w:t>
      </w:r>
      <w:r w:rsidRPr="00B24B13">
        <w:rPr>
          <w:rFonts w:ascii="Arial" w:eastAsia="Times New Roman" w:hAnsi="Arial" w:cs="Arial"/>
          <w:color w:val="0D0D0D"/>
          <w:kern w:val="0"/>
          <w:sz w:val="22"/>
          <w:szCs w:val="22"/>
          <w:lang w:eastAsia="en-GB"/>
          <w14:ligatures w14:val="none"/>
        </w:rPr>
        <w:t xml:space="preserve"> benefit.</w:t>
      </w:r>
    </w:p>
    <w:p w14:paraId="1740F1D0" w14:textId="77777777" w:rsidR="008C5DEF" w:rsidRPr="00B24B13" w:rsidRDefault="008C5DEF" w:rsidP="00B24B13">
      <w:pPr>
        <w:shd w:val="clear" w:color="auto" w:fill="FCFCFC"/>
        <w:spacing w:before="100" w:beforeAutospacing="1" w:after="100" w:afterAutospacing="1" w:line="360" w:lineRule="auto"/>
        <w:rPr>
          <w:rFonts w:ascii="Arial" w:eastAsia="Times New Roman" w:hAnsi="Arial" w:cs="Arial"/>
          <w:color w:val="0D0D0D"/>
          <w:kern w:val="0"/>
          <w:sz w:val="22"/>
          <w:szCs w:val="22"/>
          <w:lang w:eastAsia="en-GB"/>
          <w14:ligatures w14:val="none"/>
        </w:rPr>
      </w:pPr>
      <w:r w:rsidRPr="00B24B13">
        <w:rPr>
          <w:rFonts w:ascii="Arial" w:eastAsia="Times New Roman" w:hAnsi="Arial" w:cs="Arial"/>
          <w:color w:val="0D0D0D"/>
          <w:kern w:val="0"/>
          <w:sz w:val="22"/>
          <w:szCs w:val="22"/>
          <w:lang w:eastAsia="en-GB"/>
          <w14:ligatures w14:val="none"/>
        </w:rPr>
        <w:t>Diagnosis commonly involves glycated haemoglobin (HbA1c) testing, which reflects average blood glucose over approximately two to three months. Additional testing may be necessary when results are borderline or clinical circumstances affect interpretation. Because symptoms may be absent, risk assessment and appropriate testing are important. Early diagnosis allows treatment to begin and cardiovascular and kidney risks to be assessed before complications progress.</w:t>
      </w:r>
    </w:p>
    <w:p w14:paraId="31898105" w14:textId="77777777" w:rsidR="008C5DEF" w:rsidRPr="00B24B13" w:rsidRDefault="008C5DEF" w:rsidP="00B24B13">
      <w:pPr>
        <w:shd w:val="clear" w:color="auto" w:fill="FCFCFC"/>
        <w:spacing w:before="100" w:beforeAutospacing="1" w:after="100" w:afterAutospacing="1" w:line="360" w:lineRule="auto"/>
        <w:rPr>
          <w:rFonts w:ascii="Arial" w:eastAsia="Times New Roman" w:hAnsi="Arial" w:cs="Arial"/>
          <w:color w:val="0D0D0D"/>
          <w:kern w:val="0"/>
          <w:sz w:val="22"/>
          <w:szCs w:val="22"/>
          <w:lang w:eastAsia="en-GB"/>
          <w14:ligatures w14:val="none"/>
        </w:rPr>
      </w:pPr>
      <w:r w:rsidRPr="00B24B13">
        <w:rPr>
          <w:rFonts w:ascii="Arial" w:eastAsia="Times New Roman" w:hAnsi="Arial" w:cs="Arial"/>
          <w:color w:val="0D0D0D"/>
          <w:kern w:val="0"/>
          <w:sz w:val="22"/>
          <w:szCs w:val="22"/>
          <w:lang w:eastAsia="en-GB"/>
          <w14:ligatures w14:val="none"/>
        </w:rPr>
        <w:t>Management combines lifestyle support, medication and monitoring. Physical activity, appropriate nutrition and weight management can improve insulin sensitivity. Medication choices depend on glucose levels, cardiovascular and kidney risks, other conditions and patient preferences. Metformin remains suitable for many people, while sodium–glucose cotransporter-2 inhibitors and glucagon-like peptide-1 receptor agonists may offer additional cardiovascular, kidney or weight-related benefits for selected patients (NICE, 2026). Other medicines, including insulin, may sometimes be required. Treatment should be reviewed regularly.</w:t>
      </w:r>
    </w:p>
    <w:p w14:paraId="03276919" w14:textId="77777777" w:rsidR="008C5DEF" w:rsidRPr="00B24B13" w:rsidRDefault="008C5DEF" w:rsidP="00B24B13">
      <w:pPr>
        <w:shd w:val="clear" w:color="auto" w:fill="FCFCFC"/>
        <w:spacing w:before="100" w:beforeAutospacing="1" w:after="100" w:afterAutospacing="1" w:line="360" w:lineRule="auto"/>
        <w:rPr>
          <w:rFonts w:ascii="Arial" w:eastAsia="Times New Roman" w:hAnsi="Arial" w:cs="Arial"/>
          <w:color w:val="0D0D0D"/>
          <w:kern w:val="0"/>
          <w:sz w:val="22"/>
          <w:szCs w:val="22"/>
          <w:lang w:eastAsia="en-GB"/>
          <w14:ligatures w14:val="none"/>
        </w:rPr>
      </w:pPr>
      <w:r w:rsidRPr="00B24B13">
        <w:rPr>
          <w:rFonts w:ascii="Arial" w:eastAsia="Times New Roman" w:hAnsi="Arial" w:cs="Arial"/>
          <w:color w:val="0D0D0D"/>
          <w:kern w:val="0"/>
          <w:sz w:val="22"/>
          <w:szCs w:val="22"/>
          <w:lang w:eastAsia="en-GB"/>
          <w14:ligatures w14:val="none"/>
        </w:rPr>
        <w:t>Structured diabetes education helps individuals understand nutrition, glucose management, medication safety and complication prevention. Annual reviews should include recommended assessments of blood glucose, blood pressure, cholesterol, kidney health, eyes and feet. Foot examinations can identify problems before ulcers become severe, while retinal screening detects changes that might otherwise threaten vision. Patients using medicines associated with hypoglycaemia need advice on recognising and managing low blood glucose.</w:t>
      </w:r>
    </w:p>
    <w:p w14:paraId="19F7941D" w14:textId="77777777" w:rsidR="008C5DEF" w:rsidRPr="00B24B13" w:rsidRDefault="008C5DEF" w:rsidP="00B24B13">
      <w:pPr>
        <w:shd w:val="clear" w:color="auto" w:fill="FCFCFC"/>
        <w:spacing w:before="100" w:beforeAutospacing="1" w:after="100" w:afterAutospacing="1" w:line="360" w:lineRule="auto"/>
        <w:rPr>
          <w:rFonts w:ascii="Arial" w:eastAsia="Times New Roman" w:hAnsi="Arial" w:cs="Arial"/>
          <w:color w:val="0D0D0D"/>
          <w:kern w:val="0"/>
          <w:sz w:val="22"/>
          <w:szCs w:val="22"/>
          <w:lang w:eastAsia="en-GB"/>
          <w14:ligatures w14:val="none"/>
        </w:rPr>
      </w:pPr>
      <w:r w:rsidRPr="00B24B13">
        <w:rPr>
          <w:rFonts w:ascii="Arial" w:eastAsia="Times New Roman" w:hAnsi="Arial" w:cs="Arial"/>
          <w:color w:val="0D0D0D"/>
          <w:kern w:val="0"/>
          <w:sz w:val="22"/>
          <w:szCs w:val="22"/>
          <w:lang w:eastAsia="en-GB"/>
          <w14:ligatures w14:val="none"/>
        </w:rPr>
        <w:t>Effective management also requires psychological and practical support. Clinicians should discuss difficulties without blame, establish realistic goals and adapt advice to individual circumstances. Digital monitoring may benefit some patients, but telephone and face-to-face alternatives remain important for people with limited digital access. Continuity between general practice, specialist services and community care helps prevent gaps in monitoring. Combining clinical treatment with accessible education supports safer, more sustainable self-management.</w:t>
      </w:r>
    </w:p>
    <w:p w14:paraId="49F9E092" w14:textId="77777777" w:rsidR="008C5DEF" w:rsidRPr="00B24B13" w:rsidRDefault="008C5DEF" w:rsidP="00B24B13">
      <w:pPr>
        <w:shd w:val="clear" w:color="auto" w:fill="FCFCFC"/>
        <w:spacing w:before="100" w:beforeAutospacing="1" w:after="100" w:afterAutospacing="1" w:line="360" w:lineRule="auto"/>
        <w:outlineLvl w:val="1"/>
        <w:rPr>
          <w:rFonts w:ascii="Arial" w:eastAsia="Times New Roman" w:hAnsi="Arial" w:cs="Arial"/>
          <w:b/>
          <w:bCs/>
          <w:color w:val="0D0D0D"/>
          <w:kern w:val="0"/>
          <w:sz w:val="22"/>
          <w:szCs w:val="22"/>
          <w:lang w:eastAsia="en-GB"/>
          <w14:ligatures w14:val="none"/>
        </w:rPr>
      </w:pPr>
      <w:r w:rsidRPr="00B24B13">
        <w:rPr>
          <w:rFonts w:ascii="Arial" w:eastAsia="Times New Roman" w:hAnsi="Arial" w:cs="Arial"/>
          <w:b/>
          <w:bCs/>
          <w:color w:val="0D0D0D"/>
          <w:kern w:val="0"/>
          <w:sz w:val="22"/>
          <w:szCs w:val="22"/>
          <w:lang w:eastAsia="en-GB"/>
          <w14:ligatures w14:val="none"/>
        </w:rPr>
        <w:t>Social determinants, health inequalities and wellbeing</w:t>
      </w:r>
    </w:p>
    <w:p w14:paraId="12292F30" w14:textId="77777777" w:rsidR="008C5DEF" w:rsidRPr="00B24B13" w:rsidRDefault="008C5DEF" w:rsidP="00B24B13">
      <w:pPr>
        <w:shd w:val="clear" w:color="auto" w:fill="FCFCFC"/>
        <w:spacing w:before="100" w:beforeAutospacing="1" w:after="100" w:afterAutospacing="1" w:line="360" w:lineRule="auto"/>
        <w:rPr>
          <w:rFonts w:ascii="Arial" w:eastAsia="Times New Roman" w:hAnsi="Arial" w:cs="Arial"/>
          <w:color w:val="0D0D0D"/>
          <w:kern w:val="0"/>
          <w:sz w:val="22"/>
          <w:szCs w:val="22"/>
          <w:lang w:eastAsia="en-GB"/>
          <w14:ligatures w14:val="none"/>
        </w:rPr>
      </w:pPr>
      <w:r w:rsidRPr="00B24B13">
        <w:rPr>
          <w:rFonts w:ascii="Arial" w:eastAsia="Times New Roman" w:hAnsi="Arial" w:cs="Arial"/>
          <w:color w:val="0D0D0D"/>
          <w:kern w:val="0"/>
          <w:sz w:val="22"/>
          <w:szCs w:val="22"/>
          <w:lang w:eastAsia="en-GB"/>
          <w14:ligatures w14:val="none"/>
        </w:rPr>
        <w:t>The Dahlgren and Whitehead model (1991) explains health through interconnected layers, including individual characteristics, lifestyle, social networks, living conditions and wider socioeconomic circumstances. Applied to diabetes, it demonstrates that behaviour and health outcomes are influenced by opportunities and constraints, not simply personal decisions.</w:t>
      </w:r>
    </w:p>
    <w:p w14:paraId="5103F85D" w14:textId="77777777" w:rsidR="008C5DEF" w:rsidRPr="00B24B13" w:rsidRDefault="008C5DEF" w:rsidP="00B24B13">
      <w:pPr>
        <w:shd w:val="clear" w:color="auto" w:fill="FCFCFC"/>
        <w:spacing w:before="100" w:beforeAutospacing="1" w:after="100" w:afterAutospacing="1" w:line="360" w:lineRule="auto"/>
        <w:rPr>
          <w:rFonts w:ascii="Arial" w:eastAsia="Times New Roman" w:hAnsi="Arial" w:cs="Arial"/>
          <w:color w:val="0D0D0D"/>
          <w:kern w:val="0"/>
          <w:sz w:val="22"/>
          <w:szCs w:val="22"/>
          <w:lang w:eastAsia="en-GB"/>
          <w14:ligatures w14:val="none"/>
        </w:rPr>
      </w:pPr>
      <w:r w:rsidRPr="00B24B13">
        <w:rPr>
          <w:rFonts w:ascii="Arial" w:eastAsia="Times New Roman" w:hAnsi="Arial" w:cs="Arial"/>
          <w:color w:val="0D0D0D"/>
          <w:kern w:val="0"/>
          <w:sz w:val="22"/>
          <w:szCs w:val="22"/>
          <w:lang w:eastAsia="en-GB"/>
          <w14:ligatures w14:val="none"/>
        </w:rPr>
        <w:t>Individual factors such as age, genetics and previous gestational diabetes influence susceptibility. However, social circumstances affect people's ability to respond to health advice. Regular exercise may be difficult for someone with a disability or without access to safe outdoor spaces. Similarly, buying nutritious food may be unrealistic when household budgets are restricted.</w:t>
      </w:r>
    </w:p>
    <w:p w14:paraId="205BDCE8" w14:textId="77777777" w:rsidR="008C5DEF" w:rsidRPr="00B24B13" w:rsidRDefault="008C5DEF" w:rsidP="00B24B13">
      <w:pPr>
        <w:shd w:val="clear" w:color="auto" w:fill="FCFCFC"/>
        <w:spacing w:before="100" w:beforeAutospacing="1" w:after="100" w:afterAutospacing="1" w:line="360" w:lineRule="auto"/>
        <w:rPr>
          <w:rFonts w:ascii="Arial" w:eastAsia="Times New Roman" w:hAnsi="Arial" w:cs="Arial"/>
          <w:color w:val="0D0D0D"/>
          <w:kern w:val="0"/>
          <w:sz w:val="22"/>
          <w:szCs w:val="22"/>
          <w:lang w:eastAsia="en-GB"/>
          <w14:ligatures w14:val="none"/>
        </w:rPr>
      </w:pPr>
      <w:r w:rsidRPr="00B24B13">
        <w:rPr>
          <w:rFonts w:ascii="Arial" w:eastAsia="Times New Roman" w:hAnsi="Arial" w:cs="Arial"/>
          <w:color w:val="0D0D0D"/>
          <w:kern w:val="0"/>
          <w:sz w:val="22"/>
          <w:szCs w:val="22"/>
          <w:lang w:eastAsia="en-GB"/>
          <w14:ligatures w14:val="none"/>
        </w:rPr>
        <w:t>Social networks can encourage healthier routines, provide emotional support and help people attend appointments. Conversely, isolation and caring responsibilities may limit time for self-care. Cultural traditions surrounding food can also influence dietary changes. Healthcare professionals should consider these circumstances respectfully rather than assuming one approach suits everyone.</w:t>
      </w:r>
    </w:p>
    <w:p w14:paraId="7F3670F1" w14:textId="77777777" w:rsidR="008C5DEF" w:rsidRPr="00B24B13" w:rsidRDefault="008C5DEF" w:rsidP="00B24B13">
      <w:pPr>
        <w:shd w:val="clear" w:color="auto" w:fill="FCFCFC"/>
        <w:spacing w:before="100" w:beforeAutospacing="1" w:after="100" w:afterAutospacing="1" w:line="360" w:lineRule="auto"/>
        <w:rPr>
          <w:rFonts w:ascii="Arial" w:eastAsia="Times New Roman" w:hAnsi="Arial" w:cs="Arial"/>
          <w:color w:val="0D0D0D"/>
          <w:kern w:val="0"/>
          <w:sz w:val="22"/>
          <w:szCs w:val="22"/>
          <w:lang w:eastAsia="en-GB"/>
          <w14:ligatures w14:val="none"/>
        </w:rPr>
      </w:pPr>
      <w:r w:rsidRPr="00B24B13">
        <w:rPr>
          <w:rFonts w:ascii="Arial" w:eastAsia="Times New Roman" w:hAnsi="Arial" w:cs="Arial"/>
          <w:color w:val="0D0D0D"/>
          <w:kern w:val="0"/>
          <w:sz w:val="22"/>
          <w:szCs w:val="22"/>
          <w:lang w:eastAsia="en-GB"/>
          <w14:ligatures w14:val="none"/>
        </w:rPr>
        <w:t>The Marmot Review, Fair Society, Healthy Lives, examined the social and economic causes of health inequalities in England (Marmot et al., 2010). Its recommendations included giving children the best start in life, improving education and employment, ensuring a healthy standard of living and developing sustainable communities. These objectives are relevant to diabetes because income, employment and neighbourhood conditions influence access to nutritious food, opportunities for exercise and attendance at healthcare appointments. Financial hardship may make healthier food unaffordable, while shift work can disrupt regular meals and activity. The review therefore supports prevention strategies that address social conditions rather than relying exclusively on individual lifestyle advice.</w:t>
      </w:r>
    </w:p>
    <w:p w14:paraId="71CF24C0" w14:textId="6BAF775A" w:rsidR="008C5DEF" w:rsidRPr="00B24B13" w:rsidRDefault="008C5DEF" w:rsidP="00B24B13">
      <w:pPr>
        <w:shd w:val="clear" w:color="auto" w:fill="FCFCFC"/>
        <w:spacing w:before="100" w:beforeAutospacing="1" w:after="100" w:afterAutospacing="1" w:line="360" w:lineRule="auto"/>
        <w:rPr>
          <w:rFonts w:ascii="Arial" w:eastAsia="Times New Roman" w:hAnsi="Arial" w:cs="Arial"/>
          <w:color w:val="0D0D0D"/>
          <w:kern w:val="0"/>
          <w:sz w:val="22"/>
          <w:szCs w:val="22"/>
          <w:lang w:eastAsia="en-GB"/>
          <w14:ligatures w14:val="none"/>
        </w:rPr>
      </w:pPr>
      <w:r w:rsidRPr="00B24B13">
        <w:rPr>
          <w:rFonts w:ascii="Arial" w:eastAsia="Times New Roman" w:hAnsi="Arial" w:cs="Arial"/>
          <w:color w:val="0D0D0D"/>
          <w:kern w:val="0"/>
          <w:sz w:val="22"/>
          <w:szCs w:val="22"/>
          <w:lang w:eastAsia="en-GB"/>
          <w14:ligatures w14:val="none"/>
        </w:rPr>
        <w:t>Reducing inequalities requires cooperation between healthcare services and wider public policy. Primary care can provide interpreters, flexible appointments and tailored education. Local authorities can improve access to recreation and active travel, while employers can support attendance at medical appointments. Community organisations can provide trusted information and culturally appropriate assistance. These measures address structural barriers instead of blaming individuals for circumstances beyond their control. Applying both frameworks demonstrates that equitable diabetes care requires effective clinical treatment alongside action to improve the social conditions influencing health.</w:t>
      </w:r>
    </w:p>
    <w:p w14:paraId="25C611BC" w14:textId="39BF8807" w:rsidR="00187071" w:rsidRPr="00187071" w:rsidRDefault="00187071" w:rsidP="0018707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187071">
        <w:rPr>
          <w:rFonts w:ascii="Arial" w:eastAsia="Times New Roman" w:hAnsi="Arial" w:cs="Arial"/>
          <w:b/>
          <w:bCs/>
          <w:kern w:val="0"/>
          <w:sz w:val="22"/>
          <w:szCs w:val="22"/>
          <w:lang w:eastAsia="en-GB"/>
          <w14:ligatures w14:val="none"/>
        </w:rPr>
        <w:t xml:space="preserve">Conclusion </w:t>
      </w:r>
    </w:p>
    <w:p w14:paraId="3AA31397" w14:textId="77777777" w:rsidR="00187071" w:rsidRPr="00187071" w:rsidRDefault="00187071" w:rsidP="00187071">
      <w:pPr>
        <w:spacing w:before="100" w:beforeAutospacing="1" w:after="100" w:afterAutospacing="1" w:line="360" w:lineRule="auto"/>
        <w:rPr>
          <w:rFonts w:ascii="Arial" w:eastAsia="Times New Roman" w:hAnsi="Arial" w:cs="Arial"/>
          <w:kern w:val="0"/>
          <w:sz w:val="22"/>
          <w:szCs w:val="22"/>
          <w:lang w:eastAsia="en-GB"/>
          <w14:ligatures w14:val="none"/>
        </w:rPr>
      </w:pPr>
      <w:r w:rsidRPr="00187071">
        <w:rPr>
          <w:rFonts w:ascii="Arial" w:eastAsia="Times New Roman" w:hAnsi="Arial" w:cs="Arial"/>
          <w:kern w:val="0"/>
          <w:sz w:val="22"/>
          <w:szCs w:val="22"/>
          <w:lang w:eastAsia="en-GB"/>
          <w14:ligatures w14:val="none"/>
        </w:rPr>
        <w:t>Type 2 diabetes presents a continuing challenge because its consequences extend beyond raised blood glucose to cardiovascular disease, disability, emotional distress and increased healthcare demand. Although some cases can be prevented or delayed, successful prevention depends on accessible programmes and environments that support healthier living. Once diagnosed, individuals require personalised treatment, structured education and regular assessments to identify complications early. Families, employers, communities and healthcare professionals all influence the practical realities of long-term management. The Dahlgren and Whitehead model demonstrates how individual circumstances interact with social networks and living conditions, while the Marmot Review highlights the wider inequalities shaping health opportunities. These perspectives show why education alone cannot overcome barriers such as poverty, insecure employment and limited access to healthy food. The NHS should therefore combine evidence-based clinical care with equitable, coordinated support. Addressing medical needs alongside social disadvantages can improve quality of life, reduce avoidable complications and promote fairer outcomes across the population.</w:t>
      </w:r>
    </w:p>
    <w:p w14:paraId="1DB7A69F" w14:textId="77777777" w:rsidR="00187071" w:rsidRDefault="00187071" w:rsidP="00187071">
      <w:pPr>
        <w:shd w:val="clear" w:color="auto" w:fill="FCFCFC"/>
        <w:spacing w:before="360" w:after="0" w:line="360" w:lineRule="auto"/>
        <w:outlineLvl w:val="1"/>
        <w:rPr>
          <w:rFonts w:ascii="Arial" w:eastAsia="Times New Roman" w:hAnsi="Arial" w:cs="Arial"/>
          <w:b/>
          <w:bCs/>
          <w:color w:val="0D0D0D"/>
          <w:kern w:val="0"/>
          <w:sz w:val="22"/>
          <w:szCs w:val="22"/>
          <w:lang w:eastAsia="en-GB"/>
          <w14:ligatures w14:val="none"/>
        </w:rPr>
      </w:pPr>
    </w:p>
    <w:p w14:paraId="2A495E22" w14:textId="77777777" w:rsidR="00187071" w:rsidRDefault="00187071" w:rsidP="00187071">
      <w:pPr>
        <w:shd w:val="clear" w:color="auto" w:fill="FCFCFC"/>
        <w:spacing w:before="360" w:after="0" w:line="360" w:lineRule="auto"/>
        <w:outlineLvl w:val="1"/>
        <w:rPr>
          <w:rFonts w:ascii="Arial" w:eastAsia="Times New Roman" w:hAnsi="Arial" w:cs="Arial"/>
          <w:b/>
          <w:bCs/>
          <w:color w:val="0D0D0D"/>
          <w:kern w:val="0"/>
          <w:sz w:val="22"/>
          <w:szCs w:val="22"/>
          <w:lang w:eastAsia="en-GB"/>
          <w14:ligatures w14:val="none"/>
        </w:rPr>
      </w:pPr>
    </w:p>
    <w:p w14:paraId="41184726" w14:textId="77777777" w:rsidR="00B1494E" w:rsidRDefault="00B1494E" w:rsidP="00187071">
      <w:pPr>
        <w:shd w:val="clear" w:color="auto" w:fill="FCFCFC"/>
        <w:spacing w:before="360" w:after="0" w:line="360" w:lineRule="auto"/>
        <w:outlineLvl w:val="1"/>
        <w:rPr>
          <w:rFonts w:ascii="Arial" w:eastAsia="Times New Roman" w:hAnsi="Arial" w:cs="Arial"/>
          <w:b/>
          <w:bCs/>
          <w:color w:val="0D0D0D"/>
          <w:kern w:val="0"/>
          <w:sz w:val="22"/>
          <w:szCs w:val="22"/>
          <w:lang w:eastAsia="en-GB"/>
          <w14:ligatures w14:val="none"/>
        </w:rPr>
      </w:pPr>
    </w:p>
    <w:p w14:paraId="356BADAE" w14:textId="77777777" w:rsidR="00B1494E" w:rsidRDefault="00B1494E" w:rsidP="00187071">
      <w:pPr>
        <w:shd w:val="clear" w:color="auto" w:fill="FCFCFC"/>
        <w:spacing w:before="360" w:after="0" w:line="360" w:lineRule="auto"/>
        <w:outlineLvl w:val="1"/>
        <w:rPr>
          <w:rFonts w:ascii="Arial" w:eastAsia="Times New Roman" w:hAnsi="Arial" w:cs="Arial"/>
          <w:b/>
          <w:bCs/>
          <w:color w:val="0D0D0D"/>
          <w:kern w:val="0"/>
          <w:sz w:val="22"/>
          <w:szCs w:val="22"/>
          <w:lang w:eastAsia="en-GB"/>
          <w14:ligatures w14:val="none"/>
        </w:rPr>
      </w:pPr>
    </w:p>
    <w:p w14:paraId="4168809F" w14:textId="77777777" w:rsidR="00B1494E" w:rsidRDefault="00B1494E" w:rsidP="00187071">
      <w:pPr>
        <w:shd w:val="clear" w:color="auto" w:fill="FCFCFC"/>
        <w:spacing w:before="360" w:after="0" w:line="360" w:lineRule="auto"/>
        <w:outlineLvl w:val="1"/>
        <w:rPr>
          <w:rFonts w:ascii="Arial" w:eastAsia="Times New Roman" w:hAnsi="Arial" w:cs="Arial"/>
          <w:b/>
          <w:bCs/>
          <w:color w:val="0D0D0D"/>
          <w:kern w:val="0"/>
          <w:sz w:val="22"/>
          <w:szCs w:val="22"/>
          <w:lang w:eastAsia="en-GB"/>
          <w14:ligatures w14:val="none"/>
        </w:rPr>
      </w:pPr>
    </w:p>
    <w:p w14:paraId="5131FFCB" w14:textId="77777777" w:rsidR="00B24B13" w:rsidRDefault="00B24B13" w:rsidP="00187071">
      <w:pPr>
        <w:shd w:val="clear" w:color="auto" w:fill="FCFCFC"/>
        <w:spacing w:before="360" w:after="0" w:line="360" w:lineRule="auto"/>
        <w:outlineLvl w:val="1"/>
        <w:rPr>
          <w:rFonts w:ascii="Arial" w:eastAsia="Times New Roman" w:hAnsi="Arial" w:cs="Arial"/>
          <w:b/>
          <w:bCs/>
          <w:color w:val="0D0D0D"/>
          <w:kern w:val="0"/>
          <w:sz w:val="22"/>
          <w:szCs w:val="22"/>
          <w:lang w:eastAsia="en-GB"/>
          <w14:ligatures w14:val="none"/>
        </w:rPr>
      </w:pPr>
    </w:p>
    <w:p w14:paraId="4FA09F8B" w14:textId="77777777" w:rsidR="00B24B13" w:rsidRDefault="00B24B13" w:rsidP="00187071">
      <w:pPr>
        <w:shd w:val="clear" w:color="auto" w:fill="FCFCFC"/>
        <w:spacing w:before="360" w:after="0" w:line="360" w:lineRule="auto"/>
        <w:outlineLvl w:val="1"/>
        <w:rPr>
          <w:rFonts w:ascii="Arial" w:eastAsia="Times New Roman" w:hAnsi="Arial" w:cs="Arial"/>
          <w:b/>
          <w:bCs/>
          <w:color w:val="0D0D0D"/>
          <w:kern w:val="0"/>
          <w:sz w:val="22"/>
          <w:szCs w:val="22"/>
          <w:lang w:eastAsia="en-GB"/>
          <w14:ligatures w14:val="none"/>
        </w:rPr>
      </w:pPr>
    </w:p>
    <w:p w14:paraId="3BBE2F83" w14:textId="062EE1FF" w:rsidR="00187071" w:rsidRDefault="00187071" w:rsidP="00187071">
      <w:pPr>
        <w:shd w:val="clear" w:color="auto" w:fill="FCFCFC"/>
        <w:spacing w:before="360" w:after="0" w:line="360" w:lineRule="auto"/>
        <w:outlineLvl w:val="1"/>
        <w:rPr>
          <w:rFonts w:ascii="Arial" w:eastAsia="Times New Roman" w:hAnsi="Arial" w:cs="Arial"/>
          <w:b/>
          <w:bCs/>
          <w:color w:val="0D0D0D"/>
          <w:kern w:val="0"/>
          <w:sz w:val="22"/>
          <w:szCs w:val="22"/>
          <w:lang w:eastAsia="en-GB"/>
          <w14:ligatures w14:val="none"/>
        </w:rPr>
      </w:pPr>
      <w:r>
        <w:rPr>
          <w:rFonts w:ascii="Arial" w:eastAsia="Times New Roman" w:hAnsi="Arial" w:cs="Arial"/>
          <w:b/>
          <w:bCs/>
          <w:color w:val="0D0D0D"/>
          <w:kern w:val="0"/>
          <w:sz w:val="22"/>
          <w:szCs w:val="22"/>
          <w:lang w:eastAsia="en-GB"/>
          <w14:ligatures w14:val="none"/>
        </w:rPr>
        <w:t>R</w:t>
      </w:r>
      <w:r w:rsidRPr="00187071">
        <w:rPr>
          <w:rFonts w:ascii="Arial" w:eastAsia="Times New Roman" w:hAnsi="Arial" w:cs="Arial"/>
          <w:b/>
          <w:bCs/>
          <w:color w:val="0D0D0D"/>
          <w:kern w:val="0"/>
          <w:sz w:val="22"/>
          <w:szCs w:val="22"/>
          <w:lang w:eastAsia="en-GB"/>
          <w14:ligatures w14:val="none"/>
        </w:rPr>
        <w:t>eference list</w:t>
      </w:r>
    </w:p>
    <w:p w14:paraId="7183884D" w14:textId="77777777" w:rsidR="00187071" w:rsidRPr="00187071" w:rsidRDefault="00187071" w:rsidP="00187071">
      <w:pPr>
        <w:shd w:val="clear" w:color="auto" w:fill="FCFCFC"/>
        <w:spacing w:before="360" w:after="0" w:line="360" w:lineRule="auto"/>
        <w:outlineLvl w:val="1"/>
        <w:rPr>
          <w:rFonts w:ascii="Arial" w:eastAsia="Times New Roman" w:hAnsi="Arial" w:cs="Arial"/>
          <w:b/>
          <w:bCs/>
          <w:color w:val="0D0D0D"/>
          <w:kern w:val="0"/>
          <w:sz w:val="22"/>
          <w:szCs w:val="22"/>
          <w:lang w:eastAsia="en-GB"/>
          <w14:ligatures w14:val="none"/>
        </w:rPr>
      </w:pPr>
    </w:p>
    <w:p w14:paraId="0A318F55" w14:textId="77777777" w:rsidR="00187071" w:rsidRPr="00187071" w:rsidRDefault="00187071" w:rsidP="00187071">
      <w:pPr>
        <w:pStyle w:val="ListParagraph"/>
        <w:numPr>
          <w:ilvl w:val="0"/>
          <w:numId w:val="1"/>
        </w:numPr>
        <w:shd w:val="clear" w:color="auto" w:fill="FCFCFC"/>
        <w:spacing w:after="0" w:line="360" w:lineRule="auto"/>
        <w:rPr>
          <w:rFonts w:ascii="Arial" w:eastAsia="Times New Roman" w:hAnsi="Arial" w:cs="Arial"/>
          <w:color w:val="0D0D0D"/>
          <w:kern w:val="0"/>
          <w:sz w:val="22"/>
          <w:szCs w:val="22"/>
          <w:lang w:eastAsia="en-GB"/>
          <w14:ligatures w14:val="none"/>
        </w:rPr>
      </w:pPr>
      <w:r w:rsidRPr="00187071">
        <w:rPr>
          <w:rFonts w:ascii="Arial" w:eastAsia="Times New Roman" w:hAnsi="Arial" w:cs="Arial"/>
          <w:color w:val="0D0D0D"/>
          <w:kern w:val="0"/>
          <w:sz w:val="22"/>
          <w:szCs w:val="22"/>
          <w:lang w:eastAsia="en-GB"/>
          <w14:ligatures w14:val="none"/>
        </w:rPr>
        <w:t xml:space="preserve">Dahlgren, G. and Whitehead, M. (1991) </w:t>
      </w:r>
      <w:r w:rsidRPr="00187071">
        <w:rPr>
          <w:rFonts w:ascii="Arial" w:eastAsia="Times New Roman" w:hAnsi="Arial" w:cs="Arial"/>
          <w:i/>
          <w:iCs/>
          <w:color w:val="0D0D0D"/>
          <w:kern w:val="0"/>
          <w:sz w:val="22"/>
          <w:szCs w:val="22"/>
          <w:bdr w:val="none" w:sz="0" w:space="0" w:color="auto" w:frame="1"/>
          <w:lang w:eastAsia="en-GB"/>
          <w14:ligatures w14:val="none"/>
        </w:rPr>
        <w:t>Policies and strategies to promote social equity in health</w:t>
      </w:r>
      <w:r w:rsidRPr="00187071">
        <w:rPr>
          <w:rFonts w:ascii="Arial" w:eastAsia="Times New Roman" w:hAnsi="Arial" w:cs="Arial"/>
          <w:color w:val="0D0D0D"/>
          <w:kern w:val="0"/>
          <w:sz w:val="22"/>
          <w:szCs w:val="22"/>
          <w:lang w:eastAsia="en-GB"/>
          <w14:ligatures w14:val="none"/>
        </w:rPr>
        <w:t>. Stockholm: Institute for Futures Studies.</w:t>
      </w:r>
    </w:p>
    <w:p w14:paraId="2A546215" w14:textId="77777777" w:rsidR="00187071" w:rsidRPr="00187071" w:rsidRDefault="00187071" w:rsidP="00187071">
      <w:pPr>
        <w:pStyle w:val="ListParagraph"/>
        <w:numPr>
          <w:ilvl w:val="0"/>
          <w:numId w:val="1"/>
        </w:numPr>
        <w:shd w:val="clear" w:color="auto" w:fill="FCFCFC"/>
        <w:spacing w:after="0" w:line="360" w:lineRule="auto"/>
        <w:rPr>
          <w:rFonts w:ascii="Arial" w:eastAsia="Times New Roman" w:hAnsi="Arial" w:cs="Arial"/>
          <w:color w:val="0D0D0D"/>
          <w:kern w:val="0"/>
          <w:sz w:val="22"/>
          <w:szCs w:val="22"/>
          <w:lang w:eastAsia="en-GB"/>
          <w14:ligatures w14:val="none"/>
        </w:rPr>
      </w:pPr>
      <w:r w:rsidRPr="00187071">
        <w:rPr>
          <w:rFonts w:ascii="Arial" w:eastAsia="Times New Roman" w:hAnsi="Arial" w:cs="Arial"/>
          <w:color w:val="0D0D0D"/>
          <w:kern w:val="0"/>
          <w:sz w:val="22"/>
          <w:szCs w:val="22"/>
          <w:lang w:eastAsia="en-GB"/>
          <w14:ligatures w14:val="none"/>
        </w:rPr>
        <w:t xml:space="preserve">Diabetes UK (2025) </w:t>
      </w:r>
      <w:r w:rsidRPr="00187071">
        <w:rPr>
          <w:rFonts w:ascii="Arial" w:eastAsia="Times New Roman" w:hAnsi="Arial" w:cs="Arial"/>
          <w:i/>
          <w:iCs/>
          <w:color w:val="0D0D0D"/>
          <w:kern w:val="0"/>
          <w:sz w:val="22"/>
          <w:szCs w:val="22"/>
          <w:bdr w:val="none" w:sz="0" w:space="0" w:color="auto" w:frame="1"/>
          <w:lang w:eastAsia="en-GB"/>
          <w14:ligatures w14:val="none"/>
        </w:rPr>
        <w:t>Diabetes statistics</w:t>
      </w:r>
      <w:r w:rsidRPr="00187071">
        <w:rPr>
          <w:rFonts w:ascii="Arial" w:eastAsia="Times New Roman" w:hAnsi="Arial" w:cs="Arial"/>
          <w:color w:val="0D0D0D"/>
          <w:kern w:val="0"/>
          <w:sz w:val="22"/>
          <w:szCs w:val="22"/>
          <w:lang w:eastAsia="en-GB"/>
          <w14:ligatures w14:val="none"/>
        </w:rPr>
        <w:t xml:space="preserve">. Available at: </w:t>
      </w:r>
      <w:hyperlink r:id="rId5" w:history="1">
        <w:r w:rsidRPr="00187071">
          <w:rPr>
            <w:rStyle w:val="Hyperlink"/>
            <w:rFonts w:ascii="Arial" w:eastAsia="Times New Roman" w:hAnsi="Arial" w:cs="Arial"/>
            <w:kern w:val="0"/>
            <w:sz w:val="22"/>
            <w:szCs w:val="22"/>
            <w:bdr w:val="none" w:sz="0" w:space="0" w:color="auto" w:frame="1"/>
            <w:lang w:eastAsia="en-GB"/>
            <w14:ligatures w14:val="none"/>
          </w:rPr>
          <w:t>https://www.diabetes.org.uk/about-us/about-the-charity/our-strategy/statistics  </w:t>
        </w:r>
      </w:hyperlink>
      <w:r w:rsidRPr="00187071">
        <w:rPr>
          <w:rFonts w:ascii="Arial" w:eastAsia="Times New Roman" w:hAnsi="Arial" w:cs="Arial"/>
          <w:color w:val="0D0D0D"/>
          <w:kern w:val="0"/>
          <w:sz w:val="22"/>
          <w:szCs w:val="22"/>
          <w:lang w:eastAsia="en-GB"/>
          <w14:ligatures w14:val="none"/>
        </w:rPr>
        <w:t xml:space="preserve"> </w:t>
      </w:r>
    </w:p>
    <w:p w14:paraId="02438DEF" w14:textId="77777777" w:rsidR="00187071" w:rsidRPr="00187071" w:rsidRDefault="00187071" w:rsidP="00187071">
      <w:pPr>
        <w:pStyle w:val="ListParagraph"/>
        <w:numPr>
          <w:ilvl w:val="0"/>
          <w:numId w:val="1"/>
        </w:numPr>
        <w:shd w:val="clear" w:color="auto" w:fill="FCFCFC"/>
        <w:spacing w:after="0" w:line="360" w:lineRule="auto"/>
        <w:rPr>
          <w:rFonts w:ascii="Arial" w:eastAsia="Times New Roman" w:hAnsi="Arial" w:cs="Arial"/>
          <w:color w:val="0D0D0D"/>
          <w:kern w:val="0"/>
          <w:sz w:val="22"/>
          <w:szCs w:val="22"/>
          <w:lang w:eastAsia="en-GB"/>
          <w14:ligatures w14:val="none"/>
        </w:rPr>
      </w:pPr>
      <w:r w:rsidRPr="00187071">
        <w:rPr>
          <w:rFonts w:ascii="Arial" w:eastAsia="Times New Roman" w:hAnsi="Arial" w:cs="Arial"/>
          <w:color w:val="0D0D0D"/>
          <w:kern w:val="0"/>
          <w:sz w:val="22"/>
          <w:szCs w:val="22"/>
          <w:lang w:eastAsia="en-GB"/>
          <w14:ligatures w14:val="none"/>
        </w:rPr>
        <w:t xml:space="preserve">International Diabetes Federation (IDF) (2025) </w:t>
      </w:r>
      <w:r w:rsidRPr="00187071">
        <w:rPr>
          <w:rFonts w:ascii="Arial" w:eastAsia="Times New Roman" w:hAnsi="Arial" w:cs="Arial"/>
          <w:i/>
          <w:iCs/>
          <w:color w:val="0D0D0D"/>
          <w:kern w:val="0"/>
          <w:sz w:val="22"/>
          <w:szCs w:val="22"/>
          <w:bdr w:val="none" w:sz="0" w:space="0" w:color="auto" w:frame="1"/>
          <w:lang w:eastAsia="en-GB"/>
          <w14:ligatures w14:val="none"/>
        </w:rPr>
        <w:t>IDF Diabetes Atlas</w:t>
      </w:r>
      <w:r w:rsidRPr="00187071">
        <w:rPr>
          <w:rFonts w:ascii="Arial" w:eastAsia="Times New Roman" w:hAnsi="Arial" w:cs="Arial"/>
          <w:color w:val="0D0D0D"/>
          <w:kern w:val="0"/>
          <w:sz w:val="22"/>
          <w:szCs w:val="22"/>
          <w:lang w:eastAsia="en-GB"/>
          <w14:ligatures w14:val="none"/>
        </w:rPr>
        <w:t xml:space="preserve">. 11th </w:t>
      </w:r>
      <w:proofErr w:type="spellStart"/>
      <w:r w:rsidRPr="00187071">
        <w:rPr>
          <w:rFonts w:ascii="Arial" w:eastAsia="Times New Roman" w:hAnsi="Arial" w:cs="Arial"/>
          <w:color w:val="0D0D0D"/>
          <w:kern w:val="0"/>
          <w:sz w:val="22"/>
          <w:szCs w:val="22"/>
          <w:lang w:eastAsia="en-GB"/>
          <w14:ligatures w14:val="none"/>
        </w:rPr>
        <w:t>edn</w:t>
      </w:r>
      <w:proofErr w:type="spellEnd"/>
      <w:r w:rsidRPr="00187071">
        <w:rPr>
          <w:rFonts w:ascii="Arial" w:eastAsia="Times New Roman" w:hAnsi="Arial" w:cs="Arial"/>
          <w:color w:val="0D0D0D"/>
          <w:kern w:val="0"/>
          <w:sz w:val="22"/>
          <w:szCs w:val="22"/>
          <w:lang w:eastAsia="en-GB"/>
          <w14:ligatures w14:val="none"/>
        </w:rPr>
        <w:t xml:space="preserve">. Brussels: International Diabetes Federation. </w:t>
      </w:r>
    </w:p>
    <w:p w14:paraId="74A8B62E" w14:textId="77777777" w:rsidR="00187071" w:rsidRPr="00187071" w:rsidRDefault="00187071" w:rsidP="00187071">
      <w:pPr>
        <w:pStyle w:val="ListParagraph"/>
        <w:numPr>
          <w:ilvl w:val="0"/>
          <w:numId w:val="1"/>
        </w:numPr>
        <w:shd w:val="clear" w:color="auto" w:fill="FCFCFC"/>
        <w:spacing w:after="0" w:line="360" w:lineRule="auto"/>
        <w:rPr>
          <w:rFonts w:ascii="Arial" w:eastAsia="Times New Roman" w:hAnsi="Arial" w:cs="Arial"/>
          <w:color w:val="0D0D0D"/>
          <w:kern w:val="0"/>
          <w:sz w:val="22"/>
          <w:szCs w:val="22"/>
          <w:lang w:eastAsia="en-GB"/>
          <w14:ligatures w14:val="none"/>
        </w:rPr>
      </w:pPr>
      <w:r w:rsidRPr="00187071">
        <w:rPr>
          <w:rFonts w:ascii="Arial" w:eastAsia="Times New Roman" w:hAnsi="Arial" w:cs="Arial"/>
          <w:color w:val="0D0D0D"/>
          <w:kern w:val="0"/>
          <w:sz w:val="22"/>
          <w:szCs w:val="22"/>
          <w:lang w:eastAsia="en-GB"/>
          <w14:ligatures w14:val="none"/>
        </w:rPr>
        <w:t xml:space="preserve">Marmot, M., Allen, J., Goldblatt, P., Boyce, T., McNeish, D., Grady, M. and Geddes, I. (2010) </w:t>
      </w:r>
      <w:r w:rsidRPr="00187071">
        <w:rPr>
          <w:rFonts w:ascii="Arial" w:eastAsia="Times New Roman" w:hAnsi="Arial" w:cs="Arial"/>
          <w:i/>
          <w:iCs/>
          <w:color w:val="0D0D0D"/>
          <w:kern w:val="0"/>
          <w:sz w:val="22"/>
          <w:szCs w:val="22"/>
          <w:bdr w:val="none" w:sz="0" w:space="0" w:color="auto" w:frame="1"/>
          <w:lang w:eastAsia="en-GB"/>
          <w14:ligatures w14:val="none"/>
        </w:rPr>
        <w:t>Fair society, healthy lives: The Marmot Review</w:t>
      </w:r>
      <w:r w:rsidRPr="00187071">
        <w:rPr>
          <w:rFonts w:ascii="Arial" w:eastAsia="Times New Roman" w:hAnsi="Arial" w:cs="Arial"/>
          <w:color w:val="0D0D0D"/>
          <w:kern w:val="0"/>
          <w:sz w:val="22"/>
          <w:szCs w:val="22"/>
          <w:lang w:eastAsia="en-GB"/>
          <w14:ligatures w14:val="none"/>
        </w:rPr>
        <w:t>. London: The Marmot Review.</w:t>
      </w:r>
    </w:p>
    <w:p w14:paraId="0761F0F0" w14:textId="77777777" w:rsidR="00187071" w:rsidRPr="00187071" w:rsidRDefault="00187071" w:rsidP="00187071">
      <w:pPr>
        <w:pStyle w:val="ListParagraph"/>
        <w:numPr>
          <w:ilvl w:val="0"/>
          <w:numId w:val="1"/>
        </w:numPr>
        <w:shd w:val="clear" w:color="auto" w:fill="FCFCFC"/>
        <w:spacing w:after="0" w:line="360" w:lineRule="auto"/>
        <w:rPr>
          <w:rFonts w:ascii="Arial" w:eastAsia="Times New Roman" w:hAnsi="Arial" w:cs="Arial"/>
          <w:color w:val="0D0D0D"/>
          <w:kern w:val="0"/>
          <w:sz w:val="22"/>
          <w:szCs w:val="22"/>
          <w:lang w:eastAsia="en-GB"/>
          <w14:ligatures w14:val="none"/>
        </w:rPr>
      </w:pPr>
      <w:r w:rsidRPr="00187071">
        <w:rPr>
          <w:rFonts w:ascii="Arial" w:eastAsia="Times New Roman" w:hAnsi="Arial" w:cs="Arial"/>
          <w:color w:val="0D0D0D"/>
          <w:kern w:val="0"/>
          <w:sz w:val="22"/>
          <w:szCs w:val="22"/>
          <w:lang w:eastAsia="en-GB"/>
          <w14:ligatures w14:val="none"/>
        </w:rPr>
        <w:t xml:space="preserve">National Health Service (NHS) (n.d.) </w:t>
      </w:r>
      <w:r w:rsidRPr="00187071">
        <w:rPr>
          <w:rFonts w:ascii="Arial" w:eastAsia="Times New Roman" w:hAnsi="Arial" w:cs="Arial"/>
          <w:i/>
          <w:iCs/>
          <w:color w:val="0D0D0D"/>
          <w:kern w:val="0"/>
          <w:sz w:val="22"/>
          <w:szCs w:val="22"/>
          <w:bdr w:val="none" w:sz="0" w:space="0" w:color="auto" w:frame="1"/>
          <w:lang w:eastAsia="en-GB"/>
          <w14:ligatures w14:val="none"/>
        </w:rPr>
        <w:t>Type 2 diabetes</w:t>
      </w:r>
      <w:r w:rsidRPr="00187071">
        <w:rPr>
          <w:rFonts w:ascii="Arial" w:eastAsia="Times New Roman" w:hAnsi="Arial" w:cs="Arial"/>
          <w:color w:val="0D0D0D"/>
          <w:kern w:val="0"/>
          <w:sz w:val="22"/>
          <w:szCs w:val="22"/>
          <w:lang w:eastAsia="en-GB"/>
          <w14:ligatures w14:val="none"/>
        </w:rPr>
        <w:t xml:space="preserve">. </w:t>
      </w:r>
    </w:p>
    <w:p w14:paraId="5364D2B8" w14:textId="77777777" w:rsidR="00187071" w:rsidRPr="00187071" w:rsidRDefault="00187071" w:rsidP="00187071">
      <w:pPr>
        <w:pStyle w:val="ListParagraph"/>
        <w:numPr>
          <w:ilvl w:val="0"/>
          <w:numId w:val="1"/>
        </w:numPr>
        <w:shd w:val="clear" w:color="auto" w:fill="FCFCFC"/>
        <w:spacing w:after="0" w:line="360" w:lineRule="auto"/>
        <w:rPr>
          <w:rFonts w:ascii="Arial" w:eastAsia="Times New Roman" w:hAnsi="Arial" w:cs="Arial"/>
          <w:color w:val="0D0D0D"/>
          <w:kern w:val="0"/>
          <w:sz w:val="22"/>
          <w:szCs w:val="22"/>
          <w:lang w:eastAsia="en-GB"/>
          <w14:ligatures w14:val="none"/>
        </w:rPr>
      </w:pPr>
      <w:r w:rsidRPr="00187071">
        <w:rPr>
          <w:rFonts w:ascii="Arial" w:eastAsia="Times New Roman" w:hAnsi="Arial" w:cs="Arial"/>
          <w:color w:val="0D0D0D"/>
          <w:kern w:val="0"/>
          <w:sz w:val="22"/>
          <w:szCs w:val="22"/>
          <w:lang w:eastAsia="en-GB"/>
          <w14:ligatures w14:val="none"/>
        </w:rPr>
        <w:t xml:space="preserve">National Institute for Health and Care Excellence (NICE) (2026) </w:t>
      </w:r>
      <w:r w:rsidRPr="00187071">
        <w:rPr>
          <w:rFonts w:ascii="Arial" w:eastAsia="Times New Roman" w:hAnsi="Arial" w:cs="Arial"/>
          <w:i/>
          <w:iCs/>
          <w:color w:val="0D0D0D"/>
          <w:kern w:val="0"/>
          <w:sz w:val="22"/>
          <w:szCs w:val="22"/>
          <w:bdr w:val="none" w:sz="0" w:space="0" w:color="auto" w:frame="1"/>
          <w:lang w:eastAsia="en-GB"/>
          <w14:ligatures w14:val="none"/>
        </w:rPr>
        <w:t>Type 2 diabetes in adults: management (NG28)</w:t>
      </w:r>
      <w:r w:rsidRPr="00187071">
        <w:rPr>
          <w:rFonts w:ascii="Arial" w:eastAsia="Times New Roman" w:hAnsi="Arial" w:cs="Arial"/>
          <w:color w:val="0D0D0D"/>
          <w:kern w:val="0"/>
          <w:sz w:val="22"/>
          <w:szCs w:val="22"/>
          <w:lang w:eastAsia="en-GB"/>
          <w14:ligatures w14:val="none"/>
        </w:rPr>
        <w:t xml:space="preserve">. </w:t>
      </w:r>
    </w:p>
    <w:p w14:paraId="5DF4CB23" w14:textId="77777777" w:rsidR="00187071" w:rsidRPr="00187071" w:rsidRDefault="00187071" w:rsidP="00187071">
      <w:pPr>
        <w:pStyle w:val="ListParagraph"/>
        <w:numPr>
          <w:ilvl w:val="0"/>
          <w:numId w:val="1"/>
        </w:numPr>
        <w:shd w:val="clear" w:color="auto" w:fill="FCFCFC"/>
        <w:spacing w:after="0" w:line="360" w:lineRule="auto"/>
        <w:rPr>
          <w:rFonts w:ascii="Arial" w:eastAsia="Times New Roman" w:hAnsi="Arial" w:cs="Arial"/>
          <w:color w:val="0D0D0D"/>
          <w:kern w:val="0"/>
          <w:sz w:val="22"/>
          <w:szCs w:val="22"/>
          <w:lang w:eastAsia="en-GB"/>
          <w14:ligatures w14:val="none"/>
        </w:rPr>
      </w:pPr>
      <w:r w:rsidRPr="00187071">
        <w:rPr>
          <w:rFonts w:ascii="Arial" w:eastAsia="Times New Roman" w:hAnsi="Arial" w:cs="Arial"/>
          <w:color w:val="0D0D0D"/>
          <w:kern w:val="0"/>
          <w:sz w:val="22"/>
          <w:szCs w:val="22"/>
          <w:lang w:eastAsia="en-GB"/>
          <w14:ligatures w14:val="none"/>
        </w:rPr>
        <w:t xml:space="preserve">NHS England (2026) </w:t>
      </w:r>
      <w:r w:rsidRPr="00187071">
        <w:rPr>
          <w:rFonts w:ascii="Arial" w:eastAsia="Times New Roman" w:hAnsi="Arial" w:cs="Arial"/>
          <w:i/>
          <w:iCs/>
          <w:color w:val="0D0D0D"/>
          <w:kern w:val="0"/>
          <w:sz w:val="22"/>
          <w:szCs w:val="22"/>
          <w:bdr w:val="none" w:sz="0" w:space="0" w:color="auto" w:frame="1"/>
          <w:lang w:eastAsia="en-GB"/>
          <w14:ligatures w14:val="none"/>
        </w:rPr>
        <w:t>National Diabetes Audit: Care Processes and Treatment Targets, 2024–25</w:t>
      </w:r>
      <w:r w:rsidRPr="00187071">
        <w:rPr>
          <w:rFonts w:ascii="Arial" w:eastAsia="Times New Roman" w:hAnsi="Arial" w:cs="Arial"/>
          <w:color w:val="0D0D0D"/>
          <w:kern w:val="0"/>
          <w:sz w:val="22"/>
          <w:szCs w:val="22"/>
          <w:lang w:eastAsia="en-GB"/>
          <w14:ligatures w14:val="none"/>
        </w:rPr>
        <w:t xml:space="preserve">. </w:t>
      </w:r>
    </w:p>
    <w:p w14:paraId="1321E5F1" w14:textId="77777777" w:rsidR="00187071" w:rsidRPr="00187071" w:rsidRDefault="00187071" w:rsidP="00187071">
      <w:pPr>
        <w:pStyle w:val="ListParagraph"/>
        <w:numPr>
          <w:ilvl w:val="0"/>
          <w:numId w:val="1"/>
        </w:numPr>
        <w:shd w:val="clear" w:color="auto" w:fill="FCFCFC"/>
        <w:spacing w:after="0" w:line="360" w:lineRule="auto"/>
        <w:rPr>
          <w:rFonts w:ascii="Arial" w:eastAsia="Times New Roman" w:hAnsi="Arial" w:cs="Arial"/>
          <w:color w:val="0D0D0D"/>
          <w:kern w:val="0"/>
          <w:sz w:val="22"/>
          <w:szCs w:val="22"/>
          <w:lang w:eastAsia="en-GB"/>
          <w14:ligatures w14:val="none"/>
        </w:rPr>
      </w:pPr>
      <w:r w:rsidRPr="00187071">
        <w:rPr>
          <w:rFonts w:ascii="Arial" w:eastAsia="Times New Roman" w:hAnsi="Arial" w:cs="Arial"/>
          <w:color w:val="0D0D0D"/>
          <w:kern w:val="0"/>
          <w:sz w:val="22"/>
          <w:szCs w:val="22"/>
          <w:lang w:eastAsia="en-GB"/>
          <w14:ligatures w14:val="none"/>
        </w:rPr>
        <w:t xml:space="preserve">NHS England (n.d.) </w:t>
      </w:r>
      <w:r w:rsidRPr="00187071">
        <w:rPr>
          <w:rFonts w:ascii="Arial" w:eastAsia="Times New Roman" w:hAnsi="Arial" w:cs="Arial"/>
          <w:i/>
          <w:iCs/>
          <w:color w:val="0D0D0D"/>
          <w:kern w:val="0"/>
          <w:sz w:val="22"/>
          <w:szCs w:val="22"/>
          <w:bdr w:val="none" w:sz="0" w:space="0" w:color="auto" w:frame="1"/>
          <w:lang w:eastAsia="en-GB"/>
          <w14:ligatures w14:val="none"/>
        </w:rPr>
        <w:t>NHS Diabetes Prevention Programme</w:t>
      </w:r>
      <w:r w:rsidRPr="00187071">
        <w:rPr>
          <w:rFonts w:ascii="Arial" w:eastAsia="Times New Roman" w:hAnsi="Arial" w:cs="Arial"/>
          <w:color w:val="0D0D0D"/>
          <w:kern w:val="0"/>
          <w:sz w:val="22"/>
          <w:szCs w:val="22"/>
          <w:lang w:eastAsia="en-GB"/>
          <w14:ligatures w14:val="none"/>
        </w:rPr>
        <w:t xml:space="preserve">. </w:t>
      </w:r>
    </w:p>
    <w:sectPr w:rsidR="00187071" w:rsidRPr="001870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D9C1C43"/>
    <w:multiLevelType w:val="hybridMultilevel"/>
    <w:tmpl w:val="DF102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812613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14"/>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071"/>
    <w:rsid w:val="00006319"/>
    <w:rsid w:val="00187071"/>
    <w:rsid w:val="00505B9D"/>
    <w:rsid w:val="00675AC4"/>
    <w:rsid w:val="006B1165"/>
    <w:rsid w:val="00756811"/>
    <w:rsid w:val="007C38DB"/>
    <w:rsid w:val="008C5DEF"/>
    <w:rsid w:val="009F1BD4"/>
    <w:rsid w:val="00B0196C"/>
    <w:rsid w:val="00B1494E"/>
    <w:rsid w:val="00B24B13"/>
    <w:rsid w:val="00C34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CF59B"/>
  <w15:chartTrackingRefBased/>
  <w15:docId w15:val="{7F614BC7-162B-4ADE-92A0-DECF55ABA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70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70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70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70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70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70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0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0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0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70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70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70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70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70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70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0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0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071"/>
    <w:rPr>
      <w:rFonts w:eastAsiaTheme="majorEastAsia" w:cstheme="majorBidi"/>
      <w:color w:val="272727" w:themeColor="text1" w:themeTint="D8"/>
    </w:rPr>
  </w:style>
  <w:style w:type="paragraph" w:styleId="Title">
    <w:name w:val="Title"/>
    <w:basedOn w:val="Normal"/>
    <w:next w:val="Normal"/>
    <w:link w:val="TitleChar"/>
    <w:uiPriority w:val="10"/>
    <w:qFormat/>
    <w:rsid w:val="001870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0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0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0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071"/>
    <w:pPr>
      <w:spacing w:before="160"/>
      <w:jc w:val="center"/>
    </w:pPr>
    <w:rPr>
      <w:i/>
      <w:iCs/>
      <w:color w:val="404040" w:themeColor="text1" w:themeTint="BF"/>
    </w:rPr>
  </w:style>
  <w:style w:type="character" w:customStyle="1" w:styleId="QuoteChar">
    <w:name w:val="Quote Char"/>
    <w:basedOn w:val="DefaultParagraphFont"/>
    <w:link w:val="Quote"/>
    <w:uiPriority w:val="29"/>
    <w:rsid w:val="00187071"/>
    <w:rPr>
      <w:i/>
      <w:iCs/>
      <w:color w:val="404040" w:themeColor="text1" w:themeTint="BF"/>
    </w:rPr>
  </w:style>
  <w:style w:type="paragraph" w:styleId="ListParagraph">
    <w:name w:val="List Paragraph"/>
    <w:basedOn w:val="Normal"/>
    <w:uiPriority w:val="34"/>
    <w:qFormat/>
    <w:rsid w:val="00187071"/>
    <w:pPr>
      <w:ind w:left="720"/>
      <w:contextualSpacing/>
    </w:pPr>
  </w:style>
  <w:style w:type="character" w:styleId="IntenseEmphasis">
    <w:name w:val="Intense Emphasis"/>
    <w:basedOn w:val="DefaultParagraphFont"/>
    <w:uiPriority w:val="21"/>
    <w:qFormat/>
    <w:rsid w:val="00187071"/>
    <w:rPr>
      <w:i/>
      <w:iCs/>
      <w:color w:val="0F4761" w:themeColor="accent1" w:themeShade="BF"/>
    </w:rPr>
  </w:style>
  <w:style w:type="paragraph" w:styleId="IntenseQuote">
    <w:name w:val="Intense Quote"/>
    <w:basedOn w:val="Normal"/>
    <w:next w:val="Normal"/>
    <w:link w:val="IntenseQuoteChar"/>
    <w:uiPriority w:val="30"/>
    <w:qFormat/>
    <w:rsid w:val="001870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7071"/>
    <w:rPr>
      <w:i/>
      <w:iCs/>
      <w:color w:val="0F4761" w:themeColor="accent1" w:themeShade="BF"/>
    </w:rPr>
  </w:style>
  <w:style w:type="character" w:styleId="IntenseReference">
    <w:name w:val="Intense Reference"/>
    <w:basedOn w:val="DefaultParagraphFont"/>
    <w:uiPriority w:val="32"/>
    <w:qFormat/>
    <w:rsid w:val="00187071"/>
    <w:rPr>
      <w:b/>
      <w:bCs/>
      <w:smallCaps/>
      <w:color w:val="0F4761" w:themeColor="accent1" w:themeShade="BF"/>
      <w:spacing w:val="5"/>
    </w:rPr>
  </w:style>
  <w:style w:type="character" w:styleId="Hyperlink">
    <w:name w:val="Hyperlink"/>
    <w:basedOn w:val="DefaultParagraphFont"/>
    <w:uiPriority w:val="99"/>
    <w:unhideWhenUsed/>
    <w:rsid w:val="00187071"/>
    <w:rPr>
      <w:color w:val="467886" w:themeColor="hyperlink"/>
      <w:u w:val="single"/>
    </w:rPr>
  </w:style>
  <w:style w:type="character" w:styleId="UnresolvedMention">
    <w:name w:val="Unresolved Mention"/>
    <w:basedOn w:val="DefaultParagraphFont"/>
    <w:uiPriority w:val="99"/>
    <w:semiHidden/>
    <w:unhideWhenUsed/>
    <w:rsid w:val="001870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diabetes.org.uk/about-us/about-the-charity/our-strategy/statistics%20&#16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b5396b3f-dc01-41c6-a648-ab88fc50c118}" enabled="0" method="" siteId="{b5396b3f-dc01-41c6-a648-ab88fc50c118}" removed="1"/>
</clbl:labelList>
</file>

<file path=docProps/app.xml><?xml version="1.0" encoding="utf-8"?>
<Properties xmlns="http://schemas.openxmlformats.org/officeDocument/2006/extended-properties" xmlns:vt="http://schemas.openxmlformats.org/officeDocument/2006/docPropsVTypes">
  <Template>Normal</Template>
  <TotalTime>1</TotalTime>
  <Pages>1</Pages>
  <Words>1959</Words>
  <Characters>11167</Characters>
  <Application>Microsoft Office Word</Application>
  <DocSecurity>0</DocSecurity>
  <Lines>93</Lines>
  <Paragraphs>26</Paragraphs>
  <ScaleCrop>false</ScaleCrop>
  <Company/>
  <LinksUpToDate>false</LinksUpToDate>
  <CharactersWithSpaces>13100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Khan</dc:creator>
  <cp:keywords/>
  <dc:description/>
  <cp:lastModifiedBy>Adnaan Ali</cp:lastModifiedBy>
  <cp:revision>2</cp:revision>
  <dcterms:created xsi:type="dcterms:W3CDTF">2026-10-24T12:44:00Z</dcterms:created>
  <dcterms:modified xsi:type="dcterms:W3CDTF">2026-10-24T12:44:00Z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4ae35592-e107-43f8-962e-c147e93552b1</vt:lpwstr>
  </property>
</Properties>
</file>