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077FA1" w14:textId="6024DC1C" w:rsidR="004D22F3" w:rsidRDefault="00C40A8C" w:rsidP="00E838BD">
      <w:r w:rsidRPr="00C40A8C">
        <w:t xml:space="preserve">Children’s safeguarding is not my primary area of professional focus, but I recognise its critical importance and the legal frameworks that underpin it. </w:t>
      </w:r>
      <w:r w:rsidR="004D22F3">
        <w:t>The relevant legislation for children’s safeguarding is as followed; Children Act 1989 and</w:t>
      </w:r>
      <w:r w:rsidR="004D22F3" w:rsidRPr="004D22F3">
        <w:t xml:space="preserve"> 2004</w:t>
      </w:r>
      <w:r w:rsidR="004D22F3">
        <w:t xml:space="preserve">, </w:t>
      </w:r>
      <w:r w:rsidR="004D22F3" w:rsidRPr="004D22F3">
        <w:t>Children and Families Act 2014</w:t>
      </w:r>
      <w:r w:rsidR="004D22F3">
        <w:t xml:space="preserve">, </w:t>
      </w:r>
      <w:r w:rsidR="004D22F3" w:rsidRPr="004D22F3">
        <w:t>Education Act 2002</w:t>
      </w:r>
      <w:r w:rsidR="004D22F3">
        <w:t xml:space="preserve">, </w:t>
      </w:r>
      <w:r w:rsidR="004D22F3" w:rsidRPr="004D22F3">
        <w:t>Safeguarding Vulnerable Groups Act 2006</w:t>
      </w:r>
      <w:r w:rsidR="004D22F3">
        <w:t xml:space="preserve">, Equality Act 2010, and </w:t>
      </w:r>
      <w:r w:rsidR="004D22F3" w:rsidRPr="004D22F3">
        <w:t>Working Together to Safeguard Children 2023</w:t>
      </w:r>
      <w:r w:rsidR="00020F32" w:rsidRPr="00020F32">
        <w:t xml:space="preserve"> </w:t>
      </w:r>
      <w:r w:rsidR="00020F32">
        <w:t>(</w:t>
      </w:r>
      <w:proofErr w:type="spellStart"/>
      <w:r w:rsidR="00020F32">
        <w:t>Brammer</w:t>
      </w:r>
      <w:proofErr w:type="spellEnd"/>
      <w:r w:rsidR="00020F32">
        <w:t>, 2009).</w:t>
      </w:r>
      <w:r w:rsidR="004D22F3">
        <w:t xml:space="preserve"> In Wales,</w:t>
      </w:r>
      <w:r w:rsidR="00020F32">
        <w:t xml:space="preserve"> </w:t>
      </w:r>
      <w:r w:rsidR="00020F32" w:rsidRPr="00020F32">
        <w:t xml:space="preserve">Social Care Wales </w:t>
      </w:r>
      <w:r w:rsidR="00020F32">
        <w:t>(</w:t>
      </w:r>
      <w:r w:rsidR="00020F32" w:rsidRPr="00020F32">
        <w:t>2025</w:t>
      </w:r>
      <w:r w:rsidR="00020F32">
        <w:t>)</w:t>
      </w:r>
      <w:r w:rsidR="00413963">
        <w:t xml:space="preserve"> reported that</w:t>
      </w:r>
      <w:r w:rsidR="004D22F3">
        <w:t xml:space="preserve"> it</w:t>
      </w:r>
      <w:r w:rsidR="00413963">
        <w:t>’s</w:t>
      </w:r>
      <w:r w:rsidR="004D22F3">
        <w:t xml:space="preserve"> everybody’s </w:t>
      </w:r>
      <w:r w:rsidR="00E838BD">
        <w:t>responsibility</w:t>
      </w:r>
      <w:r w:rsidR="004D22F3">
        <w:t xml:space="preserve"> to safeguard children, the primary statutory obligation falls to local </w:t>
      </w:r>
      <w:r w:rsidR="00E838BD">
        <w:t>authorities</w:t>
      </w:r>
      <w:r w:rsidR="004D22F3">
        <w:t xml:space="preserve"> and social services,</w:t>
      </w:r>
      <w:r w:rsidR="004869EB">
        <w:t xml:space="preserve"> with</w:t>
      </w:r>
      <w:r w:rsidR="004D22F3">
        <w:t xml:space="preserve"> the </w:t>
      </w:r>
      <w:r w:rsidR="004D22F3" w:rsidRPr="004D22F3">
        <w:t>Social Services and Well-</w:t>
      </w:r>
      <w:r w:rsidR="00413963">
        <w:t xml:space="preserve">being (Wales) Act 2014 providing </w:t>
      </w:r>
      <w:r w:rsidR="004D22F3" w:rsidRPr="004D22F3">
        <w:t xml:space="preserve">the legal framework. </w:t>
      </w:r>
      <w:r w:rsidR="00E838BD">
        <w:t xml:space="preserve">The Wales Safeguarding Procedures </w:t>
      </w:r>
      <w:r w:rsidR="00481713">
        <w:t xml:space="preserve">(2015) </w:t>
      </w:r>
      <w:r w:rsidR="00E838BD">
        <w:t>outline how professionals should protect children, as well as adults</w:t>
      </w:r>
      <w:r w:rsidR="00413963">
        <w:t xml:space="preserve"> who are</w:t>
      </w:r>
      <w:r w:rsidR="00E838BD">
        <w:t xml:space="preserve"> at risk of abuse and neglect. Similarly, the above act outlines how </w:t>
      </w:r>
      <w:r w:rsidR="004D22F3" w:rsidRPr="004D22F3">
        <w:t>professionals, organisations, and individuals working with children must be alert to risks a</w:t>
      </w:r>
      <w:r w:rsidR="00020F32">
        <w:t xml:space="preserve">nd know how to report concerns (Wales Safeguarding Procedures, </w:t>
      </w:r>
      <w:r w:rsidR="00020F32" w:rsidRPr="00020F32">
        <w:t>2015)</w:t>
      </w:r>
      <w:r w:rsidR="00020F32">
        <w:t>.</w:t>
      </w:r>
      <w:r w:rsidR="00020F32" w:rsidRPr="00020F32">
        <w:t xml:space="preserve"> </w:t>
      </w:r>
      <w:proofErr w:type="spellStart"/>
      <w:r w:rsidR="00020F32">
        <w:t>Schön</w:t>
      </w:r>
      <w:proofErr w:type="spellEnd"/>
      <w:r w:rsidR="00020F32" w:rsidRPr="00020F32">
        <w:t xml:space="preserve"> (2017) </w:t>
      </w:r>
      <w:r w:rsidR="00020F32">
        <w:t>explains this</w:t>
      </w:r>
      <w:r w:rsidR="00E838BD">
        <w:t xml:space="preserve"> through clear, consistent guidance and the p</w:t>
      </w:r>
      <w:r w:rsidR="004869EB">
        <w:t>rocedures help</w:t>
      </w:r>
      <w:r w:rsidR="00413963">
        <w:t>s</w:t>
      </w:r>
      <w:r w:rsidR="004869EB">
        <w:t xml:space="preserve"> professionals to</w:t>
      </w:r>
      <w:r w:rsidR="00E838BD">
        <w:t xml:space="preserve"> </w:t>
      </w:r>
      <w:r w:rsidR="004869EB">
        <w:t>r</w:t>
      </w:r>
      <w:r w:rsidR="00E838BD">
        <w:t xml:space="preserve">ecognise signs of abuse or neglect, </w:t>
      </w:r>
      <w:r w:rsidR="004869EB">
        <w:t>r</w:t>
      </w:r>
      <w:r w:rsidR="00E838BD">
        <w:t xml:space="preserve">espond appropriately to safeguarding concerns, </w:t>
      </w:r>
      <w:r w:rsidR="004869EB">
        <w:t>m</w:t>
      </w:r>
      <w:r w:rsidR="00E838BD">
        <w:t>ake referrals</w:t>
      </w:r>
      <w:r w:rsidR="00413963">
        <w:t xml:space="preserve">, </w:t>
      </w:r>
      <w:r w:rsidR="00E838BD">
        <w:t xml:space="preserve">escalate cases when needed and </w:t>
      </w:r>
      <w:r w:rsidR="004869EB">
        <w:t>w</w:t>
      </w:r>
      <w:r w:rsidR="00E838BD">
        <w:t>ork collaboratively with other agencies.</w:t>
      </w:r>
    </w:p>
    <w:p w14:paraId="0AB805A7" w14:textId="416326CE" w:rsidR="00E838BD" w:rsidRDefault="00E838BD" w:rsidP="00E838BD">
      <w:r>
        <w:t xml:space="preserve">The Children Act 2004 fundamentally focuses on child’s welfare </w:t>
      </w:r>
      <w:r w:rsidR="004869EB">
        <w:t>ensuring that this is paramount and at the c</w:t>
      </w:r>
      <w:r w:rsidR="00413963">
        <w:t>entre of professional’s approaches</w:t>
      </w:r>
      <w:r w:rsidR="00020F32">
        <w:t xml:space="preserve"> (Welsh Assembly Government, </w:t>
      </w:r>
      <w:r w:rsidR="00020F32" w:rsidRPr="00020F32">
        <w:t>2006)</w:t>
      </w:r>
      <w:r w:rsidR="00020F32">
        <w:t>.</w:t>
      </w:r>
      <w:r w:rsidR="00020F32" w:rsidRPr="00020F32">
        <w:t xml:space="preserve"> </w:t>
      </w:r>
      <w:r w:rsidR="00E5122D" w:rsidRPr="00E5122D">
        <w:t xml:space="preserve">Norfolk Safeguarding Children Partnership (2025) </w:t>
      </w:r>
      <w:r w:rsidR="00E5122D">
        <w:t xml:space="preserve">acknowledged </w:t>
      </w:r>
      <w:r w:rsidR="00413963">
        <w:t xml:space="preserve">that </w:t>
      </w:r>
      <w:r w:rsidR="00E5122D">
        <w:t>t</w:t>
      </w:r>
      <w:r w:rsidR="004869EB">
        <w:t>his permits</w:t>
      </w:r>
      <w:r>
        <w:t xml:space="preserve"> </w:t>
      </w:r>
      <w:r w:rsidRPr="00E838BD">
        <w:t>local authorities and professionals to</w:t>
      </w:r>
      <w:r w:rsidR="007E00A1">
        <w:t xml:space="preserve"> </w:t>
      </w:r>
      <w:r w:rsidR="004869EB">
        <w:t>s</w:t>
      </w:r>
      <w:r>
        <w:t>afeguard and promote the welfare of children in need (Section 17)</w:t>
      </w:r>
      <w:r w:rsidR="007E00A1">
        <w:t xml:space="preserve">, </w:t>
      </w:r>
      <w:r w:rsidR="004869EB">
        <w:t>i</w:t>
      </w:r>
      <w:r>
        <w:t>nvestigate if a child is at risk o</w:t>
      </w:r>
      <w:r w:rsidR="007E00A1">
        <w:t xml:space="preserve">f significant harm (Section 47), </w:t>
      </w:r>
      <w:r w:rsidR="004869EB">
        <w:t>p</w:t>
      </w:r>
      <w:r>
        <w:t xml:space="preserve">rovide services to support </w:t>
      </w:r>
      <w:r w:rsidR="007E00A1">
        <w:t xml:space="preserve">families and prevent breakdowns and </w:t>
      </w:r>
      <w:r w:rsidR="004869EB">
        <w:t>t</w:t>
      </w:r>
      <w:r w:rsidR="007E00A1">
        <w:t>o t</w:t>
      </w:r>
      <w:r>
        <w:t>ake emergency action if a</w:t>
      </w:r>
      <w:r w:rsidR="007E00A1">
        <w:t xml:space="preserve"> child is in immediate danger. The welfare of a child is </w:t>
      </w:r>
      <w:proofErr w:type="gramStart"/>
      <w:r w:rsidR="007E00A1">
        <w:t>the</w:t>
      </w:r>
      <w:proofErr w:type="gramEnd"/>
      <w:r w:rsidR="007E00A1">
        <w:t xml:space="preserve"> main consideration</w:t>
      </w:r>
      <w:r w:rsidR="00413963">
        <w:t>,</w:t>
      </w:r>
      <w:r w:rsidR="007E00A1">
        <w:t xml:space="preserve"> and </w:t>
      </w:r>
      <w:r w:rsidR="004869EB">
        <w:t>one of the key principl</w:t>
      </w:r>
      <w:r w:rsidR="007E00A1">
        <w:t>e</w:t>
      </w:r>
      <w:r w:rsidR="004869EB">
        <w:t>s</w:t>
      </w:r>
      <w:r w:rsidR="007E00A1">
        <w:t xml:space="preserve"> of the </w:t>
      </w:r>
      <w:r w:rsidR="00413963">
        <w:t>Children</w:t>
      </w:r>
      <w:r w:rsidR="007E00A1">
        <w:t xml:space="preserve"> Act outlines that children are best looked after by their family unless intervention is es</w:t>
      </w:r>
      <w:r w:rsidR="00E5122D">
        <w:t>sential due to abuse or neglect (</w:t>
      </w:r>
      <w:proofErr w:type="spellStart"/>
      <w:r w:rsidR="00E5122D">
        <w:t>Brammer</w:t>
      </w:r>
      <w:proofErr w:type="spellEnd"/>
      <w:r w:rsidR="00E5122D">
        <w:t xml:space="preserve">, </w:t>
      </w:r>
      <w:r w:rsidR="00E5122D" w:rsidRPr="00E5122D">
        <w:t>2009)</w:t>
      </w:r>
      <w:r w:rsidR="00E5122D">
        <w:t>.</w:t>
      </w:r>
    </w:p>
    <w:p w14:paraId="60A19E14" w14:textId="470273B6" w:rsidR="00413963" w:rsidRDefault="007E00A1" w:rsidP="00C40A8C">
      <w:r>
        <w:t>In Wales,</w:t>
      </w:r>
      <w:r w:rsidR="00413963">
        <w:t xml:space="preserve"> according to </w:t>
      </w:r>
      <w:r w:rsidR="00413963" w:rsidRPr="00413963">
        <w:t>Wales</w:t>
      </w:r>
      <w:r w:rsidR="00413963">
        <w:t xml:space="preserve"> Safeguarding Procedures (2025)</w:t>
      </w:r>
      <w:r>
        <w:t xml:space="preserve"> safeguarding children is guided by framework</w:t>
      </w:r>
      <w:r w:rsidR="00413963">
        <w:t>s</w:t>
      </w:r>
      <w:r>
        <w:t xml:space="preserve"> of </w:t>
      </w:r>
      <w:r w:rsidRPr="007E00A1">
        <w:t xml:space="preserve">national legislation, </w:t>
      </w:r>
      <w:r w:rsidR="00413963">
        <w:t>local procedures, and or</w:t>
      </w:r>
      <w:r w:rsidRPr="007E00A1">
        <w:t>ganisational policies</w:t>
      </w:r>
      <w:r>
        <w:t xml:space="preserve"> which consist of: </w:t>
      </w:r>
      <w:r w:rsidRPr="007E00A1">
        <w:t>Social Services and Well-being (Wales) Act 2014</w:t>
      </w:r>
      <w:r>
        <w:t xml:space="preserve">, </w:t>
      </w:r>
      <w:r w:rsidRPr="007E00A1">
        <w:t>Wales Safeguarding Procedures</w:t>
      </w:r>
      <w:r>
        <w:t xml:space="preserve">, </w:t>
      </w:r>
      <w:r w:rsidRPr="007E00A1">
        <w:t>UN Convention on the Rights of the Child (UNCRC)</w:t>
      </w:r>
      <w:r>
        <w:t xml:space="preserve">, </w:t>
      </w:r>
      <w:r w:rsidRPr="007E00A1">
        <w:t>Regional Safeguarding Boards</w:t>
      </w:r>
      <w:r>
        <w:t xml:space="preserve">, </w:t>
      </w:r>
      <w:r w:rsidRPr="007E00A1">
        <w:t>Child Protection Policy</w:t>
      </w:r>
      <w:r w:rsidR="00413963">
        <w:t xml:space="preserve"> and Whistleblowing Policy.</w:t>
      </w:r>
      <w:r w:rsidR="00481713" w:rsidRPr="00481713">
        <w:t xml:space="preserve"> The National Society for the Pr</w:t>
      </w:r>
      <w:r w:rsidR="00481713">
        <w:t>evention of Cruelty to Children</w:t>
      </w:r>
      <w:r w:rsidR="00413963" w:rsidRPr="00413963">
        <w:t xml:space="preserve"> (2024) </w:t>
      </w:r>
      <w:r w:rsidR="00413963">
        <w:t>deemed the above</w:t>
      </w:r>
      <w:r>
        <w:t xml:space="preserve"> critical to protect children from harm</w:t>
      </w:r>
      <w:r w:rsidR="00413963">
        <w:t>,</w:t>
      </w:r>
      <w:r>
        <w:t xml:space="preserve"> as they are designed to </w:t>
      </w:r>
      <w:r w:rsidR="004869EB">
        <w:t>p</w:t>
      </w:r>
      <w:r>
        <w:t xml:space="preserve">revent abuse, neglect, exploitation, and harm, </w:t>
      </w:r>
      <w:r w:rsidR="00DC1AA0">
        <w:t>e</w:t>
      </w:r>
      <w:r>
        <w:t>nsure children grow up in safe, supportive</w:t>
      </w:r>
      <w:r w:rsidR="00413963">
        <w:t>,</w:t>
      </w:r>
      <w:r>
        <w:t xml:space="preserve"> environments and </w:t>
      </w:r>
      <w:r w:rsidR="00DC1AA0">
        <w:t>p</w:t>
      </w:r>
      <w:r>
        <w:t xml:space="preserve">rovide clear steps for intervention when concerns arise. Policies and procedure provide clarity and consistency </w:t>
      </w:r>
      <w:r w:rsidR="004869EB">
        <w:t>which are designed to ensure everybody knows how to respond to concerns and creates a consistent approach across organisations</w:t>
      </w:r>
      <w:r w:rsidR="00413963" w:rsidRPr="00413963">
        <w:t xml:space="preserve"> </w:t>
      </w:r>
      <w:r w:rsidR="00413963">
        <w:t>(</w:t>
      </w:r>
      <w:proofErr w:type="spellStart"/>
      <w:r w:rsidR="00413963">
        <w:t>Brammer</w:t>
      </w:r>
      <w:proofErr w:type="spellEnd"/>
      <w:r w:rsidR="00413963">
        <w:t>,</w:t>
      </w:r>
      <w:r w:rsidR="00413963" w:rsidRPr="00413963">
        <w:t xml:space="preserve"> (2009)</w:t>
      </w:r>
      <w:r w:rsidR="004869EB">
        <w:t xml:space="preserve">. A consistent multi agency approach is vital in safeguarding children as different professionals are able to share information which provides an effective response with </w:t>
      </w:r>
      <w:r w:rsidR="004869EB" w:rsidRPr="004869EB">
        <w:t>collaborate</w:t>
      </w:r>
      <w:r w:rsidR="00E5122D">
        <w:t xml:space="preserve"> working (NSPCC, </w:t>
      </w:r>
      <w:r w:rsidR="00E5122D" w:rsidRPr="00E5122D">
        <w:t>2024)</w:t>
      </w:r>
      <w:r w:rsidR="00E5122D">
        <w:t xml:space="preserve">. </w:t>
      </w:r>
      <w:r w:rsidR="00E5122D" w:rsidRPr="00E5122D">
        <w:t xml:space="preserve"> </w:t>
      </w:r>
      <w:r w:rsidR="00E5122D">
        <w:t>According to Parker, Bradley</w:t>
      </w:r>
      <w:r w:rsidR="00413963">
        <w:t xml:space="preserve"> J</w:t>
      </w:r>
      <w:r w:rsidR="00E5122D">
        <w:t>, and Bradley</w:t>
      </w:r>
      <w:r w:rsidR="00E5122D" w:rsidRPr="00E5122D">
        <w:t xml:space="preserve"> </w:t>
      </w:r>
      <w:r w:rsidR="00413963">
        <w:t xml:space="preserve">G, </w:t>
      </w:r>
      <w:r w:rsidR="00E5122D" w:rsidRPr="00E5122D">
        <w:t xml:space="preserve">(2017) </w:t>
      </w:r>
      <w:r w:rsidR="00E5122D">
        <w:t>m</w:t>
      </w:r>
      <w:r w:rsidR="004869EB">
        <w:t>ulti agency working and early intervention enables early spotting of risks before harm escalates, timely referrals to the right support services and preventative action. The above approach is embedded in</w:t>
      </w:r>
      <w:r w:rsidR="00413963">
        <w:t xml:space="preserve"> Wales Safeguarding Procedures (2025).</w:t>
      </w:r>
    </w:p>
    <w:p w14:paraId="0B272517" w14:textId="273170B7" w:rsidR="00512C72" w:rsidRPr="00512C72" w:rsidRDefault="00481713" w:rsidP="00C40A8C">
      <w:pPr>
        <w:rPr>
          <w:b/>
        </w:rPr>
      </w:pPr>
      <w:r>
        <w:rPr>
          <w:b/>
        </w:rPr>
        <w:t>Word Count = 510</w:t>
      </w:r>
      <w:r w:rsidR="00512C72" w:rsidRPr="00512C72">
        <w:rPr>
          <w:b/>
        </w:rPr>
        <w:t xml:space="preserve"> words </w:t>
      </w:r>
    </w:p>
    <w:p w14:paraId="435AA376" w14:textId="6522FCE1" w:rsidR="00512C72" w:rsidRDefault="00512C72" w:rsidP="00C40A8C"/>
    <w:p w14:paraId="0A4C3B07" w14:textId="77777777" w:rsidR="00512C72" w:rsidRDefault="00512C72" w:rsidP="00C40A8C"/>
    <w:p w14:paraId="534D210B" w14:textId="77777777" w:rsidR="00413963" w:rsidRDefault="00413963" w:rsidP="00C40A8C"/>
    <w:p w14:paraId="06C47E0D" w14:textId="77777777" w:rsidR="00512C72" w:rsidRDefault="00512C72" w:rsidP="00C40A8C"/>
    <w:p w14:paraId="377F1924" w14:textId="50CB0DED" w:rsidR="00C40A8C" w:rsidRDefault="00C40A8C" w:rsidP="00C40A8C">
      <w:r>
        <w:lastRenderedPageBreak/>
        <w:t xml:space="preserve">There are significant differences between safeguarding practices for children and adults. One of the key distinctions lies in decision-making capacity. </w:t>
      </w:r>
      <w:r w:rsidR="00413963">
        <w:t>As set out by Community Care (2017) a</w:t>
      </w:r>
      <w:r>
        <w:t xml:space="preserve">dults are generally presumed to have the capacity to make decisions for themselves, including those that may be considered unwise. In contrast, </w:t>
      </w:r>
      <w:r w:rsidR="00481713">
        <w:t>XXXX</w:t>
      </w:r>
      <w:r w:rsidR="00413963">
        <w:t xml:space="preserve"> Safeguarding Children Partnership (2015) reported that </w:t>
      </w:r>
      <w:r>
        <w:t>children are not automatically deemed to have the capacity to make independent decisions, particularly in complex or high-risk situations.</w:t>
      </w:r>
      <w:r w:rsidR="00B754E9">
        <w:t xml:space="preserve"> </w:t>
      </w:r>
      <w:r>
        <w:t>However, there are legal frameworks that allow professionals to assess a child’s abi</w:t>
      </w:r>
      <w:r w:rsidR="00EE63BE">
        <w:t xml:space="preserve">lity to make certain decisions which are outlines below. </w:t>
      </w:r>
      <w:r w:rsidR="00B754E9">
        <w:t>Evidence by NSPCC (2022) suggests</w:t>
      </w:r>
      <w:r w:rsidR="00EE63BE">
        <w:t xml:space="preserve"> </w:t>
      </w:r>
      <w:proofErr w:type="spellStart"/>
      <w:r w:rsidR="00EE63BE">
        <w:t>Gillick</w:t>
      </w:r>
      <w:proofErr w:type="spellEnd"/>
      <w:r w:rsidR="00EE63BE">
        <w:t xml:space="preserve"> Competence and </w:t>
      </w:r>
      <w:r>
        <w:t>Fraser Guidelines help determine whether a child under the age of 16 can consent to medical treatment without parental involvement. These tools enable professionals to evaluate whether a child understands the nature and implications of the decision and can particip</w:t>
      </w:r>
      <w:r w:rsidR="00B754E9">
        <w:t>ate meaningfully in the process (Rose Legal, 2025).</w:t>
      </w:r>
    </w:p>
    <w:p w14:paraId="5C8A6B3F" w14:textId="383E170D" w:rsidR="00C40A8C" w:rsidRDefault="00C40A8C" w:rsidP="00C40A8C">
      <w:r>
        <w:t xml:space="preserve">For individuals aged 16 and over, the Mental Capacity Act 2005 (MCA) applies in both Wales and England. This legislation protects and empowers people who may lack the ability to make specific decisions due to </w:t>
      </w:r>
      <w:r w:rsidR="00B754E9">
        <w:t xml:space="preserve">illness, injury, or disability (National Health Service England, 2024). </w:t>
      </w:r>
      <w:r w:rsidR="00B754E9" w:rsidRPr="00B754E9">
        <w:t>Social</w:t>
      </w:r>
      <w:r w:rsidR="00B754E9">
        <w:t xml:space="preserve"> Care Institute for Excellence (2009) reported t</w:t>
      </w:r>
      <w:r>
        <w:t>he MCA provides a legal framework for assessing capacity, supporting individuals to make their own decisions wherever possible, and making decisions</w:t>
      </w:r>
      <w:r w:rsidR="00B754E9">
        <w:t xml:space="preserve"> on their behalf when necessary,</w:t>
      </w:r>
      <w:r>
        <w:t xml:space="preserve"> ensuring those decisions are made in their best interests. Importantly, mental capacity assessments are both decision-specific and time-specific, and professionals must begin with the presumption that an individual has capacity unless there i</w:t>
      </w:r>
      <w:r w:rsidR="007E2B13">
        <w:t>s evidence to suggest otherwise (</w:t>
      </w:r>
      <w:r w:rsidR="007E2B13" w:rsidRPr="007E2B13">
        <w:t>National Institute of Health and Care Excellence</w:t>
      </w:r>
      <w:r w:rsidR="007E2B13">
        <w:t xml:space="preserve">, </w:t>
      </w:r>
      <w:r w:rsidR="007E2B13" w:rsidRPr="007E2B13">
        <w:t>2018)</w:t>
      </w:r>
      <w:r w:rsidR="007E2B13">
        <w:t>.</w:t>
      </w:r>
    </w:p>
    <w:p w14:paraId="1D7BA1E5" w14:textId="5BAC7C3B" w:rsidR="00C40A8C" w:rsidRDefault="00C40A8C" w:rsidP="004869EB">
      <w:r w:rsidRPr="00C40A8C">
        <w:t xml:space="preserve">Consent also plays a different role in safeguarding procedures. When a safeguarding concern is raised about a child, consent is not required to initiate an investigation. This reflects the protective nature of children’s safeguarding, where the </w:t>
      </w:r>
      <w:r w:rsidR="007E2B13">
        <w:t xml:space="preserve">priority is the child’s welfare (Wales Safeguarding Procedures, </w:t>
      </w:r>
      <w:r w:rsidR="007E2B13" w:rsidRPr="007E2B13">
        <w:t>2025)</w:t>
      </w:r>
      <w:r w:rsidR="007E2B13">
        <w:t>.</w:t>
      </w:r>
      <w:r w:rsidRPr="00C40A8C">
        <w:t xml:space="preserve"> In contrast, adult safeguarding practices require consent if the individual has capacity. Without consent, safeguarding professionals may be limited in their ability to proceed with an inves</w:t>
      </w:r>
      <w:r>
        <w:t xml:space="preserve">tigation, </w:t>
      </w:r>
      <w:r w:rsidRPr="00C40A8C">
        <w:t>unless the matter involves criminal activi</w:t>
      </w:r>
      <w:r w:rsidR="007E2B13">
        <w:t>ty and becomes a police concern</w:t>
      </w:r>
      <w:r w:rsidRPr="00C40A8C">
        <w:t xml:space="preserve"> </w:t>
      </w:r>
      <w:r w:rsidR="007E2B13">
        <w:t>(</w:t>
      </w:r>
      <w:proofErr w:type="spellStart"/>
      <w:r w:rsidR="007E2B13">
        <w:t>Scragg</w:t>
      </w:r>
      <w:proofErr w:type="spellEnd"/>
      <w:r w:rsidR="007E2B13">
        <w:t xml:space="preserve"> and </w:t>
      </w:r>
      <w:proofErr w:type="spellStart"/>
      <w:r w:rsidR="007E2B13">
        <w:t>Mantell</w:t>
      </w:r>
      <w:proofErr w:type="spellEnd"/>
      <w:r w:rsidR="007E2B13">
        <w:t xml:space="preserve">, </w:t>
      </w:r>
      <w:r w:rsidR="007E2B13" w:rsidRPr="007E2B13">
        <w:t>2011)</w:t>
      </w:r>
      <w:r w:rsidR="007E2B13">
        <w:t>.</w:t>
      </w:r>
      <w:r w:rsidR="007E2B13" w:rsidRPr="007E2B13">
        <w:t xml:space="preserve"> </w:t>
      </w:r>
      <w:r w:rsidRPr="00C40A8C">
        <w:t>This principle is embedded in Part 7 of the Wales Safeguarding Procedures, which outlines the importance of respecting aut</w:t>
      </w:r>
      <w:r w:rsidR="007E2B13">
        <w:t xml:space="preserve">onomy while ensuring protection (Welsh Government, </w:t>
      </w:r>
      <w:r w:rsidR="007E2B13" w:rsidRPr="007E2B13">
        <w:t>2016)</w:t>
      </w:r>
      <w:r w:rsidR="007E2B13">
        <w:t>.</w:t>
      </w:r>
    </w:p>
    <w:p w14:paraId="581AFE90" w14:textId="7DF11876" w:rsidR="00610622" w:rsidRDefault="00C61197" w:rsidP="004869EB">
      <w:r w:rsidRPr="00C61197">
        <w:t xml:space="preserve">In both adults and children’s safeguarding </w:t>
      </w:r>
      <w:proofErr w:type="spellStart"/>
      <w:r w:rsidR="007E2B13">
        <w:t>Scragg</w:t>
      </w:r>
      <w:proofErr w:type="spellEnd"/>
      <w:r w:rsidR="007E2B13">
        <w:t xml:space="preserve"> and </w:t>
      </w:r>
      <w:proofErr w:type="spellStart"/>
      <w:r w:rsidR="007E2B13">
        <w:t>Mantell</w:t>
      </w:r>
      <w:proofErr w:type="spellEnd"/>
      <w:r w:rsidR="007E2B13" w:rsidRPr="007E2B13">
        <w:t xml:space="preserve"> </w:t>
      </w:r>
      <w:r w:rsidR="007E2B13">
        <w:t>(2011) reported</w:t>
      </w:r>
      <w:r w:rsidR="007E2B13" w:rsidRPr="007E2B13">
        <w:t xml:space="preserve"> </w:t>
      </w:r>
      <w:r w:rsidRPr="00C61197">
        <w:t>the categories of abuse are Physical, Emotional, Sexual, and Neglect. In addition, financial abuse is a category of abuse in adults safeguarding, and is one of the most common types of abuse which is raised</w:t>
      </w:r>
      <w:r w:rsidR="006747C7">
        <w:t xml:space="preserve"> the most in adult safeguarding, this is recognised by</w:t>
      </w:r>
      <w:r w:rsidR="006747C7" w:rsidRPr="006747C7">
        <w:t xml:space="preserve"> </w:t>
      </w:r>
      <w:r w:rsidR="00481713">
        <w:t xml:space="preserve">XXXX </w:t>
      </w:r>
      <w:r w:rsidR="006747C7" w:rsidRPr="006747C7">
        <w:t>Safeguarding Board (2023)</w:t>
      </w:r>
      <w:r w:rsidR="006747C7">
        <w:t>.</w:t>
      </w:r>
      <w:r w:rsidR="004B21FD">
        <w:t xml:space="preserve"> This type of abuse is embedded within the </w:t>
      </w:r>
      <w:r w:rsidR="004B21FD" w:rsidRPr="004B21FD">
        <w:t xml:space="preserve">Social Services and Well-being (Wales) Act </w:t>
      </w:r>
      <w:r w:rsidR="004B21FD">
        <w:t>(</w:t>
      </w:r>
      <w:r w:rsidR="004B21FD" w:rsidRPr="004B21FD">
        <w:t>2014</w:t>
      </w:r>
      <w:r w:rsidR="004B21FD">
        <w:t xml:space="preserve">) where professionals have responsibilities to protect </w:t>
      </w:r>
      <w:r w:rsidR="004B21FD" w:rsidRPr="004B21FD">
        <w:t>vulne</w:t>
      </w:r>
      <w:r w:rsidR="004B21FD">
        <w:t>rable adults</w:t>
      </w:r>
      <w:r w:rsidR="004B21FD" w:rsidRPr="004B21FD">
        <w:t>.</w:t>
      </w:r>
      <w:r w:rsidR="004B21FD">
        <w:t xml:space="preserve"> </w:t>
      </w:r>
      <w:r w:rsidRPr="00C61197">
        <w:t>However,</w:t>
      </w:r>
      <w:r w:rsidR="00EE63BE">
        <w:t xml:space="preserve"> financial abuse at times</w:t>
      </w:r>
      <w:r w:rsidRPr="00C61197">
        <w:t xml:space="preserve"> can be difficult to prove due to lack of evidence. In contrast, in children’s safeguarding financial abuse is </w:t>
      </w:r>
      <w:r w:rsidR="00610622">
        <w:t xml:space="preserve">generally </w:t>
      </w:r>
      <w:r w:rsidRPr="00C61197">
        <w:t>not a category of harm as the law stipulates that a child’s money belongs to the parent, this is therefore a con</w:t>
      </w:r>
      <w:r w:rsidR="004B21FD">
        <w:t>cept of parental responsibility</w:t>
      </w:r>
      <w:r w:rsidR="00512C72">
        <w:t xml:space="preserve"> (Child Law Advice, </w:t>
      </w:r>
      <w:r w:rsidR="00512C72" w:rsidRPr="00512C72">
        <w:t>2023)</w:t>
      </w:r>
      <w:r w:rsidR="00512C72">
        <w:t>.</w:t>
      </w:r>
      <w:r w:rsidR="00610622">
        <w:t xml:space="preserve"> Having said this,</w:t>
      </w:r>
      <w:r w:rsidR="00512C72">
        <w:t xml:space="preserve"> under the Children Act (1989)</w:t>
      </w:r>
      <w:r w:rsidR="00610622">
        <w:t xml:space="preserve"> this does not grant parents</w:t>
      </w:r>
      <w:r w:rsidR="00610622" w:rsidRPr="00610622">
        <w:t xml:space="preserve"> the right to financi</w:t>
      </w:r>
      <w:r w:rsidR="00610622">
        <w:t>ally ex</w:t>
      </w:r>
      <w:r w:rsidR="00512C72">
        <w:t xml:space="preserve">ploit or abuse a child </w:t>
      </w:r>
      <w:r w:rsidR="00EE63BE">
        <w:t xml:space="preserve">and investigations should therefore be followed </w:t>
      </w:r>
      <w:r w:rsidR="004B21FD">
        <w:t>(Wales Safeguarding Procedures, 2025).</w:t>
      </w:r>
      <w:r w:rsidR="00610622">
        <w:t xml:space="preserve"> </w:t>
      </w:r>
    </w:p>
    <w:p w14:paraId="66F16693" w14:textId="354C4882" w:rsidR="001A3A2E" w:rsidRDefault="001A3A2E" w:rsidP="001A3A2E">
      <w:r>
        <w:t xml:space="preserve">Within the Children’s Act, </w:t>
      </w:r>
      <w:r w:rsidRPr="001A3A2E">
        <w:t>Section 47 safeguarding investigations apply specifically to chi</w:t>
      </w:r>
      <w:r>
        <w:t xml:space="preserve">ldren, this process is </w:t>
      </w:r>
      <w:r w:rsidRPr="001A3A2E">
        <w:t xml:space="preserve">different from adult safeguarding under the </w:t>
      </w:r>
      <w:r w:rsidR="00512C72">
        <w:t xml:space="preserve">Social Services and Wellbeing Act (2014). </w:t>
      </w:r>
      <w:r w:rsidR="00EE63BE" w:rsidRPr="00EE63BE">
        <w:t xml:space="preserve">Wales Safeguarding Procedures (2025) </w:t>
      </w:r>
      <w:r w:rsidR="00EE63BE">
        <w:t>confirmed w</w:t>
      </w:r>
      <w:r>
        <w:t xml:space="preserve">here a safeguarding concern is raised that a child may be experiencing abuse or neglect, the local authority have the duty to investigate this, this process informs a Section 47 enquiry to assess the child’s safety. This may lead to a Child Protection </w:t>
      </w:r>
      <w:r>
        <w:lastRenderedPageBreak/>
        <w:t>Plan if ongoing risk is identified, further focusing on protecting the child from h</w:t>
      </w:r>
      <w:r w:rsidR="00EE63BE">
        <w:t>arm and ensuring their welfare (</w:t>
      </w:r>
      <w:r w:rsidR="00481713">
        <w:t xml:space="preserve">XXXX </w:t>
      </w:r>
      <w:r w:rsidR="00EE63BE" w:rsidRPr="00EE63BE">
        <w:t>Council</w:t>
      </w:r>
      <w:r w:rsidR="00EE63BE">
        <w:t>, 2025).</w:t>
      </w:r>
    </w:p>
    <w:p w14:paraId="6F1152F5" w14:textId="7F262427" w:rsidR="00EB0E3F" w:rsidRDefault="00481713" w:rsidP="004869EB">
      <w:r>
        <w:rPr>
          <w:b/>
        </w:rPr>
        <w:t>Word Count = 648</w:t>
      </w:r>
      <w:bookmarkStart w:id="0" w:name="_GoBack"/>
      <w:bookmarkEnd w:id="0"/>
      <w:r w:rsidR="00EE63BE">
        <w:rPr>
          <w:b/>
        </w:rPr>
        <w:t xml:space="preserve"> words</w:t>
      </w:r>
    </w:p>
    <w:p w14:paraId="5AEBEDDB" w14:textId="77777777" w:rsidR="00EB0E3F" w:rsidRDefault="00EB0E3F" w:rsidP="004869EB"/>
    <w:p w14:paraId="14CBE261" w14:textId="77777777" w:rsidR="00E838BD" w:rsidRDefault="00E838BD" w:rsidP="007E00A1"/>
    <w:sectPr w:rsidR="00E838B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EFBBA7" w14:textId="77777777" w:rsidR="00452B42" w:rsidRDefault="00452B42" w:rsidP="005425A6">
      <w:pPr>
        <w:spacing w:after="0" w:line="240" w:lineRule="auto"/>
      </w:pPr>
      <w:r>
        <w:separator/>
      </w:r>
    </w:p>
  </w:endnote>
  <w:endnote w:type="continuationSeparator" w:id="0">
    <w:p w14:paraId="2C3B5023" w14:textId="77777777" w:rsidR="00452B42" w:rsidRDefault="00452B42" w:rsidP="005425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7425184"/>
      <w:docPartObj>
        <w:docPartGallery w:val="Page Numbers (Bottom of Page)"/>
        <w:docPartUnique/>
      </w:docPartObj>
    </w:sdtPr>
    <w:sdtEndPr>
      <w:rPr>
        <w:noProof/>
      </w:rPr>
    </w:sdtEndPr>
    <w:sdtContent>
      <w:p w14:paraId="4B5B4670" w14:textId="30509A78" w:rsidR="005425A6" w:rsidRDefault="005425A6">
        <w:pPr>
          <w:pStyle w:val="Footer"/>
          <w:jc w:val="center"/>
        </w:pPr>
        <w:r>
          <w:fldChar w:fldCharType="begin"/>
        </w:r>
        <w:r>
          <w:instrText xml:space="preserve"> PAGE   \* MERGEFORMAT </w:instrText>
        </w:r>
        <w:r>
          <w:fldChar w:fldCharType="separate"/>
        </w:r>
        <w:r w:rsidR="00481713">
          <w:rPr>
            <w:noProof/>
          </w:rPr>
          <w:t>3</w:t>
        </w:r>
        <w:r>
          <w:rPr>
            <w:noProof/>
          </w:rPr>
          <w:fldChar w:fldCharType="end"/>
        </w:r>
      </w:p>
    </w:sdtContent>
  </w:sdt>
  <w:p w14:paraId="4A96FC51" w14:textId="77777777" w:rsidR="005425A6" w:rsidRDefault="00542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B5D6E4" w14:textId="77777777" w:rsidR="00452B42" w:rsidRDefault="00452B42" w:rsidP="005425A6">
      <w:pPr>
        <w:spacing w:after="0" w:line="240" w:lineRule="auto"/>
      </w:pPr>
      <w:r>
        <w:separator/>
      </w:r>
    </w:p>
  </w:footnote>
  <w:footnote w:type="continuationSeparator" w:id="0">
    <w:p w14:paraId="06681960" w14:textId="77777777" w:rsidR="00452B42" w:rsidRDefault="00452B42" w:rsidP="005425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22F3"/>
    <w:rsid w:val="00020F32"/>
    <w:rsid w:val="0008183C"/>
    <w:rsid w:val="001A3A2E"/>
    <w:rsid w:val="003A63FC"/>
    <w:rsid w:val="00402258"/>
    <w:rsid w:val="00413963"/>
    <w:rsid w:val="00452B42"/>
    <w:rsid w:val="00481713"/>
    <w:rsid w:val="004869EB"/>
    <w:rsid w:val="004B21FD"/>
    <w:rsid w:val="004D22F3"/>
    <w:rsid w:val="00512C72"/>
    <w:rsid w:val="005425A6"/>
    <w:rsid w:val="00610622"/>
    <w:rsid w:val="006747C7"/>
    <w:rsid w:val="007E00A1"/>
    <w:rsid w:val="007E2B13"/>
    <w:rsid w:val="00851886"/>
    <w:rsid w:val="00B754E9"/>
    <w:rsid w:val="00C40A8C"/>
    <w:rsid w:val="00C61197"/>
    <w:rsid w:val="00DC1AA0"/>
    <w:rsid w:val="00E5122D"/>
    <w:rsid w:val="00E838BD"/>
    <w:rsid w:val="00EB0E3F"/>
    <w:rsid w:val="00EE6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B1113"/>
  <w15:chartTrackingRefBased/>
  <w15:docId w15:val="{D353B0A6-444F-44DF-B979-73D1AB1B0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5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5A6"/>
  </w:style>
  <w:style w:type="paragraph" w:styleId="Footer">
    <w:name w:val="footer"/>
    <w:basedOn w:val="Normal"/>
    <w:link w:val="FooterChar"/>
    <w:uiPriority w:val="99"/>
    <w:unhideWhenUsed/>
    <w:rsid w:val="005425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5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F6AD9820481C47915963A0E76EFC25" ma:contentTypeVersion="7" ma:contentTypeDescription="Create a new document." ma:contentTypeScope="" ma:versionID="132a86719009ff1b5c0bebd09363b333">
  <xsd:schema xmlns:xsd="http://www.w3.org/2001/XMLSchema" xmlns:xs="http://www.w3.org/2001/XMLSchema" xmlns:p="http://schemas.microsoft.com/office/2006/metadata/properties" xmlns:ns3="5480b724-9f67-4efc-ba60-54e0abc06203" targetNamespace="http://schemas.microsoft.com/office/2006/metadata/properties" ma:root="true" ma:fieldsID="473e0e9cebd14b675516aeca4de500a9" ns3:_="">
    <xsd:import namespace="5480b724-9f67-4efc-ba60-54e0abc0620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80b724-9f67-4efc-ba60-54e0abc0620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2044EB-E7EA-4AAF-9728-02B10BC50E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80b724-9f67-4efc-ba60-54e0abc062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BA71AB-5F4D-4EA3-BBE7-B2A6E614E4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161</TotalTime>
  <Pages>3</Pages>
  <Words>1193</Words>
  <Characters>6805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WCBC</Company>
  <LinksUpToDate>false</LinksUpToDate>
  <CharactersWithSpaces>7983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Jones</dc:creator>
  <cp:keywords/>
  <dc:description/>
  <cp:lastModifiedBy>Jodie Jones</cp:lastModifiedBy>
  <cp:revision>9</cp:revision>
  <dcterms:created xsi:type="dcterms:W3CDTF">2025-09-03T18:55:00Z</dcterms:created>
  <dcterms:modified xsi:type="dcterms:W3CDTF">2025-09-30T10:17:00Z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0x010100A8F6AD9820481C47915963A0E76EFC25</vt:lpwstr>
  </property>
</Properties>
</file>